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28, 2020</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Ireland</w:t>
            </w:r>
          </w:p>
        </w:tc>
        <w:tc>
          <w:tcPr>
            <w:tcW w:w="32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001-36504</w:t>
            </w:r>
          </w:p>
        </w:tc>
        <w:tc>
          <w:tcPr>
            <w:tcW w:w="37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426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2000 St. James Place,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Houston, Texas</w:t>
            </w:r>
          </w:p>
        </w:tc>
        <w:tc>
          <w:tcPr>
            <w:tcW w:w="3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77056</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713.836.4000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21"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-2966085</wp:posOffset>
            </wp:positionH>
            <wp:positionV relativeFrom="paragraph">
              <wp:posOffset>-250190</wp:posOffset>
            </wp:positionV>
            <wp:extent cx="7132320"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1460"/>
        <w:spacing w:after="0"/>
        <w:rPr>
          <w:sz w:val="20"/>
          <w:szCs w:val="20"/>
          <w:color w:val="auto"/>
        </w:rPr>
      </w:pPr>
      <w:r>
        <w:rPr>
          <w:rFonts w:ascii="Arial" w:cs="Arial" w:eastAsia="Arial" w:hAnsi="Arial"/>
          <w:sz w:val="15"/>
          <w:szCs w:val="15"/>
          <w:b w:val="1"/>
          <w:bCs w:val="1"/>
          <w:color w:val="auto"/>
        </w:rPr>
        <w:t>Name of each exchange</w:t>
      </w:r>
    </w:p>
    <w:p>
      <w:pPr>
        <w:spacing w:after="0" w:line="62"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on which registered</w:t>
      </w:r>
    </w:p>
    <w:p>
      <w:pPr>
        <w:spacing w:after="0" w:line="200" w:lineRule="exact"/>
        <w:rPr>
          <w:sz w:val="24"/>
          <w:szCs w:val="24"/>
          <w:color w:val="auto"/>
        </w:rPr>
      </w:pPr>
    </w:p>
    <w:p>
      <w:pPr>
        <w:sectPr>
          <w:pgSz w:w="11900" w:h="16838" w:orient="portrait"/>
          <w:cols w:equalWidth="0" w:num="3">
            <w:col w:w="3960" w:space="720"/>
            <w:col w:w="2580" w:space="720"/>
            <w:col w:w="3260"/>
          </w:cols>
          <w:pgMar w:left="320" w:top="1021" w:right="339" w:bottom="1440" w:gutter="0" w:footer="0" w:header="0"/>
          <w:type w:val="continuous"/>
        </w:sectPr>
      </w:pPr>
    </w:p>
    <w:p>
      <w:pPr>
        <w:spacing w:after="0" w:line="26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 and 8.75% Senior Secured First Lien Notes due 2024</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August 28, 2020 (the “Effective Date”), Weatherford International Ltd., as issuer, Weatherford International plc and Weatherford International, LLC, as guarantors (collectively,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other subsidiary guarantors party thereto, entered into an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with Wilmington Trust, National Association, as trustee and collateral agent, and issued $500.0 million aggregate principal amount of its 8.75% Senior Secured First Lien Notes due 2024 (the “</w:t>
      </w:r>
      <w:r>
        <w:rPr>
          <w:rFonts w:ascii="Arial" w:cs="Arial" w:eastAsia="Arial" w:hAnsi="Arial"/>
          <w:sz w:val="16"/>
          <w:szCs w:val="16"/>
          <w:b w:val="1"/>
          <w:bCs w:val="1"/>
          <w:i w:val="1"/>
          <w:iCs w:val="1"/>
          <w:color w:val="auto"/>
        </w:rPr>
        <w:t>Senior Secured Notes</w:t>
      </w:r>
      <w:r>
        <w:rPr>
          <w:rFonts w:ascii="Arial" w:cs="Arial" w:eastAsia="Arial" w:hAnsi="Arial"/>
          <w:sz w:val="16"/>
          <w:szCs w:val="16"/>
          <w:color w:val="auto"/>
        </w:rPr>
        <w:t>”) thereunder. The Senior Secured Notes are fully and unconditionally guaranteed on a senior secured basis by the Company’s material domestic subsidiaries, certain material foreign subsidiaries, and in the future by other subsidiaries that guarantee its obligations under the LC Credit Agreement or other material indebtedness. The Senior Secured Notes and the related guarantees are secured by substantially all of the assets and properties of the Company and the guarantors (on an effectively first-priority basis with respect to the priority collateral for the Senior Secured Notes, and on an effectively second-priority basis with respect to the priority collateral for the LC Credit Agreement, in each case, subject to permitted liens). The following is a brief description of the material provisions of the Indenture and the Senior Secured Notes.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Senior Secured Notes will mature on September 1, 2024. Interest on the Senior Secured Notes will accrue at the rate of 8.75% per annum and will be payable semiannually in arrears on March 1 and September 1, commencing on March 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At any time prior to August 28, 2021, the Company may redeem the Senior Secured Notes, in whole or in part, at a redemption price equal to the sum of (i) the principal amount thereof, plus (ii) the “make-whole” premium at the redemption date, plus (iii) accrued and unpaid interest, if any, to the redemption date (subject to the right of the noteholders of record on the relevant record date to receive interest due on an interest payment date that is on or prior to the redemption date). On and after August 28, 2021, the Company may redeem all or part of the Senior Secured Notes at redemption prices (expressed as percentages of the principal amount redeemed) equal to (i) 104.375% for the twelve-month period beginning on August 28, 2021;</w:t>
      </w:r>
    </w:p>
    <w:p>
      <w:pPr>
        <w:spacing w:after="0" w:line="2" w:lineRule="exact"/>
        <w:rPr>
          <w:sz w:val="20"/>
          <w:szCs w:val="20"/>
          <w:color w:val="auto"/>
        </w:rPr>
      </w:pPr>
    </w:p>
    <w:p>
      <w:pPr>
        <w:jc w:val="both"/>
        <w:ind w:firstLine="8"/>
        <w:spacing w:after="0" w:line="255"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102.188% for the twelve-month period beginning on August 28, 2022; and (iii) 100.000% for the twelve-month period beginning August 28, 2023 and at any time thereafter, plus accrued and unpaid interest to the redemption date (subject to the right of the noteholders of record on the relevant record date to receive interest due on an interest payment date that is on or prior to the redemption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change of control (as defined in the Indenture) occurs, holders of the Senior Secured Notes will have the right to require the Company to repurchase all or any part of their Senior Secured Notes at a purchase price equal to 101% of the aggregate principal amount of the Senior Secured Notes repurchased, plus accrued and unpaid interest, if any, to the repurchase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Indenture governing the Senior Secured Notes contains covenants that limit, among other things, the Company’s ability and the ability of its subsidiaries to: incur, assume or guarantee additional indebtedness; pay dividends or distributions on capital stock or redeem or repurchase capital stock; make investments; sell stock of its subsidiaries; transfer or sell assets; create liens; enter into transactions with affiliates; and enter into mergers or consolidations. </w:t>
      </w:r>
      <w:r>
        <w:rPr>
          <w:rFonts w:ascii="Arial" w:cs="Arial" w:eastAsia="Arial" w:hAnsi="Arial"/>
          <w:sz w:val="18"/>
          <w:szCs w:val="18"/>
          <w:color w:val="212529"/>
        </w:rPr>
        <w:t>These covenants are subject to a number of important limitations and exceptions.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also provides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Senior Secured Notes to be declared due and payable immediately. The Indenture provides that, if at the time of an acceleration of the Senior Secured Notes any premium would be due upon an optional redemption of the Senior Secured Notes at that time, the same premium will be due upon the acceleration of the Senior Secured Notes.</w:t>
      </w:r>
    </w:p>
    <w:p>
      <w:pPr>
        <w:spacing w:after="0" w:line="16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foregoing description of the Indenture and the Senior Secured Notes does not purport to be complete and is qualified in its entirety by reference to the full text of those documents, which are attached as Exhibits 4.1 and 4.2 to this Form 8-K and are incorporated herein by reference.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Amendment No. 1 to LC Credit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the Effective Date, Weatherford International Ltd. and Weatherford International, LLC, as borrowers, Weatherford International plc, as a guarantor, and the subsidiary guarantors party thereto, entered into an amendment (the “</w:t>
      </w:r>
      <w:r>
        <w:rPr>
          <w:rFonts w:ascii="Arial" w:cs="Arial" w:eastAsia="Arial" w:hAnsi="Arial"/>
          <w:sz w:val="17"/>
          <w:szCs w:val="17"/>
          <w:b w:val="1"/>
          <w:bCs w:val="1"/>
          <w:i w:val="1"/>
          <w:iCs w:val="1"/>
          <w:color w:val="auto"/>
        </w:rPr>
        <w:t>LC Amendment</w:t>
      </w:r>
      <w:r>
        <w:rPr>
          <w:rFonts w:ascii="Arial" w:cs="Arial" w:eastAsia="Arial" w:hAnsi="Arial"/>
          <w:sz w:val="17"/>
          <w:szCs w:val="17"/>
          <w:color w:val="auto"/>
        </w:rPr>
        <w:t>”) to the Company’s existing senior secured letter of credit agreement (as so amended, the “</w:t>
      </w:r>
      <w:r>
        <w:rPr>
          <w:rFonts w:ascii="Arial" w:cs="Arial" w:eastAsia="Arial" w:hAnsi="Arial"/>
          <w:sz w:val="17"/>
          <w:szCs w:val="17"/>
          <w:b w:val="1"/>
          <w:bCs w:val="1"/>
          <w:i w:val="1"/>
          <w:iCs w:val="1"/>
          <w:color w:val="auto"/>
        </w:rPr>
        <w:t>LC Credit Agreement</w:t>
      </w:r>
      <w:r>
        <w:rPr>
          <w:rFonts w:ascii="Arial" w:cs="Arial" w:eastAsia="Arial" w:hAnsi="Arial"/>
          <w:sz w:val="17"/>
          <w:szCs w:val="17"/>
          <w:color w:val="auto"/>
        </w:rPr>
        <w:t>”) with the lenders party thereto and Deutsche Bank Trust Company Americas as administrative agent. The following is a brief description of the material amendments to the LC Credit Agreement included in the LC Amendment.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effectiveness of the LC Amendment, the aggregate commitments of the LC Credit Agreement increased from $195.0 million to $215.0 million, and the maturity date changed from June 13, 2024 to May 29, 2024. In addition, the $200.0 million minimum liquidity covenant was modified to require maintaining at least $175.0 million of aggregate liquidity, of which at least $125.0 million must be secured liquidity (</w:t>
      </w:r>
      <w:r>
        <w:rPr>
          <w:rFonts w:ascii="Arial" w:cs="Arial" w:eastAsia="Arial" w:hAnsi="Arial"/>
          <w:sz w:val="17"/>
          <w:szCs w:val="17"/>
          <w:i w:val="1"/>
          <w:iCs w:val="1"/>
          <w:color w:val="auto"/>
        </w:rPr>
        <w:t>i.e.</w:t>
      </w:r>
      <w:r>
        <w:rPr>
          <w:rFonts w:ascii="Arial" w:cs="Arial" w:eastAsia="Arial" w:hAnsi="Arial"/>
          <w:sz w:val="17"/>
          <w:szCs w:val="17"/>
          <w:color w:val="auto"/>
        </w:rPr>
        <w:t>, cash held in controlled accounts and pledged to secure the LC Credit Agreement). The LC Amendment also included certain conforming changes to reflect (i) the termination of the ABL Credit Agreement (defined below), (ii) the cash collateralization or transfer to issuing banks under the LC Credit Agreement of letters of credit issued under the ABL Credit Agreement, (iii) the issuance of the Senior Secured Notes, and (iv) the entering into of the Intercreditor Agreement between the collateral agent for the LC Credit Agreement and collateral agent for the Senior Secured Notes.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LC Credit Agreement will be used for the issuance of bid and performance letters of credit of the Company and certain of its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the Effective Date, the Company had approximately $160 million in outstanding letters of credit under the LC Credit Agreement.</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LC Credit Agreement is fully and unconditionally guaranteed on a senior secured basis by the Company’s material domestic subsidiaries, certain material foreign subsidiaries, and in the future by other subsidiaries that guarantee its obligations under the Senior Secured Notes or other material indebtedness. The LC Credit Agreement and the related guarantees are secured by substantially all of the assets and properties of the Company and the guarantors (on an effectively first-priority basis with respect to the priority collateral for the LC Credit Agreement, and on an effectively second-priority basis with respect to the priority collateral for the Senior Secured Notes, in each case, subject to permitted liens).</w:t>
      </w:r>
    </w:p>
    <w:p>
      <w:pPr>
        <w:spacing w:after="0" w:line="16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LC Amendment and the LC Credit Agreement does not purport to be complete and is qualified in its entirety by reference to the full text of those documents, which are attached as Exhibits 10.1 and 10.2 to this Form 8-K and are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Effective Date, Deutsche Bank Trust Company Americas, as collateral agent under the LC Credit Agreement, Wilmington Trust, National Association, as collateral agent under the Indenture, the Company and certain of its subsidiaries entered into an Intercreditor Agreement that, among other things, sets forth the relative lien priorities of the secured parties under the Senior Secured Notes and the LC Credit Agreement on the collateral shared by the Senior Secured Notes and the LC Credit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Intercreditor Agreement does not purport to be complete and is qualified in its entirety by reference to the full text of the Intercreditor Agreement, which is attached as Exhibit 10.3 to this Form 8-K and is incorporated herein by reference.</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Effective Date, the senior secured asset-based lending credit agreement (the “</w:t>
      </w:r>
      <w:r>
        <w:rPr>
          <w:rFonts w:ascii="Arial" w:cs="Arial" w:eastAsia="Arial" w:hAnsi="Arial"/>
          <w:sz w:val="18"/>
          <w:szCs w:val="18"/>
          <w:b w:val="1"/>
          <w:bCs w:val="1"/>
          <w:i w:val="1"/>
          <w:iCs w:val="1"/>
          <w:color w:val="auto"/>
        </w:rPr>
        <w:t>ABL Credit Agreement</w:t>
      </w:r>
      <w:r>
        <w:rPr>
          <w:rFonts w:ascii="Arial" w:cs="Arial" w:eastAsia="Arial" w:hAnsi="Arial"/>
          <w:sz w:val="18"/>
          <w:szCs w:val="18"/>
          <w:color w:val="auto"/>
        </w:rPr>
        <w:t>”) the Company previously entered into with the lenders party thereto and Wells Fargo Bank, National Association, as administrative agent, was terminated. At the time of termination, there were no loan amounts outstanding under ABL Credit Agreement, and all outstanding letters of credit thereunder were either cash collateralized or transferred to issuing banks under the LC Credit Agreement.</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28, 2020, the Company issued a press release describing certain of the matters in Items 1.01 and 1.02 of this Current Report on Form 8-K. A copy of the press release is furnished as Exhibit 99.1 to this report and incorporated by reference herein. The information provided pursuant to this Item 7.01 is “furnished” and shall not be deemed to be “filed” with the SEC or incorporated by reference in any filing under the Securities Exchange Act of 1934, as amended, or the Securities Act of 1933, as amended, except as shall be expressly set forth by specific reference in any such filings. The filing of this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80" w:hanging="52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6686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ind w:left="720" w:right="220" w:hanging="489"/>
        <w:spacing w:after="0" w:line="258"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6">
        <w:r>
          <w:rPr>
            <w:rFonts w:ascii="Arial" w:cs="Arial" w:eastAsia="Arial" w:hAnsi="Arial"/>
            <w:sz w:val="18"/>
            <w:szCs w:val="18"/>
            <w:u w:val="single" w:color="auto"/>
            <w:color w:val="0000EE"/>
          </w:rPr>
          <w:t>Indenture, dated August 28, 2020, by and among Weatherford International Ltd., as issuer, the guarantors party thereto and Wilmington Trust,</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National Association, as trustee and collateral agent.</w:t>
        </w:r>
      </w:hyperlink>
    </w:p>
    <w:p>
      <w:pPr>
        <w:ind w:left="22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6">
        <w:r>
          <w:rPr>
            <w:rFonts w:ascii="Arial" w:cs="Arial" w:eastAsia="Arial" w:hAnsi="Arial"/>
            <w:sz w:val="16"/>
            <w:szCs w:val="16"/>
            <w:u w:val="single" w:color="auto"/>
            <w:color w:val="0000EE"/>
          </w:rPr>
          <w:t>Form of Senior Secured Note (included in Exhibit 4.1).</w:t>
        </w:r>
      </w:hyperlink>
    </w:p>
    <w:p>
      <w:pPr>
        <w:spacing w:after="0" w:line="9" w:lineRule="exact"/>
        <w:rPr>
          <w:sz w:val="20"/>
          <w:szCs w:val="20"/>
          <w:color w:val="auto"/>
        </w:rPr>
      </w:pPr>
    </w:p>
    <w:p>
      <w:pPr>
        <w:ind w:left="720" w:right="40" w:hanging="534"/>
        <w:spacing w:after="0" w:line="250"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184">
        <w:r>
          <w:rPr>
            <w:rFonts w:ascii="Arial" w:cs="Arial" w:eastAsia="Arial" w:hAnsi="Arial"/>
            <w:sz w:val="18"/>
            <w:szCs w:val="18"/>
            <w:u w:val="single" w:color="auto"/>
            <w:color w:val="0000EE"/>
          </w:rPr>
          <w:t>Amendment No. 1 to LC Credit Agreement and Amendment No. 1 to U.S. Security Agreement, dated August 28, 2020, by and among</w:t>
        </w:r>
      </w:hyperlink>
      <w:r>
        <w:rPr>
          <w:rFonts w:ascii="Arial" w:cs="Arial" w:eastAsia="Arial" w:hAnsi="Arial"/>
          <w:sz w:val="18"/>
          <w:szCs w:val="18"/>
          <w:u w:val="single" w:color="auto"/>
          <w:color w:val="0000EE"/>
        </w:rPr>
        <w:t xml:space="preserve"> </w:t>
      </w:r>
      <w:hyperlink w:anchor="page184">
        <w:r>
          <w:rPr>
            <w:rFonts w:ascii="Arial" w:cs="Arial" w:eastAsia="Arial" w:hAnsi="Arial"/>
            <w:sz w:val="18"/>
            <w:szCs w:val="18"/>
            <w:u w:val="single" w:color="auto"/>
            <w:color w:val="0000EE"/>
          </w:rPr>
          <w:t>Weatherford International Ltd., Weatherford International plc, Weatherford International LLC, the other guarantors of the LC Credit Agreement,</w:t>
        </w:r>
      </w:hyperlink>
      <w:r>
        <w:rPr>
          <w:rFonts w:ascii="Arial" w:cs="Arial" w:eastAsia="Arial" w:hAnsi="Arial"/>
          <w:sz w:val="18"/>
          <w:szCs w:val="18"/>
          <w:u w:val="single" w:color="auto"/>
          <w:color w:val="0000EE"/>
        </w:rPr>
        <w:t xml:space="preserve"> </w:t>
      </w:r>
      <w:hyperlink w:anchor="page184">
        <w:r>
          <w:rPr>
            <w:rFonts w:ascii="Arial" w:cs="Arial" w:eastAsia="Arial" w:hAnsi="Arial"/>
            <w:sz w:val="18"/>
            <w:szCs w:val="18"/>
            <w:u w:val="single" w:color="auto"/>
            <w:color w:val="0000EE"/>
          </w:rPr>
          <w:t>Deutsche Bank Trust Company Americas and the lenders under the LC Credit Agreement.</w:t>
        </w:r>
      </w:hyperlink>
    </w:p>
    <w:p>
      <w:pPr>
        <w:spacing w:after="0" w:line="1" w:lineRule="exact"/>
        <w:rPr>
          <w:rFonts w:ascii="Arial" w:cs="Arial" w:eastAsia="Arial" w:hAnsi="Arial"/>
          <w:sz w:val="18"/>
          <w:szCs w:val="18"/>
          <w:u w:val="single" w:color="auto"/>
          <w:color w:val="0000EE"/>
        </w:rPr>
      </w:pPr>
    </w:p>
    <w:p>
      <w:pPr>
        <w:ind w:left="720" w:hanging="534"/>
        <w:spacing w:after="0" w:line="250"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184">
        <w:r>
          <w:rPr>
            <w:rFonts w:ascii="Arial" w:cs="Arial" w:eastAsia="Arial" w:hAnsi="Arial"/>
            <w:sz w:val="18"/>
            <w:szCs w:val="18"/>
            <w:u w:val="single" w:color="auto"/>
            <w:color w:val="0000EE"/>
          </w:rPr>
          <w:t>LC Credit Agreement, dated December 13, 2019 (as amended by Amendment No. 1, dated August 28, 2020), by and among Weatherford</w:t>
        </w:r>
      </w:hyperlink>
      <w:r>
        <w:rPr>
          <w:rFonts w:ascii="Arial" w:cs="Arial" w:eastAsia="Arial" w:hAnsi="Arial"/>
          <w:sz w:val="18"/>
          <w:szCs w:val="18"/>
          <w:u w:val="single" w:color="auto"/>
          <w:color w:val="0000EE"/>
        </w:rPr>
        <w:t xml:space="preserve"> </w:t>
      </w:r>
      <w:hyperlink w:anchor="page184">
        <w:r>
          <w:rPr>
            <w:rFonts w:ascii="Arial" w:cs="Arial" w:eastAsia="Arial" w:hAnsi="Arial"/>
            <w:sz w:val="18"/>
            <w:szCs w:val="18"/>
            <w:u w:val="single" w:color="auto"/>
            <w:color w:val="0000EE"/>
          </w:rPr>
          <w:t>International Ltd., Weatherford International plc, Weatherford International LLC, Deutsche Bank Trust Company Americas and the lenders party</w:t>
        </w:r>
      </w:hyperlink>
      <w:r>
        <w:rPr>
          <w:rFonts w:ascii="Arial" w:cs="Arial" w:eastAsia="Arial" w:hAnsi="Arial"/>
          <w:sz w:val="18"/>
          <w:szCs w:val="18"/>
          <w:u w:val="single" w:color="auto"/>
          <w:color w:val="0000EE"/>
        </w:rPr>
        <w:t xml:space="preserve"> </w:t>
      </w:r>
      <w:hyperlink w:anchor="page184">
        <w:r>
          <w:rPr>
            <w:rFonts w:ascii="Arial" w:cs="Arial" w:eastAsia="Arial" w:hAnsi="Arial"/>
            <w:sz w:val="18"/>
            <w:szCs w:val="18"/>
            <w:u w:val="single" w:color="auto"/>
            <w:color w:val="0000EE"/>
          </w:rPr>
          <w:t>thereto from time to time (included in Exhibit 10.1).</w:t>
        </w:r>
      </w:hyperlink>
    </w:p>
    <w:p>
      <w:pPr>
        <w:spacing w:after="0" w:line="1" w:lineRule="exact"/>
        <w:rPr>
          <w:rFonts w:ascii="Arial" w:cs="Arial" w:eastAsia="Arial" w:hAnsi="Arial"/>
          <w:sz w:val="18"/>
          <w:szCs w:val="18"/>
          <w:u w:val="single" w:color="auto"/>
          <w:color w:val="0000EE"/>
        </w:rPr>
      </w:pPr>
    </w:p>
    <w:p>
      <w:pPr>
        <w:ind w:left="720" w:right="480" w:hanging="534"/>
        <w:spacing w:after="0" w:line="281"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821">
        <w:r>
          <w:rPr>
            <w:rFonts w:ascii="Arial" w:cs="Arial" w:eastAsia="Arial" w:hAnsi="Arial"/>
            <w:sz w:val="16"/>
            <w:szCs w:val="16"/>
            <w:u w:val="single" w:color="auto"/>
            <w:color w:val="0000EE"/>
          </w:rPr>
          <w:t>Intercreditor Agreement, dated August 28, 2020, by and among Deutsche Bank Trust Company Americas, Wilmington Trust, National</w:t>
        </w:r>
      </w:hyperlink>
      <w:r>
        <w:rPr>
          <w:rFonts w:ascii="Arial" w:cs="Arial" w:eastAsia="Arial" w:hAnsi="Arial"/>
          <w:sz w:val="16"/>
          <w:szCs w:val="16"/>
          <w:u w:val="single" w:color="auto"/>
          <w:color w:val="0000EE"/>
        </w:rPr>
        <w:t xml:space="preserve"> </w:t>
      </w:r>
      <w:hyperlink w:anchor="page821">
        <w:r>
          <w:rPr>
            <w:rFonts w:ascii="Arial" w:cs="Arial" w:eastAsia="Arial" w:hAnsi="Arial"/>
            <w:sz w:val="16"/>
            <w:szCs w:val="16"/>
            <w:u w:val="single" w:color="auto"/>
            <w:color w:val="0000EE"/>
          </w:rPr>
          <w:t>Association, BTA Institutional Services Australia Limited, Weatherford International plc and the grantors party there to from time to time.</w:t>
        </w:r>
      </w:hyperlink>
    </w:p>
    <w:p>
      <w:pPr>
        <w:spacing w:after="0" w:line="1"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909">
        <w:r>
          <w:rPr>
            <w:rFonts w:ascii="Arial" w:cs="Arial" w:eastAsia="Arial" w:hAnsi="Arial"/>
            <w:sz w:val="16"/>
            <w:szCs w:val="16"/>
            <w:u w:val="single" w:color="auto"/>
            <w:color w:val="0000EE"/>
          </w:rPr>
          <w:t>Press Release issued by Weatherford International plc on August 28, 2020 relating to completing financing transactions</w:t>
        </w:r>
        <w:r>
          <w:rPr>
            <w:rFonts w:ascii="Arial" w:cs="Arial" w:eastAsia="Arial" w:hAnsi="Arial"/>
            <w:sz w:val="16"/>
            <w:szCs w:val="16"/>
            <w:color w:val="0000EE"/>
          </w:rPr>
          <w:t>.</w:t>
        </w:r>
      </w:hyperlink>
    </w:p>
    <w:p>
      <w:pPr>
        <w:spacing w:after="0" w:line="9" w:lineRule="exact"/>
        <w:rPr>
          <w:sz w:val="20"/>
          <w:szCs w:val="20"/>
          <w:color w:val="auto"/>
        </w:rPr>
      </w:pPr>
    </w:p>
    <w:p>
      <w:pPr>
        <w:ind w:left="5600" w:right="2400" w:hanging="5403"/>
        <w:spacing w:after="0" w:line="761" w:lineRule="auto"/>
        <w:tabs>
          <w:tab w:leader="none" w:pos="7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C. Weatherholt</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1"/>
              </w:rPr>
              <w:t>Executive Vice President, General Counsel and Chief</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4.1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508000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WEATHERFORD INTERNATIONAL LTD.,</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 Bermuda exempted company,</w:t>
      </w:r>
    </w:p>
    <w:p>
      <w:pPr>
        <w:spacing w:after="0" w:line="39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as Issuer,</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WEATHERFORD INTERNATIONAL PLC,</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 Irish public limited company,</w:t>
      </w:r>
    </w:p>
    <w:p>
      <w:pPr>
        <w:spacing w:after="0" w:line="398"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as Parent Guarantor,</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WEATHERFORD INTERNATIONAL, LLC,</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 Delaware limited liability company,</w:t>
      </w:r>
    </w:p>
    <w:p>
      <w:pPr>
        <w:spacing w:after="0" w:line="398"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as Subsidiary Guarantor,</w:t>
      </w:r>
    </w:p>
    <w:p>
      <w:pPr>
        <w:spacing w:after="0" w:line="200" w:lineRule="exact"/>
        <w:rPr>
          <w:sz w:val="20"/>
          <w:szCs w:val="20"/>
          <w:color w:val="auto"/>
        </w:rPr>
      </w:pPr>
    </w:p>
    <w:p>
      <w:pPr>
        <w:spacing w:after="0" w:line="222"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THE OTHER GUARANTORS PARTY HERETO,</w:t>
      </w: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as Subsidiary Guarantors,</w:t>
      </w:r>
    </w:p>
    <w:p>
      <w:pPr>
        <w:spacing w:after="0" w:line="200" w:lineRule="exact"/>
        <w:rPr>
          <w:sz w:val="20"/>
          <w:szCs w:val="20"/>
          <w:color w:val="auto"/>
        </w:rPr>
      </w:pPr>
    </w:p>
    <w:p>
      <w:pPr>
        <w:spacing w:after="0" w:line="222"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WILMINGTON TRUST, NATIONAL ASSOCIATION,</w:t>
      </w:r>
    </w:p>
    <w:p>
      <w:pPr>
        <w:spacing w:after="0" w:line="200" w:lineRule="exact"/>
        <w:rPr>
          <w:sz w:val="20"/>
          <w:szCs w:val="20"/>
          <w:color w:val="auto"/>
        </w:rPr>
      </w:pPr>
    </w:p>
    <w:p>
      <w:pPr>
        <w:spacing w:after="0" w:line="222"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as Trustee and Collateral Agent</w:t>
      </w:r>
    </w:p>
    <w:p>
      <w:pPr>
        <w:spacing w:after="0" w:line="200" w:lineRule="exact"/>
        <w:rPr>
          <w:sz w:val="20"/>
          <w:szCs w:val="20"/>
          <w:color w:val="auto"/>
        </w:rPr>
      </w:pPr>
    </w:p>
    <w:p>
      <w:pPr>
        <w:spacing w:after="0" w:line="22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INDENTURE</w:t>
      </w:r>
    </w:p>
    <w:p>
      <w:pPr>
        <w:spacing w:after="0" w:line="200" w:lineRule="exact"/>
        <w:rPr>
          <w:sz w:val="20"/>
          <w:szCs w:val="20"/>
          <w:color w:val="auto"/>
        </w:rPr>
      </w:pPr>
    </w:p>
    <w:p>
      <w:pPr>
        <w:spacing w:after="0" w:line="22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dated as of August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285115</wp:posOffset>
            </wp:positionV>
            <wp:extent cx="1062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8.75% Senior Secured First Lien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p>
      <w:pPr>
        <w:ind w:left="44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ONE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OTHER PROVISIONS</w:t>
      </w:r>
    </w:p>
    <w:p>
      <w:pPr>
        <w:jc w:val="center"/>
        <w:spacing w:after="0"/>
        <w:rPr>
          <w:sz w:val="20"/>
          <w:szCs w:val="20"/>
          <w:color w:val="auto"/>
        </w:rPr>
      </w:pPr>
      <w:r>
        <w:rPr>
          <w:rFonts w:ascii="Arial" w:cs="Arial" w:eastAsia="Arial" w:hAnsi="Arial"/>
          <w:sz w:val="22"/>
          <w:szCs w:val="22"/>
          <w:b w:val="1"/>
          <w:bCs w:val="1"/>
          <w:color w:val="auto"/>
        </w:rPr>
        <w:t>OF GENERAL APPLICATION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101.</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Definitions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102.</w:t>
            </w:r>
          </w:p>
        </w:tc>
        <w:tc>
          <w:tcPr>
            <w:tcW w:w="7720" w:type="dxa"/>
            <w:vAlign w:val="bottom"/>
          </w:tcPr>
          <w:p>
            <w:pPr>
              <w:ind w:left="320"/>
              <w:spacing w:after="0"/>
              <w:rPr>
                <w:sz w:val="20"/>
                <w:szCs w:val="20"/>
                <w:color w:val="auto"/>
              </w:rPr>
            </w:pPr>
            <w:r>
              <w:rPr>
                <w:rFonts w:ascii="Arial" w:cs="Arial" w:eastAsia="Arial" w:hAnsi="Arial"/>
                <w:sz w:val="18"/>
                <w:szCs w:val="18"/>
                <w:color w:val="auto"/>
              </w:rPr>
              <w:t>Compliance Certificates and Opinions</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103.</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Form of Documents Delivered to Trustee</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104.</w:t>
            </w:r>
          </w:p>
        </w:tc>
        <w:tc>
          <w:tcPr>
            <w:tcW w:w="7720" w:type="dxa"/>
            <w:vAlign w:val="bottom"/>
          </w:tcPr>
          <w:p>
            <w:pPr>
              <w:ind w:left="320"/>
              <w:spacing w:after="0"/>
              <w:rPr>
                <w:sz w:val="20"/>
                <w:szCs w:val="20"/>
                <w:color w:val="auto"/>
              </w:rPr>
            </w:pPr>
            <w:r>
              <w:rPr>
                <w:rFonts w:ascii="Arial" w:cs="Arial" w:eastAsia="Arial" w:hAnsi="Arial"/>
                <w:sz w:val="18"/>
                <w:szCs w:val="18"/>
                <w:color w:val="auto"/>
              </w:rPr>
              <w:t>Acts of Holders; Record Dates; Majority Holders</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105.</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Notices, Etc., to Trustee, Issuer and Guarantors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106.</w:t>
            </w:r>
          </w:p>
        </w:tc>
        <w:tc>
          <w:tcPr>
            <w:tcW w:w="7720" w:type="dxa"/>
            <w:vAlign w:val="bottom"/>
          </w:tcPr>
          <w:p>
            <w:pPr>
              <w:ind w:left="320"/>
              <w:spacing w:after="0"/>
              <w:rPr>
                <w:sz w:val="20"/>
                <w:szCs w:val="20"/>
                <w:color w:val="auto"/>
              </w:rPr>
            </w:pPr>
            <w:r>
              <w:rPr>
                <w:rFonts w:ascii="Arial" w:cs="Arial" w:eastAsia="Arial" w:hAnsi="Arial"/>
                <w:sz w:val="18"/>
                <w:szCs w:val="18"/>
                <w:color w:val="auto"/>
              </w:rPr>
              <w:t>Notice to Holders; Waiver</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107.</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Trust Indenture Act</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108.</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Headings and Table of Contents</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109.</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Successors and Assigns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110.</w:t>
            </w:r>
          </w:p>
        </w:tc>
        <w:tc>
          <w:tcPr>
            <w:tcW w:w="7720" w:type="dxa"/>
            <w:vAlign w:val="bottom"/>
          </w:tcPr>
          <w:p>
            <w:pPr>
              <w:ind w:left="320"/>
              <w:spacing w:after="0"/>
              <w:rPr>
                <w:sz w:val="20"/>
                <w:szCs w:val="20"/>
                <w:color w:val="auto"/>
              </w:rPr>
            </w:pPr>
            <w:r>
              <w:rPr>
                <w:rFonts w:ascii="Arial" w:cs="Arial" w:eastAsia="Arial" w:hAnsi="Arial"/>
                <w:sz w:val="18"/>
                <w:szCs w:val="18"/>
                <w:color w:val="auto"/>
              </w:rPr>
              <w:t>Separability Clause</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111.</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Benefits of Indenture</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112.</w:t>
            </w:r>
          </w:p>
        </w:tc>
        <w:tc>
          <w:tcPr>
            <w:tcW w:w="7720" w:type="dxa"/>
            <w:vAlign w:val="bottom"/>
          </w:tcPr>
          <w:p>
            <w:pPr>
              <w:ind w:left="320"/>
              <w:spacing w:after="0"/>
              <w:rPr>
                <w:sz w:val="20"/>
                <w:szCs w:val="20"/>
                <w:color w:val="auto"/>
              </w:rPr>
            </w:pPr>
            <w:r>
              <w:rPr>
                <w:rFonts w:ascii="Arial" w:cs="Arial" w:eastAsia="Arial" w:hAnsi="Arial"/>
                <w:sz w:val="18"/>
                <w:szCs w:val="18"/>
                <w:color w:val="auto"/>
              </w:rPr>
              <w:t>Governing Law; Jury Trial Waiver; Submission to Jurisdiction</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113.</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Legal Holidays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114.</w:t>
            </w:r>
          </w:p>
        </w:tc>
        <w:tc>
          <w:tcPr>
            <w:tcW w:w="7720" w:type="dxa"/>
            <w:vAlign w:val="bottom"/>
          </w:tcPr>
          <w:p>
            <w:pPr>
              <w:ind w:left="320"/>
              <w:spacing w:after="0"/>
              <w:rPr>
                <w:sz w:val="20"/>
                <w:szCs w:val="20"/>
                <w:color w:val="auto"/>
              </w:rPr>
            </w:pPr>
            <w:r>
              <w:rPr>
                <w:rFonts w:ascii="Arial" w:cs="Arial" w:eastAsia="Arial" w:hAnsi="Arial"/>
                <w:sz w:val="18"/>
                <w:szCs w:val="18"/>
                <w:color w:val="auto"/>
              </w:rPr>
              <w:t>No Personal Liability of Directors, Officers, Employees and Shareholders</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115.</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No Adverse Interpretation of Other Agreements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116.</w:t>
            </w:r>
          </w:p>
        </w:tc>
        <w:tc>
          <w:tcPr>
            <w:tcW w:w="7720" w:type="dxa"/>
            <w:vAlign w:val="bottom"/>
          </w:tcPr>
          <w:p>
            <w:pPr>
              <w:ind w:left="320"/>
              <w:spacing w:after="0"/>
              <w:rPr>
                <w:sz w:val="20"/>
                <w:szCs w:val="20"/>
                <w:color w:val="auto"/>
              </w:rPr>
            </w:pPr>
            <w:r>
              <w:rPr>
                <w:rFonts w:ascii="Arial" w:cs="Arial" w:eastAsia="Arial" w:hAnsi="Arial"/>
                <w:sz w:val="18"/>
                <w:szCs w:val="18"/>
                <w:color w:val="auto"/>
              </w:rPr>
              <w:t>U.S.A. PATRIOT Act</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117.</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Payment in Required Currency; Judgment Currency</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118.</w:t>
            </w:r>
          </w:p>
        </w:tc>
        <w:tc>
          <w:tcPr>
            <w:tcW w:w="7720" w:type="dxa"/>
            <w:vAlign w:val="bottom"/>
          </w:tcPr>
          <w:p>
            <w:pPr>
              <w:ind w:left="320"/>
              <w:spacing w:after="0"/>
              <w:rPr>
                <w:sz w:val="20"/>
                <w:szCs w:val="20"/>
                <w:color w:val="auto"/>
              </w:rPr>
            </w:pPr>
            <w:r>
              <w:rPr>
                <w:rFonts w:ascii="Arial" w:cs="Arial" w:eastAsia="Arial" w:hAnsi="Arial"/>
                <w:sz w:val="18"/>
                <w:szCs w:val="18"/>
                <w:color w:val="auto"/>
              </w:rPr>
              <w:t>Language of Notices, Etc</w:t>
            </w:r>
          </w:p>
        </w:tc>
        <w:tc>
          <w:tcPr>
            <w:tcW w:w="2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119.</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Counterpart Originals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240" w:type="dxa"/>
            <w:vAlign w:val="bottom"/>
          </w:tcPr>
          <w:p>
            <w:pPr>
              <w:spacing w:after="0"/>
              <w:rPr>
                <w:sz w:val="24"/>
                <w:szCs w:val="24"/>
                <w:color w:val="auto"/>
              </w:rPr>
            </w:pPr>
          </w:p>
        </w:tc>
        <w:tc>
          <w:tcPr>
            <w:tcW w:w="7720" w:type="dxa"/>
            <w:vAlign w:val="bottom"/>
          </w:tcPr>
          <w:p>
            <w:pPr>
              <w:jc w:val="center"/>
              <w:ind w:left="1970"/>
              <w:spacing w:after="0"/>
              <w:rPr>
                <w:sz w:val="20"/>
                <w:szCs w:val="20"/>
                <w:color w:val="auto"/>
              </w:rPr>
            </w:pPr>
            <w:r>
              <w:rPr>
                <w:rFonts w:ascii="Arial" w:cs="Arial" w:eastAsia="Arial" w:hAnsi="Arial"/>
                <w:sz w:val="18"/>
                <w:szCs w:val="18"/>
                <w:b w:val="1"/>
                <w:bCs w:val="1"/>
                <w:color w:val="auto"/>
              </w:rPr>
              <w:t>ARTICLE TWO</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20" w:type="dxa"/>
            <w:vAlign w:val="bottom"/>
          </w:tcPr>
          <w:p>
            <w:pPr>
              <w:jc w:val="center"/>
              <w:ind w:left="1970"/>
              <w:spacing w:after="0"/>
              <w:rPr>
                <w:sz w:val="20"/>
                <w:szCs w:val="20"/>
                <w:color w:val="auto"/>
              </w:rPr>
            </w:pPr>
            <w:r>
              <w:rPr>
                <w:rFonts w:ascii="Arial" w:cs="Arial" w:eastAsia="Arial" w:hAnsi="Arial"/>
                <w:sz w:val="18"/>
                <w:szCs w:val="18"/>
                <w:b w:val="1"/>
                <w:bCs w:val="1"/>
                <w:color w:val="auto"/>
              </w:rPr>
              <w:t>NOTE FORMS</w:t>
            </w: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201.</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Forms Generally</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7720" w:type="dxa"/>
            <w:vAlign w:val="bottom"/>
          </w:tcPr>
          <w:p>
            <w:pPr>
              <w:ind w:left="320"/>
              <w:spacing w:after="0"/>
              <w:rPr>
                <w:sz w:val="20"/>
                <w:szCs w:val="20"/>
                <w:color w:val="auto"/>
              </w:rPr>
            </w:pPr>
            <w:r>
              <w:rPr>
                <w:rFonts w:ascii="Arial" w:cs="Arial" w:eastAsia="Arial" w:hAnsi="Arial"/>
                <w:sz w:val="18"/>
                <w:szCs w:val="18"/>
                <w:color w:val="auto"/>
              </w:rPr>
              <w:t>Legends for Notes</w:t>
            </w: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203.</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Global Notes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240" w:type="dxa"/>
            <w:vAlign w:val="bottom"/>
          </w:tcPr>
          <w:p>
            <w:pPr>
              <w:spacing w:after="0"/>
              <w:rPr>
                <w:sz w:val="24"/>
                <w:szCs w:val="24"/>
                <w:color w:val="auto"/>
              </w:rPr>
            </w:pPr>
          </w:p>
        </w:tc>
        <w:tc>
          <w:tcPr>
            <w:tcW w:w="7720" w:type="dxa"/>
            <w:vAlign w:val="bottom"/>
          </w:tcPr>
          <w:p>
            <w:pPr>
              <w:jc w:val="center"/>
              <w:ind w:left="1970"/>
              <w:spacing w:after="0"/>
              <w:rPr>
                <w:sz w:val="20"/>
                <w:szCs w:val="20"/>
                <w:color w:val="auto"/>
              </w:rPr>
            </w:pPr>
            <w:r>
              <w:rPr>
                <w:rFonts w:ascii="Arial" w:cs="Arial" w:eastAsia="Arial" w:hAnsi="Arial"/>
                <w:sz w:val="18"/>
                <w:szCs w:val="18"/>
                <w:b w:val="1"/>
                <w:bCs w:val="1"/>
                <w:color w:val="auto"/>
              </w:rPr>
              <w:t>ARTICLE THREE</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20" w:type="dxa"/>
            <w:vAlign w:val="bottom"/>
          </w:tcPr>
          <w:p>
            <w:pPr>
              <w:jc w:val="center"/>
              <w:ind w:left="1970"/>
              <w:spacing w:after="0"/>
              <w:rPr>
                <w:sz w:val="20"/>
                <w:szCs w:val="20"/>
                <w:color w:val="auto"/>
              </w:rPr>
            </w:pPr>
            <w:r>
              <w:rPr>
                <w:rFonts w:ascii="Arial" w:cs="Arial" w:eastAsia="Arial" w:hAnsi="Arial"/>
                <w:sz w:val="18"/>
                <w:szCs w:val="18"/>
                <w:b w:val="1"/>
                <w:bCs w:val="1"/>
                <w:color w:val="auto"/>
                <w:w w:val="98"/>
              </w:rPr>
              <w:t>THE NOTES</w:t>
            </w: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301.</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Title and Terms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7720" w:type="dxa"/>
            <w:vAlign w:val="bottom"/>
          </w:tcPr>
          <w:p>
            <w:pPr>
              <w:ind w:left="320"/>
              <w:spacing w:after="0"/>
              <w:rPr>
                <w:sz w:val="20"/>
                <w:szCs w:val="20"/>
                <w:color w:val="auto"/>
              </w:rPr>
            </w:pPr>
            <w:r>
              <w:rPr>
                <w:rFonts w:ascii="Arial" w:cs="Arial" w:eastAsia="Arial" w:hAnsi="Arial"/>
                <w:sz w:val="18"/>
                <w:szCs w:val="18"/>
                <w:color w:val="auto"/>
              </w:rPr>
              <w:t>Denominations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303.</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Execution, Authentication, Delivery and Dating</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304.</w:t>
            </w:r>
          </w:p>
        </w:tc>
        <w:tc>
          <w:tcPr>
            <w:tcW w:w="7720" w:type="dxa"/>
            <w:vAlign w:val="bottom"/>
          </w:tcPr>
          <w:p>
            <w:pPr>
              <w:ind w:left="320"/>
              <w:spacing w:after="0"/>
              <w:rPr>
                <w:sz w:val="20"/>
                <w:szCs w:val="20"/>
                <w:color w:val="auto"/>
              </w:rPr>
            </w:pPr>
            <w:r>
              <w:rPr>
                <w:rFonts w:ascii="Arial" w:cs="Arial" w:eastAsia="Arial" w:hAnsi="Arial"/>
                <w:sz w:val="18"/>
                <w:szCs w:val="18"/>
                <w:color w:val="auto"/>
              </w:rPr>
              <w:t>Temporary Notes</w:t>
            </w:r>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305.</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Registrar, Global Notes and Definitive Notes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306.</w:t>
            </w:r>
          </w:p>
        </w:tc>
        <w:tc>
          <w:tcPr>
            <w:tcW w:w="7720" w:type="dxa"/>
            <w:vAlign w:val="bottom"/>
          </w:tcPr>
          <w:p>
            <w:pPr>
              <w:ind w:left="320"/>
              <w:spacing w:after="0"/>
              <w:rPr>
                <w:sz w:val="20"/>
                <w:szCs w:val="20"/>
                <w:color w:val="auto"/>
              </w:rPr>
            </w:pPr>
            <w:r>
              <w:rPr>
                <w:rFonts w:ascii="Arial" w:cs="Arial" w:eastAsia="Arial" w:hAnsi="Arial"/>
                <w:sz w:val="18"/>
                <w:szCs w:val="18"/>
                <w:color w:val="auto"/>
              </w:rPr>
              <w:t>Mutilated, Destroyed, Lost and Stolen Notes</w:t>
            </w:r>
          </w:p>
        </w:tc>
        <w:tc>
          <w:tcPr>
            <w:tcW w:w="2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307.</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Payment of Interest; Interest Rights Preserved</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308.</w:t>
            </w:r>
          </w:p>
        </w:tc>
        <w:tc>
          <w:tcPr>
            <w:tcW w:w="7720" w:type="dxa"/>
            <w:vAlign w:val="bottom"/>
          </w:tcPr>
          <w:p>
            <w:pPr>
              <w:ind w:left="320"/>
              <w:spacing w:after="0"/>
              <w:rPr>
                <w:sz w:val="20"/>
                <w:szCs w:val="20"/>
                <w:color w:val="auto"/>
              </w:rPr>
            </w:pPr>
            <w:r>
              <w:rPr>
                <w:rFonts w:ascii="Arial" w:cs="Arial" w:eastAsia="Arial" w:hAnsi="Arial"/>
                <w:sz w:val="18"/>
                <w:szCs w:val="18"/>
                <w:color w:val="auto"/>
              </w:rPr>
              <w:t>Persons Deemed Owners</w:t>
            </w:r>
          </w:p>
        </w:tc>
        <w:tc>
          <w:tcPr>
            <w:tcW w:w="22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309.</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Cancellation</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310.</w:t>
            </w:r>
          </w:p>
        </w:tc>
        <w:tc>
          <w:tcPr>
            <w:tcW w:w="7720" w:type="dxa"/>
            <w:vAlign w:val="bottom"/>
          </w:tcPr>
          <w:p>
            <w:pPr>
              <w:ind w:left="320"/>
              <w:spacing w:after="0"/>
              <w:rPr>
                <w:sz w:val="20"/>
                <w:szCs w:val="20"/>
                <w:color w:val="auto"/>
              </w:rPr>
            </w:pPr>
            <w:r>
              <w:rPr>
                <w:rFonts w:ascii="Arial" w:cs="Arial" w:eastAsia="Arial" w:hAnsi="Arial"/>
                <w:sz w:val="18"/>
                <w:szCs w:val="18"/>
                <w:color w:val="auto"/>
              </w:rPr>
              <w:t>Computation of Interest</w:t>
            </w:r>
          </w:p>
        </w:tc>
        <w:tc>
          <w:tcPr>
            <w:tcW w:w="22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311.</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Transfer and Exchange</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312.</w:t>
            </w:r>
          </w:p>
        </w:tc>
        <w:tc>
          <w:tcPr>
            <w:tcW w:w="7720" w:type="dxa"/>
            <w:vAlign w:val="bottom"/>
          </w:tcPr>
          <w:p>
            <w:pPr>
              <w:ind w:left="320"/>
              <w:spacing w:after="0"/>
              <w:rPr>
                <w:sz w:val="20"/>
                <w:szCs w:val="20"/>
                <w:color w:val="auto"/>
              </w:rPr>
            </w:pPr>
            <w:r>
              <w:rPr>
                <w:rFonts w:ascii="Arial" w:cs="Arial" w:eastAsia="Arial" w:hAnsi="Arial"/>
                <w:sz w:val="18"/>
                <w:szCs w:val="18"/>
                <w:color w:val="auto"/>
              </w:rPr>
              <w:t>When Securities Disregarded</w:t>
            </w:r>
          </w:p>
        </w:tc>
        <w:tc>
          <w:tcPr>
            <w:tcW w:w="2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313.</w:t>
            </w:r>
          </w:p>
        </w:tc>
        <w:tc>
          <w:tcPr>
            <w:tcW w:w="772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Calculation of Specified Percentage of Notes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2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314.</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Issuance of Additional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240" w:type="dxa"/>
            <w:vAlign w:val="bottom"/>
          </w:tcPr>
          <w:p>
            <w:pPr>
              <w:spacing w:after="0"/>
              <w:rPr>
                <w:sz w:val="24"/>
                <w:szCs w:val="24"/>
                <w:color w:val="auto"/>
              </w:rPr>
            </w:pPr>
          </w:p>
        </w:tc>
        <w:tc>
          <w:tcPr>
            <w:tcW w:w="8080" w:type="dxa"/>
            <w:vAlign w:val="bottom"/>
          </w:tcPr>
          <w:p>
            <w:pPr>
              <w:jc w:val="center"/>
              <w:ind w:left="1610"/>
              <w:spacing w:after="0"/>
              <w:rPr>
                <w:sz w:val="20"/>
                <w:szCs w:val="20"/>
                <w:color w:val="auto"/>
              </w:rPr>
            </w:pPr>
            <w:r>
              <w:rPr>
                <w:rFonts w:ascii="Arial" w:cs="Arial" w:eastAsia="Arial" w:hAnsi="Arial"/>
                <w:sz w:val="18"/>
                <w:szCs w:val="18"/>
                <w:b w:val="1"/>
                <w:bCs w:val="1"/>
                <w:color w:val="auto"/>
              </w:rPr>
              <w:t>ARTICLE FOUR</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80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SATISFACTION AND DISCHARGE</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80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401.</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Satisfaction and Discharge of Indenture</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402.</w:t>
            </w:r>
          </w:p>
        </w:tc>
        <w:tc>
          <w:tcPr>
            <w:tcW w:w="8080" w:type="dxa"/>
            <w:vAlign w:val="bottom"/>
          </w:tcPr>
          <w:p>
            <w:pPr>
              <w:ind w:left="320"/>
              <w:spacing w:after="0"/>
              <w:rPr>
                <w:sz w:val="20"/>
                <w:szCs w:val="20"/>
                <w:color w:val="auto"/>
              </w:rPr>
            </w:pPr>
            <w:r>
              <w:rPr>
                <w:rFonts w:ascii="Arial" w:cs="Arial" w:eastAsia="Arial" w:hAnsi="Arial"/>
                <w:sz w:val="18"/>
                <w:szCs w:val="18"/>
                <w:color w:val="auto"/>
              </w:rPr>
              <w:t>Application of Trust Money</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240" w:type="dxa"/>
            <w:vAlign w:val="bottom"/>
          </w:tcPr>
          <w:p>
            <w:pPr>
              <w:spacing w:after="0"/>
              <w:rPr>
                <w:sz w:val="24"/>
                <w:szCs w:val="24"/>
                <w:color w:val="auto"/>
              </w:rPr>
            </w:pPr>
          </w:p>
        </w:tc>
        <w:tc>
          <w:tcPr>
            <w:tcW w:w="8080" w:type="dxa"/>
            <w:vAlign w:val="bottom"/>
          </w:tcPr>
          <w:p>
            <w:pPr>
              <w:jc w:val="center"/>
              <w:ind w:left="1610"/>
              <w:spacing w:after="0"/>
              <w:rPr>
                <w:sz w:val="20"/>
                <w:szCs w:val="20"/>
                <w:color w:val="auto"/>
              </w:rPr>
            </w:pPr>
            <w:r>
              <w:rPr>
                <w:rFonts w:ascii="Arial" w:cs="Arial" w:eastAsia="Arial" w:hAnsi="Arial"/>
                <w:sz w:val="18"/>
                <w:szCs w:val="18"/>
                <w:b w:val="1"/>
                <w:bCs w:val="1"/>
                <w:color w:val="auto"/>
              </w:rPr>
              <w:t>ARTICLE FIVE</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8080" w:type="dxa"/>
            <w:vAlign w:val="bottom"/>
          </w:tcPr>
          <w:p>
            <w:pPr>
              <w:jc w:val="center"/>
              <w:ind w:left="1630"/>
              <w:spacing w:after="0"/>
              <w:rPr>
                <w:sz w:val="20"/>
                <w:szCs w:val="20"/>
                <w:color w:val="auto"/>
              </w:rPr>
            </w:pPr>
            <w:r>
              <w:rPr>
                <w:rFonts w:ascii="Arial" w:cs="Arial" w:eastAsia="Arial" w:hAnsi="Arial"/>
                <w:sz w:val="18"/>
                <w:szCs w:val="18"/>
                <w:b w:val="1"/>
                <w:bCs w:val="1"/>
                <w:color w:val="auto"/>
              </w:rPr>
              <w:t>REMEDIES</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501.</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Events of Default</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8080" w:type="dxa"/>
            <w:vAlign w:val="bottom"/>
          </w:tcPr>
          <w:p>
            <w:pPr>
              <w:ind w:left="320"/>
              <w:spacing w:after="0"/>
              <w:rPr>
                <w:sz w:val="20"/>
                <w:szCs w:val="20"/>
                <w:color w:val="auto"/>
              </w:rPr>
            </w:pPr>
            <w:r>
              <w:rPr>
                <w:rFonts w:ascii="Arial" w:cs="Arial" w:eastAsia="Arial" w:hAnsi="Arial"/>
                <w:sz w:val="18"/>
                <w:szCs w:val="18"/>
                <w:color w:val="auto"/>
              </w:rPr>
              <w:t>Acceleration of Maturity; Rescission and Annulment</w:t>
            </w:r>
          </w:p>
        </w:tc>
        <w:tc>
          <w:tcPr>
            <w:tcW w:w="19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503.</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Collection of Indebtedness and Suits for Enforcement by Trustee</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504.</w:t>
            </w:r>
          </w:p>
        </w:tc>
        <w:tc>
          <w:tcPr>
            <w:tcW w:w="8080" w:type="dxa"/>
            <w:vAlign w:val="bottom"/>
          </w:tcPr>
          <w:p>
            <w:pPr>
              <w:ind w:left="320"/>
              <w:spacing w:after="0"/>
              <w:rPr>
                <w:sz w:val="20"/>
                <w:szCs w:val="20"/>
                <w:color w:val="auto"/>
              </w:rPr>
            </w:pPr>
            <w:r>
              <w:rPr>
                <w:rFonts w:ascii="Arial" w:cs="Arial" w:eastAsia="Arial" w:hAnsi="Arial"/>
                <w:sz w:val="18"/>
                <w:szCs w:val="18"/>
                <w:color w:val="auto"/>
              </w:rPr>
              <w:t>Trustee May File Proofs of Claim</w:t>
            </w:r>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505.</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Trustee May Enforce Claims Without Possession of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506.</w:t>
            </w:r>
          </w:p>
        </w:tc>
        <w:tc>
          <w:tcPr>
            <w:tcW w:w="8080" w:type="dxa"/>
            <w:vAlign w:val="bottom"/>
          </w:tcPr>
          <w:p>
            <w:pPr>
              <w:ind w:left="320"/>
              <w:spacing w:after="0"/>
              <w:rPr>
                <w:sz w:val="20"/>
                <w:szCs w:val="20"/>
                <w:color w:val="auto"/>
              </w:rPr>
            </w:pPr>
            <w:r>
              <w:rPr>
                <w:rFonts w:ascii="Arial" w:cs="Arial" w:eastAsia="Arial" w:hAnsi="Arial"/>
                <w:sz w:val="18"/>
                <w:szCs w:val="18"/>
                <w:color w:val="auto"/>
              </w:rPr>
              <w:t>Application of Money Collected</w:t>
            </w:r>
          </w:p>
        </w:tc>
        <w:tc>
          <w:tcPr>
            <w:tcW w:w="19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507.</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Limitation on Suits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508.</w:t>
            </w:r>
          </w:p>
        </w:tc>
        <w:tc>
          <w:tcPr>
            <w:tcW w:w="8080" w:type="dxa"/>
            <w:vAlign w:val="bottom"/>
          </w:tcPr>
          <w:p>
            <w:pPr>
              <w:ind w:left="32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509.</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Restoration of Rights and Remedies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510.</w:t>
            </w:r>
          </w:p>
        </w:tc>
        <w:tc>
          <w:tcPr>
            <w:tcW w:w="8080" w:type="dxa"/>
            <w:vAlign w:val="bottom"/>
          </w:tcPr>
          <w:p>
            <w:pPr>
              <w:ind w:left="320"/>
              <w:spacing w:after="0"/>
              <w:rPr>
                <w:sz w:val="20"/>
                <w:szCs w:val="20"/>
                <w:color w:val="auto"/>
              </w:rPr>
            </w:pPr>
            <w:r>
              <w:rPr>
                <w:rFonts w:ascii="Arial" w:cs="Arial" w:eastAsia="Arial" w:hAnsi="Arial"/>
                <w:sz w:val="18"/>
                <w:szCs w:val="18"/>
                <w:color w:val="auto"/>
              </w:rPr>
              <w:t>Rights and Remedies Cumulative</w:t>
            </w:r>
          </w:p>
        </w:tc>
        <w:tc>
          <w:tcPr>
            <w:tcW w:w="19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511.</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Delay or Omission Not Waiver</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512.</w:t>
            </w:r>
          </w:p>
        </w:tc>
        <w:tc>
          <w:tcPr>
            <w:tcW w:w="8080" w:type="dxa"/>
            <w:vAlign w:val="bottom"/>
          </w:tcPr>
          <w:p>
            <w:pPr>
              <w:ind w:left="320"/>
              <w:spacing w:after="0"/>
              <w:rPr>
                <w:sz w:val="20"/>
                <w:szCs w:val="20"/>
                <w:color w:val="auto"/>
              </w:rPr>
            </w:pPr>
            <w:r>
              <w:rPr>
                <w:rFonts w:ascii="Arial" w:cs="Arial" w:eastAsia="Arial" w:hAnsi="Arial"/>
                <w:sz w:val="18"/>
                <w:szCs w:val="18"/>
                <w:color w:val="auto"/>
              </w:rPr>
              <w:t>Control by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513.</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Waiver of Existing Defaults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514.</w:t>
            </w:r>
          </w:p>
        </w:tc>
        <w:tc>
          <w:tcPr>
            <w:tcW w:w="8080" w:type="dxa"/>
            <w:vAlign w:val="bottom"/>
          </w:tcPr>
          <w:p>
            <w:pPr>
              <w:ind w:left="320"/>
              <w:spacing w:after="0"/>
              <w:rPr>
                <w:sz w:val="20"/>
                <w:szCs w:val="20"/>
                <w:color w:val="auto"/>
              </w:rPr>
            </w:pPr>
            <w:r>
              <w:rPr>
                <w:rFonts w:ascii="Arial" w:cs="Arial" w:eastAsia="Arial" w:hAnsi="Arial"/>
                <w:sz w:val="18"/>
                <w:szCs w:val="18"/>
                <w:color w:val="auto"/>
              </w:rPr>
              <w:t>Undertaking for Costs</w:t>
            </w:r>
          </w:p>
        </w:tc>
        <w:tc>
          <w:tcPr>
            <w:tcW w:w="19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515.</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Waiver of Usury, Stay or Extension Laws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516.</w:t>
            </w:r>
          </w:p>
        </w:tc>
        <w:tc>
          <w:tcPr>
            <w:tcW w:w="8080" w:type="dxa"/>
            <w:vAlign w:val="bottom"/>
          </w:tcPr>
          <w:p>
            <w:pPr>
              <w:ind w:left="320"/>
              <w:spacing w:after="0"/>
              <w:rPr>
                <w:sz w:val="20"/>
                <w:szCs w:val="20"/>
                <w:color w:val="auto"/>
              </w:rPr>
            </w:pPr>
            <w:r>
              <w:rPr>
                <w:rFonts w:ascii="Arial" w:cs="Arial" w:eastAsia="Arial" w:hAnsi="Arial"/>
                <w:sz w:val="18"/>
                <w:szCs w:val="18"/>
                <w:color w:val="auto"/>
              </w:rPr>
              <w:t>Subject to First Lien Intercreditor Agreement</w:t>
            </w: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240" w:type="dxa"/>
            <w:vAlign w:val="bottom"/>
          </w:tcPr>
          <w:p>
            <w:pPr>
              <w:spacing w:after="0"/>
              <w:rPr>
                <w:sz w:val="24"/>
                <w:szCs w:val="24"/>
                <w:color w:val="auto"/>
              </w:rPr>
            </w:pPr>
          </w:p>
        </w:tc>
        <w:tc>
          <w:tcPr>
            <w:tcW w:w="8080" w:type="dxa"/>
            <w:vAlign w:val="bottom"/>
          </w:tcPr>
          <w:p>
            <w:pPr>
              <w:jc w:val="center"/>
              <w:ind w:left="1610"/>
              <w:spacing w:after="0"/>
              <w:rPr>
                <w:sz w:val="20"/>
                <w:szCs w:val="20"/>
                <w:color w:val="auto"/>
              </w:rPr>
            </w:pPr>
            <w:r>
              <w:rPr>
                <w:rFonts w:ascii="Arial" w:cs="Arial" w:eastAsia="Arial" w:hAnsi="Arial"/>
                <w:sz w:val="18"/>
                <w:szCs w:val="18"/>
                <w:b w:val="1"/>
                <w:bCs w:val="1"/>
                <w:color w:val="auto"/>
              </w:rPr>
              <w:t>ARTICLE SIX</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8080" w:type="dxa"/>
            <w:vAlign w:val="bottom"/>
          </w:tcPr>
          <w:p>
            <w:pPr>
              <w:jc w:val="center"/>
              <w:ind w:left="1610"/>
              <w:spacing w:after="0"/>
              <w:rPr>
                <w:sz w:val="20"/>
                <w:szCs w:val="20"/>
                <w:color w:val="auto"/>
              </w:rPr>
            </w:pPr>
            <w:r>
              <w:rPr>
                <w:rFonts w:ascii="Arial" w:cs="Arial" w:eastAsia="Arial" w:hAnsi="Arial"/>
                <w:sz w:val="18"/>
                <w:szCs w:val="18"/>
                <w:b w:val="1"/>
                <w:bCs w:val="1"/>
                <w:color w:val="auto"/>
              </w:rPr>
              <w:t>THE TRUSTEE</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601.</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Certain Duties and Responsibilities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8080" w:type="dxa"/>
            <w:vAlign w:val="bottom"/>
          </w:tcPr>
          <w:p>
            <w:pPr>
              <w:ind w:left="320"/>
              <w:spacing w:after="0"/>
              <w:rPr>
                <w:sz w:val="20"/>
                <w:szCs w:val="20"/>
                <w:color w:val="auto"/>
              </w:rPr>
            </w:pPr>
            <w:r>
              <w:rPr>
                <w:rFonts w:ascii="Arial" w:cs="Arial" w:eastAsia="Arial" w:hAnsi="Arial"/>
                <w:sz w:val="18"/>
                <w:szCs w:val="18"/>
                <w:color w:val="auto"/>
              </w:rPr>
              <w:t>Notice of Defaults</w:t>
            </w:r>
          </w:p>
        </w:tc>
        <w:tc>
          <w:tcPr>
            <w:tcW w:w="19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603.</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Certain Rights of Trustee</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8080" w:type="dxa"/>
            <w:vAlign w:val="bottom"/>
          </w:tcPr>
          <w:p>
            <w:pPr>
              <w:ind w:left="320"/>
              <w:spacing w:after="0"/>
              <w:rPr>
                <w:sz w:val="20"/>
                <w:szCs w:val="20"/>
                <w:color w:val="auto"/>
              </w:rPr>
            </w:pPr>
            <w:r>
              <w:rPr>
                <w:rFonts w:ascii="Arial" w:cs="Arial" w:eastAsia="Arial" w:hAnsi="Arial"/>
                <w:sz w:val="18"/>
                <w:szCs w:val="18"/>
                <w:color w:val="auto"/>
              </w:rPr>
              <w:t>Not Responsible for Recitals or Issuance of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605.</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May Hold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8080" w:type="dxa"/>
            <w:vAlign w:val="bottom"/>
          </w:tcPr>
          <w:p>
            <w:pPr>
              <w:ind w:left="320"/>
              <w:spacing w:after="0"/>
              <w:rPr>
                <w:sz w:val="20"/>
                <w:szCs w:val="20"/>
                <w:color w:val="auto"/>
              </w:rPr>
            </w:pPr>
            <w:r>
              <w:rPr>
                <w:rFonts w:ascii="Arial" w:cs="Arial" w:eastAsia="Arial" w:hAnsi="Arial"/>
                <w:sz w:val="18"/>
                <w:szCs w:val="18"/>
                <w:color w:val="auto"/>
              </w:rPr>
              <w:t>Money Held in Trust</w:t>
            </w:r>
          </w:p>
        </w:tc>
        <w:tc>
          <w:tcPr>
            <w:tcW w:w="19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607.</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Compensation and Reimbursement</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8080" w:type="dxa"/>
            <w:vAlign w:val="bottom"/>
          </w:tcPr>
          <w:p>
            <w:pPr>
              <w:ind w:left="320"/>
              <w:spacing w:after="0"/>
              <w:rPr>
                <w:sz w:val="20"/>
                <w:szCs w:val="20"/>
                <w:color w:val="auto"/>
              </w:rPr>
            </w:pPr>
            <w:r>
              <w:rPr>
                <w:rFonts w:ascii="Arial" w:cs="Arial" w:eastAsia="Arial" w:hAnsi="Arial"/>
                <w:sz w:val="18"/>
                <w:szCs w:val="18"/>
                <w:color w:val="auto"/>
              </w:rPr>
              <w:t>Reserved.</w:t>
            </w:r>
          </w:p>
        </w:tc>
        <w:tc>
          <w:tcPr>
            <w:tcW w:w="19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609.</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Corporate Trustee Required; Eligibility</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8080" w:type="dxa"/>
            <w:vAlign w:val="bottom"/>
          </w:tcPr>
          <w:p>
            <w:pPr>
              <w:ind w:left="320"/>
              <w:spacing w:after="0"/>
              <w:rPr>
                <w:sz w:val="20"/>
                <w:szCs w:val="20"/>
                <w:color w:val="auto"/>
              </w:rPr>
            </w:pPr>
            <w:r>
              <w:rPr>
                <w:rFonts w:ascii="Arial" w:cs="Arial" w:eastAsia="Arial" w:hAnsi="Arial"/>
                <w:sz w:val="18"/>
                <w:szCs w:val="18"/>
                <w:color w:val="auto"/>
              </w:rPr>
              <w:t>Resignation and Removal; Appointment of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611.</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Acceptance of Appointment by Successor</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612.</w:t>
            </w:r>
          </w:p>
        </w:tc>
        <w:tc>
          <w:tcPr>
            <w:tcW w:w="8080" w:type="dxa"/>
            <w:vAlign w:val="bottom"/>
          </w:tcPr>
          <w:p>
            <w:pPr>
              <w:ind w:left="320"/>
              <w:spacing w:after="0"/>
              <w:rPr>
                <w:sz w:val="20"/>
                <w:szCs w:val="20"/>
                <w:color w:val="auto"/>
              </w:rPr>
            </w:pPr>
            <w:r>
              <w:rPr>
                <w:rFonts w:ascii="Arial" w:cs="Arial" w:eastAsia="Arial" w:hAnsi="Arial"/>
                <w:sz w:val="18"/>
                <w:szCs w:val="18"/>
                <w:color w:val="auto"/>
              </w:rPr>
              <w:t>Merger, Conversion, Consolidation or Succession to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613.</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Reserved.</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614.</w:t>
            </w:r>
          </w:p>
        </w:tc>
        <w:tc>
          <w:tcPr>
            <w:tcW w:w="8080" w:type="dxa"/>
            <w:vAlign w:val="bottom"/>
          </w:tcPr>
          <w:p>
            <w:pPr>
              <w:ind w:left="320"/>
              <w:spacing w:after="0"/>
              <w:rPr>
                <w:sz w:val="20"/>
                <w:szCs w:val="20"/>
                <w:color w:val="auto"/>
              </w:rPr>
            </w:pPr>
            <w:r>
              <w:rPr>
                <w:rFonts w:ascii="Arial" w:cs="Arial" w:eastAsia="Arial" w:hAnsi="Arial"/>
                <w:sz w:val="18"/>
                <w:szCs w:val="18"/>
                <w:color w:val="auto"/>
              </w:rPr>
              <w:t>Appointment of Authenticating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6F4F9"/>
          </w:tcPr>
          <w:p>
            <w:pPr>
              <w:spacing w:after="0"/>
              <w:rPr>
                <w:sz w:val="20"/>
                <w:szCs w:val="20"/>
                <w:color w:val="auto"/>
              </w:rPr>
            </w:pPr>
            <w:r>
              <w:rPr>
                <w:rFonts w:ascii="Arial" w:cs="Arial" w:eastAsia="Arial" w:hAnsi="Arial"/>
                <w:sz w:val="18"/>
                <w:szCs w:val="18"/>
                <w:color w:val="auto"/>
              </w:rPr>
              <w:t>Section 615.</w:t>
            </w:r>
          </w:p>
        </w:tc>
        <w:tc>
          <w:tcPr>
            <w:tcW w:w="808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Collateral Documents.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 w:name="page9"/>
    <w:bookmarkEnd w:id="8"/>
    <w:p>
      <w:pPr>
        <w:jc w:val="center"/>
        <w:ind w:left="1100"/>
        <w:spacing w:after="0"/>
        <w:rPr>
          <w:sz w:val="20"/>
          <w:szCs w:val="20"/>
          <w:color w:val="auto"/>
        </w:rPr>
      </w:pPr>
      <w:r>
        <w:rPr>
          <w:rFonts w:ascii="Arial" w:cs="Arial" w:eastAsia="Arial" w:hAnsi="Arial"/>
          <w:sz w:val="18"/>
          <w:szCs w:val="18"/>
          <w:b w:val="1"/>
          <w:bCs w:val="1"/>
          <w:color w:val="auto"/>
        </w:rPr>
        <w:t>ARTICLE SEVEN</w:t>
      </w:r>
    </w:p>
    <w:p>
      <w:pPr>
        <w:spacing w:after="0" w:line="3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701.</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Issuer to Furnish Trustee Names and Addresses of Holders</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702.</w:t>
            </w:r>
          </w:p>
        </w:tc>
        <w:tc>
          <w:tcPr>
            <w:tcW w:w="8700" w:type="dxa"/>
            <w:vAlign w:val="bottom"/>
          </w:tcPr>
          <w:p>
            <w:pPr>
              <w:ind w:left="340"/>
              <w:spacing w:after="0"/>
              <w:rPr>
                <w:sz w:val="20"/>
                <w:szCs w:val="20"/>
                <w:color w:val="auto"/>
              </w:rPr>
            </w:pPr>
            <w:r>
              <w:rPr>
                <w:rFonts w:ascii="Arial" w:cs="Arial" w:eastAsia="Arial" w:hAnsi="Arial"/>
                <w:sz w:val="18"/>
                <w:szCs w:val="18"/>
                <w:color w:val="auto"/>
              </w:rPr>
              <w:t>Preservation of Information; Communications to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703.</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Reports by the Issuer.</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EIGHT</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CONSOLIDATION, MERGER, CONVEYANCE, TRANSFER OR LEASE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801.</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Issuer and Guarantors May Consolidate, Etc., Only on Certain Terms</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802.</w:t>
            </w:r>
          </w:p>
        </w:tc>
        <w:tc>
          <w:tcPr>
            <w:tcW w:w="8700" w:type="dxa"/>
            <w:vAlign w:val="bottom"/>
          </w:tcPr>
          <w:p>
            <w:pPr>
              <w:ind w:left="340"/>
              <w:spacing w:after="0"/>
              <w:rPr>
                <w:sz w:val="20"/>
                <w:szCs w:val="20"/>
                <w:color w:val="auto"/>
              </w:rPr>
            </w:pPr>
            <w:r>
              <w:rPr>
                <w:rFonts w:ascii="Arial" w:cs="Arial" w:eastAsia="Arial" w:hAnsi="Arial"/>
                <w:sz w:val="18"/>
                <w:szCs w:val="18"/>
                <w:color w:val="auto"/>
              </w:rPr>
              <w:t>Successor Substituted</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20" w:type="dxa"/>
            <w:vAlign w:val="bottom"/>
          </w:tcPr>
          <w:p>
            <w:pPr>
              <w:spacing w:after="0"/>
              <w:rPr>
                <w:sz w:val="24"/>
                <w:szCs w:val="24"/>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NINE</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SUPPLEMENTAL INDENTURES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901.</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Supplemental Indentures Without Consent of Holders</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902.</w:t>
            </w:r>
          </w:p>
        </w:tc>
        <w:tc>
          <w:tcPr>
            <w:tcW w:w="8700" w:type="dxa"/>
            <w:vAlign w:val="bottom"/>
          </w:tcPr>
          <w:p>
            <w:pPr>
              <w:ind w:left="340"/>
              <w:spacing w:after="0"/>
              <w:rPr>
                <w:sz w:val="20"/>
                <w:szCs w:val="20"/>
                <w:color w:val="auto"/>
              </w:rPr>
            </w:pPr>
            <w:r>
              <w:rPr>
                <w:rFonts w:ascii="Arial" w:cs="Arial" w:eastAsia="Arial" w:hAnsi="Arial"/>
                <w:sz w:val="18"/>
                <w:szCs w:val="18"/>
                <w:color w:val="auto"/>
              </w:rPr>
              <w:t>Supplemental Indentures With Consent of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903.</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Execution of Supplemental Indentures.</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904.</w:t>
            </w:r>
          </w:p>
        </w:tc>
        <w:tc>
          <w:tcPr>
            <w:tcW w:w="8700" w:type="dxa"/>
            <w:vAlign w:val="bottom"/>
          </w:tcPr>
          <w:p>
            <w:pPr>
              <w:ind w:left="340"/>
              <w:spacing w:after="0"/>
              <w:rPr>
                <w:sz w:val="20"/>
                <w:szCs w:val="20"/>
                <w:color w:val="auto"/>
              </w:rPr>
            </w:pPr>
            <w:r>
              <w:rPr>
                <w:rFonts w:ascii="Arial" w:cs="Arial" w:eastAsia="Arial" w:hAnsi="Arial"/>
                <w:sz w:val="18"/>
                <w:szCs w:val="18"/>
                <w:color w:val="auto"/>
              </w:rPr>
              <w:t>Effect of Supplemental Indentures.</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905.</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Reserved.</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906.</w:t>
            </w:r>
          </w:p>
        </w:tc>
        <w:tc>
          <w:tcPr>
            <w:tcW w:w="8700" w:type="dxa"/>
            <w:vAlign w:val="bottom"/>
          </w:tcPr>
          <w:p>
            <w:pPr>
              <w:ind w:left="340"/>
              <w:spacing w:after="0"/>
              <w:rPr>
                <w:sz w:val="20"/>
                <w:szCs w:val="20"/>
                <w:color w:val="auto"/>
              </w:rPr>
            </w:pPr>
            <w:r>
              <w:rPr>
                <w:rFonts w:ascii="Arial" w:cs="Arial" w:eastAsia="Arial" w:hAnsi="Arial"/>
                <w:sz w:val="18"/>
                <w:szCs w:val="18"/>
                <w:color w:val="auto"/>
              </w:rPr>
              <w:t>Reference in Notes to Supplemental Indentures.</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20" w:type="dxa"/>
            <w:vAlign w:val="bottom"/>
          </w:tcPr>
          <w:p>
            <w:pPr>
              <w:spacing w:after="0"/>
              <w:rPr>
                <w:sz w:val="24"/>
                <w:szCs w:val="24"/>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TEN</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COVENANTS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1001.</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Payment of Principal, Premium and Interest</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1002.</w:t>
            </w:r>
          </w:p>
        </w:tc>
        <w:tc>
          <w:tcPr>
            <w:tcW w:w="8700" w:type="dxa"/>
            <w:vAlign w:val="bottom"/>
          </w:tcPr>
          <w:p>
            <w:pPr>
              <w:ind w:left="340"/>
              <w:spacing w:after="0"/>
              <w:rPr>
                <w:sz w:val="20"/>
                <w:szCs w:val="20"/>
                <w:color w:val="auto"/>
              </w:rPr>
            </w:pPr>
            <w:r>
              <w:rPr>
                <w:rFonts w:ascii="Arial" w:cs="Arial" w:eastAsia="Arial" w:hAnsi="Arial"/>
                <w:sz w:val="18"/>
                <w:szCs w:val="18"/>
                <w:color w:val="auto"/>
              </w:rPr>
              <w:t>Maintenance of Office or Agency</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1003.</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Money for Notes Payments to Be Held in Trust</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1004.</w:t>
            </w:r>
          </w:p>
        </w:tc>
        <w:tc>
          <w:tcPr>
            <w:tcW w:w="8700" w:type="dxa"/>
            <w:vAlign w:val="bottom"/>
          </w:tcPr>
          <w:p>
            <w:pPr>
              <w:ind w:left="340"/>
              <w:spacing w:after="0"/>
              <w:rPr>
                <w:sz w:val="20"/>
                <w:szCs w:val="20"/>
                <w:color w:val="auto"/>
              </w:rPr>
            </w:pPr>
            <w:r>
              <w:rPr>
                <w:rFonts w:ascii="Arial" w:cs="Arial" w:eastAsia="Arial" w:hAnsi="Arial"/>
                <w:sz w:val="18"/>
                <w:szCs w:val="18"/>
                <w:color w:val="auto"/>
              </w:rPr>
              <w:t>Annual Compliance Certificate; Statement by Officers as to Default</w:t>
            </w: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1005.</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Existence</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1006.</w:t>
            </w:r>
          </w:p>
        </w:tc>
        <w:tc>
          <w:tcPr>
            <w:tcW w:w="8700" w:type="dxa"/>
            <w:vAlign w:val="bottom"/>
          </w:tcPr>
          <w:p>
            <w:pPr>
              <w:ind w:left="340"/>
              <w:spacing w:after="0"/>
              <w:rPr>
                <w:sz w:val="20"/>
                <w:szCs w:val="20"/>
                <w:color w:val="auto"/>
              </w:rPr>
            </w:pPr>
            <w:r>
              <w:rPr>
                <w:rFonts w:ascii="Arial" w:cs="Arial" w:eastAsia="Arial" w:hAnsi="Arial"/>
                <w:sz w:val="18"/>
                <w:szCs w:val="18"/>
                <w:color w:val="auto"/>
              </w:rPr>
              <w:t>Limitation on Designation of Unrestricted Subsidiaries</w:t>
            </w: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1007.</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Purchase of Notes Upon a Change of Control</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1008.</w:t>
            </w:r>
          </w:p>
        </w:tc>
        <w:tc>
          <w:tcPr>
            <w:tcW w:w="8700" w:type="dxa"/>
            <w:vAlign w:val="bottom"/>
          </w:tcPr>
          <w:p>
            <w:pPr>
              <w:ind w:left="340"/>
              <w:spacing w:after="0"/>
              <w:rPr>
                <w:sz w:val="20"/>
                <w:szCs w:val="20"/>
                <w:color w:val="auto"/>
              </w:rPr>
            </w:pPr>
            <w:r>
              <w:rPr>
                <w:rFonts w:ascii="Arial" w:cs="Arial" w:eastAsia="Arial" w:hAnsi="Arial"/>
                <w:sz w:val="18"/>
                <w:szCs w:val="18"/>
                <w:color w:val="auto"/>
              </w:rPr>
              <w:t>Limitation on Additional 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1009.</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Limitation on Restricted Payments</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1010.</w:t>
            </w:r>
          </w:p>
        </w:tc>
        <w:tc>
          <w:tcPr>
            <w:tcW w:w="8700" w:type="dxa"/>
            <w:vAlign w:val="bottom"/>
          </w:tcPr>
          <w:p>
            <w:pPr>
              <w:ind w:left="340"/>
              <w:spacing w:after="0"/>
              <w:rPr>
                <w:sz w:val="20"/>
                <w:szCs w:val="20"/>
                <w:color w:val="auto"/>
              </w:rPr>
            </w:pPr>
            <w:r>
              <w:rPr>
                <w:rFonts w:ascii="Arial" w:cs="Arial" w:eastAsia="Arial" w:hAnsi="Arial"/>
                <w:sz w:val="18"/>
                <w:szCs w:val="18"/>
                <w:color w:val="auto"/>
              </w:rPr>
              <w:t>Limitation on Liens</w:t>
            </w: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1011.</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Limitation on Dividends and Other Restrictions Affecting Restricted Subsidiaries</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1012.</w:t>
            </w:r>
          </w:p>
        </w:tc>
        <w:tc>
          <w:tcPr>
            <w:tcW w:w="8700" w:type="dxa"/>
            <w:vAlign w:val="bottom"/>
          </w:tcPr>
          <w:p>
            <w:pPr>
              <w:ind w:left="340"/>
              <w:spacing w:after="0"/>
              <w:rPr>
                <w:sz w:val="20"/>
                <w:szCs w:val="20"/>
                <w:color w:val="auto"/>
              </w:rPr>
            </w:pPr>
            <w:r>
              <w:rPr>
                <w:rFonts w:ascii="Arial" w:cs="Arial" w:eastAsia="Arial" w:hAnsi="Arial"/>
                <w:sz w:val="18"/>
                <w:szCs w:val="18"/>
                <w:color w:val="auto"/>
              </w:rPr>
              <w:t>Limitation on Asset Sales</w:t>
            </w: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1013.</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Limitation on Affiliate Transactions</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1014.</w:t>
            </w:r>
          </w:p>
        </w:tc>
        <w:tc>
          <w:tcPr>
            <w:tcW w:w="8700" w:type="dxa"/>
            <w:vAlign w:val="bottom"/>
          </w:tcPr>
          <w:p>
            <w:pPr>
              <w:ind w:left="340"/>
              <w:spacing w:after="0"/>
              <w:rPr>
                <w:sz w:val="20"/>
                <w:szCs w:val="20"/>
                <w:color w:val="auto"/>
              </w:rPr>
            </w:pPr>
            <w:r>
              <w:rPr>
                <w:rFonts w:ascii="Arial" w:cs="Arial" w:eastAsia="Arial" w:hAnsi="Arial"/>
                <w:sz w:val="18"/>
                <w:szCs w:val="18"/>
                <w:color w:val="auto"/>
              </w:rPr>
              <w:t>Additional Guarantees</w:t>
            </w: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1015.</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Reserved</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1016.</w:t>
            </w:r>
          </w:p>
        </w:tc>
        <w:tc>
          <w:tcPr>
            <w:tcW w:w="8700" w:type="dxa"/>
            <w:vAlign w:val="bottom"/>
          </w:tcPr>
          <w:p>
            <w:pPr>
              <w:ind w:left="340"/>
              <w:spacing w:after="0"/>
              <w:rPr>
                <w:sz w:val="20"/>
                <w:szCs w:val="20"/>
                <w:color w:val="auto"/>
              </w:rPr>
            </w:pPr>
            <w:r>
              <w:rPr>
                <w:rFonts w:ascii="Arial" w:cs="Arial" w:eastAsia="Arial" w:hAnsi="Arial"/>
                <w:sz w:val="18"/>
                <w:szCs w:val="18"/>
                <w:color w:val="auto"/>
              </w:rPr>
              <w:t>Maintenance of Ratings</w:t>
            </w: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1017.</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Collateral; After-Acquired Property.</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1018.</w:t>
            </w:r>
          </w:p>
        </w:tc>
        <w:tc>
          <w:tcPr>
            <w:tcW w:w="8700" w:type="dxa"/>
            <w:vAlign w:val="bottom"/>
          </w:tcPr>
          <w:p>
            <w:pPr>
              <w:ind w:left="340"/>
              <w:spacing w:after="0"/>
              <w:rPr>
                <w:sz w:val="20"/>
                <w:szCs w:val="20"/>
                <w:color w:val="auto"/>
              </w:rPr>
            </w:pPr>
            <w:r>
              <w:rPr>
                <w:rFonts w:ascii="Arial" w:cs="Arial" w:eastAsia="Arial" w:hAnsi="Arial"/>
                <w:sz w:val="18"/>
                <w:szCs w:val="18"/>
                <w:color w:val="auto"/>
              </w:rPr>
              <w:t>No Impairment of the Security Interests.</w:t>
            </w: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1019.</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Minimum Liquidity.</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1020.</w:t>
            </w:r>
          </w:p>
        </w:tc>
        <w:tc>
          <w:tcPr>
            <w:tcW w:w="8700" w:type="dxa"/>
            <w:vAlign w:val="bottom"/>
          </w:tcPr>
          <w:p>
            <w:pPr>
              <w:ind w:left="340"/>
              <w:spacing w:after="0"/>
              <w:rPr>
                <w:sz w:val="20"/>
                <w:szCs w:val="20"/>
                <w:color w:val="auto"/>
              </w:rPr>
            </w:pPr>
            <w:r>
              <w:rPr>
                <w:rFonts w:ascii="Arial" w:cs="Arial" w:eastAsia="Arial" w:hAnsi="Arial"/>
                <w:sz w:val="18"/>
                <w:szCs w:val="18"/>
                <w:color w:val="auto"/>
              </w:rPr>
              <w:t>Swiss Use of Proceeds.</w:t>
            </w: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20" w:type="dxa"/>
            <w:vAlign w:val="bottom"/>
          </w:tcPr>
          <w:p>
            <w:pPr>
              <w:spacing w:after="0"/>
              <w:rPr>
                <w:sz w:val="24"/>
                <w:szCs w:val="24"/>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ELEVEN</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700" w:type="dxa"/>
            <w:vAlign w:val="bottom"/>
          </w:tcPr>
          <w:p>
            <w:pPr>
              <w:jc w:val="center"/>
              <w:ind w:left="930"/>
              <w:spacing w:after="0"/>
              <w:rPr>
                <w:sz w:val="20"/>
                <w:szCs w:val="20"/>
                <w:color w:val="auto"/>
              </w:rPr>
            </w:pPr>
            <w:r>
              <w:rPr>
                <w:rFonts w:ascii="Arial" w:cs="Arial" w:eastAsia="Arial" w:hAnsi="Arial"/>
                <w:sz w:val="18"/>
                <w:szCs w:val="18"/>
                <w:b w:val="1"/>
                <w:bCs w:val="1"/>
                <w:color w:val="auto"/>
              </w:rPr>
              <w:t>REDEMPTION OF NOTES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1101.</w:t>
            </w:r>
          </w:p>
        </w:tc>
        <w:tc>
          <w:tcPr>
            <w:tcW w:w="8700" w:type="dxa"/>
            <w:vAlign w:val="bottom"/>
            <w:shd w:val="clear" w:color="auto" w:fill="C6F4F9"/>
          </w:tcPr>
          <w:p>
            <w:pPr>
              <w:ind w:left="340"/>
              <w:spacing w:after="0"/>
              <w:rPr>
                <w:sz w:val="20"/>
                <w:szCs w:val="20"/>
                <w:color w:val="auto"/>
              </w:rPr>
            </w:pPr>
            <w:r>
              <w:rPr>
                <w:rFonts w:ascii="Arial" w:cs="Arial" w:eastAsia="Arial" w:hAnsi="Arial"/>
                <w:sz w:val="18"/>
                <w:szCs w:val="18"/>
                <w:color w:val="auto"/>
              </w:rPr>
              <w:t>Applicability of Article</w:t>
            </w:r>
          </w:p>
        </w:tc>
        <w:tc>
          <w:tcPr>
            <w:tcW w:w="12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1102.</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Election to Redeem; Notice to Trustee</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1103.</w:t>
            </w:r>
          </w:p>
        </w:tc>
        <w:tc>
          <w:tcPr>
            <w:tcW w:w="8560" w:type="dxa"/>
            <w:vAlign w:val="bottom"/>
          </w:tcPr>
          <w:p>
            <w:pPr>
              <w:ind w:left="340"/>
              <w:spacing w:after="0"/>
              <w:rPr>
                <w:sz w:val="20"/>
                <w:szCs w:val="20"/>
                <w:color w:val="auto"/>
              </w:rPr>
            </w:pPr>
            <w:r>
              <w:rPr>
                <w:rFonts w:ascii="Arial" w:cs="Arial" w:eastAsia="Arial" w:hAnsi="Arial"/>
                <w:sz w:val="18"/>
                <w:szCs w:val="18"/>
                <w:color w:val="auto"/>
              </w:rPr>
              <w:t>Optional Redemption</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1104.</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Selection by Trustee of Notes to Be Redeemed</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1105.</w:t>
            </w:r>
          </w:p>
        </w:tc>
        <w:tc>
          <w:tcPr>
            <w:tcW w:w="8560" w:type="dxa"/>
            <w:vAlign w:val="bottom"/>
          </w:tcPr>
          <w:p>
            <w:pPr>
              <w:ind w:left="340"/>
              <w:spacing w:after="0"/>
              <w:rPr>
                <w:sz w:val="20"/>
                <w:szCs w:val="20"/>
                <w:color w:val="auto"/>
              </w:rPr>
            </w:pPr>
            <w:r>
              <w:rPr>
                <w:rFonts w:ascii="Arial" w:cs="Arial" w:eastAsia="Arial" w:hAnsi="Arial"/>
                <w:sz w:val="18"/>
                <w:szCs w:val="18"/>
                <w:color w:val="auto"/>
              </w:rPr>
              <w:t>Notice of Redemption</w:t>
            </w: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1106.</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Deposit of Redemption Price</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1107.</w:t>
            </w:r>
          </w:p>
        </w:tc>
        <w:tc>
          <w:tcPr>
            <w:tcW w:w="8560" w:type="dxa"/>
            <w:vAlign w:val="bottom"/>
          </w:tcPr>
          <w:p>
            <w:pPr>
              <w:ind w:left="340"/>
              <w:spacing w:after="0"/>
              <w:rPr>
                <w:sz w:val="20"/>
                <w:szCs w:val="20"/>
                <w:color w:val="auto"/>
              </w:rPr>
            </w:pPr>
            <w:r>
              <w:rPr>
                <w:rFonts w:ascii="Arial" w:cs="Arial" w:eastAsia="Arial" w:hAnsi="Arial"/>
                <w:sz w:val="18"/>
                <w:szCs w:val="18"/>
                <w:color w:val="auto"/>
              </w:rPr>
              <w:t>Notes Payable on Redemption Date</w:t>
            </w:r>
          </w:p>
        </w:tc>
        <w:tc>
          <w:tcPr>
            <w:tcW w:w="13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1108.</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Notes Redeemed in Part</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TWELVE</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rPr>
              <w:t>SINKING FUND; OTHER ACQUISITIONS OF NOTES</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1201.</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Mandatory Redemption, Etc.</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THIRTEEN</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LEGAL DEFEASANCE AND COVENANT DEFEASANCE</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1301.</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Issuer’s Option to Effect Legal Defeasance or Covenant Defeasance</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1302.</w:t>
            </w:r>
          </w:p>
        </w:tc>
        <w:tc>
          <w:tcPr>
            <w:tcW w:w="8560" w:type="dxa"/>
            <w:vAlign w:val="bottom"/>
          </w:tcPr>
          <w:p>
            <w:pPr>
              <w:ind w:left="340"/>
              <w:spacing w:after="0"/>
              <w:rPr>
                <w:sz w:val="20"/>
                <w:szCs w:val="20"/>
                <w:color w:val="auto"/>
              </w:rPr>
            </w:pPr>
            <w:r>
              <w:rPr>
                <w:rFonts w:ascii="Arial" w:cs="Arial" w:eastAsia="Arial" w:hAnsi="Arial"/>
                <w:sz w:val="18"/>
                <w:szCs w:val="18"/>
                <w:color w:val="auto"/>
              </w:rPr>
              <w:t>Defeasance and Discharge</w:t>
            </w: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1303.</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Covenant Defeasance</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1304.</w:t>
            </w:r>
          </w:p>
        </w:tc>
        <w:tc>
          <w:tcPr>
            <w:tcW w:w="8560" w:type="dxa"/>
            <w:vAlign w:val="bottom"/>
          </w:tcPr>
          <w:p>
            <w:pPr>
              <w:ind w:left="340"/>
              <w:spacing w:after="0"/>
              <w:rPr>
                <w:sz w:val="20"/>
                <w:szCs w:val="20"/>
                <w:color w:val="auto"/>
              </w:rPr>
            </w:pPr>
            <w:r>
              <w:rPr>
                <w:rFonts w:ascii="Arial" w:cs="Arial" w:eastAsia="Arial" w:hAnsi="Arial"/>
                <w:sz w:val="18"/>
                <w:szCs w:val="18"/>
                <w:color w:val="auto"/>
              </w:rPr>
              <w:t>Conditions to Legal Defeasance or Covenant Defeasance</w:t>
            </w: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1305.</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Deposited Money and U.S. Government Obligations to Be Held in Trust; Miscellaneous Provisions</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1306.</w:t>
            </w:r>
          </w:p>
        </w:tc>
        <w:tc>
          <w:tcPr>
            <w:tcW w:w="8560" w:type="dxa"/>
            <w:vAlign w:val="bottom"/>
          </w:tcPr>
          <w:p>
            <w:pPr>
              <w:ind w:left="340"/>
              <w:spacing w:after="0"/>
              <w:rPr>
                <w:sz w:val="20"/>
                <w:szCs w:val="20"/>
                <w:color w:val="auto"/>
              </w:rPr>
            </w:pPr>
            <w:r>
              <w:rPr>
                <w:rFonts w:ascii="Arial" w:cs="Arial" w:eastAsia="Arial" w:hAnsi="Arial"/>
                <w:sz w:val="18"/>
                <w:szCs w:val="18"/>
                <w:color w:val="auto"/>
              </w:rPr>
              <w:t>Reinstatement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2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FOURTEEN</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w w:val="98"/>
              </w:rPr>
              <w:t>GUARANTEES</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1401.</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Unconditional Guarantee</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1402.</w:t>
            </w:r>
          </w:p>
        </w:tc>
        <w:tc>
          <w:tcPr>
            <w:tcW w:w="8560" w:type="dxa"/>
            <w:vAlign w:val="bottom"/>
          </w:tcPr>
          <w:p>
            <w:pPr>
              <w:ind w:left="340"/>
              <w:spacing w:after="0"/>
              <w:rPr>
                <w:sz w:val="20"/>
                <w:szCs w:val="20"/>
                <w:color w:val="auto"/>
              </w:rPr>
            </w:pPr>
            <w:r>
              <w:rPr>
                <w:rFonts w:ascii="Arial" w:cs="Arial" w:eastAsia="Arial" w:hAnsi="Arial"/>
                <w:sz w:val="18"/>
                <w:szCs w:val="18"/>
                <w:color w:val="auto"/>
              </w:rPr>
              <w:t>Subsidiary Guarantee Evidenced by Indenture</w:t>
            </w: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1403.</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Limitation on Guarantors’ Liability</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1404.</w:t>
            </w:r>
          </w:p>
        </w:tc>
        <w:tc>
          <w:tcPr>
            <w:tcW w:w="8560" w:type="dxa"/>
            <w:vAlign w:val="bottom"/>
          </w:tcPr>
          <w:p>
            <w:pPr>
              <w:ind w:left="340"/>
              <w:spacing w:after="0"/>
              <w:rPr>
                <w:sz w:val="20"/>
                <w:szCs w:val="20"/>
                <w:color w:val="auto"/>
              </w:rPr>
            </w:pPr>
            <w:r>
              <w:rPr>
                <w:rFonts w:ascii="Arial" w:cs="Arial" w:eastAsia="Arial" w:hAnsi="Arial"/>
                <w:sz w:val="18"/>
                <w:szCs w:val="18"/>
                <w:color w:val="auto"/>
              </w:rPr>
              <w:t>Release of Guarantors from Guarantees</w:t>
            </w: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1405.</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Guarantor Contribution</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1406.</w:t>
            </w:r>
          </w:p>
        </w:tc>
        <w:tc>
          <w:tcPr>
            <w:tcW w:w="8560" w:type="dxa"/>
            <w:vAlign w:val="bottom"/>
          </w:tcPr>
          <w:p>
            <w:pPr>
              <w:ind w:left="340"/>
              <w:spacing w:after="0"/>
              <w:rPr>
                <w:sz w:val="20"/>
                <w:szCs w:val="20"/>
                <w:color w:val="auto"/>
              </w:rPr>
            </w:pPr>
            <w:r>
              <w:rPr>
                <w:rFonts w:ascii="Arial" w:cs="Arial" w:eastAsia="Arial" w:hAnsi="Arial"/>
                <w:sz w:val="18"/>
                <w:szCs w:val="18"/>
                <w:color w:val="auto"/>
              </w:rPr>
              <w:t>[Reserved]</w:t>
            </w: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1407.</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Luxembourg Limitations</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1408.</w:t>
            </w:r>
          </w:p>
        </w:tc>
        <w:tc>
          <w:tcPr>
            <w:tcW w:w="8560" w:type="dxa"/>
            <w:vAlign w:val="bottom"/>
          </w:tcPr>
          <w:p>
            <w:pPr>
              <w:ind w:left="340"/>
              <w:spacing w:after="0"/>
              <w:rPr>
                <w:sz w:val="20"/>
                <w:szCs w:val="20"/>
                <w:color w:val="auto"/>
              </w:rPr>
            </w:pPr>
            <w:r>
              <w:rPr>
                <w:rFonts w:ascii="Arial" w:cs="Arial" w:eastAsia="Arial" w:hAnsi="Arial"/>
                <w:sz w:val="18"/>
                <w:szCs w:val="18"/>
                <w:color w:val="auto"/>
              </w:rPr>
              <w:t>Norwegian Limitations.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1409.</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Irish Limitations.</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1410.</w:t>
            </w:r>
          </w:p>
        </w:tc>
        <w:tc>
          <w:tcPr>
            <w:tcW w:w="8560" w:type="dxa"/>
            <w:vAlign w:val="bottom"/>
          </w:tcPr>
          <w:p>
            <w:pPr>
              <w:ind w:left="340"/>
              <w:spacing w:after="0"/>
              <w:rPr>
                <w:sz w:val="20"/>
                <w:szCs w:val="20"/>
                <w:color w:val="auto"/>
              </w:rPr>
            </w:pPr>
            <w:r>
              <w:rPr>
                <w:rFonts w:ascii="Arial" w:cs="Arial" w:eastAsia="Arial" w:hAnsi="Arial"/>
                <w:sz w:val="18"/>
                <w:szCs w:val="18"/>
                <w:color w:val="auto"/>
              </w:rPr>
              <w:t>Swiss Financial Assistance.</w:t>
            </w: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1411.</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Parallel Debt.</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1412.</w:t>
            </w:r>
          </w:p>
        </w:tc>
        <w:tc>
          <w:tcPr>
            <w:tcW w:w="8560" w:type="dxa"/>
            <w:vAlign w:val="bottom"/>
          </w:tcPr>
          <w:p>
            <w:pPr>
              <w:ind w:left="340"/>
              <w:spacing w:after="0"/>
              <w:rPr>
                <w:sz w:val="20"/>
                <w:szCs w:val="20"/>
                <w:color w:val="auto"/>
              </w:rPr>
            </w:pPr>
            <w:r>
              <w:rPr>
                <w:rFonts w:ascii="Arial" w:cs="Arial" w:eastAsia="Arial" w:hAnsi="Arial"/>
                <w:sz w:val="18"/>
                <w:szCs w:val="18"/>
                <w:color w:val="auto"/>
              </w:rPr>
              <w:t>Dutch Covenants.</w:t>
            </w: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1413.</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German Limitation of Liability.</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1414.</w:t>
            </w:r>
          </w:p>
        </w:tc>
        <w:tc>
          <w:tcPr>
            <w:tcW w:w="8560" w:type="dxa"/>
            <w:vAlign w:val="bottom"/>
          </w:tcPr>
          <w:p>
            <w:pPr>
              <w:ind w:left="340"/>
              <w:spacing w:after="0"/>
              <w:rPr>
                <w:sz w:val="20"/>
                <w:szCs w:val="20"/>
                <w:color w:val="auto"/>
              </w:rPr>
            </w:pPr>
            <w:r>
              <w:rPr>
                <w:rFonts w:ascii="Arial" w:cs="Arial" w:eastAsia="Arial" w:hAnsi="Arial"/>
                <w:sz w:val="18"/>
                <w:szCs w:val="18"/>
                <w:color w:val="auto"/>
              </w:rPr>
              <w:t>English Law Limitations.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1415.</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Mexican Law Limitations.</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1416.</w:t>
            </w:r>
          </w:p>
        </w:tc>
        <w:tc>
          <w:tcPr>
            <w:tcW w:w="8560" w:type="dxa"/>
            <w:vAlign w:val="bottom"/>
          </w:tcPr>
          <w:p>
            <w:pPr>
              <w:ind w:left="340"/>
              <w:spacing w:after="0"/>
              <w:rPr>
                <w:sz w:val="20"/>
                <w:szCs w:val="20"/>
                <w:color w:val="auto"/>
              </w:rPr>
            </w:pPr>
            <w:r>
              <w:rPr>
                <w:rFonts w:ascii="Arial" w:cs="Arial" w:eastAsia="Arial" w:hAnsi="Arial"/>
                <w:sz w:val="18"/>
                <w:szCs w:val="18"/>
                <w:color w:val="auto"/>
              </w:rPr>
              <w:t>Argentine Law Limitations.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2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FIFTEEN</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8560" w:type="dxa"/>
            <w:vAlign w:val="bottom"/>
          </w:tcPr>
          <w:p>
            <w:pPr>
              <w:jc w:val="center"/>
              <w:ind w:left="1070"/>
              <w:spacing w:after="0"/>
              <w:rPr>
                <w:sz w:val="20"/>
                <w:szCs w:val="20"/>
                <w:color w:val="auto"/>
              </w:rPr>
            </w:pPr>
            <w:r>
              <w:rPr>
                <w:rFonts w:ascii="Arial" w:cs="Arial" w:eastAsia="Arial" w:hAnsi="Arial"/>
                <w:sz w:val="18"/>
                <w:szCs w:val="18"/>
                <w:b w:val="1"/>
                <w:bCs w:val="1"/>
                <w:color w:val="auto"/>
              </w:rPr>
              <w:t>COLLATERAL</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1501.</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Collateral Documents.</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1502.</w:t>
            </w:r>
          </w:p>
        </w:tc>
        <w:tc>
          <w:tcPr>
            <w:tcW w:w="8560" w:type="dxa"/>
            <w:vAlign w:val="bottom"/>
          </w:tcPr>
          <w:p>
            <w:pPr>
              <w:ind w:left="340"/>
              <w:spacing w:after="0"/>
              <w:rPr>
                <w:sz w:val="20"/>
                <w:szCs w:val="20"/>
                <w:color w:val="auto"/>
              </w:rPr>
            </w:pPr>
            <w:r>
              <w:rPr>
                <w:rFonts w:ascii="Arial" w:cs="Arial" w:eastAsia="Arial" w:hAnsi="Arial"/>
                <w:sz w:val="18"/>
                <w:szCs w:val="18"/>
                <w:color w:val="auto"/>
              </w:rPr>
              <w:t>Release of Collateral</w:t>
            </w: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shd w:val="clear" w:color="auto" w:fill="C6F4F9"/>
          </w:tcPr>
          <w:p>
            <w:pPr>
              <w:spacing w:after="0"/>
              <w:rPr>
                <w:sz w:val="20"/>
                <w:szCs w:val="20"/>
                <w:color w:val="auto"/>
              </w:rPr>
            </w:pPr>
            <w:r>
              <w:rPr>
                <w:rFonts w:ascii="Arial" w:cs="Arial" w:eastAsia="Arial" w:hAnsi="Arial"/>
                <w:sz w:val="18"/>
                <w:szCs w:val="18"/>
                <w:color w:val="auto"/>
              </w:rPr>
              <w:t>Section 1503.</w:t>
            </w:r>
          </w:p>
        </w:tc>
        <w:tc>
          <w:tcPr>
            <w:tcW w:w="8560" w:type="dxa"/>
            <w:vAlign w:val="bottom"/>
            <w:shd w:val="clear" w:color="auto" w:fill="C6F4F9"/>
          </w:tcPr>
          <w:p>
            <w:pPr>
              <w:ind w:left="340"/>
              <w:spacing w:after="0"/>
              <w:rPr>
                <w:sz w:val="20"/>
                <w:szCs w:val="20"/>
                <w:color w:val="auto"/>
              </w:rPr>
            </w:pPr>
            <w:r>
              <w:rPr>
                <w:rFonts w:ascii="Arial" w:cs="Arial" w:eastAsia="Arial" w:hAnsi="Arial"/>
                <w:sz w:val="18"/>
                <w:szCs w:val="18"/>
                <w:color w:val="auto"/>
              </w:rPr>
              <w:t>Suits to Protect the Collateral</w:t>
            </w:r>
          </w:p>
        </w:tc>
        <w:tc>
          <w:tcPr>
            <w:tcW w:w="1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3"/>
        </w:trPr>
        <w:tc>
          <w:tcPr>
            <w:tcW w:w="1480" w:type="dxa"/>
            <w:vAlign w:val="bottom"/>
            <w:shd w:val="clear" w:color="auto" w:fill="C6F4F9"/>
          </w:tcPr>
          <w:p>
            <w:pPr>
              <w:spacing w:after="0"/>
              <w:rPr>
                <w:sz w:val="20"/>
                <w:szCs w:val="20"/>
                <w:color w:val="auto"/>
              </w:rPr>
            </w:pPr>
            <w:r>
              <w:rPr>
                <w:rFonts w:ascii="Arial" w:cs="Arial" w:eastAsia="Arial" w:hAnsi="Arial"/>
                <w:sz w:val="18"/>
                <w:szCs w:val="18"/>
                <w:color w:val="auto"/>
              </w:rPr>
              <w:t>Section 1504.</w:t>
            </w:r>
          </w:p>
        </w:tc>
        <w:tc>
          <w:tcPr>
            <w:tcW w:w="8740" w:type="dxa"/>
            <w:vAlign w:val="bottom"/>
            <w:shd w:val="clear" w:color="auto" w:fill="C6F4F9"/>
          </w:tcPr>
          <w:p>
            <w:pPr>
              <w:ind w:left="180"/>
              <w:spacing w:after="0"/>
              <w:rPr>
                <w:sz w:val="20"/>
                <w:szCs w:val="20"/>
                <w:color w:val="auto"/>
              </w:rPr>
            </w:pPr>
            <w:r>
              <w:rPr>
                <w:rFonts w:ascii="Arial" w:cs="Arial" w:eastAsia="Arial" w:hAnsi="Arial"/>
                <w:sz w:val="18"/>
                <w:szCs w:val="18"/>
                <w:color w:val="auto"/>
              </w:rPr>
              <w:t>Authorization of Receipt of Funds by the Trustee Under the Collateral Documents.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1505.</w:t>
            </w:r>
          </w:p>
        </w:tc>
        <w:tc>
          <w:tcPr>
            <w:tcW w:w="8740" w:type="dxa"/>
            <w:vAlign w:val="bottom"/>
          </w:tcPr>
          <w:p>
            <w:pPr>
              <w:ind w:left="180"/>
              <w:spacing w:after="0"/>
              <w:rPr>
                <w:sz w:val="20"/>
                <w:szCs w:val="20"/>
                <w:color w:val="auto"/>
              </w:rPr>
            </w:pPr>
            <w:r>
              <w:rPr>
                <w:rFonts w:ascii="Arial" w:cs="Arial" w:eastAsia="Arial" w:hAnsi="Arial"/>
                <w:sz w:val="18"/>
                <w:szCs w:val="18"/>
                <w:color w:val="auto"/>
              </w:rPr>
              <w:t>Purchaser Protected.</w:t>
            </w: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6"/>
        </w:trPr>
        <w:tc>
          <w:tcPr>
            <w:tcW w:w="1480" w:type="dxa"/>
            <w:vAlign w:val="bottom"/>
            <w:shd w:val="clear" w:color="auto" w:fill="C6F4F9"/>
          </w:tcPr>
          <w:p>
            <w:pPr>
              <w:spacing w:after="0"/>
              <w:rPr>
                <w:sz w:val="20"/>
                <w:szCs w:val="20"/>
                <w:color w:val="auto"/>
              </w:rPr>
            </w:pPr>
            <w:r>
              <w:rPr>
                <w:rFonts w:ascii="Arial" w:cs="Arial" w:eastAsia="Arial" w:hAnsi="Arial"/>
                <w:sz w:val="18"/>
                <w:szCs w:val="18"/>
                <w:color w:val="auto"/>
              </w:rPr>
              <w:t>Section 1506.</w:t>
            </w:r>
          </w:p>
        </w:tc>
        <w:tc>
          <w:tcPr>
            <w:tcW w:w="8740" w:type="dxa"/>
            <w:vAlign w:val="bottom"/>
            <w:shd w:val="clear" w:color="auto" w:fill="C6F4F9"/>
          </w:tcPr>
          <w:p>
            <w:pPr>
              <w:ind w:left="180"/>
              <w:spacing w:after="0"/>
              <w:rPr>
                <w:sz w:val="20"/>
                <w:szCs w:val="20"/>
                <w:color w:val="auto"/>
              </w:rPr>
            </w:pPr>
            <w:r>
              <w:rPr>
                <w:rFonts w:ascii="Arial" w:cs="Arial" w:eastAsia="Arial" w:hAnsi="Arial"/>
                <w:sz w:val="18"/>
                <w:szCs w:val="18"/>
                <w:color w:val="auto"/>
              </w:rPr>
              <w:t>Powers Exercisable by Receiver or Trustee</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1507.</w:t>
            </w:r>
          </w:p>
        </w:tc>
        <w:tc>
          <w:tcPr>
            <w:tcW w:w="8740" w:type="dxa"/>
            <w:vAlign w:val="bottom"/>
          </w:tcPr>
          <w:p>
            <w:pPr>
              <w:ind w:left="180"/>
              <w:spacing w:after="0"/>
              <w:rPr>
                <w:sz w:val="20"/>
                <w:szCs w:val="20"/>
                <w:color w:val="auto"/>
              </w:rPr>
            </w:pPr>
            <w:r>
              <w:rPr>
                <w:rFonts w:ascii="Arial" w:cs="Arial" w:eastAsia="Arial" w:hAnsi="Arial"/>
                <w:sz w:val="18"/>
                <w:szCs w:val="18"/>
                <w:color w:val="auto"/>
              </w:rPr>
              <w:t>Release Upon Termination of the Issuer’s Obligations.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6"/>
        </w:trPr>
        <w:tc>
          <w:tcPr>
            <w:tcW w:w="1480" w:type="dxa"/>
            <w:vAlign w:val="bottom"/>
            <w:shd w:val="clear" w:color="auto" w:fill="C6F4F9"/>
          </w:tcPr>
          <w:p>
            <w:pPr>
              <w:spacing w:after="0"/>
              <w:rPr>
                <w:sz w:val="20"/>
                <w:szCs w:val="20"/>
                <w:color w:val="auto"/>
              </w:rPr>
            </w:pPr>
            <w:r>
              <w:rPr>
                <w:rFonts w:ascii="Arial" w:cs="Arial" w:eastAsia="Arial" w:hAnsi="Arial"/>
                <w:sz w:val="18"/>
                <w:szCs w:val="18"/>
                <w:color w:val="auto"/>
              </w:rPr>
              <w:t>Section 1508.</w:t>
            </w:r>
          </w:p>
        </w:tc>
        <w:tc>
          <w:tcPr>
            <w:tcW w:w="8740" w:type="dxa"/>
            <w:vAlign w:val="bottom"/>
            <w:shd w:val="clear" w:color="auto" w:fill="C6F4F9"/>
          </w:tcPr>
          <w:p>
            <w:pPr>
              <w:ind w:left="180"/>
              <w:spacing w:after="0"/>
              <w:rPr>
                <w:sz w:val="20"/>
                <w:szCs w:val="20"/>
                <w:color w:val="auto"/>
              </w:rPr>
            </w:pPr>
            <w:r>
              <w:rPr>
                <w:rFonts w:ascii="Arial" w:cs="Arial" w:eastAsia="Arial" w:hAnsi="Arial"/>
                <w:sz w:val="18"/>
                <w:szCs w:val="18"/>
                <w:color w:val="auto"/>
              </w:rPr>
              <w:t>Collateral Agent.</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1509.</w:t>
            </w:r>
          </w:p>
        </w:tc>
        <w:tc>
          <w:tcPr>
            <w:tcW w:w="8740" w:type="dxa"/>
            <w:vAlign w:val="bottom"/>
          </w:tcPr>
          <w:p>
            <w:pPr>
              <w:ind w:left="180"/>
              <w:spacing w:after="0"/>
              <w:rPr>
                <w:sz w:val="20"/>
                <w:szCs w:val="20"/>
                <w:color w:val="auto"/>
              </w:rPr>
            </w:pPr>
            <w:r>
              <w:rPr>
                <w:rFonts w:ascii="Arial" w:cs="Arial" w:eastAsia="Arial" w:hAnsi="Arial"/>
                <w:sz w:val="18"/>
                <w:szCs w:val="18"/>
                <w:color w:val="auto"/>
              </w:rPr>
              <w:t>Quebec Law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6"/>
        </w:trPr>
        <w:tc>
          <w:tcPr>
            <w:tcW w:w="1480" w:type="dxa"/>
            <w:vAlign w:val="bottom"/>
            <w:shd w:val="clear" w:color="auto" w:fill="C6F4F9"/>
          </w:tcPr>
          <w:p>
            <w:pPr>
              <w:spacing w:after="0"/>
              <w:rPr>
                <w:sz w:val="20"/>
                <w:szCs w:val="20"/>
                <w:color w:val="auto"/>
              </w:rPr>
            </w:pPr>
            <w:r>
              <w:rPr>
                <w:rFonts w:ascii="Arial" w:cs="Arial" w:eastAsia="Arial" w:hAnsi="Arial"/>
                <w:sz w:val="18"/>
                <w:szCs w:val="18"/>
                <w:color w:val="auto"/>
              </w:rPr>
              <w:t>Section 1510.</w:t>
            </w:r>
          </w:p>
        </w:tc>
        <w:tc>
          <w:tcPr>
            <w:tcW w:w="8740" w:type="dxa"/>
            <w:vAlign w:val="bottom"/>
            <w:shd w:val="clear" w:color="auto" w:fill="C6F4F9"/>
          </w:tcPr>
          <w:p>
            <w:pPr>
              <w:ind w:left="180"/>
              <w:spacing w:after="0"/>
              <w:rPr>
                <w:sz w:val="20"/>
                <w:szCs w:val="20"/>
                <w:color w:val="auto"/>
              </w:rPr>
            </w:pPr>
            <w:r>
              <w:rPr>
                <w:rFonts w:ascii="Arial" w:cs="Arial" w:eastAsia="Arial" w:hAnsi="Arial"/>
                <w:sz w:val="18"/>
                <w:szCs w:val="18"/>
                <w:color w:val="auto"/>
              </w:rPr>
              <w:t>Scottish Appointment Matters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1511.</w:t>
            </w:r>
          </w:p>
        </w:tc>
        <w:tc>
          <w:tcPr>
            <w:tcW w:w="8740" w:type="dxa"/>
            <w:vAlign w:val="bottom"/>
          </w:tcPr>
          <w:p>
            <w:pPr>
              <w:ind w:left="180"/>
              <w:spacing w:after="0"/>
              <w:rPr>
                <w:sz w:val="20"/>
                <w:szCs w:val="20"/>
                <w:color w:val="auto"/>
              </w:rPr>
            </w:pPr>
            <w:r>
              <w:rPr>
                <w:rFonts w:ascii="Arial" w:cs="Arial" w:eastAsia="Arial" w:hAnsi="Arial"/>
                <w:sz w:val="18"/>
                <w:szCs w:val="18"/>
                <w:color w:val="auto"/>
              </w:rPr>
              <w:t>Swiss Appointment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6"/>
        </w:trPr>
        <w:tc>
          <w:tcPr>
            <w:tcW w:w="1480" w:type="dxa"/>
            <w:vAlign w:val="bottom"/>
            <w:shd w:val="clear" w:color="auto" w:fill="C6F4F9"/>
          </w:tcPr>
          <w:p>
            <w:pPr>
              <w:spacing w:after="0"/>
              <w:rPr>
                <w:sz w:val="20"/>
                <w:szCs w:val="20"/>
                <w:color w:val="auto"/>
              </w:rPr>
            </w:pPr>
            <w:r>
              <w:rPr>
                <w:rFonts w:ascii="Arial" w:cs="Arial" w:eastAsia="Arial" w:hAnsi="Arial"/>
                <w:sz w:val="18"/>
                <w:szCs w:val="18"/>
                <w:color w:val="auto"/>
              </w:rPr>
              <w:t>Section 1512.</w:t>
            </w:r>
          </w:p>
        </w:tc>
        <w:tc>
          <w:tcPr>
            <w:tcW w:w="8740" w:type="dxa"/>
            <w:vAlign w:val="bottom"/>
            <w:shd w:val="clear" w:color="auto" w:fill="C6F4F9"/>
          </w:tcPr>
          <w:p>
            <w:pPr>
              <w:ind w:left="180"/>
              <w:spacing w:after="0"/>
              <w:rPr>
                <w:sz w:val="20"/>
                <w:szCs w:val="20"/>
                <w:color w:val="auto"/>
              </w:rPr>
            </w:pPr>
            <w:r>
              <w:rPr>
                <w:rFonts w:ascii="Arial" w:cs="Arial" w:eastAsia="Arial" w:hAnsi="Arial"/>
                <w:sz w:val="18"/>
                <w:szCs w:val="18"/>
                <w:color w:val="auto"/>
              </w:rPr>
              <w:t>Parallel Debt Collateral Matters.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688"/>
        </w:trPr>
        <w:tc>
          <w:tcPr>
            <w:tcW w:w="1480" w:type="dxa"/>
            <w:vAlign w:val="bottom"/>
          </w:tcPr>
          <w:p>
            <w:pPr>
              <w:spacing w:after="0"/>
              <w:rPr>
                <w:sz w:val="24"/>
                <w:szCs w:val="24"/>
                <w:color w:val="auto"/>
              </w:rPr>
            </w:pPr>
          </w:p>
        </w:tc>
        <w:tc>
          <w:tcPr>
            <w:tcW w:w="8740" w:type="dxa"/>
            <w:vAlign w:val="bottom"/>
          </w:tcPr>
          <w:p>
            <w:pPr>
              <w:ind w:left="3460"/>
              <w:spacing w:after="0"/>
              <w:rPr>
                <w:sz w:val="20"/>
                <w:szCs w:val="20"/>
                <w:color w:val="auto"/>
              </w:rPr>
            </w:pPr>
            <w:r>
              <w:rPr>
                <w:rFonts w:ascii="Arial" w:cs="Arial" w:eastAsia="Arial" w:hAnsi="Arial"/>
                <w:sz w:val="18"/>
                <w:szCs w:val="18"/>
                <w:b w:val="1"/>
                <w:bCs w:val="1"/>
                <w:color w:val="auto"/>
              </w:rPr>
              <w:t>ANNEX A</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80" w:type="dxa"/>
            <w:vAlign w:val="bottom"/>
          </w:tcPr>
          <w:p>
            <w:pPr>
              <w:spacing w:after="0"/>
              <w:rPr>
                <w:sz w:val="20"/>
                <w:szCs w:val="20"/>
                <w:color w:val="auto"/>
              </w:rPr>
            </w:pPr>
            <w:r>
              <w:rPr>
                <w:rFonts w:ascii="Arial" w:cs="Arial" w:eastAsia="Arial" w:hAnsi="Arial"/>
                <w:sz w:val="18"/>
                <w:szCs w:val="18"/>
                <w:color w:val="auto"/>
              </w:rPr>
              <w:t>FORM OF NOTE</w:t>
            </w:r>
          </w:p>
        </w:tc>
        <w:tc>
          <w:tcPr>
            <w:tcW w:w="87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459"/>
        </w:trPr>
        <w:tc>
          <w:tcPr>
            <w:tcW w:w="1480" w:type="dxa"/>
            <w:vAlign w:val="bottom"/>
          </w:tcPr>
          <w:p>
            <w:pPr>
              <w:spacing w:after="0"/>
              <w:rPr>
                <w:sz w:val="24"/>
                <w:szCs w:val="24"/>
                <w:color w:val="auto"/>
              </w:rPr>
            </w:pPr>
          </w:p>
        </w:tc>
        <w:tc>
          <w:tcPr>
            <w:tcW w:w="8740" w:type="dxa"/>
            <w:vAlign w:val="bottom"/>
          </w:tcPr>
          <w:p>
            <w:pPr>
              <w:ind w:left="3460"/>
              <w:spacing w:after="0"/>
              <w:rPr>
                <w:sz w:val="20"/>
                <w:szCs w:val="20"/>
                <w:color w:val="auto"/>
              </w:rPr>
            </w:pPr>
            <w:r>
              <w:rPr>
                <w:rFonts w:ascii="Arial" w:cs="Arial" w:eastAsia="Arial" w:hAnsi="Arial"/>
                <w:sz w:val="18"/>
                <w:szCs w:val="18"/>
                <w:b w:val="1"/>
                <w:bCs w:val="1"/>
                <w:color w:val="auto"/>
              </w:rPr>
              <w:t>ANNEX B</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220" w:type="dxa"/>
            <w:vAlign w:val="bottom"/>
            <w:gridSpan w:val="2"/>
          </w:tcPr>
          <w:p>
            <w:pPr>
              <w:spacing w:after="0"/>
              <w:rPr>
                <w:sz w:val="20"/>
                <w:szCs w:val="20"/>
                <w:color w:val="auto"/>
              </w:rPr>
            </w:pPr>
            <w:r>
              <w:rPr>
                <w:rFonts w:ascii="Arial" w:cs="Arial" w:eastAsia="Arial" w:hAnsi="Arial"/>
                <w:sz w:val="18"/>
                <w:szCs w:val="18"/>
                <w:color w:val="auto"/>
              </w:rPr>
              <w:t>FORM OF SUPPLEMENTAL INDENTURE</w:t>
            </w:r>
          </w:p>
        </w:tc>
        <w:tc>
          <w:tcPr>
            <w:tcW w:w="1020" w:type="dxa"/>
            <w:vAlign w:val="bottom"/>
          </w:tcPr>
          <w:p>
            <w:pPr>
              <w:jc w:val="right"/>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459"/>
        </w:trPr>
        <w:tc>
          <w:tcPr>
            <w:tcW w:w="1480" w:type="dxa"/>
            <w:vAlign w:val="bottom"/>
          </w:tcPr>
          <w:p>
            <w:pPr>
              <w:spacing w:after="0"/>
              <w:rPr>
                <w:sz w:val="24"/>
                <w:szCs w:val="24"/>
                <w:color w:val="auto"/>
              </w:rPr>
            </w:pPr>
          </w:p>
        </w:tc>
        <w:tc>
          <w:tcPr>
            <w:tcW w:w="8740" w:type="dxa"/>
            <w:vAlign w:val="bottom"/>
          </w:tcPr>
          <w:p>
            <w:pPr>
              <w:ind w:left="3460"/>
              <w:spacing w:after="0"/>
              <w:rPr>
                <w:sz w:val="20"/>
                <w:szCs w:val="20"/>
                <w:color w:val="auto"/>
              </w:rPr>
            </w:pPr>
            <w:r>
              <w:rPr>
                <w:rFonts w:ascii="Arial" w:cs="Arial" w:eastAsia="Arial" w:hAnsi="Arial"/>
                <w:sz w:val="18"/>
                <w:szCs w:val="18"/>
                <w:b w:val="1"/>
                <w:bCs w:val="1"/>
                <w:color w:val="auto"/>
              </w:rPr>
              <w:t>ANNEX 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220" w:type="dxa"/>
            <w:vAlign w:val="bottom"/>
            <w:gridSpan w:val="2"/>
          </w:tcPr>
          <w:p>
            <w:pPr>
              <w:spacing w:after="0"/>
              <w:rPr>
                <w:sz w:val="20"/>
                <w:szCs w:val="20"/>
                <w:color w:val="auto"/>
              </w:rPr>
            </w:pPr>
            <w:r>
              <w:rPr>
                <w:rFonts w:ascii="Arial" w:cs="Arial" w:eastAsia="Arial" w:hAnsi="Arial"/>
                <w:sz w:val="18"/>
                <w:szCs w:val="18"/>
                <w:color w:val="auto"/>
              </w:rPr>
              <w:t>FORM OF CERTIFICATE TO BE DELIVERED IN CONNECTION WITH TRANSFERS TO INSTITUTIONAL ACCREDITED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INVESTORS</w:t>
            </w:r>
          </w:p>
        </w:tc>
        <w:tc>
          <w:tcPr>
            <w:tcW w:w="874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874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ANNEX D</w:t>
            </w: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87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220" w:type="dxa"/>
            <w:vAlign w:val="bottom"/>
            <w:gridSpan w:val="2"/>
          </w:tcPr>
          <w:p>
            <w:pPr>
              <w:spacing w:after="0"/>
              <w:rPr>
                <w:sz w:val="20"/>
                <w:szCs w:val="20"/>
                <w:color w:val="auto"/>
              </w:rPr>
            </w:pPr>
            <w:r>
              <w:rPr>
                <w:rFonts w:ascii="Arial" w:cs="Arial" w:eastAsia="Arial" w:hAnsi="Arial"/>
                <w:sz w:val="18"/>
                <w:szCs w:val="18"/>
                <w:color w:val="auto"/>
              </w:rPr>
              <w:t>FORM OF CERTIFICATE TO BE DELIVERED IN CONNECTION WITH TRANSFERS PURSUANT TO REGULATION S</w:t>
            </w:r>
          </w:p>
        </w:tc>
        <w:tc>
          <w:tcPr>
            <w:tcW w:w="1020" w:type="dxa"/>
            <w:vAlign w:val="bottom"/>
          </w:tcPr>
          <w:p>
            <w:pPr>
              <w:jc w:val="right"/>
              <w:spacing w:after="0"/>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459"/>
        </w:trPr>
        <w:tc>
          <w:tcPr>
            <w:tcW w:w="1480" w:type="dxa"/>
            <w:vAlign w:val="bottom"/>
          </w:tcPr>
          <w:p>
            <w:pPr>
              <w:spacing w:after="0"/>
              <w:rPr>
                <w:sz w:val="24"/>
                <w:szCs w:val="24"/>
                <w:color w:val="auto"/>
              </w:rPr>
            </w:pPr>
          </w:p>
        </w:tc>
        <w:tc>
          <w:tcPr>
            <w:tcW w:w="8740" w:type="dxa"/>
            <w:vAlign w:val="bottom"/>
          </w:tcPr>
          <w:p>
            <w:pPr>
              <w:ind w:left="3460"/>
              <w:spacing w:after="0"/>
              <w:rPr>
                <w:sz w:val="20"/>
                <w:szCs w:val="20"/>
                <w:color w:val="auto"/>
              </w:rPr>
            </w:pPr>
            <w:r>
              <w:rPr>
                <w:rFonts w:ascii="Arial" w:cs="Arial" w:eastAsia="Arial" w:hAnsi="Arial"/>
                <w:sz w:val="18"/>
                <w:szCs w:val="18"/>
                <w:b w:val="1"/>
                <w:bCs w:val="1"/>
                <w:color w:val="auto"/>
              </w:rPr>
              <w:t>ANNEX 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220" w:type="dxa"/>
            <w:vAlign w:val="bottom"/>
            <w:gridSpan w:val="2"/>
          </w:tcPr>
          <w:p>
            <w:pPr>
              <w:spacing w:after="0"/>
              <w:rPr>
                <w:sz w:val="20"/>
                <w:szCs w:val="20"/>
                <w:color w:val="auto"/>
              </w:rPr>
            </w:pPr>
            <w:r>
              <w:rPr>
                <w:rFonts w:ascii="Arial" w:cs="Arial" w:eastAsia="Arial" w:hAnsi="Arial"/>
                <w:sz w:val="18"/>
                <w:szCs w:val="18"/>
                <w:color w:val="auto"/>
              </w:rPr>
              <w:t>COLLATERAL REQUIREMENTS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459"/>
        </w:trPr>
        <w:tc>
          <w:tcPr>
            <w:tcW w:w="1480" w:type="dxa"/>
            <w:vAlign w:val="bottom"/>
          </w:tcPr>
          <w:p>
            <w:pPr>
              <w:spacing w:after="0"/>
              <w:rPr>
                <w:sz w:val="24"/>
                <w:szCs w:val="24"/>
                <w:color w:val="auto"/>
              </w:rPr>
            </w:pPr>
          </w:p>
        </w:tc>
        <w:tc>
          <w:tcPr>
            <w:tcW w:w="8740" w:type="dxa"/>
            <w:vAlign w:val="bottom"/>
          </w:tcPr>
          <w:p>
            <w:pPr>
              <w:ind w:left="3460"/>
              <w:spacing w:after="0"/>
              <w:rPr>
                <w:sz w:val="20"/>
                <w:szCs w:val="20"/>
                <w:color w:val="auto"/>
              </w:rPr>
            </w:pPr>
            <w:r>
              <w:rPr>
                <w:rFonts w:ascii="Arial" w:cs="Arial" w:eastAsia="Arial" w:hAnsi="Arial"/>
                <w:sz w:val="18"/>
                <w:szCs w:val="18"/>
                <w:b w:val="1"/>
                <w:bCs w:val="1"/>
                <w:color w:val="auto"/>
              </w:rPr>
              <w:t>ANNEX F</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220" w:type="dxa"/>
            <w:vAlign w:val="bottom"/>
            <w:gridSpan w:val="2"/>
          </w:tcPr>
          <w:p>
            <w:pPr>
              <w:spacing w:after="0"/>
              <w:rPr>
                <w:sz w:val="20"/>
                <w:szCs w:val="20"/>
                <w:color w:val="auto"/>
              </w:rPr>
            </w:pPr>
            <w:r>
              <w:rPr>
                <w:rFonts w:ascii="Arial" w:cs="Arial" w:eastAsia="Arial" w:hAnsi="Arial"/>
                <w:sz w:val="18"/>
                <w:szCs w:val="18"/>
                <w:color w:val="auto"/>
              </w:rPr>
              <w:t>INITIAL ISSUANCE DATE REAL PROPERTY</w:t>
            </w:r>
          </w:p>
        </w:tc>
        <w:tc>
          <w:tcPr>
            <w:tcW w:w="10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1" w:name="page12"/>
    <w:bookmarkEnd w:id="11"/>
    <w:p>
      <w:pPr>
        <w:ind w:right="180" w:firstLine="648"/>
        <w:spacing w:after="0" w:line="284" w:lineRule="auto"/>
        <w:rPr>
          <w:sz w:val="20"/>
          <w:szCs w:val="20"/>
          <w:color w:val="auto"/>
        </w:rPr>
      </w:pPr>
      <w:r>
        <w:rPr>
          <w:rFonts w:ascii="Arial" w:cs="Arial" w:eastAsia="Arial" w:hAnsi="Arial"/>
          <w:sz w:val="19"/>
          <w:szCs w:val="19"/>
          <w:b w:val="1"/>
          <w:bCs w:val="1"/>
          <w:color w:val="auto"/>
        </w:rPr>
        <w:t xml:space="preserve">THIS INDENTURE </w:t>
      </w:r>
      <w:r>
        <w:rPr>
          <w:rFonts w:ascii="Arial" w:cs="Arial" w:eastAsia="Arial" w:hAnsi="Arial"/>
          <w:sz w:val="19"/>
          <w:szCs w:val="19"/>
          <w:color w:val="auto"/>
        </w:rPr>
        <w:t>(herein called the “Indenture”), dated as of August 28, 2020, is among Weatherford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Ltd., a Bermuda exempted company (herein called the “Issuer”), Weatherford International plc, an Irish public limited company (herein called the “Parent Guarantor”), Weatherford International, LLC, a Delaware limited liability company (herein called a “Subsidiary Guarantor”), the other Subsidiary Guarantors party hereto from time to time and Wilmington Trust, National Association, as Trustee (in such capacity, the “Trustee”) and as Collateral Agent (in such capacity, the “Collateral Agent”).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THE INDENTURE WITNESSETH:</w:t>
      </w:r>
    </w:p>
    <w:p>
      <w:pPr>
        <w:spacing w:after="0" w:line="21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For and in consideration of the premises and the purchase of the Notes by the Holders thereof, it is mutually agreed, for the equal and proportionate benefit of all Holders of the Notes of each series as follows: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ONE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DEFINITIONS AND OTHER PROVISIONS</w:t>
      </w:r>
    </w:p>
    <w:p>
      <w:pPr>
        <w:jc w:val="center"/>
        <w:ind w:right="20"/>
        <w:spacing w:after="0"/>
        <w:rPr>
          <w:sz w:val="20"/>
          <w:szCs w:val="20"/>
          <w:color w:val="auto"/>
        </w:rPr>
      </w:pPr>
      <w:r>
        <w:rPr>
          <w:rFonts w:ascii="Arial" w:cs="Arial" w:eastAsia="Arial" w:hAnsi="Arial"/>
          <w:sz w:val="22"/>
          <w:szCs w:val="22"/>
          <w:b w:val="1"/>
          <w:bCs w:val="1"/>
          <w:color w:val="auto"/>
        </w:rPr>
        <w:t>OF GENERAL APPLICATION</w:t>
      </w:r>
    </w:p>
    <w:p>
      <w:pPr>
        <w:spacing w:after="0" w:line="18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For all purposes of the Indenture, except as otherwise expressly provided or unless the context otherwise requires:</w:t>
      </w:r>
    </w:p>
    <w:p>
      <w:pPr>
        <w:spacing w:after="0" w:line="206" w:lineRule="exact"/>
        <w:rPr>
          <w:sz w:val="20"/>
          <w:szCs w:val="20"/>
          <w:color w:val="auto"/>
        </w:rPr>
      </w:pPr>
    </w:p>
    <w:p>
      <w:pPr>
        <w:ind w:left="660" w:right="60" w:firstLine="644"/>
        <w:spacing w:after="0" w:line="250" w:lineRule="auto"/>
        <w:tabs>
          <w:tab w:leader="none" w:pos="21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terms defined in this Article have the meanings assigned to them in this Article and include the plural as well as the singular;</w:t>
      </w:r>
    </w:p>
    <w:p>
      <w:pPr>
        <w:spacing w:after="0" w:line="174" w:lineRule="exact"/>
        <w:rPr>
          <w:rFonts w:ascii="Arial" w:cs="Arial" w:eastAsia="Arial" w:hAnsi="Arial"/>
          <w:sz w:val="22"/>
          <w:szCs w:val="22"/>
          <w:color w:val="auto"/>
        </w:rPr>
      </w:pPr>
    </w:p>
    <w:p>
      <w:pPr>
        <w:ind w:left="660" w:right="80" w:firstLine="644"/>
        <w:spacing w:after="0" w:line="250" w:lineRule="auto"/>
        <w:tabs>
          <w:tab w:leader="none" w:pos="21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all other terms used herein which are defined in the Exchange Act or in the Securities Act, either directly or by reference therein, have the meanings assigned to them therein;</w:t>
      </w:r>
    </w:p>
    <w:p>
      <w:pPr>
        <w:spacing w:after="0" w:line="174" w:lineRule="exact"/>
        <w:rPr>
          <w:rFonts w:ascii="Arial" w:cs="Arial" w:eastAsia="Arial" w:hAnsi="Arial"/>
          <w:sz w:val="22"/>
          <w:szCs w:val="22"/>
          <w:color w:val="auto"/>
        </w:rPr>
      </w:pPr>
    </w:p>
    <w:p>
      <w:pPr>
        <w:ind w:left="2100" w:hanging="796"/>
        <w:spacing w:after="0"/>
        <w:tabs>
          <w:tab w:leader="none" w:pos="21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all accounting terms not otherwise defined herein have the meanings assigned to them in accordance with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GAAP;</w:t>
      </w:r>
    </w:p>
    <w:p>
      <w:pPr>
        <w:spacing w:after="0" w:line="188" w:lineRule="exact"/>
        <w:rPr>
          <w:rFonts w:ascii="Arial" w:cs="Arial" w:eastAsia="Arial" w:hAnsi="Arial"/>
          <w:sz w:val="19"/>
          <w:szCs w:val="19"/>
          <w:color w:val="auto"/>
        </w:rPr>
      </w:pPr>
    </w:p>
    <w:p>
      <w:pPr>
        <w:ind w:left="660" w:firstLine="644"/>
        <w:spacing w:after="0" w:line="250" w:lineRule="auto"/>
        <w:tabs>
          <w:tab w:leader="none" w:pos="2100" w:val="left"/>
        </w:tabs>
        <w:numPr>
          <w:ilvl w:val="0"/>
          <w:numId w:val="5"/>
        </w:numPr>
        <w:rPr>
          <w:rFonts w:ascii="Arial" w:cs="Arial" w:eastAsia="Arial" w:hAnsi="Arial"/>
          <w:sz w:val="22"/>
          <w:szCs w:val="22"/>
          <w:color w:val="auto"/>
        </w:rPr>
      </w:pPr>
      <w:r>
        <w:rPr>
          <w:rFonts w:ascii="Arial" w:cs="Arial" w:eastAsia="Arial" w:hAnsi="Arial"/>
          <w:sz w:val="22"/>
          <w:szCs w:val="22"/>
          <w:color w:val="auto"/>
        </w:rPr>
        <w:t>unless the context otherwise requires, any reference to an “Article” or a “Section” refers to an Article or a Section, as the case may be, of the Indenture;</w:t>
      </w:r>
    </w:p>
    <w:p>
      <w:pPr>
        <w:spacing w:after="0" w:line="174" w:lineRule="exact"/>
        <w:rPr>
          <w:rFonts w:ascii="Arial" w:cs="Arial" w:eastAsia="Arial" w:hAnsi="Arial"/>
          <w:sz w:val="22"/>
          <w:szCs w:val="22"/>
          <w:color w:val="auto"/>
        </w:rPr>
      </w:pPr>
    </w:p>
    <w:p>
      <w:pPr>
        <w:ind w:left="2100" w:hanging="796"/>
        <w:spacing w:after="0"/>
        <w:tabs>
          <w:tab w:leader="none" w:pos="2100" w:val="left"/>
        </w:tabs>
        <w:numPr>
          <w:ilvl w:val="0"/>
          <w:numId w:val="5"/>
        </w:numPr>
        <w:rPr>
          <w:rFonts w:ascii="Arial" w:cs="Arial" w:eastAsia="Arial" w:hAnsi="Arial"/>
          <w:sz w:val="21"/>
          <w:szCs w:val="21"/>
          <w:color w:val="auto"/>
        </w:rPr>
      </w:pPr>
      <w:r>
        <w:rPr>
          <w:rFonts w:ascii="Arial" w:cs="Arial" w:eastAsia="Arial" w:hAnsi="Arial"/>
          <w:sz w:val="21"/>
          <w:szCs w:val="21"/>
          <w:color w:val="auto"/>
        </w:rPr>
        <w:t>unless the context otherwise requires, the word “will” shall be interpreted to express a command;</w:t>
      </w:r>
    </w:p>
    <w:p>
      <w:pPr>
        <w:spacing w:after="0" w:line="217" w:lineRule="exact"/>
        <w:rPr>
          <w:rFonts w:ascii="Arial" w:cs="Arial" w:eastAsia="Arial" w:hAnsi="Arial"/>
          <w:sz w:val="21"/>
          <w:szCs w:val="21"/>
          <w:color w:val="auto"/>
        </w:rPr>
      </w:pPr>
    </w:p>
    <w:p>
      <w:pPr>
        <w:ind w:left="660" w:right="420" w:firstLine="644"/>
        <w:spacing w:after="0" w:line="274" w:lineRule="auto"/>
        <w:tabs>
          <w:tab w:leader="none" w:pos="2100" w:val="left"/>
        </w:tabs>
        <w:numPr>
          <w:ilvl w:val="0"/>
          <w:numId w:val="5"/>
        </w:numPr>
        <w:rPr>
          <w:rFonts w:ascii="Arial" w:cs="Arial" w:eastAsia="Arial" w:hAnsi="Arial"/>
          <w:sz w:val="21"/>
          <w:szCs w:val="21"/>
          <w:color w:val="auto"/>
        </w:rPr>
      </w:pPr>
      <w:r>
        <w:rPr>
          <w:rFonts w:ascii="Arial" w:cs="Arial" w:eastAsia="Arial" w:hAnsi="Arial"/>
          <w:sz w:val="21"/>
          <w:szCs w:val="21"/>
          <w:color w:val="auto"/>
        </w:rPr>
        <w:t>references to sections of or rules under the Securities Act or Exchange Act will be deemed to include substitute, replacement or successor sections or rules that come into force from time to time;</w:t>
      </w:r>
    </w:p>
    <w:p>
      <w:pPr>
        <w:spacing w:after="0" w:line="150" w:lineRule="exact"/>
        <w:rPr>
          <w:rFonts w:ascii="Arial" w:cs="Arial" w:eastAsia="Arial" w:hAnsi="Arial"/>
          <w:sz w:val="21"/>
          <w:szCs w:val="21"/>
          <w:color w:val="auto"/>
        </w:rPr>
      </w:pPr>
    </w:p>
    <w:p>
      <w:pPr>
        <w:ind w:left="660" w:right="100" w:firstLine="644"/>
        <w:spacing w:after="0" w:line="250" w:lineRule="auto"/>
        <w:tabs>
          <w:tab w:leader="none" w:pos="21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the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ind w:left="660" w:right="1020" w:firstLine="644"/>
        <w:spacing w:after="0" w:line="251" w:lineRule="auto"/>
        <w:tabs>
          <w:tab w:leader="none" w:pos="21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references to “examiner” and “examinership” shall have the meaning given to them in the Companies Act 2014 of Ireland; and</w:t>
      </w:r>
    </w:p>
    <w:p>
      <w:pPr>
        <w:spacing w:after="0" w:line="173" w:lineRule="exact"/>
        <w:rPr>
          <w:rFonts w:ascii="Arial" w:cs="Arial" w:eastAsia="Arial" w:hAnsi="Arial"/>
          <w:sz w:val="22"/>
          <w:szCs w:val="22"/>
          <w:color w:val="auto"/>
        </w:rPr>
      </w:pPr>
    </w:p>
    <w:p>
      <w:pPr>
        <w:ind w:left="660" w:firstLine="644"/>
        <w:spacing w:after="0" w:line="244" w:lineRule="auto"/>
        <w:tabs>
          <w:tab w:leader="none" w:pos="2100" w:val="left"/>
        </w:tabs>
        <w:numPr>
          <w:ilvl w:val="0"/>
          <w:numId w:val="6"/>
        </w:numPr>
        <w:rPr>
          <w:rFonts w:ascii="Arial" w:cs="Arial" w:eastAsia="Arial" w:hAnsi="Arial"/>
          <w:sz w:val="21"/>
          <w:szCs w:val="21"/>
          <w:color w:val="auto"/>
        </w:rPr>
      </w:pPr>
      <w:r>
        <w:rPr>
          <w:rFonts w:ascii="Arial" w:cs="Arial" w:eastAsia="Arial" w:hAnsi="Arial"/>
          <w:sz w:val="21"/>
          <w:szCs w:val="21"/>
          <w:color w:val="auto"/>
        </w:rPr>
        <w:t>unless otherwise provided herein or in any other Notes Document, the words “execute”, “execution”, “signed”, and “signature” and words of similar import used in or related to any document to be signed in connection with this Indenture, any other Notes Document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neither the Trustee nor the Collateral Agent is under any obligation to agree to accept electronic signatures in any form or in any format unless expressly agreed to by the Trustee or the Collateral Agent pursuant to reasonable procedures approved by the Trustee or the Collateral Agent.</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acceleration declaration</w:t>
      </w:r>
      <w:r>
        <w:rPr>
          <w:rFonts w:ascii="Arial" w:cs="Arial" w:eastAsia="Arial" w:hAnsi="Arial"/>
          <w:sz w:val="22"/>
          <w:szCs w:val="22"/>
          <w:color w:val="auto"/>
        </w:rPr>
        <w:t>” has the meaning specified in Section 502.</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Account</w:t>
      </w:r>
      <w:r>
        <w:rPr>
          <w:rFonts w:ascii="Arial" w:cs="Arial" w:eastAsia="Arial" w:hAnsi="Arial"/>
          <w:sz w:val="22"/>
          <w:szCs w:val="22"/>
          <w:color w:val="auto"/>
        </w:rPr>
        <w:t>” means an account (as that term is defined in the Code or, to the extent applicable, the PPSA).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Account Debtor</w:t>
      </w:r>
      <w:r>
        <w:rPr>
          <w:rFonts w:ascii="Arial" w:cs="Arial" w:eastAsia="Arial" w:hAnsi="Arial"/>
          <w:sz w:val="22"/>
          <w:szCs w:val="22"/>
          <w:color w:val="auto"/>
        </w:rPr>
        <w:t>” means any Person who is obligated on an Account, chattel paper, or a general intangible.</w:t>
      </w:r>
    </w:p>
    <w:p>
      <w:pPr>
        <w:spacing w:after="0" w:line="206"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Acquired Indebtedness</w:t>
      </w:r>
      <w:r>
        <w:rPr>
          <w:rFonts w:ascii="Arial" w:cs="Arial" w:eastAsia="Arial" w:hAnsi="Arial"/>
          <w:sz w:val="19"/>
          <w:szCs w:val="19"/>
          <w:color w:val="auto"/>
        </w:rPr>
        <w:t>” means (1) with respect to any Person that becomes a Restricted Subsidiary after the Initial Issuance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Act</w:t>
      </w:r>
      <w:r>
        <w:rPr>
          <w:rFonts w:ascii="Arial" w:cs="Arial" w:eastAsia="Arial" w:hAnsi="Arial"/>
          <w:sz w:val="22"/>
          <w:szCs w:val="22"/>
          <w:color w:val="auto"/>
        </w:rPr>
        <w:t>,” when used with respect to any Holder, has the meaning specified in Section 104.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Assets</w:t>
      </w:r>
      <w:r>
        <w:rPr>
          <w:rFonts w:ascii="Arial" w:cs="Arial" w:eastAsia="Arial" w:hAnsi="Arial"/>
          <w:sz w:val="22"/>
          <w:szCs w:val="22"/>
          <w:color w:val="auto"/>
        </w:rPr>
        <w:t>” means:</w:t>
      </w:r>
    </w:p>
    <w:p>
      <w:pPr>
        <w:spacing w:after="0" w:line="213" w:lineRule="exact"/>
        <w:rPr>
          <w:sz w:val="20"/>
          <w:szCs w:val="20"/>
          <w:color w:val="auto"/>
        </w:rPr>
      </w:pPr>
    </w:p>
    <w:p>
      <w:pPr>
        <w:ind w:left="1300" w:right="2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assets used or useful in a Permitted Business, other than cash, Cash Equivalents, Indebtedness or, except as provided below, Equity Interests;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left="1300" w:right="440" w:hanging="644"/>
        <w:spacing w:after="0" w:line="30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 Interests of a Person that becomes a Restricted Subsidiary as a result of the acquisition of such Equity Interests by the Parent Guarantor or any of its Restricted Subsidiaries;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 Interests in any Person that at such time is a Restricted Subsidiary;</w:t>
      </w:r>
    </w:p>
    <w:p>
      <w:pPr>
        <w:spacing w:after="0" w:line="231" w:lineRule="exact"/>
        <w:rPr>
          <w:sz w:val="20"/>
          <w:szCs w:val="20"/>
          <w:color w:val="auto"/>
        </w:rPr>
      </w:pPr>
    </w:p>
    <w:p>
      <w:pPr>
        <w:ind w:right="840"/>
        <w:spacing w:after="0" w:line="250"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any such Restricted Subsidiary described in clause (2) or (3) is primarily engaged in a Permitted</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w:t>
      </w:r>
    </w:p>
    <w:p>
      <w:pPr>
        <w:spacing w:after="0" w:line="175"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Additional Notes</w:t>
      </w:r>
      <w:r>
        <w:rPr>
          <w:rFonts w:ascii="Arial" w:cs="Arial" w:eastAsia="Arial" w:hAnsi="Arial"/>
          <w:sz w:val="21"/>
          <w:szCs w:val="21"/>
          <w:color w:val="auto"/>
        </w:rPr>
        <w:t>” means the additional principal amount of Notes (other than the Initial Notes) that the Issuer may issue from time to time under this Indenture in accordance with Section 314 of this Indenture as part of the same series of Notes issued on the date hereof other than Notes issued in exchange for, or replacement of outstanding Notes.</w:t>
      </w:r>
    </w:p>
    <w:p>
      <w:pPr>
        <w:spacing w:after="0" w:line="169" w:lineRule="exact"/>
        <w:rPr>
          <w:sz w:val="20"/>
          <w:szCs w:val="20"/>
          <w:color w:val="auto"/>
        </w:rPr>
      </w:pPr>
    </w:p>
    <w:p>
      <w:pPr>
        <w:ind w:right="60" w:firstLine="7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22"/>
          <w:szCs w:val="22"/>
          <w:i w:val="1"/>
          <w:iCs w:val="1"/>
          <w:color w:val="auto"/>
        </w:rPr>
        <w:t>control</w:t>
      </w:r>
      <w:r>
        <w:rPr>
          <w:rFonts w:ascii="Arial" w:cs="Arial" w:eastAsia="Arial" w:hAnsi="Arial"/>
          <w:sz w:val="22"/>
          <w:szCs w:val="22"/>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22"/>
          <w:szCs w:val="22"/>
          <w:i w:val="1"/>
          <w:iCs w:val="1"/>
          <w:color w:val="auto"/>
        </w:rPr>
        <w:t>controlling</w:t>
      </w:r>
      <w:r>
        <w:rPr>
          <w:rFonts w:ascii="Arial" w:cs="Arial" w:eastAsia="Arial" w:hAnsi="Arial"/>
          <w:sz w:val="22"/>
          <w:szCs w:val="22"/>
          <w:color w:val="auto"/>
        </w:rPr>
        <w:t>” and “</w:t>
      </w:r>
      <w:r>
        <w:rPr>
          <w:rFonts w:ascii="Arial" w:cs="Arial" w:eastAsia="Arial" w:hAnsi="Arial"/>
          <w:sz w:val="22"/>
          <w:szCs w:val="22"/>
          <w:i w:val="1"/>
          <w:iCs w:val="1"/>
          <w:color w:val="auto"/>
        </w:rPr>
        <w:t>controlled</w:t>
      </w:r>
      <w:r>
        <w:rPr>
          <w:rFonts w:ascii="Arial" w:cs="Arial" w:eastAsia="Arial" w:hAnsi="Arial"/>
          <w:sz w:val="22"/>
          <w:szCs w:val="22"/>
          <w:color w:val="auto"/>
        </w:rPr>
        <w:t>”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 Transaction</w:t>
      </w:r>
      <w:r>
        <w:rPr>
          <w:rFonts w:ascii="Arial" w:cs="Arial" w:eastAsia="Arial" w:hAnsi="Arial"/>
          <w:sz w:val="22"/>
          <w:szCs w:val="22"/>
          <w:color w:val="auto"/>
        </w:rPr>
        <w:t>” has the meaning specified in Section 1013.</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After-Acquired Property</w:t>
      </w:r>
      <w:r>
        <w:rPr>
          <w:rFonts w:ascii="Arial" w:cs="Arial" w:eastAsia="Arial" w:hAnsi="Arial"/>
          <w:sz w:val="21"/>
          <w:szCs w:val="21"/>
          <w:color w:val="auto"/>
        </w:rPr>
        <w:t>” means property (other than Excluded Assets) that is intended to be Collateral acquired by the Issuer or a Guarantor after the Initial Issuance Date (including property of a Person that becomes a new Guarantor after the Initial Issuance Date) that is not automatically subject to a perfected (or any analogous concept to the extent perfection does not apply in the relevant jurisdiction) security interest under the Collateral Documents.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 Members</w:t>
      </w:r>
      <w:r>
        <w:rPr>
          <w:rFonts w:ascii="Arial" w:cs="Arial" w:eastAsia="Arial" w:hAnsi="Arial"/>
          <w:sz w:val="22"/>
          <w:szCs w:val="22"/>
          <w:color w:val="auto"/>
        </w:rPr>
        <w:t>” has the meaning specified in Section 305.</w:t>
      </w:r>
    </w:p>
    <w:p>
      <w:pPr>
        <w:spacing w:after="0" w:line="206" w:lineRule="exact"/>
        <w:rPr>
          <w:sz w:val="20"/>
          <w:szCs w:val="20"/>
          <w:color w:val="auto"/>
        </w:rPr>
      </w:pPr>
    </w:p>
    <w:p>
      <w:pPr>
        <w:ind w:righ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amend</w:t>
      </w:r>
      <w:r>
        <w:rPr>
          <w:rFonts w:ascii="Arial" w:cs="Arial" w:eastAsia="Arial" w:hAnsi="Arial"/>
          <w:sz w:val="22"/>
          <w:szCs w:val="22"/>
          <w:color w:val="auto"/>
        </w:rPr>
        <w:t>” means to amend, supplement, restate, amend and restate or otherwise modify, including successively, and “amendment” shall have a correlative meaning.</w:t>
      </w:r>
    </w:p>
    <w:p>
      <w:pPr>
        <w:spacing w:after="0" w:line="175"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Agent</w:t>
      </w:r>
      <w:r>
        <w:rPr>
          <w:rFonts w:ascii="Arial" w:cs="Arial" w:eastAsia="Arial" w:hAnsi="Arial"/>
          <w:sz w:val="22"/>
          <w:szCs w:val="22"/>
          <w:color w:val="auto"/>
        </w:rPr>
        <w:t>” means, at any time, the “Applicable Senior Collateral Agent” as defined in the First Lien Intercreditor Agreement (or applicable analogous term in any successor agreement or replacement of the First Lien Intercreditor Agreement) at such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Banking Laws</w:t>
      </w:r>
      <w:r>
        <w:rPr>
          <w:rFonts w:ascii="Arial" w:cs="Arial" w:eastAsia="Arial" w:hAnsi="Arial"/>
          <w:sz w:val="22"/>
          <w:szCs w:val="22"/>
          <w:color w:val="auto"/>
        </w:rPr>
        <w:t>” has the meaning specified in Section 116.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Collateral Limitations</w:t>
      </w:r>
      <w:r>
        <w:rPr>
          <w:rFonts w:ascii="Arial" w:cs="Arial" w:eastAsia="Arial" w:hAnsi="Arial"/>
          <w:sz w:val="22"/>
          <w:szCs w:val="22"/>
          <w:color w:val="auto"/>
        </w:rPr>
        <w:t>” has the meaning specified in Section 1017.</w:t>
      </w:r>
    </w:p>
    <w:p>
      <w:pPr>
        <w:spacing w:after="0" w:line="206" w:lineRule="exact"/>
        <w:rPr>
          <w:sz w:val="20"/>
          <w:szCs w:val="20"/>
          <w:color w:val="auto"/>
        </w:rPr>
      </w:pPr>
    </w:p>
    <w:p>
      <w:pPr>
        <w:ind w:right="6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Credit Facility</w:t>
      </w:r>
      <w:r>
        <w:rPr>
          <w:rFonts w:ascii="Arial" w:cs="Arial" w:eastAsia="Arial" w:hAnsi="Arial"/>
          <w:sz w:val="22"/>
          <w:szCs w:val="22"/>
          <w:color w:val="auto"/>
        </w:rPr>
        <w:t>” means, at any time, the Credit Facility (if any) for which the Applicable Agent acts as representative under the First Lien Intercreditor Agreement at such time.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Acquisition</w:t>
      </w:r>
      <w:r>
        <w:rPr>
          <w:rFonts w:ascii="Arial" w:cs="Arial" w:eastAsia="Arial" w:hAnsi="Arial"/>
          <w:sz w:val="22"/>
          <w:szCs w:val="22"/>
          <w:color w:val="auto"/>
        </w:rPr>
        <w:t>” means: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ind w:left="660" w:right="180" w:firstLine="644"/>
        <w:spacing w:after="0"/>
        <w:tabs>
          <w:tab w:leader="none" w:pos="21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86" w:lineRule="exact"/>
        <w:rPr>
          <w:rFonts w:ascii="Arial" w:cs="Arial" w:eastAsia="Arial" w:hAnsi="Arial"/>
          <w:sz w:val="22"/>
          <w:szCs w:val="22"/>
          <w:color w:val="auto"/>
        </w:rPr>
      </w:pPr>
    </w:p>
    <w:p>
      <w:pPr>
        <w:jc w:val="both"/>
        <w:ind w:left="660" w:right="180" w:firstLine="644"/>
        <w:spacing w:after="0" w:line="297" w:lineRule="auto"/>
        <w:tabs>
          <w:tab w:leader="none" w:pos="21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Sale</w:t>
      </w:r>
      <w:r>
        <w:rPr>
          <w:rFonts w:ascii="Arial" w:cs="Arial" w:eastAsia="Arial" w:hAnsi="Arial"/>
          <w:sz w:val="22"/>
          <w:szCs w:val="22"/>
          <w:color w:val="auto"/>
        </w:rPr>
        <w:t>” means:</w:t>
      </w:r>
    </w:p>
    <w:p>
      <w:pPr>
        <w:spacing w:after="0" w:line="213" w:lineRule="exact"/>
        <w:rPr>
          <w:sz w:val="20"/>
          <w:szCs w:val="20"/>
          <w:color w:val="auto"/>
        </w:rPr>
      </w:pPr>
    </w:p>
    <w:p>
      <w:pPr>
        <w:ind w:left="1300" w:right="34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sale, lease (other than operating leases entered into in the ordinary course of business), conveyance or other disposition of any properties or assets (including by way of a Sale-Leaseback Transaction or mergers, amalgamations, consolidations or otherwise); and</w:t>
      </w:r>
    </w:p>
    <w:p>
      <w:pPr>
        <w:spacing w:after="0" w:line="123" w:lineRule="exact"/>
        <w:rPr>
          <w:rFonts w:ascii="Arial" w:cs="Arial" w:eastAsia="Arial" w:hAnsi="Arial"/>
          <w:sz w:val="16"/>
          <w:szCs w:val="16"/>
          <w:color w:val="auto"/>
        </w:rPr>
      </w:pPr>
    </w:p>
    <w:p>
      <w:pPr>
        <w:ind w:left="1300" w:right="420" w:hanging="644"/>
        <w:spacing w:after="0" w:line="279"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issuance of Equity Interests in any of the Parent Guarantor’s Restricted Subsidiaries or the sale by the Parent Guarantor or any Restricted Subsidiary of Equity Interests in any of the Parent Guarantor’s Restricted Subsidiaries (in either case other than Preferred Stock of any Restricted Subsidiary issued in compliance with the Indenture and directors’ qualifying shares or shares required by applicable law to be held by a Person other than the Parent Guarantor or a Restricted Subsidiary);</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the case of (1) or (2), the sale, assignment, transfer, lease, conveyance or other disposition of all or substantially</w:t>
      </w:r>
      <w:r>
        <w:rPr>
          <w:rFonts w:ascii="Arial" w:cs="Arial" w:eastAsia="Arial" w:hAnsi="Arial"/>
          <w:sz w:val="21"/>
          <w:szCs w:val="21"/>
          <w:i w:val="1"/>
          <w:iCs w:val="1"/>
          <w:color w:val="auto"/>
        </w:rPr>
        <w:t xml:space="preserve"> </w:t>
      </w:r>
      <w:r>
        <w:rPr>
          <w:rFonts w:ascii="Arial" w:cs="Arial" w:eastAsia="Arial" w:hAnsi="Arial"/>
          <w:sz w:val="21"/>
          <w:szCs w:val="21"/>
          <w:color w:val="auto"/>
        </w:rPr>
        <w:t>all of the properties or assets of the Parent Guarantor and its Restricted Subsidiaries (including by way of a merger, amalgamation or consolidation) will be governed by Section 801 and not by the provisions of Section 1012.</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preceding, the following items will not be deemed to be Asset Sales:</w:t>
      </w:r>
    </w:p>
    <w:p>
      <w:pPr>
        <w:spacing w:after="0" w:line="213" w:lineRule="exact"/>
        <w:rPr>
          <w:sz w:val="20"/>
          <w:szCs w:val="20"/>
          <w:color w:val="auto"/>
        </w:rPr>
      </w:pPr>
    </w:p>
    <w:p>
      <w:pPr>
        <w:ind w:left="1300" w:right="2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properties, assets or Equity Interests having a Fair Market Value of less than $10.0 million;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transfer or other disposition of assets between or among any of the Parent Guarantor and its Restricted Subsidiaries;</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issuance or sale or other disposition of Equity Interests by a Restricted Subsidiary to the Parent Guarantor or to another Restricted Subsidiary;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 or other disposition of Receivables in connection with any Permitted Factoring Transaction;</w:t>
      </w:r>
    </w:p>
    <w:p>
      <w:pPr>
        <w:spacing w:after="0" w:line="225" w:lineRule="exact"/>
        <w:rPr>
          <w:rFonts w:ascii="Arial" w:cs="Arial" w:eastAsia="Arial" w:hAnsi="Arial"/>
          <w:sz w:val="18"/>
          <w:szCs w:val="18"/>
          <w:color w:val="auto"/>
        </w:rPr>
      </w:pPr>
    </w:p>
    <w:p>
      <w:pPr>
        <w:ind w:left="1300" w:right="360" w:hanging="644"/>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sale, lease or other disposition of equipment, inventory, products, services, accounts receivable or other properties or assets in the ordinary course of business and any sale or other disposition of surplus, damaged, worn-out or obsolete assets;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2080" w:hanging="776"/>
        <w:spacing w:after="0"/>
        <w:tabs>
          <w:tab w:leader="none" w:pos="2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sale or other disposition of (a) financial instruments in the ordinary course of business or (b) cash or Cash Equivalents;</w:t>
      </w:r>
    </w:p>
    <w:p>
      <w:pPr>
        <w:spacing w:after="0" w:line="248" w:lineRule="exact"/>
        <w:rPr>
          <w:rFonts w:ascii="Arial" w:cs="Arial" w:eastAsia="Arial" w:hAnsi="Arial"/>
          <w:sz w:val="16"/>
          <w:szCs w:val="16"/>
          <w:color w:val="auto"/>
        </w:rPr>
      </w:pPr>
    </w:p>
    <w:p>
      <w:pPr>
        <w:ind w:left="1440" w:right="160" w:hanging="136"/>
        <w:spacing w:after="0" w:line="277" w:lineRule="auto"/>
        <w:tabs>
          <w:tab w:leader="none" w:pos="20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disposition of properties or assets that constitutes (or results in by virtue of the consideration received for such disposition) either a Restricted Payment that does not violate Section 1009 or a Permitted Investment;</w:t>
      </w:r>
    </w:p>
    <w:p>
      <w:pPr>
        <w:spacing w:after="0" w:line="170" w:lineRule="exact"/>
        <w:rPr>
          <w:rFonts w:ascii="Arial" w:cs="Arial" w:eastAsia="Arial" w:hAnsi="Arial"/>
          <w:sz w:val="18"/>
          <w:szCs w:val="18"/>
          <w:color w:val="auto"/>
        </w:rPr>
      </w:pPr>
    </w:p>
    <w:p>
      <w:pPr>
        <w:ind w:left="1440" w:right="340" w:hanging="136"/>
        <w:spacing w:after="0" w:line="277" w:lineRule="auto"/>
        <w:tabs>
          <w:tab w:leader="none" w:pos="20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creation or perfection of a Permitted Lien and dispositions in connection with Permitted Liens and the exercise by any Person in whose favor a Permitted Lien is granted of any of its rights in respect of that Permitted Lien;</w:t>
      </w:r>
    </w:p>
    <w:p>
      <w:pPr>
        <w:spacing w:after="0" w:line="170" w:lineRule="exact"/>
        <w:rPr>
          <w:rFonts w:ascii="Arial" w:cs="Arial" w:eastAsia="Arial" w:hAnsi="Arial"/>
          <w:sz w:val="18"/>
          <w:szCs w:val="18"/>
          <w:color w:val="auto"/>
        </w:rPr>
      </w:pPr>
    </w:p>
    <w:p>
      <w:pPr>
        <w:ind w:left="2080" w:hanging="776"/>
        <w:spacing w:after="0"/>
        <w:tabs>
          <w:tab w:leader="none" w:pos="2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surrender or waiver of contract rights or the settlement, release or surrender of contract, tort or other claims of any kind;</w:t>
      </w:r>
    </w:p>
    <w:p>
      <w:pPr>
        <w:spacing w:after="0" w:line="236" w:lineRule="exact"/>
        <w:rPr>
          <w:rFonts w:ascii="Arial" w:cs="Arial" w:eastAsia="Arial" w:hAnsi="Arial"/>
          <w:sz w:val="17"/>
          <w:szCs w:val="17"/>
          <w:color w:val="auto"/>
        </w:rPr>
      </w:pPr>
    </w:p>
    <w:p>
      <w:pPr>
        <w:ind w:left="1540" w:right="200" w:hanging="236"/>
        <w:spacing w:after="0" w:line="277" w:lineRule="auto"/>
        <w:tabs>
          <w:tab w:leader="none" w:pos="2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grant in the ordinary course of business of any non-exclusive license or sublicense of patents, trademarks, registrations therefor and other similar intellectual property;</w:t>
      </w:r>
    </w:p>
    <w:p>
      <w:pPr>
        <w:spacing w:after="0" w:line="170" w:lineRule="exact"/>
        <w:rPr>
          <w:rFonts w:ascii="Arial" w:cs="Arial" w:eastAsia="Arial" w:hAnsi="Arial"/>
          <w:sz w:val="18"/>
          <w:szCs w:val="18"/>
          <w:color w:val="auto"/>
        </w:rPr>
      </w:pPr>
    </w:p>
    <w:p>
      <w:pPr>
        <w:ind w:left="1540" w:right="480" w:hanging="236"/>
        <w:spacing w:after="0" w:line="277" w:lineRule="auto"/>
        <w:tabs>
          <w:tab w:leader="none" w:pos="2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disposition of assets or Equity Interests received in settlement of debts owing to a Person as a result of foreclosure, perfection or enforcement of any Lien or debt, which debts were owing to such Person;</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sale or other disposition of Equity Interests in, or Indebtedness or other securities of, an Unrestricted Subsidiary; and</w:t>
      </w:r>
    </w:p>
    <w:p>
      <w:pPr>
        <w:spacing w:after="0" w:line="248" w:lineRule="exact"/>
        <w:rPr>
          <w:rFonts w:ascii="Arial" w:cs="Arial" w:eastAsia="Arial" w:hAnsi="Arial"/>
          <w:sz w:val="16"/>
          <w:szCs w:val="16"/>
          <w:color w:val="auto"/>
        </w:rPr>
      </w:pPr>
    </w:p>
    <w:p>
      <w:pPr>
        <w:ind w:left="1540" w:hanging="236"/>
        <w:spacing w:after="0" w:line="277" w:lineRule="auto"/>
        <w:tabs>
          <w:tab w:leader="none" w:pos="2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expropriation, taking, sale or other disposition of assets (including any receipt of proceeds related thereto) by any foreign government or any of its political subdivisions, agencies or controlled entities.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Sale Offer</w:t>
      </w:r>
      <w:r>
        <w:rPr>
          <w:rFonts w:ascii="Arial" w:cs="Arial" w:eastAsia="Arial" w:hAnsi="Arial"/>
          <w:sz w:val="22"/>
          <w:szCs w:val="22"/>
          <w:color w:val="auto"/>
        </w:rPr>
        <w:t>” has the meaning set forth in Section 1012.</w:t>
      </w:r>
    </w:p>
    <w:p>
      <w:pPr>
        <w:spacing w:after="0" w:line="206"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Indebtedness</w:t>
      </w:r>
      <w:r>
        <w:rPr>
          <w:rFonts w:ascii="Arial" w:cs="Arial" w:eastAsia="Arial" w:hAnsi="Arial"/>
          <w:sz w:val="19"/>
          <w:szCs w:val="19"/>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9"/>
          <w:szCs w:val="19"/>
          <w:i w:val="1"/>
          <w:iCs w:val="1"/>
          <w:color w:val="auto"/>
        </w:rPr>
        <w:t>net rental payments</w:t>
      </w:r>
      <w:r>
        <w:rPr>
          <w:rFonts w:ascii="Arial" w:cs="Arial" w:eastAsia="Arial" w:hAnsi="Arial"/>
          <w:sz w:val="19"/>
          <w:szCs w:val="19"/>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57" w:lineRule="exact"/>
        <w:rPr>
          <w:sz w:val="20"/>
          <w:szCs w:val="20"/>
          <w:color w:val="auto"/>
        </w:rPr>
      </w:pPr>
    </w:p>
    <w:p>
      <w:pPr>
        <w:ind w:right="6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Authenticating Agent</w:t>
      </w:r>
      <w:r>
        <w:rPr>
          <w:rFonts w:ascii="Arial" w:cs="Arial" w:eastAsia="Arial" w:hAnsi="Arial"/>
          <w:sz w:val="22"/>
          <w:szCs w:val="22"/>
          <w:color w:val="auto"/>
        </w:rPr>
        <w:t>” means any Person authorized by the Trustee pursuant to Section 614 to act on behalf of the Trustee to authenticate Notes.</w:t>
      </w:r>
    </w:p>
    <w:p>
      <w:pPr>
        <w:spacing w:after="0" w:line="175"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United States Code, or any similar U.S. federal or state or non-U.S. law for relief of creditors.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6" w:name="page17"/>
    <w:bookmarkEnd w:id="16"/>
    <w:p>
      <w:pPr>
        <w:ind w:right="2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7"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Resolution</w:t>
      </w:r>
      <w:r>
        <w:rPr>
          <w:rFonts w:ascii="Arial" w:cs="Arial" w:eastAsia="Arial" w:hAnsi="Arial"/>
          <w:sz w:val="22"/>
          <w:szCs w:val="22"/>
          <w:color w:val="auto"/>
        </w:rPr>
        <w:t>” means a copy of a resolution certified by the Secretary or an Assistant Secretary of the Parent Guarantor, the Issuer or a Guarantor, the principal financial officer of the Parent Guarantor,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Parent Guarantor, the Issuer or the Guarantor, as applicable, authorized to take such action by its Board of Directors as evidenced by a Board Resolution.</w:t>
      </w:r>
    </w:p>
    <w:p>
      <w:pPr>
        <w:spacing w:after="0" w:line="187"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Book Value of Assets</w:t>
      </w:r>
      <w:r>
        <w:rPr>
          <w:rFonts w:ascii="Arial" w:cs="Arial" w:eastAsia="Arial" w:hAnsi="Arial"/>
          <w:sz w:val="22"/>
          <w:szCs w:val="22"/>
          <w:color w:val="auto"/>
        </w:rPr>
        <w:t>” means, as of any date of determination, the aggregate net book value of all Collateral (a) excluding the value of any such Collateral consisting of (i) cash, (ii) Cash Equivalents (and similar short-term marketable securities), (iii) intangible assets and (iv) Equity Interests of any Person, (b) calculated on a consolidated basis for all Note Parties (so as to exclude the value of any such Collateral consisting of obligations owing by one Note Party to another Note Party) and (c) with such net book values as reflected in the most recent consolidated financial statements of Parent delivered pursuant to Section 703(a)(1).</w:t>
      </w:r>
    </w:p>
    <w:p>
      <w:pPr>
        <w:spacing w:after="0" w:line="188"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each Monday, Tuesday, Wednesday, Thursday and Friday which is not a day on which banking institutions in the City and State of New York or in the Place of Payment are authorized or obligated by law, executive order or regulation to close.</w:t>
      </w:r>
    </w:p>
    <w:p>
      <w:pPr>
        <w:spacing w:after="0" w:line="186"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Capitalized Lease</w:t>
      </w:r>
      <w:r>
        <w:rPr>
          <w:rFonts w:ascii="Arial" w:cs="Arial" w:eastAsia="Arial" w:hAnsi="Arial"/>
          <w:sz w:val="22"/>
          <w:szCs w:val="22"/>
          <w:color w:val="auto"/>
        </w:rPr>
        <w:t>” means a lease required to be capitalized for financial reporting purposes in accordance with GAAP. Notwithstanding the foregoing, any lease that would have been classified as an operating lease pursuant to GAAP as in effect on December 31, 2018 shall be deemed not to be a Capitalized Lease.</w:t>
      </w:r>
    </w:p>
    <w:p>
      <w:pPr>
        <w:spacing w:after="0" w:line="186"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Capitalized Lease Obligations</w:t>
      </w:r>
      <w:r>
        <w:rPr>
          <w:rFonts w:ascii="Arial" w:cs="Arial" w:eastAsia="Arial" w:hAnsi="Arial"/>
          <w:sz w:val="21"/>
          <w:szCs w:val="21"/>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 Equivalents</w:t>
      </w:r>
      <w:r>
        <w:rPr>
          <w:rFonts w:ascii="Arial" w:cs="Arial" w:eastAsia="Arial" w:hAnsi="Arial"/>
          <w:sz w:val="22"/>
          <w:szCs w:val="22"/>
          <w:color w:val="auto"/>
        </w:rPr>
        <w:t>” means:</w:t>
      </w:r>
    </w:p>
    <w:p>
      <w:pPr>
        <w:spacing w:after="0" w:line="206" w:lineRule="exact"/>
        <w:rPr>
          <w:sz w:val="20"/>
          <w:szCs w:val="20"/>
          <w:color w:val="auto"/>
        </w:rPr>
      </w:pPr>
    </w:p>
    <w:p>
      <w:pPr>
        <w:jc w:val="both"/>
        <w:ind w:right="80" w:firstLine="656"/>
        <w:spacing w:after="0"/>
        <w:tabs>
          <w:tab w:leader="none" w:pos="14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firstLine="656"/>
        <w:spacing w:after="0" w:line="238" w:lineRule="auto"/>
        <w:tabs>
          <w:tab w:leader="none" w:pos="14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direct obligations of, or obligations the principal of and interest on which are fully guaranteed by, any state of the United States (or any political subdivision thereof or any public instrumentality thereof), in each case maturing within one year from the date of acquisition thereof and, at the time of acquisition, having one of the two highest ratings obtainable from either S&amp;P or Moody’s;</w:t>
      </w:r>
    </w:p>
    <w:p>
      <w:pPr>
        <w:spacing w:after="0" w:line="185" w:lineRule="exact"/>
        <w:rPr>
          <w:rFonts w:ascii="Arial" w:cs="Arial" w:eastAsia="Arial" w:hAnsi="Arial"/>
          <w:sz w:val="22"/>
          <w:szCs w:val="22"/>
          <w:color w:val="auto"/>
        </w:rPr>
      </w:pPr>
    </w:p>
    <w:p>
      <w:pPr>
        <w:ind w:right="260" w:firstLine="656"/>
        <w:spacing w:after="0" w:line="250" w:lineRule="auto"/>
        <w:tabs>
          <w:tab w:leader="none" w:pos="14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the highest credit rating obtained from S&amp;P or from Moody’s;</w:t>
      </w:r>
    </w:p>
    <w:p>
      <w:pPr>
        <w:spacing w:after="0" w:line="174" w:lineRule="exact"/>
        <w:rPr>
          <w:rFonts w:ascii="Arial" w:cs="Arial" w:eastAsia="Arial" w:hAnsi="Arial"/>
          <w:sz w:val="22"/>
          <w:szCs w:val="22"/>
          <w:color w:val="auto"/>
        </w:rPr>
      </w:pPr>
    </w:p>
    <w:p>
      <w:pPr>
        <w:ind w:right="160" w:firstLine="656"/>
        <w:spacing w:after="0" w:line="277" w:lineRule="auto"/>
        <w:tabs>
          <w:tab w:leader="none" w:pos="14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investments in certificates of deposit, bankers’ acceptances, time deposits or overnight bank deposits maturing within one year from the date of acquisition thereof issued or guaranteed by or placed with, and money market deposit accounts issued or offered by, (i) any domestic office of any commercial bank organized under the laws of the United States or any State thereof or the District of Columbia or any United States branch of a foreign bank having at the date of acquisition thereof combined capital and surplus and undivided profits of not less than $500.0 million or (ii) any bank organized under the laws of any Covered Jurisdiction (other than an Excluded Jurisdiction) having at the date of acquisition thereof combined capital and surplus and undivided profits of not less than $500.0 million (calculated at the then-applicable Exchange Rate);</w:t>
      </w:r>
    </w:p>
    <w:p>
      <w:pPr>
        <w:spacing w:after="0" w:line="151" w:lineRule="exact"/>
        <w:rPr>
          <w:rFonts w:ascii="Arial" w:cs="Arial" w:eastAsia="Arial" w:hAnsi="Arial"/>
          <w:sz w:val="19"/>
          <w:szCs w:val="19"/>
          <w:color w:val="auto"/>
        </w:rPr>
      </w:pPr>
    </w:p>
    <w:p>
      <w:pPr>
        <w:jc w:val="both"/>
        <w:ind w:right="20" w:firstLine="656"/>
        <w:spacing w:after="0"/>
        <w:tabs>
          <w:tab w:leader="none" w:pos="14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Deposit Accounts maintained with (i) any bank that satisfies the criteria described in clause (4) above, or (ii) any other bank organized under the laws of the United States or any state thereof so long as the full amount maintained with any such other bank is insured by the Federal Deposit Insurance Corporation;</w:t>
      </w:r>
    </w:p>
    <w:p>
      <w:pPr>
        <w:spacing w:after="0" w:line="186" w:lineRule="exact"/>
        <w:rPr>
          <w:rFonts w:ascii="Arial" w:cs="Arial" w:eastAsia="Arial" w:hAnsi="Arial"/>
          <w:sz w:val="22"/>
          <w:szCs w:val="22"/>
          <w:color w:val="auto"/>
        </w:rPr>
      </w:pPr>
    </w:p>
    <w:p>
      <w:pPr>
        <w:ind w:right="140" w:firstLine="656"/>
        <w:spacing w:after="0" w:line="297" w:lineRule="auto"/>
        <w:tabs>
          <w:tab w:leader="none" w:pos="14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repurchase obligations of any commercial bank satisfying the requirements of clause (4) of this definition or recognized securities dealer having combined capital and surplus and undivided profits of not less than $500.0 million, having a term of not more than 30 days, with respect to securities satisfying the criteria in clauses (1) or (4) above;</w:t>
      </w:r>
    </w:p>
    <w:p>
      <w:pPr>
        <w:spacing w:after="0" w:line="133" w:lineRule="exact"/>
        <w:rPr>
          <w:rFonts w:ascii="Arial" w:cs="Arial" w:eastAsia="Arial" w:hAnsi="Arial"/>
          <w:sz w:val="19"/>
          <w:szCs w:val="19"/>
          <w:color w:val="auto"/>
        </w:rPr>
      </w:pPr>
    </w:p>
    <w:p>
      <w:pPr>
        <w:ind w:right="420" w:firstLine="656"/>
        <w:spacing w:after="0" w:line="274" w:lineRule="auto"/>
        <w:tabs>
          <w:tab w:leader="none" w:pos="1440" w:val="left"/>
        </w:tabs>
        <w:numPr>
          <w:ilvl w:val="0"/>
          <w:numId w:val="14"/>
        </w:numPr>
        <w:rPr>
          <w:rFonts w:ascii="Arial" w:cs="Arial" w:eastAsia="Arial" w:hAnsi="Arial"/>
          <w:sz w:val="21"/>
          <w:szCs w:val="21"/>
          <w:color w:val="auto"/>
        </w:rPr>
      </w:pPr>
      <w:r>
        <w:rPr>
          <w:rFonts w:ascii="Arial" w:cs="Arial" w:eastAsia="Arial" w:hAnsi="Arial"/>
          <w:sz w:val="21"/>
          <w:szCs w:val="21"/>
          <w:color w:val="auto"/>
        </w:rPr>
        <w:t>debt securities with maturities of six months or less from the date of acquisition backed by standby letters of credit issued by any commercial bank satisfying the criteria described in clause (4) above; and</w:t>
      </w:r>
    </w:p>
    <w:p>
      <w:pPr>
        <w:spacing w:after="0" w:line="150" w:lineRule="exact"/>
        <w:rPr>
          <w:rFonts w:ascii="Arial" w:cs="Arial" w:eastAsia="Arial" w:hAnsi="Arial"/>
          <w:sz w:val="21"/>
          <w:szCs w:val="21"/>
          <w:color w:val="auto"/>
        </w:rPr>
      </w:pPr>
    </w:p>
    <w:p>
      <w:pPr>
        <w:ind w:right="60" w:firstLine="656"/>
        <w:spacing w:after="0" w:line="250" w:lineRule="auto"/>
        <w:tabs>
          <w:tab w:leader="none" w:pos="14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investments in money market funds substantially all of whose assets are invested in the types of assets described in clauses (1) through (7) above.</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of Control</w:t>
      </w:r>
      <w:r>
        <w:rPr>
          <w:rFonts w:ascii="Arial" w:cs="Arial" w:eastAsia="Arial" w:hAnsi="Arial"/>
          <w:sz w:val="19"/>
          <w:szCs w:val="19"/>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ind w:right="20"/>
        <w:spacing w:after="0" w:line="282" w:lineRule="auto"/>
        <w:rPr>
          <w:sz w:val="20"/>
          <w:szCs w:val="20"/>
          <w:color w:val="auto"/>
        </w:rPr>
      </w:pPr>
      <w:r>
        <w:rPr>
          <w:rFonts w:ascii="Arial" w:cs="Arial" w:eastAsia="Arial" w:hAnsi="Arial"/>
          <w:sz w:val="19"/>
          <w:szCs w:val="19"/>
          <w:color w:val="auto"/>
        </w:rPr>
        <w:t>any merger, amalgamation, consolidation, plan or scheme of arrangement, exchange offer, business combination or similar transaction) the result of which is that any person (as such term is used in Section 13(d) of the Exchange Act) other than the Permitted Holders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 Board of Directors are not Continuing Directors.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 has the meaning specified in Section 1007.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 has the meaning specified in Section 1007.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 has the meaning specified in Section 1007.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New York Uniform Commercial Code, as in effect from time to time.</w:t>
      </w:r>
    </w:p>
    <w:p>
      <w:pPr>
        <w:spacing w:after="0" w:line="206"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means all assets and interests in assets and proceeds thereof now owned or hereafter acquired by any Note Party in or upon which a Lien is granted by such Person in favor of the Collateral Agent under any of the Notes Documents. For the avoidance of doubt, Collateral shall not include Excluded Assets.</w:t>
      </w:r>
    </w:p>
    <w:p>
      <w:pPr>
        <w:spacing w:after="0" w:line="18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Documents</w:t>
      </w:r>
      <w:r>
        <w:rPr>
          <w:rFonts w:ascii="Arial" w:cs="Arial" w:eastAsia="Arial" w:hAnsi="Arial"/>
          <w:sz w:val="19"/>
          <w:szCs w:val="19"/>
          <w:color w:val="auto"/>
        </w:rPr>
        <w:t>” means the Security Agreement, Mortgages, Deposit Account Control Agreements and other security documents described on Annex E, the First Lien Intercreditor Agreement and the other security documents pursuant to which the Issuer and the Guarantors grant Liens in favor of the Collateral Agent to secure the Indenture Obligations.</w:t>
      </w:r>
    </w:p>
    <w:p>
      <w:pPr>
        <w:spacing w:after="0" w:line="134"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Common Stock</w:t>
      </w:r>
      <w:r>
        <w:rPr>
          <w:rFonts w:ascii="Arial" w:cs="Arial" w:eastAsia="Arial" w:hAnsi="Arial"/>
          <w:sz w:val="19"/>
          <w:szCs w:val="19"/>
          <w:color w:val="auto"/>
        </w:rPr>
        <w:t>” means with respect to any Person, any and all shares, interest or other participations in, and other equivalents (however designated and whether voting or nonvoting) of such Person’s common stock or common shares whether or not outstanding on the Initial Issuance Date, and includes, without limitation, all series and classes of such common stock.</w:t>
      </w:r>
    </w:p>
    <w:p>
      <w:pPr>
        <w:spacing w:after="0" w:line="134" w:lineRule="exact"/>
        <w:rPr>
          <w:sz w:val="20"/>
          <w:szCs w:val="20"/>
          <w:color w:val="auto"/>
        </w:rPr>
      </w:pPr>
    </w:p>
    <w:p>
      <w:pPr>
        <w:ind w:right="5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Consolidated Amortization Expense</w:t>
      </w:r>
      <w:r>
        <w:rPr>
          <w:rFonts w:ascii="Arial" w:cs="Arial" w:eastAsia="Arial" w:hAnsi="Arial"/>
          <w:sz w:val="21"/>
          <w:szCs w:val="21"/>
          <w:color w:val="auto"/>
        </w:rPr>
        <w:t>” for any period means the amortization expense of the relevant Person and the Restricted Subsidiaries for such period, determined on a consolidated basis in accordance with GAAP.</w:t>
      </w:r>
    </w:p>
    <w:p>
      <w:pPr>
        <w:spacing w:after="0" w:line="151"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Cash Flow</w:t>
      </w:r>
      <w:r>
        <w:rPr>
          <w:rFonts w:ascii="Arial" w:cs="Arial" w:eastAsia="Arial" w:hAnsi="Arial"/>
          <w:sz w:val="22"/>
          <w:szCs w:val="22"/>
          <w:color w:val="auto"/>
        </w:rPr>
        <w:t>” for any period means, with respect to any specified Person and its Restricted Subsidiaries, without duplication, the sum of the amounts for such period of:</w:t>
      </w:r>
    </w:p>
    <w:p>
      <w:pPr>
        <w:spacing w:after="0" w:line="175" w:lineRule="exact"/>
        <w:rPr>
          <w:sz w:val="20"/>
          <w:szCs w:val="20"/>
          <w:color w:val="auto"/>
        </w:rPr>
      </w:pPr>
    </w:p>
    <w:p>
      <w:pPr>
        <w:ind w:left="2100" w:hanging="796"/>
        <w:spacing w:after="0"/>
        <w:tabs>
          <w:tab w:leader="none" w:pos="21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Consolidated Net Income, plus</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 each case only to the extent deducted in determining Consolidated Net Income,</w:t>
      </w:r>
    </w:p>
    <w:p>
      <w:pPr>
        <w:spacing w:after="0" w:line="206" w:lineRule="exact"/>
        <w:rPr>
          <w:rFonts w:ascii="Arial" w:cs="Arial" w:eastAsia="Arial" w:hAnsi="Arial"/>
          <w:sz w:val="22"/>
          <w:szCs w:val="22"/>
          <w:color w:val="auto"/>
        </w:rPr>
      </w:pPr>
    </w:p>
    <w:p>
      <w:pPr>
        <w:ind w:left="2740" w:hanging="788"/>
        <w:spacing w:after="0"/>
        <w:tabs>
          <w:tab w:leader="none" w:pos="27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Consolidated Income Tax Expense,</w:t>
      </w:r>
    </w:p>
    <w:p>
      <w:pPr>
        <w:spacing w:after="0" w:line="206" w:lineRule="exact"/>
        <w:rPr>
          <w:rFonts w:ascii="Arial" w:cs="Arial" w:eastAsia="Arial" w:hAnsi="Arial"/>
          <w:sz w:val="22"/>
          <w:szCs w:val="22"/>
          <w:color w:val="auto"/>
        </w:rPr>
      </w:pPr>
    </w:p>
    <w:p>
      <w:pPr>
        <w:ind w:left="2740" w:hanging="788"/>
        <w:spacing w:after="0"/>
        <w:tabs>
          <w:tab w:leader="none" w:pos="27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Consolidated Amortization Expense,</w:t>
      </w:r>
    </w:p>
    <w:p>
      <w:pPr>
        <w:spacing w:after="0" w:line="206" w:lineRule="exact"/>
        <w:rPr>
          <w:rFonts w:ascii="Arial" w:cs="Arial" w:eastAsia="Arial" w:hAnsi="Arial"/>
          <w:sz w:val="22"/>
          <w:szCs w:val="22"/>
          <w:color w:val="auto"/>
        </w:rPr>
      </w:pPr>
    </w:p>
    <w:p>
      <w:pPr>
        <w:ind w:left="2740" w:hanging="788"/>
        <w:spacing w:after="0"/>
        <w:tabs>
          <w:tab w:leader="none" w:pos="27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Consolidated Depreciation Expense,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ind w:left="2740" w:hanging="788"/>
        <w:spacing w:after="0"/>
        <w:tabs>
          <w:tab w:leader="none" w:pos="27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Consolidated Interest Expense, and</w:t>
      </w:r>
    </w:p>
    <w:p>
      <w:pPr>
        <w:spacing w:after="0" w:line="206" w:lineRule="exact"/>
        <w:rPr>
          <w:rFonts w:ascii="Arial" w:cs="Arial" w:eastAsia="Arial" w:hAnsi="Arial"/>
          <w:sz w:val="22"/>
          <w:szCs w:val="22"/>
          <w:color w:val="auto"/>
        </w:rPr>
      </w:pPr>
    </w:p>
    <w:p>
      <w:pPr>
        <w:ind w:left="1300" w:right="220" w:firstLine="652"/>
        <w:spacing w:after="0" w:line="328" w:lineRule="auto"/>
        <w:tabs>
          <w:tab w:leader="none" w:pos="2728" w:val="left"/>
        </w:tabs>
        <w:numPr>
          <w:ilvl w:val="1"/>
          <w:numId w:val="16"/>
        </w:numPr>
        <w:rPr>
          <w:rFonts w:ascii="Arial" w:cs="Arial" w:eastAsia="Arial" w:hAnsi="Arial"/>
          <w:sz w:val="19"/>
          <w:szCs w:val="19"/>
          <w:color w:val="auto"/>
        </w:rPr>
      </w:pPr>
      <w:r>
        <w:rPr>
          <w:rFonts w:ascii="Arial" w:cs="Arial" w:eastAsia="Arial" w:hAnsi="Arial"/>
          <w:sz w:val="19"/>
          <w:szCs w:val="19"/>
          <w:color w:val="auto"/>
        </w:rPr>
        <w:t>all other non-cash items reducing the Consolidated Net Income (excluding any non-cash charge that results in an accrual of a reserve for cash charges in any future period) for such period, minus,</w:t>
      </w:r>
    </w:p>
    <w:p>
      <w:pPr>
        <w:spacing w:after="0" w:line="104" w:lineRule="exact"/>
        <w:rPr>
          <w:rFonts w:ascii="Arial" w:cs="Arial" w:eastAsia="Arial" w:hAnsi="Arial"/>
          <w:sz w:val="19"/>
          <w:szCs w:val="19"/>
          <w:color w:val="auto"/>
        </w:rPr>
      </w:pPr>
    </w:p>
    <w:p>
      <w:pPr>
        <w:ind w:left="660" w:right="40" w:firstLine="644"/>
        <w:spacing w:after="0" w:line="297" w:lineRule="auto"/>
        <w:tabs>
          <w:tab w:leader="none" w:pos="2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33" w:lineRule="exact"/>
        <w:rPr>
          <w:rFonts w:ascii="Arial" w:cs="Arial" w:eastAsia="Arial" w:hAnsi="Arial"/>
          <w:sz w:val="19"/>
          <w:szCs w:val="19"/>
          <w:color w:val="auto"/>
        </w:rPr>
      </w:pPr>
    </w:p>
    <w:p>
      <w:pPr>
        <w:jc w:val="both"/>
        <w:ind w:left="660" w:right="40" w:firstLine="644"/>
        <w:spacing w:after="0" w:line="252" w:lineRule="auto"/>
        <w:tabs>
          <w:tab w:leader="none" w:pos="21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74" w:lineRule="exact"/>
        <w:rPr>
          <w:sz w:val="20"/>
          <w:szCs w:val="20"/>
          <w:color w:val="auto"/>
        </w:rPr>
      </w:pPr>
    </w:p>
    <w:p>
      <w:pPr>
        <w:ind w:right="6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Depreciation Expense</w:t>
      </w:r>
      <w:r>
        <w:rPr>
          <w:rFonts w:ascii="Arial" w:cs="Arial" w:eastAsia="Arial" w:hAnsi="Arial"/>
          <w:sz w:val="19"/>
          <w:szCs w:val="19"/>
          <w:color w:val="auto"/>
        </w:rPr>
        <w:t>” for any period means the depreciation expense of the relevant Person and its Restricted Subsidiaries for such period, determined on a consolidated basis in accordance with GAAP.</w:t>
      </w:r>
    </w:p>
    <w:p>
      <w:pPr>
        <w:spacing w:after="0" w:line="105"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Income Tax Expense</w:t>
      </w:r>
      <w:r>
        <w:rPr>
          <w:rFonts w:ascii="Arial" w:cs="Arial" w:eastAsia="Arial" w:hAnsi="Arial"/>
          <w:sz w:val="22"/>
          <w:szCs w:val="22"/>
          <w:color w:val="auto"/>
        </w:rPr>
        <w:t>” for any period means the provision for taxes of the relevant Person and its Restricted Subsidiaries, determined on a consolidated basis in accordance with GAAP.</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Interest Coverage Ratio</w:t>
      </w:r>
      <w:r>
        <w:rPr>
          <w:rFonts w:ascii="Arial" w:cs="Arial" w:eastAsia="Arial" w:hAnsi="Arial"/>
          <w:sz w:val="19"/>
          <w:szCs w:val="19"/>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9"/>
          <w:szCs w:val="19"/>
          <w:i w:val="1"/>
          <w:iCs w:val="1"/>
          <w:color w:val="auto"/>
        </w:rPr>
        <w:t>Four-Quarter Period</w:t>
      </w:r>
      <w:r>
        <w:rPr>
          <w:rFonts w:ascii="Arial" w:cs="Arial" w:eastAsia="Arial" w:hAnsi="Arial"/>
          <w:sz w:val="19"/>
          <w:szCs w:val="19"/>
          <w:color w:val="auto"/>
        </w:rPr>
        <w:t>”) ending on or prior to the date of the transaction giving rise to the need to calculate the Consolidated Interest Coverage Ratio (the “</w:t>
      </w:r>
      <w:r>
        <w:rPr>
          <w:rFonts w:ascii="Arial" w:cs="Arial" w:eastAsia="Arial" w:hAnsi="Arial"/>
          <w:sz w:val="19"/>
          <w:szCs w:val="19"/>
          <w:i w:val="1"/>
          <w:iCs w:val="1"/>
          <w:color w:val="auto"/>
        </w:rPr>
        <w:t>Transaction Date</w:t>
      </w:r>
      <w:r>
        <w:rPr>
          <w:rFonts w:ascii="Arial" w:cs="Arial" w:eastAsia="Arial" w:hAnsi="Arial"/>
          <w:sz w:val="19"/>
          <w:szCs w:val="19"/>
          <w:color w:val="auto"/>
        </w:rPr>
        <w:t>”) to</w:t>
      </w:r>
    </w:p>
    <w:p>
      <w:pPr>
        <w:spacing w:after="0" w:line="3" w:lineRule="exact"/>
        <w:rPr>
          <w:sz w:val="20"/>
          <w:szCs w:val="20"/>
          <w:color w:val="auto"/>
        </w:rPr>
      </w:pPr>
    </w:p>
    <w:p>
      <w:pPr>
        <w:ind w:firstLine="8"/>
        <w:spacing w:after="0" w:line="234" w:lineRule="auto"/>
        <w:tabs>
          <w:tab w:leader="none" w:pos="306" w:val="left"/>
        </w:tabs>
        <w:numPr>
          <w:ilvl w:val="0"/>
          <w:numId w:val="18"/>
        </w:numPr>
        <w:rPr>
          <w:rFonts w:ascii="Arial" w:cs="Arial" w:eastAsia="Arial" w:hAnsi="Arial"/>
          <w:sz w:val="22"/>
          <w:szCs w:val="22"/>
          <w:color w:val="auto"/>
        </w:rPr>
      </w:pPr>
      <w:r>
        <w:rPr>
          <w:rFonts w:ascii="Arial" w:cs="Arial" w:eastAsia="Arial" w:hAnsi="Arial"/>
          <w:sz w:val="22"/>
          <w:szCs w:val="22"/>
          <w:color w:val="auto"/>
        </w:rPr>
        <w:t>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87" w:lineRule="exact"/>
        <w:rPr>
          <w:rFonts w:ascii="Arial" w:cs="Arial" w:eastAsia="Arial" w:hAnsi="Arial"/>
          <w:sz w:val="22"/>
          <w:szCs w:val="22"/>
          <w:color w:val="auto"/>
        </w:rPr>
      </w:pPr>
    </w:p>
    <w:p>
      <w:pPr>
        <w:ind w:left="660" w:right="40" w:firstLine="644"/>
        <w:spacing w:after="0" w:line="275" w:lineRule="auto"/>
        <w:tabs>
          <w:tab w:leader="none" w:pos="2100"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ind w:left="660" w:right="40" w:firstLine="644"/>
        <w:spacing w:after="0" w:line="273" w:lineRule="auto"/>
        <w:tabs>
          <w:tab w:leader="none" w:pos="21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9"/>
          <w:szCs w:val="19"/>
          <w:i w:val="1"/>
          <w:iCs w:val="1"/>
          <w:color w:val="auto"/>
        </w:rPr>
        <w:t>provided</w:t>
      </w:r>
      <w:r>
        <w:rPr>
          <w:rFonts w:ascii="Arial" w:cs="Arial" w:eastAsia="Arial" w:hAnsi="Arial"/>
          <w:sz w:val="19"/>
          <w:szCs w:val="19"/>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calculating Consolidated Interest Expense for purposes of determining the denominator (but not the numerator) of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Consolidated Interest Coverage Ratio:</w:t>
      </w:r>
    </w:p>
    <w:p>
      <w:pPr>
        <w:spacing w:after="0" w:line="188" w:lineRule="exact"/>
        <w:rPr>
          <w:sz w:val="20"/>
          <w:szCs w:val="20"/>
          <w:color w:val="auto"/>
        </w:rPr>
      </w:pPr>
    </w:p>
    <w:p>
      <w:pPr>
        <w:ind w:left="660" w:right="120" w:firstLine="644"/>
        <w:spacing w:after="0"/>
        <w:tabs>
          <w:tab w:leader="none" w:pos="21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86" w:lineRule="exact"/>
        <w:rPr>
          <w:rFonts w:ascii="Arial" w:cs="Arial" w:eastAsia="Arial" w:hAnsi="Arial"/>
          <w:sz w:val="22"/>
          <w:szCs w:val="22"/>
          <w:color w:val="auto"/>
        </w:rPr>
      </w:pPr>
    </w:p>
    <w:p>
      <w:pPr>
        <w:jc w:val="both"/>
        <w:ind w:left="660" w:firstLine="644"/>
        <w:spacing w:after="0" w:line="297" w:lineRule="auto"/>
        <w:tabs>
          <w:tab w:leader="none" w:pos="21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33" w:lineRule="exact"/>
        <w:rPr>
          <w:rFonts w:ascii="Arial" w:cs="Arial" w:eastAsia="Arial" w:hAnsi="Arial"/>
          <w:sz w:val="19"/>
          <w:szCs w:val="19"/>
          <w:color w:val="auto"/>
        </w:rPr>
      </w:pPr>
    </w:p>
    <w:p>
      <w:pPr>
        <w:ind w:left="660" w:right="40" w:firstLine="644"/>
        <w:spacing w:after="0"/>
        <w:tabs>
          <w:tab w:leader="none" w:pos="21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6" w:lineRule="exact"/>
        <w:rPr>
          <w:sz w:val="20"/>
          <w:szCs w:val="20"/>
          <w:color w:val="auto"/>
        </w:rPr>
      </w:pPr>
    </w:p>
    <w:p>
      <w:pPr>
        <w:jc w:val="both"/>
        <w:ind w:right="3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Interest Expense</w:t>
      </w:r>
      <w:r>
        <w:rPr>
          <w:rFonts w:ascii="Arial" w:cs="Arial" w:eastAsia="Arial" w:hAnsi="Arial"/>
          <w:sz w:val="22"/>
          <w:szCs w:val="22"/>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186" w:lineRule="exact"/>
        <w:rPr>
          <w:sz w:val="20"/>
          <w:szCs w:val="20"/>
          <w:color w:val="auto"/>
        </w:rPr>
      </w:pPr>
    </w:p>
    <w:p>
      <w:pPr>
        <w:ind w:left="2100" w:hanging="796"/>
        <w:spacing w:after="0"/>
        <w:tabs>
          <w:tab w:leader="none" w:pos="21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imputed interest on Capitalized Lease Obligations and Attributable Indebtedness;</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net costs associated with Hedging Obligations related to interest rates;</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amortization of debt issuance costs, debt discount or premium and other financing fees and expenses;</w:t>
      </w:r>
    </w:p>
    <w:p>
      <w:pPr>
        <w:spacing w:after="0" w:line="240" w:lineRule="exact"/>
        <w:rPr>
          <w:rFonts w:ascii="Arial" w:cs="Arial" w:eastAsia="Arial" w:hAnsi="Arial"/>
          <w:sz w:val="19"/>
          <w:szCs w:val="19"/>
          <w:color w:val="auto"/>
        </w:rPr>
      </w:pPr>
    </w:p>
    <w:p>
      <w:pPr>
        <w:ind w:left="2100" w:hanging="796"/>
        <w:spacing w:after="0"/>
        <w:tabs>
          <w:tab w:leader="none" w:pos="21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interest portion of any deferred payment obligations;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2100" w:hanging="796"/>
        <w:spacing w:after="0"/>
        <w:tabs>
          <w:tab w:leader="none" w:pos="21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other non-cash interest expense;</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capitalized interest;</w:t>
      </w:r>
    </w:p>
    <w:p>
      <w:pPr>
        <w:spacing w:after="0" w:line="206" w:lineRule="exact"/>
        <w:rPr>
          <w:rFonts w:ascii="Arial" w:cs="Arial" w:eastAsia="Arial" w:hAnsi="Arial"/>
          <w:sz w:val="22"/>
          <w:szCs w:val="22"/>
          <w:color w:val="auto"/>
        </w:rPr>
      </w:pPr>
    </w:p>
    <w:p>
      <w:pPr>
        <w:ind w:left="660" w:right="140" w:firstLine="644"/>
        <w:spacing w:after="0" w:line="257" w:lineRule="auto"/>
        <w:tabs>
          <w:tab w:leader="none" w:pos="21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69" w:lineRule="exact"/>
        <w:rPr>
          <w:rFonts w:ascii="Arial" w:cs="Arial" w:eastAsia="Arial" w:hAnsi="Arial"/>
          <w:sz w:val="21"/>
          <w:szCs w:val="21"/>
          <w:color w:val="auto"/>
        </w:rPr>
      </w:pPr>
    </w:p>
    <w:p>
      <w:pPr>
        <w:ind w:left="2100" w:hanging="796"/>
        <w:spacing w:after="0"/>
        <w:tabs>
          <w:tab w:leader="none" w:pos="21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interest payable with respect to discontinued operations; and</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all interest on any Indebtedness described in clause (6) or (7) of the definition of Indebtedness.</w:t>
      </w:r>
    </w:p>
    <w:p>
      <w:pPr>
        <w:spacing w:after="0" w:line="21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Net Income</w:t>
      </w:r>
      <w:r>
        <w:rPr>
          <w:rFonts w:ascii="Arial" w:cs="Arial" w:eastAsia="Arial" w:hAnsi="Arial"/>
          <w:sz w:val="19"/>
          <w:szCs w:val="19"/>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there shall be excluded in calculating such net income (or loss), to the extent otherwise included therein, without duplication:</w:t>
      </w:r>
    </w:p>
    <w:p>
      <w:pPr>
        <w:spacing w:after="0" w:line="134" w:lineRule="exact"/>
        <w:rPr>
          <w:sz w:val="20"/>
          <w:szCs w:val="20"/>
          <w:color w:val="auto"/>
        </w:rPr>
      </w:pPr>
    </w:p>
    <w:p>
      <w:pPr>
        <w:ind w:left="660" w:right="140" w:firstLine="644"/>
        <w:spacing w:after="0" w:line="297" w:lineRule="auto"/>
        <w:tabs>
          <w:tab w:leader="none" w:pos="2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33" w:lineRule="exact"/>
        <w:rPr>
          <w:rFonts w:ascii="Arial" w:cs="Arial" w:eastAsia="Arial" w:hAnsi="Arial"/>
          <w:sz w:val="19"/>
          <w:szCs w:val="19"/>
          <w:color w:val="auto"/>
        </w:rPr>
      </w:pPr>
    </w:p>
    <w:p>
      <w:pPr>
        <w:ind w:left="660" w:right="20" w:firstLine="644"/>
        <w:spacing w:after="0" w:line="236" w:lineRule="auto"/>
        <w:tabs>
          <w:tab w:leader="none" w:pos="21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187" w:lineRule="exact"/>
        <w:rPr>
          <w:rFonts w:ascii="Arial" w:cs="Arial" w:eastAsia="Arial" w:hAnsi="Arial"/>
          <w:sz w:val="22"/>
          <w:szCs w:val="22"/>
          <w:color w:val="auto"/>
        </w:rPr>
      </w:pPr>
    </w:p>
    <w:p>
      <w:pPr>
        <w:ind w:left="660" w:firstLine="644"/>
        <w:spacing w:after="0" w:line="282" w:lineRule="auto"/>
        <w:tabs>
          <w:tab w:leader="none" w:pos="2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47" w:lineRule="exact"/>
        <w:rPr>
          <w:rFonts w:ascii="Arial" w:cs="Arial" w:eastAsia="Arial" w:hAnsi="Arial"/>
          <w:sz w:val="19"/>
          <w:szCs w:val="19"/>
          <w:color w:val="auto"/>
        </w:rPr>
      </w:pPr>
    </w:p>
    <w:p>
      <w:pPr>
        <w:ind w:left="2100" w:hanging="796"/>
        <w:spacing w:after="0"/>
        <w:tabs>
          <w:tab w:leader="none" w:pos="21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gains or losses attributable to discontinued operations;</w:t>
      </w:r>
    </w:p>
    <w:p>
      <w:pPr>
        <w:spacing w:after="0" w:line="206" w:lineRule="exact"/>
        <w:rPr>
          <w:rFonts w:ascii="Arial" w:cs="Arial" w:eastAsia="Arial" w:hAnsi="Arial"/>
          <w:sz w:val="22"/>
          <w:szCs w:val="22"/>
          <w:color w:val="auto"/>
        </w:rPr>
      </w:pPr>
    </w:p>
    <w:p>
      <w:pPr>
        <w:ind w:left="660" w:right="20" w:firstLine="644"/>
        <w:spacing w:after="0" w:line="297" w:lineRule="auto"/>
        <w:tabs>
          <w:tab w:leader="none" w:pos="2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33" w:lineRule="exact"/>
        <w:rPr>
          <w:rFonts w:ascii="Arial" w:cs="Arial" w:eastAsia="Arial" w:hAnsi="Arial"/>
          <w:sz w:val="19"/>
          <w:szCs w:val="19"/>
          <w:color w:val="auto"/>
        </w:rPr>
      </w:pPr>
    </w:p>
    <w:p>
      <w:pPr>
        <w:ind w:left="2100" w:hanging="796"/>
        <w:spacing w:after="0"/>
        <w:tabs>
          <w:tab w:leader="none" w:pos="2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gains and losses due solely to fluctuations in currency values and the related tax effects according to</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GAAP;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2100" w:hanging="796"/>
        <w:spacing w:after="0"/>
        <w:tabs>
          <w:tab w:leader="none" w:pos="21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unrealized gains and losses with respect to Hedging Obligations;</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cumulative effect of any change in accounting principles or policies;</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extraordinary gains and losses and the related tax effect;</w:t>
      </w:r>
    </w:p>
    <w:p>
      <w:pPr>
        <w:spacing w:after="0" w:line="206" w:lineRule="exact"/>
        <w:rPr>
          <w:rFonts w:ascii="Arial" w:cs="Arial" w:eastAsia="Arial" w:hAnsi="Arial"/>
          <w:sz w:val="22"/>
          <w:szCs w:val="22"/>
          <w:color w:val="auto"/>
        </w:rPr>
      </w:pPr>
    </w:p>
    <w:p>
      <w:pPr>
        <w:ind w:left="660" w:right="140" w:firstLine="644"/>
        <w:spacing w:after="0" w:line="250" w:lineRule="auto"/>
        <w:tabs>
          <w:tab w:leader="none" w:pos="2208" w:val="left"/>
        </w:tabs>
        <w:numPr>
          <w:ilvl w:val="0"/>
          <w:numId w:val="24"/>
        </w:numPr>
        <w:rPr>
          <w:rFonts w:ascii="Arial" w:cs="Arial" w:eastAsia="Arial" w:hAnsi="Arial"/>
          <w:sz w:val="22"/>
          <w:szCs w:val="22"/>
          <w:color w:val="auto"/>
        </w:rPr>
      </w:pPr>
      <w:r>
        <w:rPr>
          <w:rFonts w:ascii="Arial" w:cs="Arial" w:eastAsia="Arial" w:hAnsi="Arial"/>
          <w:sz w:val="22"/>
          <w:szCs w:val="22"/>
          <w:color w:val="auto"/>
        </w:rPr>
        <w:t>non-cash charges or expenses with respect to the grant of stock options, restricted stock or other equity compensation awards; and</w:t>
      </w:r>
    </w:p>
    <w:p>
      <w:pPr>
        <w:spacing w:after="0" w:line="174" w:lineRule="exact"/>
        <w:rPr>
          <w:rFonts w:ascii="Arial" w:cs="Arial" w:eastAsia="Arial" w:hAnsi="Arial"/>
          <w:sz w:val="22"/>
          <w:szCs w:val="22"/>
          <w:color w:val="auto"/>
        </w:rPr>
      </w:pPr>
    </w:p>
    <w:p>
      <w:pPr>
        <w:ind w:left="2200" w:hanging="896"/>
        <w:spacing w:after="0"/>
        <w:tabs>
          <w:tab w:leader="none" w:pos="22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goodwill write-downs or other non-cash impairments of assets.</w:t>
      </w:r>
    </w:p>
    <w:p>
      <w:pPr>
        <w:spacing w:after="0" w:line="20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Tangible Assets</w:t>
      </w:r>
      <w:r>
        <w:rPr>
          <w:rFonts w:ascii="Arial" w:cs="Arial" w:eastAsia="Arial" w:hAnsi="Arial"/>
          <w:sz w:val="19"/>
          <w:szCs w:val="19"/>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47"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Continuing Directors</w:t>
      </w:r>
      <w:r>
        <w:rPr>
          <w:rFonts w:ascii="Arial" w:cs="Arial" w:eastAsia="Arial" w:hAnsi="Arial"/>
          <w:sz w:val="21"/>
          <w:szCs w:val="21"/>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77"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w:t>
      </w:r>
      <w:r>
        <w:rPr>
          <w:rFonts w:ascii="Arial" w:cs="Arial" w:eastAsia="Arial" w:hAnsi="Arial"/>
          <w:sz w:val="22"/>
          <w:szCs w:val="22"/>
          <w:color w:val="auto"/>
        </w:rPr>
        <w:t>” shall have the meaning set forth in Article 8 or, if applicable, in Section 9-104, 9-105, 9-106 or 9-107 of Article 9 of the Code or Section 16 of the UETA, as applicable.</w:t>
      </w:r>
    </w:p>
    <w:p>
      <w:pPr>
        <w:spacing w:after="0" w:line="175"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w:t>
      </w:r>
      <w:r>
        <w:rPr>
          <w:rFonts w:ascii="Arial" w:cs="Arial" w:eastAsia="Arial" w:hAnsi="Arial"/>
          <w:sz w:val="22"/>
          <w:szCs w:val="22"/>
          <w:color w:val="auto"/>
        </w:rPr>
        <w:t>” means the office of the Trustee or Collateral Agent, as applicable, at which at any particular time its corporate trust business in relation to the Notes shall be administered, which office on the date hereof is located at, 50 South Sixth Street, Suite 1290, Minneapolis, Minnesota 55402, Attention: Weatherford International Notes Administrator, or such other address as the Trustee or Collateral Agent, as applicable, may designate from time to time by notice to the Holders and the Issuer, or the principal corporate trust office of any successor Trustee or Collateral Agent, as applicable, (or such other address as such successor Trustee or Collateral Agent, as applicable, may designate from time to time by notice to the Holders and the Issuer).</w:t>
      </w:r>
    </w:p>
    <w:p>
      <w:pPr>
        <w:spacing w:after="0" w:line="191" w:lineRule="exact"/>
        <w:rPr>
          <w:sz w:val="20"/>
          <w:szCs w:val="20"/>
          <w:color w:val="auto"/>
        </w:rPr>
      </w:pPr>
    </w:p>
    <w:p>
      <w:pPr>
        <w:ind w:right="8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corporation</w:t>
      </w:r>
      <w:r>
        <w:rPr>
          <w:rFonts w:ascii="Arial" w:cs="Arial" w:eastAsia="Arial" w:hAnsi="Arial"/>
          <w:sz w:val="22"/>
          <w:szCs w:val="22"/>
          <w:color w:val="auto"/>
        </w:rPr>
        <w:t>” includes corporations, companies, associations, partnerships, limited partnerships, limited liability companies, joint-stock companies and trusts.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 has the meaning specified in Section 1303.</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ind w:right="1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Covered Jurisdiction</w:t>
      </w:r>
      <w:r>
        <w:rPr>
          <w:rFonts w:ascii="Arial" w:cs="Arial" w:eastAsia="Arial" w:hAnsi="Arial"/>
          <w:sz w:val="21"/>
          <w:szCs w:val="21"/>
          <w:color w:val="auto"/>
        </w:rPr>
        <w:t>” means the jurisdiction of organization of the Issuer or the applicable Guarantor and in the case of any Guarantor organized in the United States, any State thereof or the District of Columbia, as applicable.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Coverage Ratio Exception</w:t>
      </w:r>
      <w:r>
        <w:rPr>
          <w:rFonts w:ascii="Arial" w:cs="Arial" w:eastAsia="Arial" w:hAnsi="Arial"/>
          <w:sz w:val="22"/>
          <w:szCs w:val="22"/>
          <w:color w:val="auto"/>
        </w:rPr>
        <w:t>” has the meaning set forth in the proviso in the first paragraph of Section 1008.</w:t>
      </w:r>
    </w:p>
    <w:p>
      <w:pPr>
        <w:spacing w:after="0" w:line="206" w:lineRule="exact"/>
        <w:rPr>
          <w:sz w:val="20"/>
          <w:szCs w:val="20"/>
          <w:color w:val="auto"/>
        </w:rPr>
      </w:pPr>
    </w:p>
    <w:p>
      <w:pPr>
        <w:ind w:firstLine="702"/>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Credit Facilities</w:t>
      </w:r>
      <w:r>
        <w:rPr>
          <w:rFonts w:ascii="Arial" w:cs="Arial" w:eastAsia="Arial" w:hAnsi="Arial"/>
          <w:sz w:val="21"/>
          <w:szCs w:val="21"/>
          <w:color w:val="auto"/>
        </w:rPr>
        <w:t>” means one or more debt facilities or indentures (which may be outstanding at the same time and including, without limitation, the LC Credit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80"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Customary Recourse Exceptions</w:t>
      </w:r>
      <w:r>
        <w:rPr>
          <w:rFonts w:ascii="Arial" w:cs="Arial" w:eastAsia="Arial" w:hAnsi="Arial"/>
          <w:sz w:val="22"/>
          <w:szCs w:val="22"/>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Debt</w:t>
      </w:r>
      <w:r>
        <w:rPr>
          <w:rFonts w:ascii="Arial" w:cs="Arial" w:eastAsia="Arial" w:hAnsi="Arial"/>
          <w:sz w:val="22"/>
          <w:szCs w:val="22"/>
          <w:color w:val="auto"/>
        </w:rPr>
        <w:t>” means any obligation created or assumed by any Person for the repayment of money borrowed and any Purchase Money Indebtedness created or assumed by such Person and any guarantee of the foregoing.</w:t>
      </w:r>
    </w:p>
    <w:p>
      <w:pPr>
        <w:spacing w:after="0" w:line="175"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Default</w:t>
      </w:r>
      <w:r>
        <w:rPr>
          <w:rFonts w:ascii="Arial" w:cs="Arial" w:eastAsia="Arial" w:hAnsi="Arial"/>
          <w:sz w:val="22"/>
          <w:szCs w:val="22"/>
          <w:color w:val="auto"/>
        </w:rPr>
        <w:t>” means any event, act or condition that, after notice or the passage of time or both, would be an Event of Default.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Defaulted Interest</w:t>
      </w:r>
      <w:r>
        <w:rPr>
          <w:rFonts w:ascii="Arial" w:cs="Arial" w:eastAsia="Arial" w:hAnsi="Arial"/>
          <w:sz w:val="22"/>
          <w:szCs w:val="22"/>
          <w:color w:val="auto"/>
        </w:rPr>
        <w:t>” has the meaning specified in Section 307.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Definitive Notes</w:t>
      </w:r>
      <w:r>
        <w:rPr>
          <w:rFonts w:ascii="Arial" w:cs="Arial" w:eastAsia="Arial" w:hAnsi="Arial"/>
          <w:sz w:val="19"/>
          <w:szCs w:val="19"/>
          <w:color w:val="auto"/>
        </w:rPr>
        <w:t>” means certificated Notes that are not required to bear the Global Note Legend set forth in Section 202.</w:t>
      </w:r>
    </w:p>
    <w:p>
      <w:pPr>
        <w:spacing w:after="0" w:line="241"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 Account</w:t>
      </w:r>
      <w:r>
        <w:rPr>
          <w:rFonts w:ascii="Arial" w:cs="Arial" w:eastAsia="Arial" w:hAnsi="Arial"/>
          <w:sz w:val="22"/>
          <w:szCs w:val="22"/>
          <w:color w:val="auto"/>
        </w:rPr>
        <w:t>” means any deposit account (as that term is defined in the Code or under the applicable laws of any applicable foreign jurisdiction).</w:t>
      </w:r>
    </w:p>
    <w:p>
      <w:pPr>
        <w:spacing w:after="0" w:line="17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 Account Control Agreement</w:t>
      </w:r>
      <w:r>
        <w:rPr>
          <w:rFonts w:ascii="Arial" w:cs="Arial" w:eastAsia="Arial" w:hAnsi="Arial"/>
          <w:sz w:val="22"/>
          <w:szCs w:val="22"/>
          <w:color w:val="auto"/>
        </w:rPr>
        <w:t>” means an agreement, in form and substance reasonably satisfactory to the Majority Holders, among any Note Party, a banking institution holding such Note Party’s funds, the Collateral Agent or (if applicable) the Applicable Agent with respect to collection and Control of all deposits and balances held in a Deposit Account maintained by such Note Party with such banking institution.</w:t>
      </w:r>
    </w:p>
    <w:p>
      <w:pPr>
        <w:spacing w:after="0" w:line="185" w:lineRule="exact"/>
        <w:rPr>
          <w:sz w:val="20"/>
          <w:szCs w:val="20"/>
          <w:color w:val="auto"/>
        </w:rPr>
      </w:pPr>
    </w:p>
    <w:p>
      <w:pPr>
        <w:ind w:right="6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Notes issued in whole or in part in the form of one or more Global Notes, The Depository Trust Company (“</w:t>
      </w:r>
      <w:r>
        <w:rPr>
          <w:rFonts w:ascii="Arial" w:cs="Arial" w:eastAsia="Arial" w:hAnsi="Arial"/>
          <w:sz w:val="22"/>
          <w:szCs w:val="22"/>
          <w:i w:val="1"/>
          <w:iCs w:val="1"/>
          <w:color w:val="auto"/>
        </w:rPr>
        <w:t>DTC</w:t>
      </w:r>
      <w:r>
        <w:rPr>
          <w:rFonts w:ascii="Arial" w:cs="Arial" w:eastAsia="Arial" w:hAnsi="Arial"/>
          <w:sz w:val="22"/>
          <w:szCs w:val="22"/>
          <w:color w:val="auto"/>
        </w:rPr>
        <w:t>”) or any other clearing agency</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registered under the Exchange Act that is designated to act as successor Depositary for such Notes.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Designation</w:t>
      </w:r>
      <w:r>
        <w:rPr>
          <w:rFonts w:ascii="Arial" w:cs="Arial" w:eastAsia="Arial" w:hAnsi="Arial"/>
          <w:sz w:val="22"/>
          <w:szCs w:val="22"/>
          <w:color w:val="auto"/>
        </w:rPr>
        <w:t>” has the meaning given to this term in Section 1006.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Designation Amount</w:t>
      </w:r>
      <w:r>
        <w:rPr>
          <w:rFonts w:ascii="Arial" w:cs="Arial" w:eastAsia="Arial" w:hAnsi="Arial"/>
          <w:sz w:val="22"/>
          <w:szCs w:val="22"/>
          <w:color w:val="auto"/>
        </w:rPr>
        <w:t>” has the meaning given to this term in Section 1006.</w:t>
      </w:r>
    </w:p>
    <w:p>
      <w:pPr>
        <w:spacing w:after="0" w:line="206" w:lineRule="exact"/>
        <w:rPr>
          <w:sz w:val="20"/>
          <w:szCs w:val="20"/>
          <w:color w:val="auto"/>
        </w:rPr>
      </w:pPr>
    </w:p>
    <w:p>
      <w:pPr>
        <w:ind w:firstLine="702"/>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Equity Interests</w:t>
      </w:r>
      <w:r>
        <w:rPr>
          <w:rFonts w:ascii="Arial" w:cs="Arial" w:eastAsia="Arial" w:hAnsi="Arial"/>
          <w:sz w:val="19"/>
          <w:szCs w:val="19"/>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1007, and such Equity Interests specifically provide that the Issuer will not repurchase or redeem any such Equity Interests pursuant to such provisions prior to the Issuer’s purchase of the Notes as required pursuant to the provisions of Section 1007.</w:t>
      </w:r>
    </w:p>
    <w:p>
      <w:pPr>
        <w:spacing w:after="0" w:line="200" w:lineRule="exact"/>
        <w:rPr>
          <w:sz w:val="20"/>
          <w:szCs w:val="20"/>
          <w:color w:val="auto"/>
        </w:rPr>
      </w:pPr>
    </w:p>
    <w:p>
      <w:pPr>
        <w:spacing w:after="0" w:line="211"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Dollars</w:t>
      </w:r>
      <w:r>
        <w:rPr>
          <w:rFonts w:ascii="Arial" w:cs="Arial" w:eastAsia="Arial" w:hAnsi="Arial"/>
          <w:sz w:val="22"/>
          <w:szCs w:val="22"/>
          <w:color w:val="auto"/>
        </w:rPr>
        <w:t>,” “</w:t>
      </w:r>
      <w:r>
        <w:rPr>
          <w:rFonts w:ascii="Arial" w:cs="Arial" w:eastAsia="Arial" w:hAnsi="Arial"/>
          <w:sz w:val="22"/>
          <w:szCs w:val="22"/>
          <w:i w:val="1"/>
          <w:iCs w:val="1"/>
          <w:color w:val="auto"/>
        </w:rPr>
        <w:t>U.S. dollars</w:t>
      </w:r>
      <w:r>
        <w:rPr>
          <w:rFonts w:ascii="Arial" w:cs="Arial" w:eastAsia="Arial" w:hAnsi="Arial"/>
          <w:sz w:val="22"/>
          <w:szCs w:val="22"/>
          <w:color w:val="auto"/>
        </w:rPr>
        <w:t>” or “</w:t>
      </w:r>
      <w:r>
        <w:rPr>
          <w:rFonts w:ascii="Arial" w:cs="Arial" w:eastAsia="Arial" w:hAnsi="Arial"/>
          <w:sz w:val="22"/>
          <w:szCs w:val="22"/>
          <w:i w:val="1"/>
          <w:iCs w:val="1"/>
          <w:color w:val="auto"/>
        </w:rPr>
        <w:t>$</w:t>
      </w:r>
      <w:r>
        <w:rPr>
          <w:rFonts w:ascii="Arial" w:cs="Arial" w:eastAsia="Arial" w:hAnsi="Arial"/>
          <w:sz w:val="22"/>
          <w:szCs w:val="22"/>
          <w:color w:val="auto"/>
        </w:rPr>
        <w:t>” shall mean the coin or currency of the United States of America, which at the time of payment is legal tender for the payment of public and private debts.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 has the meaning specified in the definition of Depositary.</w:t>
      </w:r>
    </w:p>
    <w:p>
      <w:pPr>
        <w:spacing w:after="0" w:line="206"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Eligible Jurisdiction</w:t>
      </w:r>
      <w:r>
        <w:rPr>
          <w:rFonts w:ascii="Arial" w:cs="Arial" w:eastAsia="Arial" w:hAnsi="Arial"/>
          <w:sz w:val="19"/>
          <w:szCs w:val="19"/>
          <w:color w:val="auto"/>
        </w:rPr>
        <w:t xml:space="preserve">” means (a) each Excluded Jurisdiction other than (i) any Excluded Jurisdiction that is an Ineligible Jurisdiction, and (ii) Iran, or any other country that is a Sanctioned Entity or otherwise subject to Sanctions, and (b) the countries of Argentina, Brazil, Colombia and South Africa; </w:t>
      </w:r>
      <w:r>
        <w:rPr>
          <w:rFonts w:ascii="Arial" w:cs="Arial" w:eastAsia="Arial" w:hAnsi="Arial"/>
          <w:sz w:val="19"/>
          <w:szCs w:val="19"/>
          <w:i w:val="1"/>
          <w:iCs w:val="1"/>
          <w:color w:val="auto"/>
        </w:rPr>
        <w:t>provided</w:t>
      </w:r>
      <w:r>
        <w:rPr>
          <w:rFonts w:ascii="Arial" w:cs="Arial" w:eastAsia="Arial" w:hAnsi="Arial"/>
          <w:sz w:val="19"/>
          <w:szCs w:val="19"/>
          <w:color w:val="auto"/>
        </w:rPr>
        <w:t>, that the Majority Holders and the Issuer, by mutual written agreement, may re-categorize any country between the definitions of “Eligible Jurisdiction” and “Ineligible Jurisdiction”.</w:t>
      </w:r>
    </w:p>
    <w:p>
      <w:pPr>
        <w:spacing w:after="0" w:line="143" w:lineRule="exact"/>
        <w:rPr>
          <w:sz w:val="20"/>
          <w:szCs w:val="20"/>
          <w:color w:val="auto"/>
        </w:rPr>
      </w:pPr>
    </w:p>
    <w:p>
      <w:pPr>
        <w:ind w:right="7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of any Person means (1) any and all shares or other equity interests (including Common Stock, Preferred Stock, limited liability company interests, trust units and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ind w:right="420"/>
        <w:spacing w:after="0" w:line="238" w:lineRule="auto"/>
        <w:rPr>
          <w:sz w:val="20"/>
          <w:szCs w:val="20"/>
          <w:color w:val="auto"/>
        </w:rPr>
      </w:pPr>
      <w:r>
        <w:rPr>
          <w:rFonts w:ascii="Arial" w:cs="Arial" w:eastAsia="Arial" w:hAnsi="Arial"/>
          <w:sz w:val="22"/>
          <w:szCs w:val="22"/>
          <w:color w:val="auto"/>
        </w:rPr>
        <w:t>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 has the meaning specified in Section 501.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Excess Proceeds</w:t>
      </w:r>
      <w:r>
        <w:rPr>
          <w:rFonts w:ascii="Arial" w:cs="Arial" w:eastAsia="Arial" w:hAnsi="Arial"/>
          <w:sz w:val="22"/>
          <w:szCs w:val="22"/>
          <w:color w:val="auto"/>
        </w:rPr>
        <w:t>” has the meaning specified in Section 1012.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U.S. Securities Exchange Act of 1934, as amended.</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Exchange Rate</w:t>
      </w:r>
      <w:r>
        <w:rPr>
          <w:rFonts w:ascii="Arial" w:cs="Arial" w:eastAsia="Arial" w:hAnsi="Arial"/>
          <w:sz w:val="19"/>
          <w:szCs w:val="19"/>
          <w:color w:val="auto"/>
        </w:rPr>
        <w:t xml:space="preserve">” shall mean, on any day, (a) with respect to any applicable currency other than Dollars on a particular date, the rate of exchange for the purchase of Dollars with such other currency in the London foreign exchange market at the end of the applicable Business Day as quoted by Bloomberg as the “ask price”, or as displayed on such other information service which publishes that rate of exchange from time to time in place of Bloomberg (or if such service ceases to be available, the equivalent of such amount in Dollars as determined in good faith by the Issuer, in consultation with the Trustee, using any method of determination it deems reasonably appropriate) and (b) if such amount is denominated in any other currency (other than Dollars), the equivalent of such amount in Dollars as determined in good faith by the Issuer, in consultation with the Trustee, using any method of determination it deems reasonably appropriate;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determination by the Issuer of the equivalent of such amount in Dollars, as applicable, pursuant to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upon the written request of the Trustee, the Issuer shall notify the Trustee of the sources used to determine such amount.</w:t>
      </w:r>
    </w:p>
    <w:p>
      <w:pPr>
        <w:spacing w:after="0" w:line="161"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Excluded Account</w:t>
      </w:r>
      <w:r>
        <w:rPr>
          <w:rFonts w:ascii="Arial" w:cs="Arial" w:eastAsia="Arial" w:hAnsi="Arial"/>
          <w:sz w:val="19"/>
          <w:szCs w:val="19"/>
          <w:color w:val="auto"/>
        </w:rPr>
        <w:t>” means (a) any deposit account of a Note Party, including the funds on deposit therein, that is used solely for payroll funding and other employee wage and benefit payments (including flexible spending accounts), tax payments, escrow or trust purposes, or any other fiduciary purpose, (b) any deposit account of a Note Party, including the funds on deposit therein, that has been pledged to secure Obligations or other obligations (other than the Indenture Obligations and the LC Facility Obligations), in each case to the extent such cash collateral is expressly permitted by Section 1010, and is exclusively used for such purpose, (c) any Specified Eligible Deposit Account, (d) any Specified Ineligible Deposit Account, (e) other Deposit Accounts of the Note Parties to the extent that the aggregate cash or Cash Equivalent balance of all such other Deposit Accounts described in this clause (e) does not at any time exceed $10 million; and (f) any deposit account that constitutes an “Excluded Account” as defined in the LC Credit Agreement as in effect on the date hereof.</w:t>
      </w:r>
    </w:p>
    <w:p>
      <w:pPr>
        <w:spacing w:after="0" w:line="158"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Excluded Assets</w:t>
      </w:r>
      <w:r>
        <w:rPr>
          <w:rFonts w:ascii="Arial" w:cs="Arial" w:eastAsia="Arial" w:hAnsi="Arial"/>
          <w:sz w:val="22"/>
          <w:szCs w:val="22"/>
          <w:color w:val="auto"/>
        </w:rPr>
        <w:t>” means, collectively, (a) any Equity Interest in any Foreign Subsidiary, joint venture or non-Wholly-Owned Subsidiary that is a Subsidiary of a Note Party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provided,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9"/>
          <w:szCs w:val="19"/>
          <w:color w:val="auto"/>
        </w:rPr>
        <w:t>however, that any such asset will only constitute an Excluded Asset under this clause (b) to the extent such violation or breach, termination (or right of termination) or default would not be rendered ineffective pursuant to Sections 9-406, 9-407, 9-408 or 9-409 of the Code (or any successor provision or provisions) of any relevant jurisdiction or any other applicable law; and provided further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clause (b); (c) any property, to the extent the granting of a Lien therein is prohibited by any applicable law (including laws and other governmental regulations governing insurance companies) or would require governmental or third party (other than the Note Parties or their Subsidiaries) consent, approval, license or authorization not obtained (other than to the extent that such prohibition would be rendered ineffective pursuant to Sections 9-406, 9-407, 9-408, 9-409 or other applicable provisions of the Code of any relevant jurisdiction or any other applicable law); provided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financing statement under the Code;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Majority Holders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Note Party); (j) any leasehold interest in real property; (k) any asset or property, the granting of a security interest in which would result in material adverse tax consequences to any Note Party as reasonably determined by the Issuer and consented to by the Majority Holders, such consent not to be unreasonably withheld or delayed; (l) any interests in partnerships, joint ventures and non-Wholly-Owned Subsidiaries which cannot be pledged without the consent of one or more third parties other than any Note Party or any Subsidiary thereof (after giving effect to Sections 9-406, 9-407, 9-408 or 9-409 of the Code (or any successor provision or provisions) of any relevant jurisdiction or any other applicable law) (until any required consent or waiver shall have been obtained); provided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Majority Holders agrees in writing (in consultation with the Issuer) that the cost of obtaining such a security interest or perfection thereof are excessive in relation to the benefit to the First Lien Notes Secured Parties of the security to be afforded thereby; and (o) any real property, other than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100"/>
        <w:spacing w:after="0" w:line="238" w:lineRule="auto"/>
        <w:rPr>
          <w:sz w:val="20"/>
          <w:szCs w:val="20"/>
          <w:color w:val="auto"/>
        </w:rPr>
      </w:pPr>
      <w:r>
        <w:rPr>
          <w:rFonts w:ascii="Arial" w:cs="Arial" w:eastAsia="Arial" w:hAnsi="Arial"/>
          <w:sz w:val="22"/>
          <w:szCs w:val="22"/>
          <w:color w:val="auto"/>
        </w:rPr>
        <w:t>the Initial Issuance Date Real Property, that has a net book value of less than $10,000,000 as reflected in the most recent consolidated financial statements of Parent delivered pursuant to Section 703(a)(1); provided that, the foregoing exclusions shall not apply to any asset or property of the Issuer and its Subsidiaries on which a Lien has been granted in favor of the LC Credit Agreement Agent to secure the First Priority LC Obligations.</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Excluded Jurisdiction</w:t>
      </w:r>
      <w:r>
        <w:rPr>
          <w:rFonts w:ascii="Arial" w:cs="Arial" w:eastAsia="Arial" w:hAnsi="Arial"/>
          <w:sz w:val="22"/>
          <w:szCs w:val="22"/>
          <w:color w:val="auto"/>
        </w:rPr>
        <w:t>” means any Sanctioned Country, Afghanistan, Albania, Algeria, Angola, Azerbaijan, Bangladesh, Bahrain, Brunei, Cameroon, China, Chad, Democratic Republic of the Congo, Egypt, Equatorial Guinea, Ethiopia, Gabon, Ghana, India, Iraq, Ivory Coast, Jordan, Kazakhstan, Kenya, Kuwait, Libya, Mauritania, Morocco, Mozambique, Myanmar, Nigeria, Pakistan, Oman, Qatar, Republic of the Congo, Russia, Saudi Arabia, Thailand, Trinidad and Tobago, Tunisia, Turkey, Turkmenistan, Uganda, Ukraine, Venezuela, Vietnam or Yemen.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Expiration Date</w:t>
      </w:r>
      <w:r>
        <w:rPr>
          <w:rFonts w:ascii="Arial" w:cs="Arial" w:eastAsia="Arial" w:hAnsi="Arial"/>
          <w:sz w:val="22"/>
          <w:szCs w:val="22"/>
          <w:color w:val="auto"/>
        </w:rPr>
        <w:t>” has the meaning specified in Section 104.</w:t>
      </w:r>
    </w:p>
    <w:p>
      <w:pPr>
        <w:spacing w:after="0" w:line="206"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Fair Market Value</w:t>
      </w:r>
      <w:r>
        <w:rPr>
          <w:rFonts w:ascii="Arial" w:cs="Arial" w:eastAsia="Arial" w:hAnsi="Arial"/>
          <w:sz w:val="22"/>
          <w:szCs w:val="22"/>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85" w:lineRule="exact"/>
        <w:rPr>
          <w:sz w:val="20"/>
          <w:szCs w:val="20"/>
          <w:color w:val="auto"/>
        </w:rPr>
      </w:pPr>
    </w:p>
    <w:p>
      <w:pPr>
        <w:ind w:right="3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Lien Intercreditor Agreement</w:t>
      </w:r>
      <w:r>
        <w:rPr>
          <w:rFonts w:ascii="Arial" w:cs="Arial" w:eastAsia="Arial" w:hAnsi="Arial"/>
          <w:sz w:val="19"/>
          <w:szCs w:val="19"/>
          <w:color w:val="auto"/>
        </w:rPr>
        <w:t>” means (x) that certain First Lien Intercreditor Agreement, dated as of August 28, 2020, by and among the Collateral Agent, the LC Credit Agreement Agent and the Note Parties, as amended, restated, supplemented or otherwise modified from time to time or (y) any First Lien Other Intercreditor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Lien Notes Secured Parties</w:t>
      </w:r>
      <w:r>
        <w:rPr>
          <w:rFonts w:ascii="Arial" w:cs="Arial" w:eastAsia="Arial" w:hAnsi="Arial"/>
          <w:sz w:val="22"/>
          <w:szCs w:val="22"/>
          <w:color w:val="auto"/>
        </w:rPr>
        <w:t>” means the Trustee, the Collateral Agent and the Holders.</w:t>
      </w:r>
    </w:p>
    <w:p>
      <w:pPr>
        <w:spacing w:after="0" w:line="206"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Lien Other Intercreditor Agreement</w:t>
      </w:r>
      <w:r>
        <w:rPr>
          <w:rFonts w:ascii="Arial" w:cs="Arial" w:eastAsia="Arial" w:hAnsi="Arial"/>
          <w:sz w:val="19"/>
          <w:szCs w:val="19"/>
          <w:color w:val="auto"/>
        </w:rPr>
        <w:t>” means any replacement intercreditor agreement on substantially the same terms as the First Lien Intercreditor Agreement or a customary intercreditor agreement as reasonably determined in good faith by the Issuer, with such reasonable determination accompanied by an Officer’s Certificate, entered into in connection with an amendment, restatement, replacement or refinancing of the LC Credit Agreement, the entering into of any other Credit Facility or a partial replacement or refinancing of the Notes, and executed by the Collateral Agent and the applicable representatives of the debtholders under such LC Credit Agreement, other Credit Facility or replacement or refinancing of the Notes, as applicable.</w:t>
      </w:r>
    </w:p>
    <w:p>
      <w:pPr>
        <w:spacing w:after="0" w:line="15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Priority LC Obligations</w:t>
      </w:r>
      <w:r>
        <w:rPr>
          <w:rFonts w:ascii="Arial" w:cs="Arial" w:eastAsia="Arial" w:hAnsi="Arial"/>
          <w:sz w:val="22"/>
          <w:szCs w:val="22"/>
          <w:color w:val="auto"/>
        </w:rPr>
        <w:t>” means any and all amounts payable under or in respect of the LC Credit Agreement as amended, restated, supplemented, waived, replaced, restructured, repaid, refunded, refinanced or otherwise modified from time to time.</w:t>
      </w:r>
    </w:p>
    <w:p>
      <w:pPr>
        <w:spacing w:after="0" w:line="186" w:lineRule="exact"/>
        <w:rPr>
          <w:sz w:val="20"/>
          <w:szCs w:val="20"/>
          <w:color w:val="auto"/>
        </w:rPr>
      </w:pPr>
    </w:p>
    <w:p>
      <w:pPr>
        <w:ind w:right="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First Priority Obligations</w:t>
      </w:r>
      <w:r>
        <w:rPr>
          <w:rFonts w:ascii="Arial" w:cs="Arial" w:eastAsia="Arial" w:hAnsi="Arial"/>
          <w:sz w:val="21"/>
          <w:szCs w:val="21"/>
          <w:color w:val="auto"/>
        </w:rPr>
        <w:t>” means (i) the First Priority LC Obligations and (ii) the Indenture Obligations (and the Obligations under any partial replacement or refinancing of the Indenture Obligations permitted hereunder).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ind w:right="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Restricted Subsidiary</w:t>
      </w:r>
      <w:r>
        <w:rPr>
          <w:rFonts w:ascii="Arial" w:cs="Arial" w:eastAsia="Arial" w:hAnsi="Arial"/>
          <w:sz w:val="22"/>
          <w:szCs w:val="22"/>
          <w:color w:val="auto"/>
        </w:rPr>
        <w:t>” means any Restricted Subsidiary not organized or existing under the laws of the United States, any State thereof or the District of Columbia.</w:t>
      </w:r>
    </w:p>
    <w:p>
      <w:pPr>
        <w:spacing w:after="0" w:line="173"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Subsidiary</w:t>
      </w:r>
      <w:r>
        <w:rPr>
          <w:rFonts w:ascii="Arial" w:cs="Arial" w:eastAsia="Arial" w:hAnsi="Arial"/>
          <w:sz w:val="22"/>
          <w:szCs w:val="22"/>
          <w:color w:val="auto"/>
        </w:rPr>
        <w:t>” means any Subsidiary not organized or existing under the laws of the United States, any State thereof or the District of Columbia.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Funding Guarantor</w:t>
      </w:r>
      <w:r>
        <w:rPr>
          <w:rFonts w:ascii="Arial" w:cs="Arial" w:eastAsia="Arial" w:hAnsi="Arial"/>
          <w:sz w:val="22"/>
          <w:szCs w:val="22"/>
          <w:color w:val="auto"/>
        </w:rPr>
        <w:t>” has the meaning specified in Section 1405.</w:t>
      </w:r>
    </w:p>
    <w:p>
      <w:pPr>
        <w:spacing w:after="0" w:line="206"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a permanent global Note bearing the Global Note Legend set forth in Section 202.</w:t>
      </w:r>
    </w:p>
    <w:p>
      <w:pPr>
        <w:spacing w:after="0" w:line="206"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Governmental Authority</w:t>
      </w:r>
      <w:r>
        <w:rPr>
          <w:rFonts w:ascii="Arial" w:cs="Arial" w:eastAsia="Arial" w:hAnsi="Arial"/>
          <w:sz w:val="22"/>
          <w:szCs w:val="22"/>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Grantor</w:t>
      </w:r>
      <w:r>
        <w:rPr>
          <w:rFonts w:ascii="Arial" w:cs="Arial" w:eastAsia="Arial" w:hAnsi="Arial"/>
          <w:sz w:val="22"/>
          <w:szCs w:val="22"/>
          <w:color w:val="auto"/>
        </w:rPr>
        <w:t>” has the meaning given to such term (or any equivalent term, such as pledgor or mortgagor) in the Collateral Documents.</w:t>
      </w:r>
    </w:p>
    <w:p>
      <w:pPr>
        <w:spacing w:after="0" w:line="17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guarantee</w:t>
      </w:r>
      <w:r>
        <w:rPr>
          <w:rFonts w:ascii="Arial" w:cs="Arial" w:eastAsia="Arial" w:hAnsi="Arial"/>
          <w:sz w:val="19"/>
          <w:szCs w:val="19"/>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43"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individually, any guarantee of payment of the Notes by a Guarantor pursuant to the terms of the Indenture and any supplemental indenture thereto, and, collectively, all such guarantees.</w:t>
      </w:r>
    </w:p>
    <w:p>
      <w:pPr>
        <w:spacing w:after="0" w:line="175"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Guarantors</w:t>
      </w:r>
      <w:r>
        <w:rPr>
          <w:rFonts w:ascii="Arial" w:cs="Arial" w:eastAsia="Arial" w:hAnsi="Arial"/>
          <w:sz w:val="22"/>
          <w:szCs w:val="22"/>
          <w:color w:val="auto"/>
        </w:rPr>
        <w:t>” means the Parent Guarantor and each Subsidiary Guarantor, until such Person is released from its Guarantee in accordance with the terms of the Indenture.</w:t>
      </w:r>
    </w:p>
    <w:p>
      <w:pPr>
        <w:spacing w:after="0" w:line="175" w:lineRule="exact"/>
        <w:rPr>
          <w:sz w:val="20"/>
          <w:szCs w:val="20"/>
          <w:color w:val="auto"/>
        </w:rPr>
      </w:pPr>
    </w:p>
    <w:p>
      <w:pPr>
        <w:ind w:right="20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Hedging Obligations</w:t>
      </w:r>
      <w:r>
        <w:rPr>
          <w:rFonts w:ascii="Arial" w:cs="Arial" w:eastAsia="Arial" w:hAnsi="Arial"/>
          <w:sz w:val="21"/>
          <w:szCs w:val="21"/>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29" w:name="page30"/>
    <w:bookmarkEnd w:id="2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w:t>
      </w:r>
    </w:p>
    <w:p>
      <w:pPr>
        <w:spacing w:after="0" w:line="207" w:lineRule="exact"/>
        <w:rPr>
          <w:sz w:val="20"/>
          <w:szCs w:val="20"/>
          <w:color w:val="auto"/>
        </w:rPr>
      </w:pPr>
    </w:p>
    <w:p>
      <w:pPr>
        <w:ind w:right="7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 Group</w:t>
      </w:r>
      <w:r>
        <w:rPr>
          <w:rFonts w:ascii="Arial" w:cs="Arial" w:eastAsia="Arial" w:hAnsi="Arial"/>
          <w:sz w:val="22"/>
          <w:szCs w:val="22"/>
          <w:color w:val="auto"/>
        </w:rPr>
        <w:t>” means each of the Holders and the Collateral Agent, together with any sub-agent or similar agent appointed pursuant to Section 1508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w:t>
      </w:r>
      <w:r>
        <w:rPr>
          <w:rFonts w:ascii="Arial" w:cs="Arial" w:eastAsia="Arial" w:hAnsi="Arial"/>
          <w:sz w:val="19"/>
          <w:szCs w:val="19"/>
          <w:color w:val="auto"/>
        </w:rPr>
        <w:t>” means an institutional “accredited investor” as described in Rule 501(a)(1), (2), (3) or (7) under the Securities Act.</w:t>
      </w:r>
    </w:p>
    <w:p>
      <w:pPr>
        <w:spacing w:after="0" w:line="241" w:lineRule="exact"/>
        <w:rPr>
          <w:sz w:val="20"/>
          <w:szCs w:val="20"/>
          <w:color w:val="auto"/>
        </w:rPr>
      </w:pPr>
    </w:p>
    <w:p>
      <w:pPr>
        <w:ind w:right="8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incur</w:t>
      </w:r>
      <w:r>
        <w:rPr>
          <w:rFonts w:ascii="Arial" w:cs="Arial" w:eastAsia="Arial" w:hAnsi="Arial"/>
          <w:sz w:val="21"/>
          <w:szCs w:val="21"/>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of any Person at any date means, without duplication:</w:t>
      </w:r>
    </w:p>
    <w:p>
      <w:pPr>
        <w:spacing w:after="0" w:line="206" w:lineRule="exact"/>
        <w:rPr>
          <w:sz w:val="20"/>
          <w:szCs w:val="20"/>
          <w:color w:val="auto"/>
        </w:rPr>
      </w:pPr>
    </w:p>
    <w:p>
      <w:pPr>
        <w:ind w:left="660" w:right="200" w:firstLine="644"/>
        <w:spacing w:after="0" w:line="250" w:lineRule="auto"/>
        <w:tabs>
          <w:tab w:leader="none" w:pos="2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liabilities, contingent or otherwise, of such Person for borrowed money (whether or not the recourse of the lender is to the whole of the assets of such Person or only to a portion thereof);</w:t>
      </w:r>
    </w:p>
    <w:p>
      <w:pPr>
        <w:spacing w:after="0" w:line="174" w:lineRule="exact"/>
        <w:rPr>
          <w:rFonts w:ascii="Arial" w:cs="Arial" w:eastAsia="Arial" w:hAnsi="Arial"/>
          <w:sz w:val="22"/>
          <w:szCs w:val="22"/>
          <w:color w:val="auto"/>
        </w:rPr>
      </w:pPr>
    </w:p>
    <w:p>
      <w:pPr>
        <w:ind w:left="660" w:right="520" w:firstLine="644"/>
        <w:spacing w:after="0" w:line="250" w:lineRule="auto"/>
        <w:tabs>
          <w:tab w:leader="none" w:pos="2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obligations of such Person evidenced by bonds, debentures, bankers’ acceptances, notes or other similar instruments;</w:t>
      </w:r>
    </w:p>
    <w:p>
      <w:pPr>
        <w:spacing w:after="0" w:line="174" w:lineRule="exact"/>
        <w:rPr>
          <w:rFonts w:ascii="Arial" w:cs="Arial" w:eastAsia="Arial" w:hAnsi="Arial"/>
          <w:sz w:val="22"/>
          <w:szCs w:val="22"/>
          <w:color w:val="auto"/>
        </w:rPr>
      </w:pPr>
    </w:p>
    <w:p>
      <w:pPr>
        <w:ind w:left="660" w:right="500" w:firstLine="644"/>
        <w:spacing w:after="0" w:line="250" w:lineRule="auto"/>
        <w:tabs>
          <w:tab w:leader="none" w:pos="2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non-contingent reimbursement obligations of such Person in respect of letters of credit, letters of guaranty and similar credit transactions;</w:t>
      </w:r>
    </w:p>
    <w:p>
      <w:pPr>
        <w:spacing w:after="0" w:line="174" w:lineRule="exact"/>
        <w:rPr>
          <w:rFonts w:ascii="Arial" w:cs="Arial" w:eastAsia="Arial" w:hAnsi="Arial"/>
          <w:sz w:val="22"/>
          <w:szCs w:val="22"/>
          <w:color w:val="auto"/>
        </w:rPr>
      </w:pPr>
    </w:p>
    <w:p>
      <w:pPr>
        <w:ind w:left="660" w:right="140" w:firstLine="644"/>
        <w:spacing w:after="0" w:line="238" w:lineRule="auto"/>
        <w:tabs>
          <w:tab w:leader="none" w:pos="2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184" w:lineRule="exact"/>
        <w:rPr>
          <w:rFonts w:ascii="Arial" w:cs="Arial" w:eastAsia="Arial" w:hAnsi="Arial"/>
          <w:sz w:val="22"/>
          <w:szCs w:val="22"/>
          <w:color w:val="auto"/>
        </w:rPr>
      </w:pPr>
    </w:p>
    <w:p>
      <w:pPr>
        <w:ind w:left="660" w:right="40" w:firstLine="644"/>
        <w:spacing w:after="0" w:line="250" w:lineRule="auto"/>
        <w:tabs>
          <w:tab w:leader="none" w:pos="2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maximum fixed redemption or repurchase price of all Disqualified Equity Interests of such Person or, with respect to any Subsidiary of such Person, any Preferred Stock;</w:t>
      </w:r>
    </w:p>
    <w:p>
      <w:pPr>
        <w:spacing w:after="0" w:line="174" w:lineRule="exact"/>
        <w:rPr>
          <w:rFonts w:ascii="Arial" w:cs="Arial" w:eastAsia="Arial" w:hAnsi="Arial"/>
          <w:sz w:val="22"/>
          <w:szCs w:val="22"/>
          <w:color w:val="auto"/>
        </w:rPr>
      </w:pPr>
    </w:p>
    <w:p>
      <w:pPr>
        <w:ind w:left="660" w:firstLine="644"/>
        <w:spacing w:after="0" w:line="274" w:lineRule="auto"/>
        <w:tabs>
          <w:tab w:leader="none" w:pos="21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all Capitalized Lease Obligations of such Person to the extent such obligations would appear as a liability on a balance sheet (excluding the footnotes thereto) of such Person prepared in accordance with GAAP;</w:t>
      </w:r>
    </w:p>
    <w:p>
      <w:pPr>
        <w:spacing w:after="0" w:line="150" w:lineRule="exact"/>
        <w:rPr>
          <w:rFonts w:ascii="Arial" w:cs="Arial" w:eastAsia="Arial" w:hAnsi="Arial"/>
          <w:sz w:val="21"/>
          <w:szCs w:val="21"/>
          <w:color w:val="auto"/>
        </w:rPr>
      </w:pPr>
    </w:p>
    <w:p>
      <w:pPr>
        <w:ind w:left="660" w:right="1080" w:firstLine="644"/>
        <w:spacing w:after="0" w:line="250" w:lineRule="auto"/>
        <w:tabs>
          <w:tab w:leader="none" w:pos="2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Indebtedness of others secured by a Lien on any asset of such Person, whether or not such Indebtedness is assumed by such Person;</w:t>
      </w:r>
    </w:p>
    <w:p>
      <w:pPr>
        <w:spacing w:after="0" w:line="174" w:lineRule="exact"/>
        <w:rPr>
          <w:rFonts w:ascii="Arial" w:cs="Arial" w:eastAsia="Arial" w:hAnsi="Arial"/>
          <w:sz w:val="22"/>
          <w:szCs w:val="22"/>
          <w:color w:val="auto"/>
        </w:rPr>
      </w:pPr>
    </w:p>
    <w:p>
      <w:pPr>
        <w:ind w:left="660" w:right="600" w:firstLine="644"/>
        <w:spacing w:after="0" w:line="250" w:lineRule="auto"/>
        <w:tabs>
          <w:tab w:leader="none" w:pos="2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all Indebtedness of others guaranteed by such Person to the extent of such guarantee;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Indebtedness of such Person or its Subsidiaries that is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ind w:left="660" w:right="60"/>
        <w:spacing w:after="0" w:line="251" w:lineRule="auto"/>
        <w:rPr>
          <w:sz w:val="20"/>
          <w:szCs w:val="20"/>
          <w:color w:val="auto"/>
        </w:rPr>
      </w:pPr>
      <w:r>
        <w:rPr>
          <w:rFonts w:ascii="Arial" w:cs="Arial" w:eastAsia="Arial" w:hAnsi="Arial"/>
          <w:sz w:val="22"/>
          <w:szCs w:val="22"/>
          <w:color w:val="auto"/>
        </w:rPr>
        <w:t>guaranteed by such Person or its Subsidiaries shall only be counted once in the calculation of the amount of Indebtedness of such Person and its Subsidiaries on a consolidated basis; and</w:t>
      </w:r>
    </w:p>
    <w:p>
      <w:pPr>
        <w:spacing w:after="0" w:line="173" w:lineRule="exact"/>
        <w:rPr>
          <w:sz w:val="20"/>
          <w:szCs w:val="20"/>
          <w:color w:val="auto"/>
        </w:rPr>
      </w:pPr>
    </w:p>
    <w:p>
      <w:pPr>
        <w:jc w:val="both"/>
        <w:ind w:left="660" w:right="380" w:firstLine="644"/>
        <w:spacing w:after="0"/>
        <w:tabs>
          <w:tab w:leader="none" w:pos="2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8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61" w:lineRule="exact"/>
        <w:rPr>
          <w:sz w:val="20"/>
          <w:szCs w:val="20"/>
          <w:color w:val="auto"/>
        </w:rPr>
      </w:pPr>
    </w:p>
    <w:p>
      <w:pPr>
        <w:ind w:right="200" w:firstLine="648"/>
        <w:spacing w:after="0" w:line="236" w:lineRule="auto"/>
        <w:rPr>
          <w:sz w:val="20"/>
          <w:szCs w:val="20"/>
          <w:color w:val="auto"/>
        </w:rPr>
      </w:pPr>
      <w:r>
        <w:rPr>
          <w:rFonts w:ascii="Arial" w:cs="Arial" w:eastAsia="Arial" w:hAnsi="Arial"/>
          <w:sz w:val="22"/>
          <w:szCs w:val="22"/>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has the meaning stated in the first paragraph of the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Obligations</w:t>
      </w:r>
      <w:r>
        <w:rPr>
          <w:rFonts w:ascii="Arial" w:cs="Arial" w:eastAsia="Arial" w:hAnsi="Arial"/>
          <w:sz w:val="22"/>
          <w:szCs w:val="22"/>
          <w:color w:val="auto"/>
        </w:rPr>
        <w:t>” has the meaning specified in Section 1401.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Independent Director</w:t>
      </w:r>
      <w:r>
        <w:rPr>
          <w:rFonts w:ascii="Arial" w:cs="Arial" w:eastAsia="Arial" w:hAnsi="Arial"/>
          <w:sz w:val="19"/>
          <w:szCs w:val="19"/>
          <w:color w:val="auto"/>
        </w:rPr>
        <w:t>” means a director of the Parent Guarantor who is independent with respect to the transaction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issue.</w:t>
      </w:r>
    </w:p>
    <w:p>
      <w:pPr>
        <w:spacing w:after="0" w:line="188"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Ineligible Jurisdiction</w:t>
      </w:r>
      <w:r>
        <w:rPr>
          <w:rFonts w:ascii="Arial" w:cs="Arial" w:eastAsia="Arial" w:hAnsi="Arial"/>
          <w:sz w:val="22"/>
          <w:szCs w:val="22"/>
          <w:color w:val="auto"/>
        </w:rPr>
        <w:t>” means the countries of Albania, Angola, Congo, Egypt, Gabon, and Nigeria; provided that the Majority Holders and the Issuer, by mutual written agreement, may re-categorize any country between the definitions of “Ineligible Jurisdiction” and “Eligible Jurisdiction”.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Issuance Date</w:t>
      </w:r>
      <w:r>
        <w:rPr>
          <w:rFonts w:ascii="Arial" w:cs="Arial" w:eastAsia="Arial" w:hAnsi="Arial"/>
          <w:sz w:val="22"/>
          <w:szCs w:val="22"/>
          <w:color w:val="auto"/>
        </w:rPr>
        <w:t>” means August 28, 2020.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Issuance Date Real Property</w:t>
      </w:r>
      <w:r>
        <w:rPr>
          <w:rFonts w:ascii="Arial" w:cs="Arial" w:eastAsia="Arial" w:hAnsi="Arial"/>
          <w:sz w:val="22"/>
          <w:szCs w:val="22"/>
          <w:color w:val="auto"/>
        </w:rPr>
        <w:t>” means the real property listed on Annex F.</w:t>
      </w:r>
    </w:p>
    <w:p>
      <w:pPr>
        <w:spacing w:after="0" w:line="206" w:lineRule="exact"/>
        <w:rPr>
          <w:sz w:val="20"/>
          <w:szCs w:val="20"/>
          <w:color w:val="auto"/>
        </w:rPr>
      </w:pPr>
    </w:p>
    <w:p>
      <w:pPr>
        <w:ind w:right="360" w:firstLine="7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$500.0 million aggregate principal amount of 8.75% Senior Secured First Lien Notes due 2024 issued pursuant to this Indenture on the Initial Issuance Date.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Specified Jurisdiction</w:t>
      </w:r>
      <w:r>
        <w:rPr>
          <w:rFonts w:ascii="Arial" w:cs="Arial" w:eastAsia="Arial" w:hAnsi="Arial"/>
          <w:sz w:val="22"/>
          <w:szCs w:val="22"/>
          <w:color w:val="auto"/>
        </w:rPr>
        <w:t>” means the United States of America (or any state thereof), Canada (or any province or territory thereof), the United Kingdom, Ireland, Switzerland, Luxembourg, Bermuda, the British Virgin Islands, the Netherlands, Argentina, Australia, Norway, Germany, Panama, Mexico and Brazil.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Insolvency or Liquidation Proceeding</w:t>
      </w:r>
      <w:r>
        <w:rPr>
          <w:rFonts w:ascii="Arial" w:cs="Arial" w:eastAsia="Arial" w:hAnsi="Arial"/>
          <w:sz w:val="22"/>
          <w:szCs w:val="22"/>
          <w:color w:val="auto"/>
        </w:rPr>
        <w:t>” has the meaning specified in Section 607.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Insurance Act</w:t>
      </w:r>
      <w:r>
        <w:rPr>
          <w:rFonts w:ascii="Arial" w:cs="Arial" w:eastAsia="Arial" w:hAnsi="Arial"/>
          <w:sz w:val="22"/>
          <w:szCs w:val="22"/>
          <w:color w:val="auto"/>
        </w:rPr>
        <w:t>” has the meaning specified in Section 1017(f).</w:t>
      </w:r>
    </w:p>
    <w:p>
      <w:pPr>
        <w:spacing w:after="0" w:line="20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 Payment Date,</w:t>
      </w:r>
      <w:r>
        <w:rPr>
          <w:rFonts w:ascii="Arial" w:cs="Arial" w:eastAsia="Arial" w:hAnsi="Arial"/>
          <w:sz w:val="22"/>
          <w:szCs w:val="22"/>
          <w:color w:val="auto"/>
        </w:rPr>
        <w:t>” when used with respect to any Note, means the Stated Maturity of an installment of interest on such Note.</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Investment Company Act</w:t>
      </w:r>
      <w:r>
        <w:rPr>
          <w:rFonts w:ascii="Arial" w:cs="Arial" w:eastAsia="Arial" w:hAnsi="Arial"/>
          <w:sz w:val="22"/>
          <w:szCs w:val="22"/>
          <w:color w:val="auto"/>
        </w:rPr>
        <w:t>” means the Investment Company Act of 1940 and any statute successor thereto, in each case as amended from time to time.</w:t>
      </w:r>
    </w:p>
    <w:p>
      <w:pPr>
        <w:spacing w:after="0" w:line="175" w:lineRule="exact"/>
        <w:rPr>
          <w:sz w:val="20"/>
          <w:szCs w:val="20"/>
          <w:color w:val="auto"/>
        </w:rPr>
      </w:pPr>
    </w:p>
    <w:p>
      <w:pPr>
        <w:ind w:right="4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Investment Grade Rating</w:t>
      </w:r>
      <w:r>
        <w:rPr>
          <w:rFonts w:ascii="Arial" w:cs="Arial" w:eastAsia="Arial" w:hAnsi="Arial"/>
          <w:sz w:val="22"/>
          <w:szCs w:val="22"/>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Investments</w:t>
      </w:r>
      <w:r>
        <w:rPr>
          <w:rFonts w:ascii="Arial" w:cs="Arial" w:eastAsia="Arial" w:hAnsi="Arial"/>
          <w:sz w:val="22"/>
          <w:szCs w:val="22"/>
          <w:color w:val="auto"/>
        </w:rPr>
        <w:t>” of any Person means:</w:t>
      </w:r>
    </w:p>
    <w:p>
      <w:pPr>
        <w:spacing w:after="0" w:line="206" w:lineRule="exact"/>
        <w:rPr>
          <w:sz w:val="20"/>
          <w:szCs w:val="20"/>
          <w:color w:val="auto"/>
        </w:rPr>
      </w:pPr>
    </w:p>
    <w:p>
      <w:pPr>
        <w:jc w:val="both"/>
        <w:ind w:left="660" w:right="20" w:firstLine="644"/>
        <w:spacing w:after="0"/>
        <w:tabs>
          <w:tab w:leader="none" w:pos="21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86" w:lineRule="exact"/>
        <w:rPr>
          <w:rFonts w:ascii="Arial" w:cs="Arial" w:eastAsia="Arial" w:hAnsi="Arial"/>
          <w:sz w:val="22"/>
          <w:szCs w:val="22"/>
          <w:color w:val="auto"/>
        </w:rPr>
      </w:pPr>
    </w:p>
    <w:p>
      <w:pPr>
        <w:ind w:left="660" w:right="20" w:firstLine="644"/>
        <w:spacing w:after="0"/>
        <w:tabs>
          <w:tab w:leader="none" w:pos="21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86" w:lineRule="exact"/>
        <w:rPr>
          <w:rFonts w:ascii="Arial" w:cs="Arial" w:eastAsia="Arial" w:hAnsi="Arial"/>
          <w:sz w:val="22"/>
          <w:szCs w:val="22"/>
          <w:color w:val="auto"/>
        </w:rPr>
      </w:pPr>
    </w:p>
    <w:p>
      <w:pPr>
        <w:ind w:left="660" w:right="560" w:firstLine="644"/>
        <w:spacing w:after="0" w:line="250" w:lineRule="auto"/>
        <w:tabs>
          <w:tab w:leader="none" w:pos="21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other items that would be classified as investments in another Person on a balance sheet of such Person prepared in accordance with GAAP; and</w:t>
      </w:r>
    </w:p>
    <w:p>
      <w:pPr>
        <w:spacing w:after="0" w:line="174" w:lineRule="exact"/>
        <w:rPr>
          <w:rFonts w:ascii="Arial" w:cs="Arial" w:eastAsia="Arial" w:hAnsi="Arial"/>
          <w:sz w:val="22"/>
          <w:szCs w:val="22"/>
          <w:color w:val="auto"/>
        </w:rPr>
      </w:pPr>
    </w:p>
    <w:p>
      <w:pPr>
        <w:ind w:left="2100" w:hanging="796"/>
        <w:spacing w:after="0"/>
        <w:tabs>
          <w:tab w:leader="none" w:pos="21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Designation of any Subsidiary as an Unrestricted Subsidiary.</w:t>
      </w:r>
    </w:p>
    <w:p>
      <w:pPr>
        <w:spacing w:after="0" w:line="206" w:lineRule="exact"/>
        <w:rPr>
          <w:sz w:val="20"/>
          <w:szCs w:val="20"/>
          <w:color w:val="auto"/>
        </w:rPr>
      </w:pPr>
    </w:p>
    <w:p>
      <w:pPr>
        <w:ind w:right="120" w:firstLine="648"/>
        <w:spacing w:after="0" w:line="245" w:lineRule="auto"/>
        <w:rPr>
          <w:sz w:val="20"/>
          <w:szCs w:val="20"/>
          <w:color w:val="auto"/>
        </w:rPr>
      </w:pPr>
      <w:r>
        <w:rPr>
          <w:rFonts w:ascii="Arial" w:cs="Arial" w:eastAsia="Arial" w:hAnsi="Arial"/>
          <w:sz w:val="21"/>
          <w:szCs w:val="21"/>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1006.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ind w:right="380"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w:t>
      </w:r>
      <w:r>
        <w:rPr>
          <w:rFonts w:ascii="Arial" w:cs="Arial" w:eastAsia="Arial" w:hAnsi="Arial"/>
          <w:sz w:val="22"/>
          <w:szCs w:val="22"/>
          <w:color w:val="auto"/>
        </w:rPr>
        <w:t>” means the Person named as the “Issuer” in the first paragraph of the Indenture until a successor Person shall have become such pursuant to the applicable provisions of the Indenture, and thereafter “Issuer” shall mean such successor Person.</w:t>
      </w:r>
    </w:p>
    <w:p>
      <w:pPr>
        <w:spacing w:after="0" w:line="187"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 Request</w:t>
      </w:r>
      <w:r>
        <w:rPr>
          <w:rFonts w:ascii="Arial" w:cs="Arial" w:eastAsia="Arial" w:hAnsi="Arial"/>
          <w:sz w:val="22"/>
          <w:szCs w:val="22"/>
          <w:color w:val="auto"/>
        </w:rPr>
        <w:t>” or “</w:t>
      </w:r>
      <w:r>
        <w:rPr>
          <w:rFonts w:ascii="Arial" w:cs="Arial" w:eastAsia="Arial" w:hAnsi="Arial"/>
          <w:sz w:val="22"/>
          <w:szCs w:val="22"/>
          <w:i w:val="1"/>
          <w:iCs w:val="1"/>
          <w:color w:val="auto"/>
        </w:rPr>
        <w:t>Issuer Order</w:t>
      </w:r>
      <w:r>
        <w:rPr>
          <w:rFonts w:ascii="Arial" w:cs="Arial" w:eastAsia="Arial" w:hAnsi="Arial"/>
          <w:sz w:val="22"/>
          <w:szCs w:val="22"/>
          <w:color w:val="auto"/>
        </w:rPr>
        <w:t>” means a written request or order signed in the name of the Issuer by an Officer and delivered to the Trustee.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 has the meaning specified in Section 117.</w:t>
      </w:r>
    </w:p>
    <w:p>
      <w:pPr>
        <w:spacing w:after="0" w:line="206"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LC Credit Agreement</w:t>
      </w:r>
      <w:r>
        <w:rPr>
          <w:rFonts w:ascii="Arial" w:cs="Arial" w:eastAsia="Arial" w:hAnsi="Arial"/>
          <w:sz w:val="19"/>
          <w:szCs w:val="19"/>
          <w:color w:val="auto"/>
        </w:rPr>
        <w:t>” means the LC Credit Agreement, dated as of December 13, 2019, among the Issuer and Weatherford International, LLC, a Delaware limited liability company, as the borrowers, the Parent Guarantor, the lenders from time to time party thereto, the issuing banks from time to time party thereto and Deutsche Bank Trust Company Americas, as administrative agent and collateral agent,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61"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LC Credit Agreement Agent</w:t>
      </w:r>
      <w:r>
        <w:rPr>
          <w:rFonts w:ascii="Arial" w:cs="Arial" w:eastAsia="Arial" w:hAnsi="Arial"/>
          <w:sz w:val="22"/>
          <w:szCs w:val="22"/>
          <w:color w:val="auto"/>
        </w:rPr>
        <w:t>” means Deutsche Bank Trust Company Americas, in its capacity as administrative agent under the LC Credit Agreement, or its successor in such capacity.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LC Facility Obligations</w:t>
      </w:r>
      <w:r>
        <w:rPr>
          <w:rFonts w:ascii="Arial" w:cs="Arial" w:eastAsia="Arial" w:hAnsi="Arial"/>
          <w:sz w:val="22"/>
          <w:szCs w:val="22"/>
          <w:color w:val="auto"/>
        </w:rPr>
        <w:t>” means the “Secured Obligations” as defined in the LC Credit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 has the meaning specified in Section 1302.</w:t>
      </w:r>
    </w:p>
    <w:p>
      <w:pPr>
        <w:spacing w:after="0" w:line="206"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xml:space="preserve">” means any mortgage, pledge, security interest, charge, lien or other encumbrance of any kind, whether or not filed, recorded or perfected under applicable law;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Liquidity</w:t>
      </w:r>
      <w:r>
        <w:rPr>
          <w:rFonts w:ascii="Arial" w:cs="Arial" w:eastAsia="Arial" w:hAnsi="Arial"/>
          <w:sz w:val="22"/>
          <w:szCs w:val="22"/>
          <w:color w:val="auto"/>
        </w:rPr>
        <w:t>” means, as of any date of determination, the aggregate amount of (x) unrestricted cash and Cash Equivalents of the Note Parties and (y) to the extent constituting restricted cash, cash subject to the Liens securing the First Priority Obligations, in each case, at such date.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ind w:right="160"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Majority Holders</w:t>
      </w:r>
      <w:r>
        <w:rPr>
          <w:rFonts w:ascii="Arial" w:cs="Arial" w:eastAsia="Arial" w:hAnsi="Arial"/>
          <w:sz w:val="22"/>
          <w:szCs w:val="22"/>
          <w:color w:val="auto"/>
        </w:rPr>
        <w:t>” means, at any time, Holders of more than 50% of the outstanding principal amount of the Notes at such time, acting through legal counsel in accordance with Section 104, which legal counsel as of the date hereof is Akin Gump Strauss Hauer &amp; Feld LLP.</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Make Whole Premium</w:t>
      </w:r>
      <w:r>
        <w:rPr>
          <w:rFonts w:ascii="Arial" w:cs="Arial" w:eastAsia="Arial" w:hAnsi="Arial"/>
          <w:sz w:val="19"/>
          <w:szCs w:val="19"/>
          <w:color w:val="auto"/>
        </w:rPr>
        <w:t>” means, with respect to a Note at any time as calculated by the Issuer, the excess, if any, of (a) the present value at such time of (i) the redemption price of such Note at August 28, 2021 pursuant to Section 1103(a) plus (ii) any required interest payments due on such Note through August 28, 2021 (except for currently accrued and unpaid interest), computed using a discount rate equal to the Treasury Rate at such time plus 50 basis points, discounted to the redemption date on a semi-annual basis (assuming a 360-day year consisting of twelve 30-day months), over (b) the principal amount of such Note. The Trustee shall have no duty to calculate or verify the Issuer’s calculation of the Make Whole Premium.</w:t>
      </w:r>
    </w:p>
    <w:p>
      <w:pPr>
        <w:spacing w:after="0" w:line="150"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Material Real Property</w:t>
      </w:r>
      <w:r>
        <w:rPr>
          <w:rFonts w:ascii="Arial" w:cs="Arial" w:eastAsia="Arial" w:hAnsi="Arial"/>
          <w:sz w:val="22"/>
          <w:szCs w:val="22"/>
          <w:color w:val="auto"/>
        </w:rPr>
        <w:t>” means real property located in the United States of America, Canada or the United Kingdom owned by any Note Party with a net book value in excess of $10,000,000 and that is not an Excluded Asset and each Initial Issuance Date Real Property.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Material Specified Subsidiary</w:t>
      </w:r>
      <w:r>
        <w:rPr>
          <w:rFonts w:ascii="Arial" w:cs="Arial" w:eastAsia="Arial" w:hAnsi="Arial"/>
          <w:sz w:val="19"/>
          <w:szCs w:val="19"/>
          <w:color w:val="auto"/>
        </w:rPr>
        <w:t>” has the meaning given such term in the LC Credit Agreement as in effect on the date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Mexican Guarantor</w:t>
      </w:r>
      <w:r>
        <w:rPr>
          <w:rFonts w:ascii="Arial" w:cs="Arial" w:eastAsia="Arial" w:hAnsi="Arial"/>
          <w:sz w:val="22"/>
          <w:szCs w:val="22"/>
          <w:color w:val="auto"/>
        </w:rPr>
        <w:t>” means any Guarantor organized under the laws of the United Mexican States.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Moody’s</w:t>
      </w:r>
      <w:r>
        <w:rPr>
          <w:rFonts w:ascii="Arial" w:cs="Arial" w:eastAsia="Arial" w:hAnsi="Arial"/>
          <w:sz w:val="22"/>
          <w:szCs w:val="22"/>
          <w:color w:val="auto"/>
        </w:rPr>
        <w:t>” means Moody’s Investors Service, Inc., and its successors.</w:t>
      </w:r>
    </w:p>
    <w:p>
      <w:pPr>
        <w:spacing w:after="0" w:line="206"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Mortgage</w:t>
      </w:r>
      <w:r>
        <w:rPr>
          <w:rFonts w:ascii="Arial" w:cs="Arial" w:eastAsia="Arial" w:hAnsi="Arial"/>
          <w:sz w:val="22"/>
          <w:szCs w:val="22"/>
          <w:color w:val="auto"/>
        </w:rPr>
        <w:t>” means each mortgage, deed of trust, debenture or other agreement which conveys or evidences a Lien in favor of the Collateral Agent on real property of any Note Party.</w:t>
      </w:r>
    </w:p>
    <w:p>
      <w:pPr>
        <w:spacing w:after="0" w:line="175" w:lineRule="exact"/>
        <w:rPr>
          <w:sz w:val="20"/>
          <w:szCs w:val="20"/>
          <w:color w:val="auto"/>
        </w:rPr>
      </w:pPr>
    </w:p>
    <w:p>
      <w:pPr>
        <w:jc w:val="both"/>
        <w:ind w:right="22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Net Proceeds</w:t>
      </w:r>
      <w:r>
        <w:rPr>
          <w:rFonts w:ascii="Arial" w:cs="Arial" w:eastAsia="Arial" w:hAnsi="Arial"/>
          <w:sz w:val="21"/>
          <w:szCs w:val="21"/>
          <w:color w:val="auto"/>
        </w:rPr>
        <w:t>” means the aggregate cash proceeds and Cash Equivalents received by the Parent Guarantor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pursuant to Section 1012), net of:</w:t>
      </w:r>
    </w:p>
    <w:p>
      <w:pPr>
        <w:spacing w:after="0" w:line="174" w:lineRule="exact"/>
        <w:rPr>
          <w:sz w:val="20"/>
          <w:szCs w:val="20"/>
          <w:color w:val="auto"/>
        </w:rPr>
      </w:pPr>
    </w:p>
    <w:p>
      <w:pPr>
        <w:ind w:left="660" w:firstLine="644"/>
        <w:spacing w:after="0" w:line="238" w:lineRule="auto"/>
        <w:tabs>
          <w:tab w:leader="none" w:pos="21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direct costs relating to such Asset Sale, including, without limitation, legal, accounting and investment banking fees, title and recording tax expenses and sales commissions, severance and associated costs, expenses and charges of personnel and any relocation expenses relating to the properties or assets subject to or incurred as a result of the Asset Sale;</w:t>
      </w:r>
    </w:p>
    <w:p>
      <w:pPr>
        <w:spacing w:after="0" w:line="184" w:lineRule="exact"/>
        <w:rPr>
          <w:rFonts w:ascii="Arial" w:cs="Arial" w:eastAsia="Arial" w:hAnsi="Arial"/>
          <w:sz w:val="22"/>
          <w:szCs w:val="22"/>
          <w:color w:val="auto"/>
        </w:rPr>
      </w:pPr>
    </w:p>
    <w:p>
      <w:pPr>
        <w:ind w:left="660" w:right="80" w:firstLine="644"/>
        <w:spacing w:after="0" w:line="328" w:lineRule="auto"/>
        <w:tabs>
          <w:tab w:leader="none" w:pos="2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taxes paid or payable or required to be accrued as a liability under GAAP as a result of the Asset Sale, in each case, after taking into account any available tax credits or deductions and any tax sharing arrangements;</w:t>
      </w:r>
    </w:p>
    <w:p>
      <w:pPr>
        <w:spacing w:after="0" w:line="104" w:lineRule="exact"/>
        <w:rPr>
          <w:rFonts w:ascii="Arial" w:cs="Arial" w:eastAsia="Arial" w:hAnsi="Arial"/>
          <w:sz w:val="19"/>
          <w:szCs w:val="19"/>
          <w:color w:val="auto"/>
        </w:rPr>
      </w:pPr>
    </w:p>
    <w:p>
      <w:pPr>
        <w:ind w:left="660" w:right="120" w:firstLine="644"/>
        <w:spacing w:after="0" w:line="297" w:lineRule="auto"/>
        <w:tabs>
          <w:tab w:leader="none" w:pos="2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amounts required to be applied to the repayment of Indebtedness or cash collateralization of letters of credit, bank guaranties, bankers’ acceptances and similar instruments, in each case secured by Liens permitted hereunder on the properties or assets that were the subject of such Asset Sale, to the extent (a) such Indebtedness constitutes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ind w:left="660" w:right="40"/>
        <w:spacing w:after="0" w:line="274" w:lineRule="auto"/>
        <w:rPr>
          <w:sz w:val="20"/>
          <w:szCs w:val="20"/>
          <w:color w:val="auto"/>
        </w:rPr>
      </w:pPr>
      <w:r>
        <w:rPr>
          <w:rFonts w:ascii="Arial" w:cs="Arial" w:eastAsia="Arial" w:hAnsi="Arial"/>
          <w:sz w:val="21"/>
          <w:szCs w:val="21"/>
          <w:color w:val="auto"/>
        </w:rPr>
        <w:t>Purchase Money Indebtedness, or (b) such Liens rank senior (or pari passu on a first-out basis with respect to such assets) to the Liens securing the Notes and/or the Guarantees and are otherwise permitted hereunder;</w:t>
      </w:r>
    </w:p>
    <w:p>
      <w:pPr>
        <w:spacing w:after="0" w:line="151" w:lineRule="exact"/>
        <w:rPr>
          <w:sz w:val="20"/>
          <w:szCs w:val="20"/>
          <w:color w:val="auto"/>
        </w:rPr>
      </w:pPr>
    </w:p>
    <w:p>
      <w:pPr>
        <w:ind w:left="660" w:right="700" w:firstLine="644"/>
        <w:spacing w:after="0" w:line="250" w:lineRule="auto"/>
        <w:tabs>
          <w:tab w:leader="none" w:pos="21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all distributions and other payments required to be made to minority interest holders in Restricted Subsidiaries or joint ventures as a result of such Asset Sale; and</w:t>
      </w:r>
    </w:p>
    <w:p>
      <w:pPr>
        <w:spacing w:after="0" w:line="174" w:lineRule="exact"/>
        <w:rPr>
          <w:rFonts w:ascii="Arial" w:cs="Arial" w:eastAsia="Arial" w:hAnsi="Arial"/>
          <w:sz w:val="22"/>
          <w:szCs w:val="22"/>
          <w:color w:val="auto"/>
        </w:rPr>
      </w:pPr>
    </w:p>
    <w:p>
      <w:pPr>
        <w:ind w:left="660" w:firstLine="644"/>
        <w:spacing w:after="0" w:line="234" w:lineRule="auto"/>
        <w:tabs>
          <w:tab w:leader="none" w:pos="21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amounts to be set aside in any reserve established in accordance with GAAP or any amount placed in escrow, in either case for adjustment in respect of the sale price of such properties or assets or for liabilities associated with such Asset Sale and retained by the Parent Guarantor or any of its Restricted Subsidiaries (including, without limitation, pension and other post-employment benefit liabilities and liabilities related to environmental matters or against any indemnification obligations associated with such transaction) until such time as such reserve is reversed or such escrow arrangement is terminated, in which case Net Proceeds shall include only the amount of the reserve so reversed or the amount returned to the Parent Guarantor or its Restricted Subsidiaries from such escrow arrangement, as the case may be.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Debt</w:t>
      </w:r>
      <w:r>
        <w:rPr>
          <w:rFonts w:ascii="Arial" w:cs="Arial" w:eastAsia="Arial" w:hAnsi="Arial"/>
          <w:sz w:val="22"/>
          <w:szCs w:val="22"/>
          <w:color w:val="auto"/>
        </w:rPr>
        <w:t>” means Indebtedness of an Unrestricted Subsidiary:</w:t>
      </w:r>
    </w:p>
    <w:p>
      <w:pPr>
        <w:spacing w:after="0" w:line="206" w:lineRule="exact"/>
        <w:rPr>
          <w:sz w:val="20"/>
          <w:szCs w:val="20"/>
          <w:color w:val="auto"/>
        </w:rPr>
      </w:pPr>
    </w:p>
    <w:p>
      <w:pPr>
        <w:ind w:left="660" w:right="80" w:firstLine="644"/>
        <w:spacing w:after="0" w:line="297" w:lineRule="auto"/>
        <w:tabs>
          <w:tab w:leader="none" w:pos="2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33" w:lineRule="exact"/>
        <w:rPr>
          <w:rFonts w:ascii="Arial" w:cs="Arial" w:eastAsia="Arial" w:hAnsi="Arial"/>
          <w:sz w:val="19"/>
          <w:szCs w:val="19"/>
          <w:color w:val="auto"/>
        </w:rPr>
      </w:pPr>
    </w:p>
    <w:p>
      <w:pPr>
        <w:ind w:left="660" w:right="60" w:firstLine="644"/>
        <w:spacing w:after="0" w:line="252" w:lineRule="auto"/>
        <w:tabs>
          <w:tab w:leader="none" w:pos="21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 (as defined in Regulation S).</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Party</w:t>
      </w:r>
      <w:r>
        <w:rPr>
          <w:rFonts w:ascii="Arial" w:cs="Arial" w:eastAsia="Arial" w:hAnsi="Arial"/>
          <w:sz w:val="22"/>
          <w:szCs w:val="22"/>
          <w:color w:val="auto"/>
        </w:rPr>
        <w:t>” means the Issuer or any Guarantor.</w:t>
      </w:r>
    </w:p>
    <w:p>
      <w:pPr>
        <w:spacing w:after="0" w:line="20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means the 8.75% Senior Secured First Lien Notes due 2024 issued by the Issuer under the Indenture constituting Initial Notes and, if any, Additional Notes.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 Documents</w:t>
      </w:r>
      <w:r>
        <w:rPr>
          <w:rFonts w:ascii="Arial" w:cs="Arial" w:eastAsia="Arial" w:hAnsi="Arial"/>
          <w:sz w:val="22"/>
          <w:szCs w:val="22"/>
          <w:color w:val="auto"/>
        </w:rPr>
        <w:t>” means this Indenture, the Notes, the Guarantees and the Collateral Documents.</w:t>
      </w:r>
    </w:p>
    <w:p>
      <w:pPr>
        <w:spacing w:after="0" w:line="206"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w:t>
      </w:r>
      <w:r>
        <w:rPr>
          <w:rFonts w:ascii="Arial" w:cs="Arial" w:eastAsia="Arial" w:hAnsi="Arial"/>
          <w:sz w:val="22"/>
          <w:szCs w:val="22"/>
          <w:color w:val="auto"/>
        </w:rPr>
        <w:t>” means any principal, interest, penalties, fees, indemnification, reimbursements, costs, expenses, damages and other liabilities payable under the documentation governing any Indebtedness.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OFAC</w:t>
      </w:r>
      <w:r>
        <w:rPr>
          <w:rFonts w:ascii="Arial" w:cs="Arial" w:eastAsia="Arial" w:hAnsi="Arial"/>
          <w:sz w:val="22"/>
          <w:szCs w:val="22"/>
          <w:color w:val="auto"/>
        </w:rPr>
        <w:t>” means The Office of Foreign Assets Control of the U.S. Department of the Treasury.</w:t>
      </w:r>
    </w:p>
    <w:p>
      <w:pPr>
        <w:spacing w:after="0" w:line="207" w:lineRule="exact"/>
        <w:rPr>
          <w:sz w:val="20"/>
          <w:szCs w:val="20"/>
          <w:color w:val="auto"/>
        </w:rPr>
      </w:pPr>
    </w:p>
    <w:p>
      <w:pPr>
        <w:ind w:right="2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w:t>
      </w:r>
      <w:r>
        <w:rPr>
          <w:rFonts w:ascii="Arial" w:cs="Arial" w:eastAsia="Arial" w:hAnsi="Arial"/>
          <w:sz w:val="19"/>
          <w:szCs w:val="19"/>
          <w:color w:val="auto"/>
        </w:rPr>
        <w:t>” means any of the following of the Issuer or any Guarantor: the Chairman of the Board, the Chief Executive Officer, the President, any Vice President, or any other duly authorized officer of the Issuer or such Guarantor, as the case may be, or (save in the case of the Parent Guarantor) any other person duly authorized by any such person.</w:t>
      </w:r>
    </w:p>
    <w:p>
      <w:pPr>
        <w:spacing w:after="0" w:line="134" w:lineRule="exact"/>
        <w:rPr>
          <w:sz w:val="20"/>
          <w:szCs w:val="20"/>
          <w:color w:val="auto"/>
        </w:rPr>
      </w:pPr>
    </w:p>
    <w:p>
      <w:pPr>
        <w:ind w:right="3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on behalf of the Issuer or a Guarantor, as appropriate, by two of its Officers, one of whom, in the case of any Officers’ Certificate delivered pursuant to Section 1004, must be the principal/chief executive officer, the principal/chief financial officer or the principal/chief accounting officer of the Issuer, that meets the requirements of Section 102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OID Legend</w:t>
      </w:r>
      <w:r>
        <w:rPr>
          <w:rFonts w:ascii="Arial" w:cs="Arial" w:eastAsia="Arial" w:hAnsi="Arial"/>
          <w:sz w:val="22"/>
          <w:szCs w:val="22"/>
          <w:color w:val="auto"/>
        </w:rPr>
        <w:t>” has the meaning specified in Section 202.</w:t>
      </w:r>
    </w:p>
    <w:p>
      <w:pPr>
        <w:spacing w:after="0" w:line="206" w:lineRule="exact"/>
        <w:rPr>
          <w:sz w:val="20"/>
          <w:szCs w:val="20"/>
          <w:color w:val="auto"/>
        </w:rPr>
      </w:pPr>
    </w:p>
    <w:p>
      <w:pPr>
        <w:ind w:right="44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Opinion of Counsel</w:t>
      </w:r>
      <w:r>
        <w:rPr>
          <w:rFonts w:ascii="Arial" w:cs="Arial" w:eastAsia="Arial" w:hAnsi="Arial"/>
          <w:sz w:val="21"/>
          <w:szCs w:val="21"/>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6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Outstanding,</w:t>
      </w:r>
      <w:r>
        <w:rPr>
          <w:rFonts w:ascii="Arial" w:cs="Arial" w:eastAsia="Arial" w:hAnsi="Arial"/>
          <w:sz w:val="22"/>
          <w:szCs w:val="22"/>
          <w:color w:val="auto"/>
        </w:rPr>
        <w:t>” when used with respect to the Notes, means, as of the date of determination, all Notes theretofore authenticated and delivered under the Indenture, except:</w:t>
      </w:r>
    </w:p>
    <w:p>
      <w:pPr>
        <w:spacing w:after="0" w:line="175" w:lineRule="exact"/>
        <w:rPr>
          <w:sz w:val="20"/>
          <w:szCs w:val="20"/>
          <w:color w:val="auto"/>
        </w:rPr>
      </w:pPr>
    </w:p>
    <w:p>
      <w:pPr>
        <w:ind w:left="2100" w:hanging="796"/>
        <w:spacing w:after="0"/>
        <w:tabs>
          <w:tab w:leader="none" w:pos="21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Notes theretofore cancelled by the Trustee or delivered to the Trustee for cancellation;</w:t>
      </w:r>
    </w:p>
    <w:p>
      <w:pPr>
        <w:spacing w:after="0" w:line="206" w:lineRule="exact"/>
        <w:rPr>
          <w:rFonts w:ascii="Arial" w:cs="Arial" w:eastAsia="Arial" w:hAnsi="Arial"/>
          <w:sz w:val="22"/>
          <w:szCs w:val="22"/>
          <w:color w:val="auto"/>
        </w:rPr>
      </w:pPr>
    </w:p>
    <w:p>
      <w:pPr>
        <w:ind w:left="660" w:right="140" w:firstLine="644"/>
        <w:spacing w:after="0" w:line="282" w:lineRule="auto"/>
        <w:tabs>
          <w:tab w:leader="none" w:pos="21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Notes are to be redeemed, notice of such redemption has been duly given pursuant to the Indenture or provision therefor satisfactory to the Trustee has been made;</w:t>
      </w:r>
    </w:p>
    <w:p>
      <w:pPr>
        <w:spacing w:after="0" w:line="147" w:lineRule="exact"/>
        <w:rPr>
          <w:rFonts w:ascii="Arial" w:cs="Arial" w:eastAsia="Arial" w:hAnsi="Arial"/>
          <w:sz w:val="19"/>
          <w:szCs w:val="19"/>
          <w:color w:val="auto"/>
        </w:rPr>
      </w:pPr>
    </w:p>
    <w:p>
      <w:pPr>
        <w:ind w:left="2100" w:hanging="796"/>
        <w:spacing w:after="0"/>
        <w:tabs>
          <w:tab w:leader="none" w:pos="21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Notes as to which Legal Defeasance has been effected pursuant to Section 1302; and</w:t>
      </w:r>
    </w:p>
    <w:p>
      <w:pPr>
        <w:spacing w:after="0" w:line="206" w:lineRule="exact"/>
        <w:rPr>
          <w:rFonts w:ascii="Arial" w:cs="Arial" w:eastAsia="Arial" w:hAnsi="Arial"/>
          <w:sz w:val="22"/>
          <w:szCs w:val="22"/>
          <w:color w:val="auto"/>
        </w:rPr>
      </w:pPr>
    </w:p>
    <w:p>
      <w:pPr>
        <w:ind w:left="660" w:firstLine="644"/>
        <w:spacing w:after="0" w:line="238" w:lineRule="auto"/>
        <w:tabs>
          <w:tab w:leader="none" w:pos="21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Notes which have been paid pursuant to Section 306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w:t>
      </w:r>
    </w:p>
    <w:p>
      <w:pPr>
        <w:spacing w:after="0" w:line="185"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 Guarantor</w:t>
      </w:r>
      <w:r>
        <w:rPr>
          <w:rFonts w:ascii="Arial" w:cs="Arial" w:eastAsia="Arial" w:hAnsi="Arial"/>
          <w:sz w:val="22"/>
          <w:szCs w:val="22"/>
          <w:color w:val="auto"/>
        </w:rPr>
        <w:t>” means the Person named as the “Parent Guarantor” in the first paragraph of the Indenture until a successor Person shall have become such pursuant to the applicable provisions of the Indenture, and thereafter “Parent Guarantor” shall mean such successor Person.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ind w:right="5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 means any Person authorized by the Issuer to pay the principal of or any premium or interest on any Notes on behalf of the Issuer.</w:t>
      </w:r>
    </w:p>
    <w:p>
      <w:pPr>
        <w:spacing w:after="0" w:line="173"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Business</w:t>
      </w:r>
      <w:r>
        <w:rPr>
          <w:rFonts w:ascii="Arial" w:cs="Arial" w:eastAsia="Arial" w:hAnsi="Arial"/>
          <w:sz w:val="22"/>
          <w:szCs w:val="22"/>
          <w:color w:val="auto"/>
        </w:rPr>
        <w:t>” means the businesses engaged in by the Parent Guarantor and its Subsidiaries on the Initial Issuance Date and businesses that are reasonably related, incidental or ancillary thereto or reasonable extensions thereof as determined by the Board of Directors of Parent Guarantor.</w:t>
      </w:r>
    </w:p>
    <w:p>
      <w:pPr>
        <w:spacing w:after="0" w:line="186" w:lineRule="exact"/>
        <w:rPr>
          <w:sz w:val="20"/>
          <w:szCs w:val="20"/>
          <w:color w:val="auto"/>
        </w:rPr>
      </w:pPr>
    </w:p>
    <w:p>
      <w:pPr>
        <w:ind w:right="2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Business Investment</w:t>
      </w:r>
      <w:r>
        <w:rPr>
          <w:rFonts w:ascii="Arial" w:cs="Arial" w:eastAsia="Arial" w:hAnsi="Arial"/>
          <w:sz w:val="22"/>
          <w:szCs w:val="22"/>
          <w:color w:val="auto"/>
        </w:rPr>
        <w:t>” means Investments in any Person (other than an Unrestricted Subsidiary)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Factoring Transactions</w:t>
      </w:r>
      <w:r>
        <w:rPr>
          <w:rFonts w:ascii="Arial" w:cs="Arial" w:eastAsia="Arial" w:hAnsi="Arial"/>
          <w:sz w:val="22"/>
          <w:szCs w:val="22"/>
          <w:color w:val="auto"/>
        </w:rPr>
        <w:t>” means receivables purchase facilities and factoring transactions in existence on the Initial Issuance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5"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Holders</w:t>
      </w:r>
      <w:r>
        <w:rPr>
          <w:rFonts w:ascii="Arial" w:cs="Arial" w:eastAsia="Arial" w:hAnsi="Arial"/>
          <w:sz w:val="19"/>
          <w:szCs w:val="19"/>
          <w:color w:val="auto"/>
        </w:rPr>
        <w:t>” means Capital Research and Management Company and its affiliates, on behalf of certain managed funds and accounts and Franklin Advisers, Inc., as investment manager on behalf of certain funds and accounts.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Indebtedness</w:t>
      </w:r>
      <w:r>
        <w:rPr>
          <w:rFonts w:ascii="Arial" w:cs="Arial" w:eastAsia="Arial" w:hAnsi="Arial"/>
          <w:sz w:val="22"/>
          <w:szCs w:val="22"/>
          <w:color w:val="auto"/>
        </w:rPr>
        <w:t>” has the meaning set forth in the second paragraph of Section 1008.</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Permitted Intercompany Specified Transactions</w:t>
      </w:r>
      <w:r>
        <w:rPr>
          <w:rFonts w:ascii="Arial" w:cs="Arial" w:eastAsia="Arial" w:hAnsi="Arial"/>
          <w:sz w:val="21"/>
          <w:szCs w:val="21"/>
          <w:color w:val="auto"/>
        </w:rPr>
        <w:t>” means capital contributions or other Investments made by the Parent Guarantor or a Restricted Subsidiary to or in a Restricted Subsidiary that is not a Note Party (a) made in the ordinary course of business in order to comply with foreign requirements of law and accounting standards and practices with respect to minimum levels of retained earnings or other similar legal requirements, (b) made in the ordinary course of business and in accordance with historical practices thereof in connection with submitting RFPs, RFQs or other similar customer bids, (c) made in the ordinary course of business and in accordance with historical practices thereof in connection with tax optimization strategies, and (d) made in the ordinary course of business and in accordance with historical practices thereof in connection with funding operating losses of the recipient thereof.</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Intercompany Treasury Management Transactions</w:t>
      </w:r>
      <w:r>
        <w:rPr>
          <w:rFonts w:ascii="Arial" w:cs="Arial" w:eastAsia="Arial" w:hAnsi="Arial"/>
          <w:sz w:val="22"/>
          <w:szCs w:val="22"/>
          <w:color w:val="auto"/>
        </w:rPr>
        <w:t>” means customary intercompany trade transactions, customary intercompany operational asset transfers and customary intercompany cash management transfers, in each case made in the ordinary course of business of the Parent Guarantor and its Restricted Subsidiaries and in accordance with historical practices thereof.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Investment</w:t>
      </w:r>
      <w:r>
        <w:rPr>
          <w:rFonts w:ascii="Arial" w:cs="Arial" w:eastAsia="Arial" w:hAnsi="Arial"/>
          <w:sz w:val="22"/>
          <w:szCs w:val="22"/>
          <w:color w:val="auto"/>
        </w:rPr>
        <w:t>” means: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right="180" w:firstLine="644"/>
        <w:spacing w:after="0" w:line="279" w:lineRule="auto"/>
        <w:tabs>
          <w:tab w:leader="none" w:pos="1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Investments by the Parent Guarantor or any Restricted Subsidiary (a) in the Issuer or any Guarantor, (b) in any Person that will become immediately after such Investment a Guarantor or that will merge or consolidate into the Parent Guarantor, the Issuer or any Guarantor and any Investment held by any such Person at such time that was not incurred in contemplation of such acquisition, merger or consolidation or (c) that exist on the Initial Issuance Date, and any renewal or extension of any such Investments that does not increase the amount of the Investment being renewed or extended as determined as of such date of renewal or extension;</w:t>
      </w:r>
    </w:p>
    <w:p>
      <w:pPr>
        <w:spacing w:after="0" w:line="150" w:lineRule="exact"/>
        <w:rPr>
          <w:rFonts w:ascii="Arial" w:cs="Arial" w:eastAsia="Arial" w:hAnsi="Arial"/>
          <w:sz w:val="19"/>
          <w:szCs w:val="19"/>
          <w:color w:val="auto"/>
        </w:rPr>
      </w:pPr>
    </w:p>
    <w:p>
      <w:pPr>
        <w:ind w:left="1440" w:hanging="796"/>
        <w:spacing w:after="0"/>
        <w:tabs>
          <w:tab w:leader="none" w:pos="14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Investments by any Restricted Subsidiary that is not a Note Party in any Restricted Subsidiary;</w:t>
      </w:r>
    </w:p>
    <w:p>
      <w:pPr>
        <w:spacing w:after="0" w:line="217" w:lineRule="exact"/>
        <w:rPr>
          <w:rFonts w:ascii="Arial" w:cs="Arial" w:eastAsia="Arial" w:hAnsi="Arial"/>
          <w:sz w:val="21"/>
          <w:szCs w:val="21"/>
          <w:color w:val="auto"/>
        </w:rPr>
      </w:pPr>
    </w:p>
    <w:p>
      <w:pPr>
        <w:ind w:right="700" w:firstLine="644"/>
        <w:spacing w:after="0" w:line="250" w:lineRule="auto"/>
        <w:tabs>
          <w:tab w:leader="none" w:pos="14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loans and advances to directors, employees and officers of the Parent Guarantor and its Restricted Subsidiaries in the ordinary course of business;</w:t>
      </w:r>
    </w:p>
    <w:p>
      <w:pPr>
        <w:spacing w:after="0" w:line="174" w:lineRule="exact"/>
        <w:rPr>
          <w:rFonts w:ascii="Arial" w:cs="Arial" w:eastAsia="Arial" w:hAnsi="Arial"/>
          <w:sz w:val="22"/>
          <w:szCs w:val="22"/>
          <w:color w:val="auto"/>
        </w:rPr>
      </w:pPr>
    </w:p>
    <w:p>
      <w:pPr>
        <w:ind w:firstLine="644"/>
        <w:spacing w:after="0" w:line="250" w:lineRule="auto"/>
        <w:tabs>
          <w:tab w:leader="none" w:pos="14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Hedging Obligations entered into in the ordinary course of business for bona fide hedging purposes of the Parent Guarantor or any Restricted Subsidiary not for the purpose of speculation;</w:t>
      </w:r>
    </w:p>
    <w:p>
      <w:pPr>
        <w:spacing w:after="0" w:line="174" w:lineRule="exact"/>
        <w:rPr>
          <w:rFonts w:ascii="Arial" w:cs="Arial" w:eastAsia="Arial" w:hAnsi="Arial"/>
          <w:sz w:val="22"/>
          <w:szCs w:val="22"/>
          <w:color w:val="auto"/>
        </w:rPr>
      </w:pPr>
    </w:p>
    <w:p>
      <w:pPr>
        <w:ind w:left="1440" w:hanging="796"/>
        <w:spacing w:after="0"/>
        <w:tabs>
          <w:tab w:leader="none" w:pos="14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06" w:lineRule="exact"/>
        <w:rPr>
          <w:rFonts w:ascii="Arial" w:cs="Arial" w:eastAsia="Arial" w:hAnsi="Arial"/>
          <w:sz w:val="22"/>
          <w:szCs w:val="22"/>
          <w:color w:val="auto"/>
        </w:rPr>
      </w:pPr>
    </w:p>
    <w:p>
      <w:pPr>
        <w:ind w:right="180" w:firstLine="644"/>
        <w:spacing w:after="0" w:line="297" w:lineRule="auto"/>
        <w:tabs>
          <w:tab w:leader="none" w:pos="1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receivables owing to the Parent Guarantor or any Restricted Subsidiary if created or acquired in the ordinary course of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trade terms may include such concessionary trade terms as the Parent Guarantor or any such Restricted Subsidiary deems reasonable under the circumstances;</w:t>
      </w:r>
    </w:p>
    <w:p>
      <w:pPr>
        <w:spacing w:after="0" w:line="133" w:lineRule="exact"/>
        <w:rPr>
          <w:rFonts w:ascii="Arial" w:cs="Arial" w:eastAsia="Arial" w:hAnsi="Arial"/>
          <w:sz w:val="19"/>
          <w:szCs w:val="19"/>
          <w:color w:val="auto"/>
        </w:rPr>
      </w:pPr>
    </w:p>
    <w:p>
      <w:pPr>
        <w:ind w:right="60" w:firstLine="644"/>
        <w:spacing w:after="0" w:line="257" w:lineRule="auto"/>
        <w:tabs>
          <w:tab w:leader="none" w:pos="14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69" w:lineRule="exact"/>
        <w:rPr>
          <w:rFonts w:ascii="Arial" w:cs="Arial" w:eastAsia="Arial" w:hAnsi="Arial"/>
          <w:sz w:val="21"/>
          <w:szCs w:val="21"/>
          <w:color w:val="auto"/>
        </w:rPr>
      </w:pPr>
    </w:p>
    <w:p>
      <w:pPr>
        <w:ind w:right="420" w:firstLine="644"/>
        <w:spacing w:after="0" w:line="328" w:lineRule="auto"/>
        <w:tabs>
          <w:tab w:leader="none" w:pos="1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Investments evidencing the right to receive a deferred purchase price or other consideration for the disposition of Receivables and Receivables Related Security in connection with any Permitted Factoring Transaction;</w:t>
      </w:r>
    </w:p>
    <w:p>
      <w:pPr>
        <w:spacing w:after="0" w:line="104" w:lineRule="exact"/>
        <w:rPr>
          <w:rFonts w:ascii="Arial" w:cs="Arial" w:eastAsia="Arial" w:hAnsi="Arial"/>
          <w:sz w:val="19"/>
          <w:szCs w:val="19"/>
          <w:color w:val="auto"/>
        </w:rPr>
      </w:pPr>
    </w:p>
    <w:p>
      <w:pPr>
        <w:ind w:left="1440" w:hanging="796"/>
        <w:spacing w:after="0"/>
        <w:tabs>
          <w:tab w:leader="none" w:pos="1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guarantees of performance or similar obligations (other than Indebtedness) arising in the ordinary course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business;</w:t>
      </w:r>
    </w:p>
    <w:p>
      <w:pPr>
        <w:spacing w:after="0" w:line="188" w:lineRule="exact"/>
        <w:rPr>
          <w:rFonts w:ascii="Arial" w:cs="Arial" w:eastAsia="Arial" w:hAnsi="Arial"/>
          <w:sz w:val="19"/>
          <w:szCs w:val="19"/>
          <w:color w:val="auto"/>
        </w:rPr>
      </w:pPr>
    </w:p>
    <w:p>
      <w:pPr>
        <w:ind w:left="1540" w:hanging="896"/>
        <w:spacing w:after="0"/>
        <w:tabs>
          <w:tab w:leader="none" w:pos="15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lease, utility and other similar deposits in the ordinary course of business;</w:t>
      </w:r>
    </w:p>
    <w:p>
      <w:pPr>
        <w:spacing w:after="0" w:line="206" w:lineRule="exact"/>
        <w:rPr>
          <w:rFonts w:ascii="Arial" w:cs="Arial" w:eastAsia="Arial" w:hAnsi="Arial"/>
          <w:sz w:val="22"/>
          <w:szCs w:val="22"/>
          <w:color w:val="auto"/>
        </w:rPr>
      </w:pPr>
    </w:p>
    <w:p>
      <w:pPr>
        <w:ind w:right="80" w:firstLine="644"/>
        <w:spacing w:after="0" w:line="250" w:lineRule="auto"/>
        <w:tabs>
          <w:tab w:leader="none" w:pos="15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stock, obligations or securities received in settlement of debts created in the ordinary course of business and owing to the Parent Guarantor or any Restricted Subsidiary or in satisfaction of judgments;</w:t>
      </w:r>
    </w:p>
    <w:p>
      <w:pPr>
        <w:spacing w:after="0" w:line="174" w:lineRule="exact"/>
        <w:rPr>
          <w:rFonts w:ascii="Arial" w:cs="Arial" w:eastAsia="Arial" w:hAnsi="Arial"/>
          <w:sz w:val="22"/>
          <w:szCs w:val="22"/>
          <w:color w:val="auto"/>
        </w:rPr>
      </w:pPr>
    </w:p>
    <w:p>
      <w:pPr>
        <w:ind w:left="1540" w:hanging="896"/>
        <w:spacing w:after="0"/>
        <w:tabs>
          <w:tab w:leader="none" w:pos="15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Permitted Business Investments;</w:t>
      </w:r>
    </w:p>
    <w:p>
      <w:pPr>
        <w:spacing w:after="0" w:line="206" w:lineRule="exact"/>
        <w:rPr>
          <w:rFonts w:ascii="Arial" w:cs="Arial" w:eastAsia="Arial" w:hAnsi="Arial"/>
          <w:sz w:val="22"/>
          <w:szCs w:val="22"/>
          <w:color w:val="auto"/>
        </w:rPr>
      </w:pPr>
    </w:p>
    <w:p>
      <w:pPr>
        <w:ind w:right="380" w:firstLine="644"/>
        <w:spacing w:after="0" w:line="250" w:lineRule="auto"/>
        <w:tabs>
          <w:tab w:leader="none" w:pos="1548" w:val="left"/>
        </w:tabs>
        <w:numPr>
          <w:ilvl w:val="0"/>
          <w:numId w:val="32"/>
        </w:numPr>
        <w:rPr>
          <w:rFonts w:ascii="Arial" w:cs="Arial" w:eastAsia="Arial" w:hAnsi="Arial"/>
          <w:sz w:val="22"/>
          <w:szCs w:val="22"/>
          <w:color w:val="auto"/>
        </w:rPr>
      </w:pPr>
      <w:r>
        <w:rPr>
          <w:rFonts w:ascii="Arial" w:cs="Arial" w:eastAsia="Arial" w:hAnsi="Arial"/>
          <w:sz w:val="22"/>
          <w:szCs w:val="22"/>
          <w:color w:val="auto"/>
        </w:rPr>
        <w:t>guarantees of Indebtedness of the Parent Guarantor or any of its Restricted Subsidiaries permitted in accordance with Section 1008;</w:t>
      </w:r>
    </w:p>
    <w:p>
      <w:pPr>
        <w:spacing w:after="0" w:line="17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38" w:name="page39"/>
    <w:bookmarkEnd w:id="38"/>
    <w:p>
      <w:pPr>
        <w:ind w:left="1080" w:hanging="896"/>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repurchases of, or other Investments in, the Notes;</w:t>
      </w:r>
    </w:p>
    <w:p>
      <w:pPr>
        <w:spacing w:after="0" w:line="206" w:lineRule="exact"/>
        <w:rPr>
          <w:rFonts w:ascii="Arial" w:cs="Arial" w:eastAsia="Arial" w:hAnsi="Arial"/>
          <w:sz w:val="22"/>
          <w:szCs w:val="22"/>
          <w:color w:val="auto"/>
        </w:rPr>
      </w:pPr>
    </w:p>
    <w:p>
      <w:pPr>
        <w:ind w:left="-460" w:right="160" w:firstLine="644"/>
        <w:spacing w:after="0" w:line="287" w:lineRule="auto"/>
        <w:tabs>
          <w:tab w:leader="none" w:pos="1088"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trade terms may include such concessionary trade terms as the Parent Guarantor or the applicable Restricted Subsidiary deems reasonable under the circumstances;</w:t>
      </w:r>
    </w:p>
    <w:p>
      <w:pPr>
        <w:spacing w:after="0" w:line="142" w:lineRule="exact"/>
        <w:rPr>
          <w:rFonts w:ascii="Arial" w:cs="Arial" w:eastAsia="Arial" w:hAnsi="Arial"/>
          <w:sz w:val="19"/>
          <w:szCs w:val="19"/>
          <w:color w:val="auto"/>
        </w:rPr>
      </w:pPr>
    </w:p>
    <w:p>
      <w:pPr>
        <w:ind w:left="1080" w:hanging="896"/>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made pursuant to commitments in effect on the Initial Issuance Date;</w:t>
      </w:r>
    </w:p>
    <w:p>
      <w:pPr>
        <w:spacing w:after="0" w:line="206" w:lineRule="exact"/>
        <w:rPr>
          <w:rFonts w:ascii="Arial" w:cs="Arial" w:eastAsia="Arial" w:hAnsi="Arial"/>
          <w:sz w:val="22"/>
          <w:szCs w:val="22"/>
          <w:color w:val="auto"/>
        </w:rPr>
      </w:pPr>
    </w:p>
    <w:p>
      <w:pPr>
        <w:ind w:left="-460" w:right="40" w:firstLine="644"/>
        <w:spacing w:after="0"/>
        <w:tabs>
          <w:tab w:leader="none" w:pos="10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Investments the payment for which consists of Equity Interests (exclusive of Disqualified Equity Interests) of the Parent Guarantor;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Equity Interests will not increase the amount available for Restricted Payments under the Restricted Payments Basket;</w:t>
      </w:r>
    </w:p>
    <w:p>
      <w:pPr>
        <w:spacing w:after="0" w:line="186" w:lineRule="exact"/>
        <w:rPr>
          <w:rFonts w:ascii="Arial" w:cs="Arial" w:eastAsia="Arial" w:hAnsi="Arial"/>
          <w:sz w:val="22"/>
          <w:szCs w:val="22"/>
          <w:color w:val="auto"/>
        </w:rPr>
      </w:pPr>
    </w:p>
    <w:p>
      <w:pPr>
        <w:ind w:left="-460" w:right="820" w:firstLine="644"/>
        <w:spacing w:after="0" w:line="250" w:lineRule="auto"/>
        <w:tabs>
          <w:tab w:leader="none" w:pos="10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consisting of the licensing or contribution of intellectual property pursuant to joint marketing arrangements with other Persons;</w:t>
      </w:r>
    </w:p>
    <w:p>
      <w:pPr>
        <w:spacing w:after="0" w:line="174" w:lineRule="exact"/>
        <w:rPr>
          <w:rFonts w:ascii="Arial" w:cs="Arial" w:eastAsia="Arial" w:hAnsi="Arial"/>
          <w:sz w:val="22"/>
          <w:szCs w:val="22"/>
          <w:color w:val="auto"/>
        </w:rPr>
      </w:pPr>
    </w:p>
    <w:p>
      <w:pPr>
        <w:ind w:left="-460" w:firstLine="644"/>
        <w:spacing w:after="0" w:line="282" w:lineRule="auto"/>
        <w:tabs>
          <w:tab w:leader="none" w:pos="1088" w:val="left"/>
        </w:tabs>
        <w:numPr>
          <w:ilvl w:val="0"/>
          <w:numId w:val="33"/>
        </w:numPr>
        <w:rPr>
          <w:rFonts w:ascii="Arial" w:cs="Arial" w:eastAsia="Arial" w:hAnsi="Arial"/>
          <w:sz w:val="19"/>
          <w:szCs w:val="19"/>
          <w:color w:val="auto"/>
        </w:rPr>
      </w:pPr>
      <w:r>
        <w:rPr>
          <w:rFonts w:ascii="Arial" w:cs="Arial" w:eastAsia="Arial" w:hAnsi="Arial"/>
          <w:sz w:val="19"/>
          <w:szCs w:val="19"/>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Initial Issuance Date and then outstanding, do not exceed the greater of (i) $125 million and (ii) 1.25% of the Parent Guarantor’s Consolidated Tangible Assets, so long as, after giving effect to such Investment, the Book Value of Assets shall not be less than $1,250,000,000;</w:t>
      </w:r>
    </w:p>
    <w:p>
      <w:pPr>
        <w:spacing w:after="0" w:line="147" w:lineRule="exact"/>
        <w:rPr>
          <w:rFonts w:ascii="Arial" w:cs="Arial" w:eastAsia="Arial" w:hAnsi="Arial"/>
          <w:sz w:val="19"/>
          <w:szCs w:val="19"/>
          <w:color w:val="auto"/>
        </w:rPr>
      </w:pPr>
    </w:p>
    <w:p>
      <w:pPr>
        <w:ind w:left="-460" w:right="240" w:firstLine="644"/>
        <w:spacing w:after="0" w:line="250" w:lineRule="auto"/>
        <w:tabs>
          <w:tab w:leader="none" w:pos="10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performance guarantees of any trade or non-financial operating contract (other than such contract that itself constitutes Indebtedness) in the ordinary course of business;</w:t>
      </w:r>
    </w:p>
    <w:p>
      <w:pPr>
        <w:spacing w:after="0" w:line="174" w:lineRule="exact"/>
        <w:rPr>
          <w:rFonts w:ascii="Arial" w:cs="Arial" w:eastAsia="Arial" w:hAnsi="Arial"/>
          <w:sz w:val="22"/>
          <w:szCs w:val="22"/>
          <w:color w:val="auto"/>
        </w:rPr>
      </w:pPr>
    </w:p>
    <w:p>
      <w:pPr>
        <w:ind w:left="-460" w:right="200" w:firstLine="644"/>
        <w:spacing w:after="0"/>
        <w:tabs>
          <w:tab w:leader="none" w:pos="10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Investments by any Note Party in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Investments made pursuant to this clause (21) and then outstanding since the Initial Issuance Date shall not exceed $25,000,000;</w:t>
      </w:r>
    </w:p>
    <w:p>
      <w:pPr>
        <w:spacing w:after="0" w:line="186" w:lineRule="exact"/>
        <w:rPr>
          <w:rFonts w:ascii="Arial" w:cs="Arial" w:eastAsia="Arial" w:hAnsi="Arial"/>
          <w:sz w:val="22"/>
          <w:szCs w:val="22"/>
          <w:color w:val="auto"/>
        </w:rPr>
      </w:pPr>
    </w:p>
    <w:p>
      <w:pPr>
        <w:ind w:left="-460" w:right="740" w:firstLine="644"/>
        <w:spacing w:after="0"/>
        <w:tabs>
          <w:tab w:leader="none" w:pos="10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by any Note Party or Restricted Subsidiary in overnight time deposits in Argentina; provided that the aggregate outstanding amount of such Investments shall not exceed $25,000,000 at any time outstanding;</w:t>
      </w:r>
    </w:p>
    <w:p>
      <w:pPr>
        <w:spacing w:after="0" w:line="186" w:lineRule="exact"/>
        <w:rPr>
          <w:rFonts w:ascii="Arial" w:cs="Arial" w:eastAsia="Arial" w:hAnsi="Arial"/>
          <w:sz w:val="22"/>
          <w:szCs w:val="22"/>
          <w:color w:val="auto"/>
        </w:rPr>
      </w:pPr>
    </w:p>
    <w:p>
      <w:pPr>
        <w:ind w:left="1080" w:hanging="896"/>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received in consideration for an Asset Sale permitted by Section 1012;</w:t>
      </w:r>
    </w:p>
    <w:p>
      <w:pPr>
        <w:spacing w:after="0" w:line="206" w:lineRule="exact"/>
        <w:rPr>
          <w:rFonts w:ascii="Arial" w:cs="Arial" w:eastAsia="Arial" w:hAnsi="Arial"/>
          <w:sz w:val="22"/>
          <w:szCs w:val="22"/>
          <w:color w:val="auto"/>
        </w:rPr>
      </w:pPr>
    </w:p>
    <w:p>
      <w:pPr>
        <w:ind w:left="-460" w:right="140" w:firstLine="644"/>
        <w:spacing w:after="0" w:line="274" w:lineRule="auto"/>
        <w:tabs>
          <w:tab w:leader="none" w:pos="1088"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Investments constituting Permitted Intercompany Treasury Management Transactions, so long as, after giving effect to such Investment, the Book Value of Assets shall not be less than $1,250,000,000;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-1544320</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39" w:name="page40"/>
    <w:bookmarkEnd w:id="39"/>
    <w:p>
      <w:pPr>
        <w:ind w:left="660" w:right="120" w:firstLine="644"/>
        <w:spacing w:after="0" w:line="297" w:lineRule="auto"/>
        <w:tabs>
          <w:tab w:leader="none" w:pos="220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Investments constituting Permitted Intercompany Specified Transactions, so long as at the time of such Investment, no Default or Event of Default then exists or would arise as a result of the applicable transaction and, after giving effect to such Investment, the Book Value of Assets shall not be less than $1,250,000,000.</w:t>
      </w:r>
    </w:p>
    <w:p>
      <w:pPr>
        <w:spacing w:after="0" w:line="134"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In determining whether any Investment is a Permitted Investment, the Parent Guarantor may allocate or reallocate all or any portion of an Investment among the clauses of this definition and any of the provisions of Section 1009.</w:t>
      </w:r>
    </w:p>
    <w:p>
      <w:pPr>
        <w:spacing w:after="0" w:line="105"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Liens</w:t>
      </w:r>
      <w:r>
        <w:rPr>
          <w:rFonts w:ascii="Arial" w:cs="Arial" w:eastAsia="Arial" w:hAnsi="Arial"/>
          <w:sz w:val="19"/>
          <w:szCs w:val="19"/>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(ix) any Lien upon any property or assets in accordance with customary banking practice to secure any Indebtedness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 or (xii) additional Liens securing obligations (other than Debt) not to exceed the greater of (a) $125 million and (b) 1.0% of the Parent Guarantor’s Consolidated Tangible Assets at any one time; (xiii)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Issuer, the Parent Guarantor or any other Guarantor hereto; and (xiv) judgment and attachment Liens not giving rise to an Event of Default or Liens created by or existing from any litigation or legal proceeding that are currently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right="200"/>
        <w:spacing w:after="0" w:line="251" w:lineRule="auto"/>
        <w:rPr>
          <w:sz w:val="20"/>
          <w:szCs w:val="20"/>
          <w:color w:val="auto"/>
        </w:rPr>
      </w:pPr>
      <w:r>
        <w:rPr>
          <w:rFonts w:ascii="Arial" w:cs="Arial" w:eastAsia="Arial" w:hAnsi="Arial"/>
          <w:sz w:val="22"/>
          <w:szCs w:val="22"/>
          <w:color w:val="auto"/>
        </w:rPr>
        <w:t>being contested in good faith by appropriate proceedings, promptly instituted and diligently conducted, and for which adequate reserves have been made to the extent required by GAAP.</w:t>
      </w:r>
    </w:p>
    <w:p>
      <w:pPr>
        <w:spacing w:after="0" w:line="173"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86"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Place of Payment</w:t>
      </w:r>
      <w:r>
        <w:rPr>
          <w:rFonts w:ascii="Arial" w:cs="Arial" w:eastAsia="Arial" w:hAnsi="Arial"/>
          <w:sz w:val="22"/>
          <w:szCs w:val="22"/>
          <w:color w:val="auto"/>
        </w:rPr>
        <w:t>” means the place or places where the principal of and any premium and interest on the Notes are payable as specified in Section 1002.</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PPSA</w:t>
      </w:r>
      <w:r>
        <w:rPr>
          <w:rFonts w:ascii="Arial" w:cs="Arial" w:eastAsia="Arial" w:hAnsi="Arial"/>
          <w:sz w:val="19"/>
          <w:szCs w:val="19"/>
          <w:color w:val="auto"/>
        </w:rPr>
        <w:t>” means the Personal Property Security Act (Alberta) or any other applicable Canadian federal or provincial statute pertaining to the granting, perfecting, priority or ranking of security interests, liens, hypothecs on personal property, and any successor statutes, together with any regulations thereunder, including, without limitation, the Civil Code of Quebec, in each case as in effect from time to time. References to sections of the PPSA shall be construed to also refer to any successor sections.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Predecessor Note</w:t>
      </w:r>
      <w:r>
        <w:rPr>
          <w:rFonts w:ascii="Arial" w:cs="Arial" w:eastAsia="Arial" w:hAnsi="Arial"/>
          <w:sz w:val="19"/>
          <w:szCs w:val="19"/>
          <w:color w:val="auto"/>
        </w:rPr>
        <w:t>” of any particular Note means every previous Note evidencing all or a portion of the same debt as that</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evidenced by such particular Note; and, for the purposes of this definition, any Note authenticated and delivered under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306 in exchange for or in lieu of a mutilated, destroyed, lost or stolen Note shall be deemed to evidence the same debt as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mutilated, destroyed, lost or stolen Note.</w:t>
      </w:r>
    </w:p>
    <w:p>
      <w:pPr>
        <w:spacing w:after="0" w:line="188"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Preferred Stock</w:t>
      </w:r>
      <w:r>
        <w:rPr>
          <w:rFonts w:ascii="Arial" w:cs="Arial" w:eastAsia="Arial" w:hAnsi="Arial"/>
          <w:sz w:val="22"/>
          <w:szCs w:val="22"/>
          <w:color w:val="auto"/>
        </w:rPr>
        <w:t>” means, with respect to any Person, any and all preferred or preference stock or shares or other Equity Interests (however designated) of such Person whether now outstanding or issued after the Initial Issuance Date that is preferred as to the payment of dividends upon liquidation, dissolution or winding up.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Process Agent</w:t>
      </w:r>
      <w:r>
        <w:rPr>
          <w:rFonts w:ascii="Arial" w:cs="Arial" w:eastAsia="Arial" w:hAnsi="Arial"/>
          <w:sz w:val="22"/>
          <w:szCs w:val="22"/>
          <w:color w:val="auto"/>
        </w:rPr>
        <w:t>” has the meaning specified in Section 112.</w:t>
      </w:r>
    </w:p>
    <w:p>
      <w:pPr>
        <w:spacing w:after="0" w:line="206"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Purchase Money Indebtedness</w:t>
      </w:r>
      <w:r>
        <w:rPr>
          <w:rFonts w:ascii="Arial" w:cs="Arial" w:eastAsia="Arial" w:hAnsi="Arial"/>
          <w:sz w:val="22"/>
          <w:szCs w:val="22"/>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amount of such Indebtedness shall not exceed such purchase price or cost.</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Qualified Equity Interests</w:t>
      </w:r>
      <w:r>
        <w:rPr>
          <w:rFonts w:ascii="Arial" w:cs="Arial" w:eastAsia="Arial" w:hAnsi="Arial"/>
          <w:sz w:val="19"/>
          <w:szCs w:val="19"/>
          <w:color w:val="auto"/>
        </w:rPr>
        <w:t xml:space="preserve">” of any Person means Equity Interests of such Person other than Disqualified Equity Interests;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Equity Interests shall not be deemed Qualified Equity Interests to the extent sold or owed to a Subsidiary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ind w:right="24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Rating Agencies</w:t>
      </w:r>
      <w:r>
        <w:rPr>
          <w:rFonts w:ascii="Arial" w:cs="Arial" w:eastAsia="Arial" w:hAnsi="Arial"/>
          <w:sz w:val="19"/>
          <w:szCs w:val="19"/>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48" w:lineRule="exact"/>
        <w:rPr>
          <w:sz w:val="20"/>
          <w:szCs w:val="20"/>
          <w:color w:val="auto"/>
        </w:rPr>
      </w:pPr>
    </w:p>
    <w:p>
      <w:pPr>
        <w:ind w:right="3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Receivables</w:t>
      </w:r>
      <w:r>
        <w:rPr>
          <w:rFonts w:ascii="Arial" w:cs="Arial" w:eastAsia="Arial" w:hAnsi="Arial"/>
          <w:sz w:val="19"/>
          <w:szCs w:val="19"/>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34"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Receivables Related Security</w:t>
      </w:r>
      <w:r>
        <w:rPr>
          <w:rFonts w:ascii="Arial" w:cs="Arial" w:eastAsia="Arial" w:hAnsi="Arial"/>
          <w:sz w:val="22"/>
          <w:szCs w:val="2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5" w:lineRule="exact"/>
        <w:rPr>
          <w:sz w:val="20"/>
          <w:szCs w:val="20"/>
          <w:color w:val="auto"/>
        </w:rPr>
      </w:pPr>
    </w:p>
    <w:p>
      <w:pPr>
        <w:ind w:right="20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Receivables Repurchase Obligation</w:t>
      </w:r>
      <w:r>
        <w:rPr>
          <w:rFonts w:ascii="Arial" w:cs="Arial" w:eastAsia="Arial" w:hAnsi="Arial"/>
          <w:sz w:val="21"/>
          <w:szCs w:val="21"/>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Redemption Date,</w:t>
      </w:r>
      <w:r>
        <w:rPr>
          <w:rFonts w:ascii="Arial" w:cs="Arial" w:eastAsia="Arial" w:hAnsi="Arial"/>
          <w:sz w:val="22"/>
          <w:szCs w:val="22"/>
          <w:color w:val="auto"/>
        </w:rPr>
        <w:t>” when used with respect to any Note to be redeemed, means the date fixed for such redemption by or pursuant to the Indenture.</w:t>
      </w:r>
    </w:p>
    <w:p>
      <w:pPr>
        <w:spacing w:after="0" w:line="175"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Redemption Price</w:t>
      </w:r>
      <w:r>
        <w:rPr>
          <w:rFonts w:ascii="Arial" w:cs="Arial" w:eastAsia="Arial" w:hAnsi="Arial"/>
          <w:sz w:val="22"/>
          <w:szCs w:val="22"/>
          <w:color w:val="auto"/>
        </w:rPr>
        <w:t>,” when used with respect to any Note to be redeemed, means the price at which it is to be redeemed pursuant to the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Redesignation</w:t>
      </w:r>
      <w:r>
        <w:rPr>
          <w:rFonts w:ascii="Arial" w:cs="Arial" w:eastAsia="Arial" w:hAnsi="Arial"/>
          <w:sz w:val="22"/>
          <w:szCs w:val="22"/>
          <w:color w:val="auto"/>
        </w:rPr>
        <w:t>” has the meaning given to such term in Section 1006.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Redomestication</w:t>
      </w:r>
      <w:r>
        <w:rPr>
          <w:rFonts w:ascii="Arial" w:cs="Arial" w:eastAsia="Arial" w:hAnsi="Arial"/>
          <w:sz w:val="22"/>
          <w:szCs w:val="22"/>
          <w:color w:val="auto"/>
        </w:rPr>
        <w:t>” means:</w:t>
      </w:r>
    </w:p>
    <w:p>
      <w:pPr>
        <w:spacing w:after="0" w:line="206" w:lineRule="exact"/>
        <w:rPr>
          <w:sz w:val="20"/>
          <w:szCs w:val="20"/>
          <w:color w:val="auto"/>
        </w:rPr>
      </w:pPr>
    </w:p>
    <w:p>
      <w:pPr>
        <w:ind w:left="660" w:firstLine="644"/>
        <w:spacing w:after="0" w:line="279" w:lineRule="auto"/>
        <w:tabs>
          <w:tab w:leader="none" w:pos="2088"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50" w:lineRule="exact"/>
        <w:rPr>
          <w:rFonts w:ascii="Arial" w:cs="Arial" w:eastAsia="Arial" w:hAnsi="Arial"/>
          <w:sz w:val="19"/>
          <w:szCs w:val="19"/>
          <w:color w:val="auto"/>
        </w:rPr>
      </w:pPr>
    </w:p>
    <w:p>
      <w:pPr>
        <w:ind w:left="660" w:right="80" w:firstLine="644"/>
        <w:spacing w:after="0"/>
        <w:tabs>
          <w:tab w:leader="none" w:pos="21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continuation, discontinuation, domestication, redomestication, amalgamation, merger, plan or scheme of arrangement, exchange offer, business combination, reincorporation, reorganization, conversion, consolidation or similar action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ind w:left="660" w:right="440"/>
        <w:spacing w:after="0" w:line="251" w:lineRule="auto"/>
        <w:rPr>
          <w:sz w:val="20"/>
          <w:szCs w:val="20"/>
          <w:color w:val="auto"/>
        </w:rPr>
      </w:pPr>
      <w:r>
        <w:rPr>
          <w:rFonts w:ascii="Arial" w:cs="Arial" w:eastAsia="Arial" w:hAnsi="Arial"/>
          <w:sz w:val="22"/>
          <w:szCs w:val="22"/>
          <w:color w:val="auto"/>
        </w:rPr>
        <w:t>with respect to the Weatherford Parent Company pursuant to the law of the jurisdiction of its organization and of any other jurisdiction, or</w:t>
      </w:r>
    </w:p>
    <w:p>
      <w:pPr>
        <w:spacing w:after="0" w:line="173" w:lineRule="exact"/>
        <w:rPr>
          <w:sz w:val="20"/>
          <w:szCs w:val="20"/>
          <w:color w:val="auto"/>
        </w:rPr>
      </w:pPr>
    </w:p>
    <w:p>
      <w:pPr>
        <w:ind w:left="660" w:right="160" w:firstLine="644"/>
        <w:spacing w:after="0" w:line="328" w:lineRule="auto"/>
        <w:tabs>
          <w:tab w:leader="none" w:pos="208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9"/>
          <w:szCs w:val="19"/>
          <w:i w:val="1"/>
          <w:iCs w:val="1"/>
          <w:color w:val="auto"/>
        </w:rPr>
        <w:t>New Parent</w:t>
      </w:r>
      <w:r>
        <w:rPr>
          <w:rFonts w:ascii="Arial" w:cs="Arial" w:eastAsia="Arial" w:hAnsi="Arial"/>
          <w:sz w:val="19"/>
          <w:szCs w:val="19"/>
          <w:color w:val="auto"/>
        </w:rPr>
        <w: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as a result thereof</w:t>
      </w:r>
    </w:p>
    <w:p>
      <w:pPr>
        <w:spacing w:after="0" w:line="206" w:lineRule="exact"/>
        <w:rPr>
          <w:sz w:val="20"/>
          <w:szCs w:val="20"/>
          <w:color w:val="auto"/>
        </w:rPr>
      </w:pPr>
    </w:p>
    <w:p>
      <w:pPr>
        <w:ind w:left="660" w:right="300" w:firstLine="644"/>
        <w:spacing w:after="0" w:line="238" w:lineRule="auto"/>
        <w:tabs>
          <w:tab w:leader="none" w:pos="21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4" w:lineRule="exact"/>
        <w:rPr>
          <w:rFonts w:ascii="Arial" w:cs="Arial" w:eastAsia="Arial" w:hAnsi="Arial"/>
          <w:sz w:val="22"/>
          <w:szCs w:val="22"/>
          <w:color w:val="auto"/>
        </w:rPr>
      </w:pPr>
    </w:p>
    <w:p>
      <w:pPr>
        <w:ind w:left="660" w:right="220" w:firstLine="644"/>
        <w:spacing w:after="0" w:line="328" w:lineRule="auto"/>
        <w:tabs>
          <w:tab w:leader="none" w:pos="2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04" w:lineRule="exact"/>
        <w:rPr>
          <w:rFonts w:ascii="Arial" w:cs="Arial" w:eastAsia="Arial" w:hAnsi="Arial"/>
          <w:sz w:val="19"/>
          <w:szCs w:val="19"/>
          <w:color w:val="auto"/>
        </w:rPr>
      </w:pPr>
    </w:p>
    <w:p>
      <w:pPr>
        <w:ind w:left="2080" w:hanging="776"/>
        <w:spacing w:after="0"/>
        <w:tabs>
          <w:tab w:leader="none" w:pos="2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case of any action specified in clause (c), the New Parent</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(in any such case, the “</w:t>
      </w:r>
      <w:r>
        <w:rPr>
          <w:rFonts w:ascii="Arial" w:cs="Arial" w:eastAsia="Arial" w:hAnsi="Arial"/>
          <w:sz w:val="21"/>
          <w:szCs w:val="21"/>
          <w:i w:val="1"/>
          <w:iCs w:val="1"/>
          <w:color w:val="auto"/>
        </w:rPr>
        <w:t>Surviving Person</w:t>
      </w:r>
      <w:r>
        <w:rPr>
          <w:rFonts w:ascii="Arial" w:cs="Arial" w:eastAsia="Arial" w:hAnsi="Arial"/>
          <w:sz w:val="21"/>
          <w:szCs w:val="21"/>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refinance</w:t>
      </w:r>
      <w:r>
        <w:rPr>
          <w:rFonts w:ascii="Arial" w:cs="Arial" w:eastAsia="Arial" w:hAnsi="Arial"/>
          <w:sz w:val="22"/>
          <w:szCs w:val="22"/>
          <w:color w:val="auto"/>
        </w:rPr>
        <w:t>” means to refinance, repay, prepay, replace, renew or refund.</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Refinancing Indebtedness</w:t>
      </w:r>
      <w:r>
        <w:rPr>
          <w:rFonts w:ascii="Arial" w:cs="Arial" w:eastAsia="Arial" w:hAnsi="Arial"/>
          <w:sz w:val="22"/>
          <w:szCs w:val="22"/>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22"/>
          <w:szCs w:val="22"/>
          <w:i w:val="1"/>
          <w:iCs w:val="1"/>
          <w:color w:val="auto"/>
        </w:rPr>
        <w:t>Refinancing Indebtedness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6" w:lineRule="exact"/>
        <w:rPr>
          <w:sz w:val="20"/>
          <w:szCs w:val="20"/>
          <w:color w:val="auto"/>
        </w:rPr>
      </w:pPr>
    </w:p>
    <w:p>
      <w:pPr>
        <w:ind w:left="660" w:firstLine="644"/>
        <w:spacing w:after="0" w:line="282" w:lineRule="auto"/>
        <w:tabs>
          <w:tab w:leader="none" w:pos="21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47" w:lineRule="exact"/>
        <w:rPr>
          <w:rFonts w:ascii="Arial" w:cs="Arial" w:eastAsia="Arial" w:hAnsi="Arial"/>
          <w:sz w:val="19"/>
          <w:szCs w:val="19"/>
          <w:color w:val="auto"/>
        </w:rPr>
      </w:pPr>
    </w:p>
    <w:p>
      <w:pPr>
        <w:ind w:left="660" w:right="360" w:firstLine="644"/>
        <w:spacing w:after="0" w:line="250" w:lineRule="auto"/>
        <w:tabs>
          <w:tab w:leader="none" w:pos="21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obligor of the Refinancing Indebtedness does not include any Person (other than the Issuer or any Guarantor) that is not an obligor of the Refinanced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3" w:name="page44"/>
    <w:bookmarkEnd w:id="43"/>
    <w:p>
      <w:pPr>
        <w:ind w:left="660" w:right="180"/>
        <w:spacing w:after="0" w:line="251" w:lineRule="auto"/>
        <w:rPr>
          <w:sz w:val="20"/>
          <w:szCs w:val="20"/>
          <w:color w:val="auto"/>
        </w:rPr>
      </w:pPr>
      <w:r>
        <w:rPr>
          <w:rFonts w:ascii="Arial" w:cs="Arial" w:eastAsia="Arial" w:hAnsi="Arial"/>
          <w:sz w:val="22"/>
          <w:szCs w:val="22"/>
          <w:color w:val="auto"/>
        </w:rPr>
        <w:t>Indebtedness, unless the inclusion of such obligor on the Refinancing Indebtedness would not require it to guarantee the Notes under Section 1014;</w:t>
      </w:r>
    </w:p>
    <w:p>
      <w:pPr>
        <w:spacing w:after="0" w:line="173" w:lineRule="exact"/>
        <w:rPr>
          <w:sz w:val="20"/>
          <w:szCs w:val="20"/>
          <w:color w:val="auto"/>
        </w:rPr>
      </w:pPr>
    </w:p>
    <w:p>
      <w:pPr>
        <w:ind w:left="1300" w:right="660" w:firstLine="652"/>
        <w:spacing w:after="0" w:line="238" w:lineRule="auto"/>
        <w:tabs>
          <w:tab w:leader="none" w:pos="274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84" w:lineRule="exact"/>
        <w:rPr>
          <w:rFonts w:ascii="Arial" w:cs="Arial" w:eastAsia="Arial" w:hAnsi="Arial"/>
          <w:sz w:val="22"/>
          <w:szCs w:val="22"/>
          <w:color w:val="auto"/>
        </w:rPr>
      </w:pPr>
    </w:p>
    <w:p>
      <w:pPr>
        <w:ind w:left="660" w:firstLine="644"/>
        <w:spacing w:after="0" w:line="274" w:lineRule="auto"/>
        <w:tabs>
          <w:tab w:leader="none" w:pos="21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Refinancing Indebtedness has a Stated Maturity either (a) no earlier than the Refinanced Indebtedness being repaid or amended or (b) no earlier than 91 days after the maturity date of the Notes; and</w:t>
      </w:r>
    </w:p>
    <w:p>
      <w:pPr>
        <w:spacing w:after="0" w:line="150" w:lineRule="exact"/>
        <w:rPr>
          <w:rFonts w:ascii="Arial" w:cs="Arial" w:eastAsia="Arial" w:hAnsi="Arial"/>
          <w:sz w:val="21"/>
          <w:szCs w:val="21"/>
          <w:color w:val="auto"/>
        </w:rPr>
      </w:pPr>
    </w:p>
    <w:p>
      <w:pPr>
        <w:ind w:left="660" w:right="20" w:firstLine="644"/>
        <w:spacing w:after="0" w:line="252" w:lineRule="auto"/>
        <w:tabs>
          <w:tab w:leader="none" w:pos="21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74"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Regular Record Date</w:t>
      </w:r>
      <w:r>
        <w:rPr>
          <w:rFonts w:ascii="Arial" w:cs="Arial" w:eastAsia="Arial" w:hAnsi="Arial"/>
          <w:sz w:val="22"/>
          <w:szCs w:val="22"/>
          <w:color w:val="auto"/>
        </w:rPr>
        <w:t>” for the interest payable on any Interest Payment Date on the Notes means the date specified for that purpose as contemplated by Section 301.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under the Securities Act.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Taxes</w:t>
      </w:r>
      <w:r>
        <w:rPr>
          <w:rFonts w:ascii="Arial" w:cs="Arial" w:eastAsia="Arial" w:hAnsi="Arial"/>
          <w:sz w:val="22"/>
          <w:szCs w:val="22"/>
          <w:color w:val="auto"/>
        </w:rPr>
        <w:t>” means, without duplication:</w:t>
      </w:r>
    </w:p>
    <w:p>
      <w:pPr>
        <w:spacing w:after="0" w:line="206" w:lineRule="exact"/>
        <w:rPr>
          <w:sz w:val="20"/>
          <w:szCs w:val="20"/>
          <w:color w:val="auto"/>
        </w:rPr>
      </w:pPr>
    </w:p>
    <w:p>
      <w:pPr>
        <w:ind w:left="660" w:right="40" w:firstLine="644"/>
        <w:spacing w:after="0" w:line="287" w:lineRule="auto"/>
        <w:tabs>
          <w:tab w:leader="none" w:pos="2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taxes are in fact paid) by any Successor Parent by virtue of its:</w:t>
      </w:r>
    </w:p>
    <w:p>
      <w:pPr>
        <w:spacing w:after="0" w:line="142" w:lineRule="exact"/>
        <w:rPr>
          <w:rFonts w:ascii="Arial" w:cs="Arial" w:eastAsia="Arial" w:hAnsi="Arial"/>
          <w:sz w:val="19"/>
          <w:szCs w:val="19"/>
          <w:color w:val="auto"/>
        </w:rPr>
      </w:pPr>
    </w:p>
    <w:p>
      <w:pPr>
        <w:ind w:left="1300" w:right="20" w:firstLine="652"/>
        <w:spacing w:after="0"/>
        <w:tabs>
          <w:tab w:leader="none" w:pos="2728" w:val="left"/>
        </w:tabs>
        <w:numPr>
          <w:ilvl w:val="1"/>
          <w:numId w:val="41"/>
        </w:numPr>
        <w:rPr>
          <w:rFonts w:ascii="Arial" w:cs="Arial" w:eastAsia="Arial" w:hAnsi="Arial"/>
          <w:sz w:val="22"/>
          <w:szCs w:val="22"/>
          <w:color w:val="auto"/>
        </w:rPr>
      </w:pPr>
      <w:r>
        <w:rPr>
          <w:rFonts w:ascii="Arial" w:cs="Arial" w:eastAsia="Arial" w:hAnsi="Arial"/>
          <w:sz w:val="22"/>
          <w:szCs w:val="22"/>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86" w:lineRule="exact"/>
        <w:rPr>
          <w:rFonts w:ascii="Arial" w:cs="Arial" w:eastAsia="Arial" w:hAnsi="Arial"/>
          <w:sz w:val="22"/>
          <w:szCs w:val="22"/>
          <w:color w:val="auto"/>
        </w:rPr>
      </w:pPr>
    </w:p>
    <w:p>
      <w:pPr>
        <w:ind w:left="1300" w:right="540" w:firstLine="652"/>
        <w:spacing w:after="0" w:line="250" w:lineRule="auto"/>
        <w:tabs>
          <w:tab w:leader="none" w:pos="27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being a holding company parent, directly or indirectly, of the Parent Guarantor or any of the Parent Guarantor’s Subsidiaries;</w:t>
      </w:r>
    </w:p>
    <w:p>
      <w:pPr>
        <w:spacing w:after="0" w:line="174" w:lineRule="exact"/>
        <w:rPr>
          <w:rFonts w:ascii="Arial" w:cs="Arial" w:eastAsia="Arial" w:hAnsi="Arial"/>
          <w:sz w:val="22"/>
          <w:szCs w:val="22"/>
          <w:color w:val="auto"/>
        </w:rPr>
      </w:pPr>
    </w:p>
    <w:p>
      <w:pPr>
        <w:ind w:left="1300" w:right="360" w:firstLine="652"/>
        <w:spacing w:after="0" w:line="250" w:lineRule="auto"/>
        <w:tabs>
          <w:tab w:leader="none" w:pos="2728" w:val="left"/>
        </w:tabs>
        <w:numPr>
          <w:ilvl w:val="1"/>
          <w:numId w:val="41"/>
        </w:numPr>
        <w:rPr>
          <w:rFonts w:ascii="Arial" w:cs="Arial" w:eastAsia="Arial" w:hAnsi="Arial"/>
          <w:sz w:val="22"/>
          <w:szCs w:val="22"/>
          <w:color w:val="auto"/>
        </w:rPr>
      </w:pPr>
      <w:r>
        <w:rPr>
          <w:rFonts w:ascii="Arial" w:cs="Arial" w:eastAsia="Arial" w:hAnsi="Arial"/>
          <w:sz w:val="22"/>
          <w:szCs w:val="22"/>
          <w:color w:val="auto"/>
        </w:rPr>
        <w:t>receiving dividends from or other distributions in respect of the Equity Interests of, directly or indirectly, the Parent Guarantor or any of the Parent Guarantor’s Subsidiaries; or</w:t>
      </w:r>
    </w:p>
    <w:p>
      <w:pPr>
        <w:spacing w:after="0" w:line="174" w:lineRule="exact"/>
        <w:rPr>
          <w:rFonts w:ascii="Arial" w:cs="Arial" w:eastAsia="Arial" w:hAnsi="Arial"/>
          <w:sz w:val="22"/>
          <w:szCs w:val="22"/>
          <w:color w:val="auto"/>
        </w:rPr>
      </w:pPr>
    </w:p>
    <w:p>
      <w:pPr>
        <w:ind w:left="1300" w:right="80" w:firstLine="652"/>
        <w:spacing w:after="0"/>
        <w:tabs>
          <w:tab w:leader="none" w:pos="27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having made any payment in respect to any of the items for which the Parent Guarantor or any of the Parent Guarantor’s Subsidiaries is permitted to make payments to any Successor Parent pursuant to Section 1009;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ind w:left="660" w:right="80" w:firstLine="644"/>
        <w:spacing w:after="0" w:line="279" w:lineRule="auto"/>
        <w:tabs>
          <w:tab w:leader="none" w:pos="21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Currency</w:t>
      </w:r>
      <w:r>
        <w:rPr>
          <w:rFonts w:ascii="Arial" w:cs="Arial" w:eastAsia="Arial" w:hAnsi="Arial"/>
          <w:sz w:val="22"/>
          <w:szCs w:val="22"/>
          <w:color w:val="auto"/>
        </w:rPr>
        <w:t>” has the meaning specified in Section 117.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Resale Restriction Termination Date</w:t>
      </w:r>
      <w:r>
        <w:rPr>
          <w:rFonts w:ascii="Arial" w:cs="Arial" w:eastAsia="Arial" w:hAnsi="Arial"/>
          <w:sz w:val="22"/>
          <w:szCs w:val="22"/>
          <w:color w:val="auto"/>
        </w:rPr>
        <w:t>” has the meaning specified in Section 311.</w:t>
      </w:r>
    </w:p>
    <w:p>
      <w:pPr>
        <w:spacing w:after="0" w:line="206"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Responsible Officer</w:t>
      </w:r>
      <w:r>
        <w:rPr>
          <w:rFonts w:ascii="Arial" w:cs="Arial" w:eastAsia="Arial" w:hAnsi="Arial"/>
          <w:sz w:val="21"/>
          <w:szCs w:val="21"/>
          <w:color w:val="auto"/>
        </w:rPr>
        <w:t>,” when used with respect to the Trustee or the Collateral Agent, as applicable, means any officer within the corporate trust department of the Trustee or the Collateral Agent, as applicable, including any director, managing director, vice president, assistant vice president, assistant secretary, assistant treasurer, associate, trust officer or any other officer of the Trustee or the Collateral Agent, as applicable,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shall have direct responsibility for the administration of the Indenture.</w:t>
      </w:r>
    </w:p>
    <w:p>
      <w:pPr>
        <w:spacing w:after="0" w:line="184" w:lineRule="exact"/>
        <w:rPr>
          <w:sz w:val="20"/>
          <w:szCs w:val="20"/>
          <w:color w:val="auto"/>
        </w:rPr>
      </w:pPr>
    </w:p>
    <w:p>
      <w:pPr>
        <w:ind w:left="660" w:right="3440" w:firstLine="54"/>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Note</w:t>
      </w:r>
      <w:r>
        <w:rPr>
          <w:rFonts w:ascii="Arial" w:cs="Arial" w:eastAsia="Arial" w:hAnsi="Arial"/>
          <w:sz w:val="22"/>
          <w:szCs w:val="22"/>
          <w:color w:val="auto"/>
        </w:rPr>
        <w:t>” means any Notes required to bear the Restricted Notes Legend. “</w:t>
      </w:r>
      <w:r>
        <w:rPr>
          <w:rFonts w:ascii="Arial" w:cs="Arial" w:eastAsia="Arial" w:hAnsi="Arial"/>
          <w:sz w:val="22"/>
          <w:szCs w:val="22"/>
          <w:i w:val="1"/>
          <w:iCs w:val="1"/>
          <w:color w:val="auto"/>
        </w:rPr>
        <w:t>Restricted Notes Legend</w:t>
      </w:r>
      <w:r>
        <w:rPr>
          <w:rFonts w:ascii="Arial" w:cs="Arial" w:eastAsia="Arial" w:hAnsi="Arial"/>
          <w:sz w:val="22"/>
          <w:szCs w:val="22"/>
          <w:color w:val="auto"/>
        </w:rPr>
        <w:t>” has the meaning specified in Section 202. “</w:t>
      </w:r>
      <w:r>
        <w:rPr>
          <w:rFonts w:ascii="Arial" w:cs="Arial" w:eastAsia="Arial" w:hAnsi="Arial"/>
          <w:sz w:val="22"/>
          <w:szCs w:val="22"/>
          <w:i w:val="1"/>
          <w:iCs w:val="1"/>
          <w:color w:val="auto"/>
        </w:rPr>
        <w:t>Restricted Payment</w:t>
      </w:r>
      <w:r>
        <w:rPr>
          <w:rFonts w:ascii="Arial" w:cs="Arial" w:eastAsia="Arial" w:hAnsi="Arial"/>
          <w:sz w:val="22"/>
          <w:szCs w:val="22"/>
          <w:color w:val="auto"/>
        </w:rPr>
        <w:t>” means any of the following:</w:t>
      </w:r>
    </w:p>
    <w:p>
      <w:pPr>
        <w:spacing w:after="0" w:line="1" w:lineRule="exact"/>
        <w:rPr>
          <w:sz w:val="20"/>
          <w:szCs w:val="20"/>
          <w:color w:val="auto"/>
        </w:rPr>
      </w:pPr>
    </w:p>
    <w:p>
      <w:pPr>
        <w:ind w:left="660" w:right="80" w:firstLine="644"/>
        <w:spacing w:after="0" w:line="274" w:lineRule="auto"/>
        <w:tabs>
          <w:tab w:leader="none" w:pos="2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58" w:lineRule="exact"/>
        <w:rPr>
          <w:rFonts w:ascii="Arial" w:cs="Arial" w:eastAsia="Arial" w:hAnsi="Arial"/>
          <w:sz w:val="19"/>
          <w:szCs w:val="19"/>
          <w:color w:val="auto"/>
        </w:rPr>
      </w:pPr>
    </w:p>
    <w:p>
      <w:pPr>
        <w:ind w:left="660" w:firstLine="644"/>
        <w:spacing w:after="0" w:line="238" w:lineRule="auto"/>
        <w:tabs>
          <w:tab w:leader="none" w:pos="2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5" w:name="page46"/>
    <w:bookmarkEnd w:id="45"/>
    <w:p>
      <w:pPr>
        <w:ind w:left="2100" w:hanging="796"/>
        <w:spacing w:after="0"/>
        <w:tabs>
          <w:tab w:leader="none" w:pos="21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Investment other than a Permitted Investment; or</w:t>
      </w:r>
    </w:p>
    <w:p>
      <w:pPr>
        <w:spacing w:after="0" w:line="206" w:lineRule="exact"/>
        <w:rPr>
          <w:rFonts w:ascii="Arial" w:cs="Arial" w:eastAsia="Arial" w:hAnsi="Arial"/>
          <w:sz w:val="22"/>
          <w:szCs w:val="22"/>
          <w:color w:val="auto"/>
        </w:rPr>
      </w:pPr>
    </w:p>
    <w:p>
      <w:pPr>
        <w:ind w:left="660" w:firstLine="644"/>
        <w:spacing w:after="0" w:line="274" w:lineRule="auto"/>
        <w:tabs>
          <w:tab w:leader="none" w:pos="21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unsecured Indebtedness, Indebtedness secured by Liens that are junior in right of payment to the Notes and the Guarantees (other than Liens securing the LC Credit Agreement) and Subordinated Indebtedness (other than any such payment made within one year of any such scheduled maturity or scheduled repayment or sinking fund payment and other than any unsecured Indebtedness, Indebtedness secured by Liens that are junior in right of payment to the Notes and the Guarantees (other than Liens securing the LC Credit Agreement) or Subordinated Indebtedness owed to and held by the Parent Guarantor or any Restricted Subsidiary permitted under clause (6) of the definition of “</w:t>
      </w:r>
      <w:r>
        <w:rPr>
          <w:rFonts w:ascii="Arial" w:cs="Arial" w:eastAsia="Arial" w:hAnsi="Arial"/>
          <w:sz w:val="19"/>
          <w:szCs w:val="19"/>
          <w:i w:val="1"/>
          <w:iCs w:val="1"/>
          <w:color w:val="auto"/>
        </w:rPr>
        <w:t>Permitted Indebtedness</w:t>
      </w:r>
      <w:r>
        <w:rPr>
          <w:rFonts w:ascii="Arial" w:cs="Arial" w:eastAsia="Arial" w:hAnsi="Arial"/>
          <w:sz w:val="19"/>
          <w:szCs w:val="19"/>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Payments Basket</w:t>
      </w:r>
      <w:r>
        <w:rPr>
          <w:rFonts w:ascii="Arial" w:cs="Arial" w:eastAsia="Arial" w:hAnsi="Arial"/>
          <w:sz w:val="22"/>
          <w:szCs w:val="22"/>
          <w:color w:val="auto"/>
        </w:rPr>
        <w:t>” has the meaning given to such term in the first paragraph of Section 1009.</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Restricted Subsidiary</w:t>
      </w:r>
      <w:r>
        <w:rPr>
          <w:rFonts w:ascii="Arial" w:cs="Arial" w:eastAsia="Arial" w:hAnsi="Arial"/>
          <w:sz w:val="21"/>
          <w:szCs w:val="21"/>
          <w:color w:val="auto"/>
        </w:rPr>
        <w:t>” means any Subsidiary of the Parent Guarantor other than an Unrestricted Subsidiary.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Reversion Date</w:t>
      </w:r>
      <w:r>
        <w:rPr>
          <w:rFonts w:ascii="Arial" w:cs="Arial" w:eastAsia="Arial" w:hAnsi="Arial"/>
          <w:sz w:val="22"/>
          <w:szCs w:val="22"/>
          <w:color w:val="auto"/>
        </w:rPr>
        <w:t>” has the meaning specified in Section 1015.</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 or any successor to such rule.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S&amp;P Global Ratings, a division of The McGraw-Hill Companies, Inc., and its successors.</w:t>
      </w:r>
    </w:p>
    <w:p>
      <w:pPr>
        <w:spacing w:after="0" w:line="206"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Sale-Leaseback Transaction</w:t>
      </w:r>
      <w:r>
        <w:rPr>
          <w:rFonts w:ascii="Arial" w:cs="Arial" w:eastAsia="Arial" w:hAnsi="Arial"/>
          <w:sz w:val="19"/>
          <w:szCs w:val="19"/>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34"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Sanctioned Country</w:t>
      </w:r>
      <w:r>
        <w:rPr>
          <w:rFonts w:ascii="Arial" w:cs="Arial" w:eastAsia="Arial" w:hAnsi="Arial"/>
          <w:sz w:val="22"/>
          <w:szCs w:val="22"/>
          <w:color w:val="auto"/>
        </w:rPr>
        <w:t>” means a country subject to a sanctions program identified on the list maintained by OFAC and available at https://www.treasury.gov/resource-center/sanctions/Programs/Pages/Programs.aspx/, or as otherwise published from time to time.</w:t>
      </w:r>
    </w:p>
    <w:p>
      <w:pPr>
        <w:spacing w:after="0" w:line="186"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Sanctioned Entity</w:t>
      </w:r>
      <w:r>
        <w:rPr>
          <w:rFonts w:ascii="Arial" w:cs="Arial" w:eastAsia="Arial" w:hAnsi="Arial"/>
          <w:sz w:val="19"/>
          <w:szCs w:val="19"/>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sanctions program administered and enforced by OFAC.</w:t>
      </w:r>
    </w:p>
    <w:p>
      <w:pPr>
        <w:spacing w:after="0" w:line="143"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Sanctioned Person</w:t>
      </w:r>
      <w:r>
        <w:rPr>
          <w:rFonts w:ascii="Arial" w:cs="Arial" w:eastAsia="Arial" w:hAnsi="Arial"/>
          <w:sz w:val="22"/>
          <w:szCs w:val="22"/>
          <w:color w:val="auto"/>
        </w:rPr>
        <w:t>” means, at any time (a) any Person named on the list of Specially Designated Nationals and Blocked Persons maintained by OFAC, OFAC’s consolidated Non-SDN list or any other Sanctions-related list maintained by any Governmental Authority, (b) a</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6" w:name="page47"/>
    <w:bookmarkEnd w:id="46"/>
    <w:p>
      <w:pPr>
        <w:ind w:right="100"/>
        <w:spacing w:after="0" w:line="241" w:lineRule="auto"/>
        <w:rPr>
          <w:sz w:val="20"/>
          <w:szCs w:val="20"/>
          <w:color w:val="auto"/>
        </w:rPr>
      </w:pPr>
      <w:r>
        <w:rPr>
          <w:rFonts w:ascii="Arial" w:cs="Arial" w:eastAsia="Arial" w:hAnsi="Arial"/>
          <w:sz w:val="22"/>
          <w:szCs w:val="22"/>
          <w:color w:val="auto"/>
        </w:rPr>
        <w:t>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Sanctions</w:t>
      </w:r>
      <w:r>
        <w:rPr>
          <w:rFonts w:ascii="Arial" w:cs="Arial" w:eastAsia="Arial" w:hAnsi="Arial"/>
          <w:sz w:val="19"/>
          <w:szCs w:val="19"/>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(e) any Governmental Authority of Canada under the Special Economics Measures Act (Canada) or other applicable Canadian legislation or (f) any other Governmental Authority with jurisdiction over any member of Holder Group or any Note Party or any of their respective Subsidiaries or Affiliates.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U.S. Securities Act of 1933, as amended.</w:t>
      </w:r>
    </w:p>
    <w:p>
      <w:pPr>
        <w:spacing w:after="0" w:line="206" w:lineRule="exact"/>
        <w:rPr>
          <w:sz w:val="20"/>
          <w:szCs w:val="20"/>
          <w:color w:val="auto"/>
        </w:rPr>
      </w:pPr>
    </w:p>
    <w:p>
      <w:pPr>
        <w:ind w:right="6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Custodian</w:t>
      </w:r>
      <w:r>
        <w:rPr>
          <w:rFonts w:ascii="Arial" w:cs="Arial" w:eastAsia="Arial" w:hAnsi="Arial"/>
          <w:sz w:val="22"/>
          <w:szCs w:val="22"/>
          <w:color w:val="auto"/>
        </w:rPr>
        <w:t>” means the custodian with respect to a Global Note (as appointed by the Depositary), or any successor Person thereto and shall initially be the Trustee.</w:t>
      </w:r>
    </w:p>
    <w:p>
      <w:pPr>
        <w:spacing w:after="0" w:line="175"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Security Agreement</w:t>
      </w:r>
      <w:r>
        <w:rPr>
          <w:rFonts w:ascii="Arial" w:cs="Arial" w:eastAsia="Arial" w:hAnsi="Arial"/>
          <w:sz w:val="22"/>
          <w:szCs w:val="22"/>
          <w:color w:val="auto"/>
        </w:rPr>
        <w:t>” means the U.S. Security Agreement, dated as of August 28, 2020, among the Issuer, the Parent Guarantor, Weatherford International, LLC and the other Grantors party thereto, as amended, restated, supplemented or otherwise modified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Security Register</w:t>
      </w:r>
      <w:r>
        <w:rPr>
          <w:rFonts w:ascii="Arial" w:cs="Arial" w:eastAsia="Arial" w:hAnsi="Arial"/>
          <w:sz w:val="22"/>
          <w:szCs w:val="22"/>
          <w:color w:val="auto"/>
        </w:rPr>
        <w:t>” and “</w:t>
      </w:r>
      <w:r>
        <w:rPr>
          <w:rFonts w:ascii="Arial" w:cs="Arial" w:eastAsia="Arial" w:hAnsi="Arial"/>
          <w:sz w:val="22"/>
          <w:szCs w:val="22"/>
          <w:i w:val="1"/>
          <w:iCs w:val="1"/>
          <w:color w:val="auto"/>
        </w:rPr>
        <w:t>Registrar</w:t>
      </w:r>
      <w:r>
        <w:rPr>
          <w:rFonts w:ascii="Arial" w:cs="Arial" w:eastAsia="Arial" w:hAnsi="Arial"/>
          <w:sz w:val="22"/>
          <w:szCs w:val="22"/>
          <w:color w:val="auto"/>
        </w:rPr>
        <w:t>” have the respective meanings specified in Section 305.</w:t>
      </w:r>
    </w:p>
    <w:p>
      <w:pPr>
        <w:spacing w:after="0" w:line="206"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Significant Subsidiary</w:t>
      </w:r>
      <w:r>
        <w:rPr>
          <w:rFonts w:ascii="Arial" w:cs="Arial" w:eastAsia="Arial" w:hAnsi="Arial"/>
          <w:sz w:val="22"/>
          <w:szCs w:val="22"/>
          <w:color w:val="auto"/>
        </w:rPr>
        <w:t>” means the Issuer and any Restricted Subsidiary that would be a “significant subsidiary” as defined in Rule 1-02 of Regulation S-X promulgated pursuant to the Securities Act as such Regulation was in effect on the Initial Issuance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Special Record Date</w:t>
      </w:r>
      <w:r>
        <w:rPr>
          <w:rFonts w:ascii="Arial" w:cs="Arial" w:eastAsia="Arial" w:hAnsi="Arial"/>
          <w:sz w:val="19"/>
          <w:szCs w:val="19"/>
          <w:color w:val="auto"/>
        </w:rPr>
        <w:t>” for the payment of any Defaulted Interest means a date fixed by the Issuer pursuant to Section 307.</w:t>
      </w:r>
    </w:p>
    <w:p>
      <w:pPr>
        <w:spacing w:after="0" w:line="241" w:lineRule="exact"/>
        <w:rPr>
          <w:sz w:val="20"/>
          <w:szCs w:val="20"/>
          <w:color w:val="auto"/>
        </w:rPr>
      </w:pPr>
    </w:p>
    <w:p>
      <w:pPr>
        <w:ind w:right="28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Specified Cash Management Agreements</w:t>
      </w:r>
      <w:r>
        <w:rPr>
          <w:rFonts w:ascii="Arial" w:cs="Arial" w:eastAsia="Arial" w:hAnsi="Arial"/>
          <w:sz w:val="21"/>
          <w:szCs w:val="21"/>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69"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Specified Eligible Deposit Account</w:t>
      </w:r>
      <w:r>
        <w:rPr>
          <w:rFonts w:ascii="Arial" w:cs="Arial" w:eastAsia="Arial" w:hAnsi="Arial"/>
          <w:sz w:val="19"/>
          <w:szCs w:val="19"/>
          <w:color w:val="auto"/>
        </w:rPr>
        <w:t>” means, with respect to any Note Party, such Note Party’s deposit accounts located in an Eligible Jurisdiction; provided that, if any such deposit account of a Note Party located in an Eligible Jurisdiction becomes subject to a Deposit Account Control Agreement, such deposit account shall cease to be a Specified Eligible Deposit Account.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ind w:right="8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Specified Filing Jurisdiction</w:t>
      </w:r>
      <w:r>
        <w:rPr>
          <w:rFonts w:ascii="Arial" w:cs="Arial" w:eastAsia="Arial" w:hAnsi="Arial"/>
          <w:sz w:val="21"/>
          <w:szCs w:val="21"/>
          <w:color w:val="auto"/>
        </w:rPr>
        <w:t>” means the United States of America (or any state thereof), Canada (or any province or territory thereof) and each other jurisdiction whose law generally requires information concerning the existence of a nonpossessory security interest to be made generally available in a filing, recording or registration system as a condition or result of the security interest’s obtaining priority over the rights of a lien creditor over the collateral.</w:t>
      </w:r>
    </w:p>
    <w:p>
      <w:pPr>
        <w:spacing w:after="0" w:line="174"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Specified Holders</w:t>
      </w:r>
      <w:r>
        <w:rPr>
          <w:rFonts w:ascii="Arial" w:cs="Arial" w:eastAsia="Arial" w:hAnsi="Arial"/>
          <w:sz w:val="19"/>
          <w:szCs w:val="19"/>
          <w:color w:val="auto"/>
        </w:rPr>
        <w:t>” means any Person that is both (a) not the Issuer or any Guarantor or any Person directly or indirectly controlled by the Issuer or any Guarantor and (b) (1) a Permitted Holder, (2) any controlling stockholder, controlling member, general partner, majority owned Subsidiary, or spouse or immediate family member (in the case of an individual) of any Specified Holder, (3) any estate, trust, corporation, partnership or other entity, the beneficiaries, stockholders, partners, owners or Persons holding a controlling interest of which consist solely of one or more Persons referred to in the immediately preceding clauses (1) and (2), (4) any executor, administrator, trustee, manager, director or other similar fiduciary of any Person referred to in the immediately preceding clause (3) acting solely in such capacity, (5) any investment fund or other entity controlled by, or under common control with, a Specified Holder or the principals that control a Specified Holder, or (6) upon the liquidation of any entity of the type described in the immediately preceding clause (5), the former partners or beneficial owners thereof.</w:t>
      </w:r>
    </w:p>
    <w:p>
      <w:pPr>
        <w:spacing w:after="0" w:line="15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Specified Ineligible Deposit Account</w:t>
      </w:r>
      <w:r>
        <w:rPr>
          <w:rFonts w:ascii="Arial" w:cs="Arial" w:eastAsia="Arial" w:hAnsi="Arial"/>
          <w:sz w:val="22"/>
          <w:szCs w:val="22"/>
          <w:color w:val="auto"/>
        </w:rPr>
        <w:t>” means, with respect to any Note Party, such Note Party’s Deposit Accounts located in an Ineligible Jurisdiction.</w:t>
      </w:r>
    </w:p>
    <w:p>
      <w:pPr>
        <w:spacing w:after="0" w:line="175"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Specified Jurisdiction</w:t>
      </w:r>
      <w:r>
        <w:rPr>
          <w:rFonts w:ascii="Arial" w:cs="Arial" w:eastAsia="Arial" w:hAnsi="Arial"/>
          <w:sz w:val="21"/>
          <w:szCs w:val="21"/>
          <w:color w:val="auto"/>
        </w:rPr>
        <w:t>” means (a) the United States of America (or any state thereof), Canada (or any province or territory thereof), the United Kingdom, Ireland, Switzerland, Luxembourg, Bermuda, the British Virgin Islands, the Netherlands, Argentina, Australia, Norway, Germany, Panama, Mexico, Brazil and certain other jurisdictions to be agreed from time to time by the Majority Holders and the Parent Guarantor and (b) any “Specified Jurisdiction” under the LC Credit Agreement. In no event shall any Excluded Jurisdiction be or become a Specified Jurisdiction.</w:t>
      </w:r>
    </w:p>
    <w:p>
      <w:pPr>
        <w:spacing w:after="0" w:line="178"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Standard Securitization Undertakings</w:t>
      </w:r>
      <w:r>
        <w:rPr>
          <w:rFonts w:ascii="Arial" w:cs="Arial" w:eastAsia="Arial" w:hAnsi="Arial"/>
          <w:sz w:val="22"/>
          <w:szCs w:val="22"/>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85"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Stated Maturity</w:t>
      </w:r>
      <w:r>
        <w:rPr>
          <w:rFonts w:ascii="Arial" w:cs="Arial" w:eastAsia="Arial" w:hAnsi="Arial"/>
          <w:sz w:val="19"/>
          <w:szCs w:val="19"/>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4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Subordinated Indebtedness</w:t>
      </w:r>
      <w:r>
        <w:rPr>
          <w:rFonts w:ascii="Arial" w:cs="Arial" w:eastAsia="Arial" w:hAnsi="Arial"/>
          <w:sz w:val="22"/>
          <w:szCs w:val="22"/>
          <w:color w:val="auto"/>
        </w:rPr>
        <w:t>” means Indebtedness of the Issuer or any Guarantor that is expressly subordinated in right of payment to the Notes or any Guarantee,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Person:</w:t>
      </w:r>
    </w:p>
    <w:p>
      <w:pPr>
        <w:spacing w:after="0" w:line="207" w:lineRule="exact"/>
        <w:rPr>
          <w:sz w:val="20"/>
          <w:szCs w:val="20"/>
          <w:color w:val="auto"/>
        </w:rPr>
      </w:pPr>
    </w:p>
    <w:p>
      <w:pPr>
        <w:ind w:left="660" w:right="120" w:firstLine="644"/>
        <w:spacing w:after="0" w:line="328" w:lineRule="auto"/>
        <w:tabs>
          <w:tab w:leader="none" w:pos="2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corporation of which more than 50.0% of the total voting power of the Voting Stock thereof is at the time owned, directly or indirectly, by such Person or one or more of the other Subsidiaries of such Person; and</w:t>
      </w:r>
    </w:p>
    <w:p>
      <w:pPr>
        <w:spacing w:after="0" w:line="104" w:lineRule="exact"/>
        <w:rPr>
          <w:rFonts w:ascii="Arial" w:cs="Arial" w:eastAsia="Arial" w:hAnsi="Arial"/>
          <w:sz w:val="19"/>
          <w:szCs w:val="19"/>
          <w:color w:val="auto"/>
        </w:rPr>
      </w:pPr>
    </w:p>
    <w:p>
      <w:pPr>
        <w:ind w:left="660" w:right="540" w:firstLine="644"/>
        <w:spacing w:after="0" w:line="250" w:lineRule="auto"/>
        <w:tabs>
          <w:tab w:leader="none" w:pos="21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partnership or similar business organization more than 50.0% of the ownership interests having ordinary voting power of which shall at the time be so owned.</w:t>
      </w:r>
    </w:p>
    <w:p>
      <w:pPr>
        <w:spacing w:after="0" w:line="17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86"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 Guarantor</w:t>
      </w:r>
      <w:r>
        <w:rPr>
          <w:rFonts w:ascii="Arial" w:cs="Arial" w:eastAsia="Arial" w:hAnsi="Arial"/>
          <w:sz w:val="22"/>
          <w:szCs w:val="22"/>
          <w:color w:val="auto"/>
        </w:rPr>
        <w:t>” means any Person named as a “Subsidiary Guarantor” in the first paragraph of the Indenture and any other Restricted Subsidiary that after the Initial Issuance Date becomes a party to the Indenture for purposes of providing a Guarantee with respect to the Notes, in each case, until such Person is released from its Guarantee in accordance with the terms of the Indenture.</w:t>
      </w:r>
    </w:p>
    <w:p>
      <w:pPr>
        <w:spacing w:after="0" w:line="185" w:lineRule="exact"/>
        <w:rPr>
          <w:sz w:val="20"/>
          <w:szCs w:val="20"/>
          <w:color w:val="auto"/>
        </w:rPr>
      </w:pPr>
    </w:p>
    <w:p>
      <w:pPr>
        <w:ind w:right="4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Successor Parent</w:t>
      </w:r>
      <w:r>
        <w:rPr>
          <w:rFonts w:ascii="Arial" w:cs="Arial" w:eastAsia="Arial" w:hAnsi="Arial"/>
          <w:sz w:val="19"/>
          <w:szCs w:val="19"/>
          <w:color w:val="auto"/>
        </w:rPr>
        <w:t>” means any Person which legally and beneficially owns more than 50% of the Voting Stock and/or Equity Interests of the Parent Guarantor or any Restricted Subsidiary, either directly or through one or more Subsidiaries.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Successor Person</w:t>
      </w:r>
      <w:r>
        <w:rPr>
          <w:rFonts w:ascii="Arial" w:cs="Arial" w:eastAsia="Arial" w:hAnsi="Arial"/>
          <w:sz w:val="22"/>
          <w:szCs w:val="22"/>
          <w:color w:val="auto"/>
        </w:rPr>
        <w:t>” has the meaning set forth in Section 801.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Suspended Covenants</w:t>
      </w:r>
      <w:r>
        <w:rPr>
          <w:rFonts w:ascii="Arial" w:cs="Arial" w:eastAsia="Arial" w:hAnsi="Arial"/>
          <w:sz w:val="22"/>
          <w:szCs w:val="22"/>
          <w:color w:val="auto"/>
        </w:rPr>
        <w:t>” has the meaning set forth in Section 1015.</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Suspension Period</w:t>
      </w:r>
      <w:r>
        <w:rPr>
          <w:rFonts w:ascii="Arial" w:cs="Arial" w:eastAsia="Arial" w:hAnsi="Arial"/>
          <w:sz w:val="22"/>
          <w:szCs w:val="22"/>
          <w:color w:val="auto"/>
        </w:rPr>
        <w:t>” has the meaning set forth in Section 1015.</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Swiss Financial Institution</w:t>
      </w:r>
      <w:r>
        <w:rPr>
          <w:rFonts w:ascii="Arial" w:cs="Arial" w:eastAsia="Arial" w:hAnsi="Arial"/>
          <w:sz w:val="22"/>
          <w:szCs w:val="22"/>
          <w:color w:val="auto"/>
        </w:rPr>
        <w:t>” has the meaning specified in Section 1001.</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Treasury Rate</w:t>
      </w:r>
      <w:r>
        <w:rPr>
          <w:rFonts w:ascii="Arial" w:cs="Arial" w:eastAsia="Arial" w:hAnsi="Arial"/>
          <w:sz w:val="19"/>
          <w:szCs w:val="19"/>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of similar market data)) most nearly equal to the period from the redemption date to August 28, 2021;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such period is not equal to the constant maturity of a United States Treasury security for which a weekly average yield is given, the Issuer shall obtain the Treasury Rate by linear interpolation (calculated to the nearest one-twelfth of a year) from the weekly average yields of United States Treasury securities for which such yields are given, except that if the period from the redemption date to August 28, 2021 is less than one year, the weekly average yield on actually traded United States Treasury securities adjusted to a constant maturity of one year shall be used. The Issuer will (a) calculate the Treasury Rate on the second Business Day preceding the applicable redemption date and (b) prior to such redemption date deliver to the Trustee an Officers’ Certificate and the Holders a notice setting forth the Make Whole Premium and the Treasury Rate and showing the calculation of each in reasonable detail.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ind w:right="14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Trust Indenture Act</w:t>
      </w:r>
      <w:r>
        <w:rPr>
          <w:rFonts w:ascii="Arial" w:cs="Arial" w:eastAsia="Arial" w:hAnsi="Arial"/>
          <w:sz w:val="21"/>
          <w:szCs w:val="21"/>
          <w:color w:val="auto"/>
        </w:rPr>
        <w:t xml:space="preserve">” means the Trust Indenture Act of 1939 as in force at the date as of which the Indenture was executed;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event the Trust Indenture Act of 1939 is amended after such date “Trust Indenture Act” means, to the extent required by any such amendment, the Trust Indenture Act of 1939 as so amended.</w:t>
      </w:r>
    </w:p>
    <w:p>
      <w:pPr>
        <w:spacing w:after="0" w:line="167"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Person named as the “Trustee” in the first paragraph of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UETA</w:t>
      </w:r>
      <w:r>
        <w:rPr>
          <w:rFonts w:ascii="Arial" w:cs="Arial" w:eastAsia="Arial" w:hAnsi="Arial"/>
          <w:sz w:val="19"/>
          <w:szCs w:val="19"/>
          <w:color w:val="auto"/>
        </w:rPr>
        <w:t>” means the Uniform Electronic Transactions Act as in effect from time to time in any applicable jurisdiction.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United States</w:t>
      </w:r>
      <w:r>
        <w:rPr>
          <w:rFonts w:ascii="Arial" w:cs="Arial" w:eastAsia="Arial" w:hAnsi="Arial"/>
          <w:sz w:val="22"/>
          <w:szCs w:val="22"/>
          <w:color w:val="auto"/>
        </w:rPr>
        <w:t>” or “</w:t>
      </w:r>
      <w:r>
        <w:rPr>
          <w:rFonts w:ascii="Arial" w:cs="Arial" w:eastAsia="Arial" w:hAnsi="Arial"/>
          <w:sz w:val="22"/>
          <w:szCs w:val="22"/>
          <w:i w:val="1"/>
          <w:iCs w:val="1"/>
          <w:color w:val="auto"/>
        </w:rPr>
        <w:t>U.S.</w:t>
      </w:r>
      <w:r>
        <w:rPr>
          <w:rFonts w:ascii="Arial" w:cs="Arial" w:eastAsia="Arial" w:hAnsi="Arial"/>
          <w:sz w:val="22"/>
          <w:szCs w:val="22"/>
          <w:color w:val="auto"/>
        </w:rPr>
        <w:t>” means the United States of America.</w:t>
      </w:r>
    </w:p>
    <w:p>
      <w:pPr>
        <w:spacing w:after="0" w:line="206"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Subsidiary</w:t>
      </w:r>
      <w:r>
        <w:rPr>
          <w:rFonts w:ascii="Arial" w:cs="Arial" w:eastAsia="Arial" w:hAnsi="Arial"/>
          <w:sz w:val="22"/>
          <w:szCs w:val="22"/>
          <w:color w:val="auto"/>
        </w:rPr>
        <w:t>” means (1) any Subsidiary that at the time of determination shall be designated an Unrestricted Subsidiary by the Board of Directors of the Parent Guarantor in accordance with Section 1006 and (2) any Subsidiary of an Unrestricted Subsidiary. Notwithstanding the preceding, if at any time, any Unrestricted Subsidiary would fail to meet the requirements as an Unrestricted Subsidiary in Section 1006, it shall thereafter cease to be an Unrestricted Subsidiary for purposes of the Indenture.</w:t>
      </w:r>
    </w:p>
    <w:p>
      <w:pPr>
        <w:spacing w:after="0" w:line="187"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 Government Obligations</w:t>
      </w:r>
      <w:r>
        <w:rPr>
          <w:rFonts w:ascii="Arial" w:cs="Arial" w:eastAsia="Arial" w:hAnsi="Arial"/>
          <w:sz w:val="19"/>
          <w:szCs w:val="19"/>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Unsecured Notes</w:t>
      </w:r>
      <w:r>
        <w:rPr>
          <w:rFonts w:ascii="Arial" w:cs="Arial" w:eastAsia="Arial" w:hAnsi="Arial"/>
          <w:sz w:val="19"/>
          <w:szCs w:val="19"/>
          <w:color w:val="auto"/>
        </w:rPr>
        <w:t>” means the 11.00% Senior Notes due 2024 of the Issuer, issued under the Unsecured Notes Indenture.</w:t>
      </w:r>
    </w:p>
    <w:p>
      <w:pPr>
        <w:spacing w:after="0" w:line="241"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Unsecured Notes Indenture</w:t>
      </w:r>
      <w:r>
        <w:rPr>
          <w:rFonts w:ascii="Arial" w:cs="Arial" w:eastAsia="Arial" w:hAnsi="Arial"/>
          <w:sz w:val="22"/>
          <w:szCs w:val="22"/>
          <w:color w:val="auto"/>
        </w:rPr>
        <w:t>” means the Indenture, dated as of December 13, 2019, among the Issuer, as issuer, the Parent Guarantor, as a guarantor, the other guarantors party thereto, and Deutsche Bank Trust Company Americas, as trustee, as supplemented or otherwise modified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Unsecured Notes Issue Date</w:t>
      </w:r>
      <w:r>
        <w:rPr>
          <w:rFonts w:ascii="Arial" w:cs="Arial" w:eastAsia="Arial" w:hAnsi="Arial"/>
          <w:sz w:val="22"/>
          <w:szCs w:val="22"/>
          <w:color w:val="auto"/>
        </w:rPr>
        <w:t>” means December 13, 2019.</w:t>
      </w:r>
    </w:p>
    <w:p>
      <w:pPr>
        <w:spacing w:after="0" w:line="206"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Voting Stock</w:t>
      </w:r>
      <w:r>
        <w:rPr>
          <w:rFonts w:ascii="Arial" w:cs="Arial" w:eastAsia="Arial" w:hAnsi="Arial"/>
          <w:sz w:val="19"/>
          <w:szCs w:val="19"/>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34"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Weatherford Parent Company</w:t>
      </w:r>
      <w:r>
        <w:rPr>
          <w:rFonts w:ascii="Arial" w:cs="Arial" w:eastAsia="Arial" w:hAnsi="Arial"/>
          <w:sz w:val="22"/>
          <w:szCs w:val="22"/>
          <w:color w:val="auto"/>
        </w:rPr>
        <w:t>” means initially the Parent Guarantor or, if a Redomestication has occurred subsequent to the Initial Issuance Date and prior to the event in question or the date of determination, the Surviving Person resulting from such prior Redomestication.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jc w:val="both"/>
        <w:ind w:right="2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Weighted Average Life to Maturity</w:t>
      </w:r>
      <w:r>
        <w:rPr>
          <w:rFonts w:ascii="Arial" w:cs="Arial" w:eastAsia="Arial" w:hAnsi="Arial"/>
          <w:sz w:val="21"/>
          <w:szCs w:val="21"/>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9"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Wholly-Owned Subsidiary</w:t>
      </w:r>
      <w:r>
        <w:rPr>
          <w:rFonts w:ascii="Arial" w:cs="Arial" w:eastAsia="Arial" w:hAnsi="Arial"/>
          <w:sz w:val="22"/>
          <w:szCs w:val="22"/>
          <w:color w:val="auto"/>
        </w:rPr>
        <w:t>” means a Restricted Subsidiary, all of the Equity Interests of which (other than directors’ qualifying shares) are owned by the Parent Guarantor or another Wholly-Owned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WOFS Assurance</w:t>
      </w:r>
      <w:r>
        <w:rPr>
          <w:rFonts w:ascii="Arial" w:cs="Arial" w:eastAsia="Arial" w:hAnsi="Arial"/>
          <w:sz w:val="22"/>
          <w:szCs w:val="22"/>
          <w:color w:val="auto"/>
        </w:rPr>
        <w:t>” means WOFS Assurance Limited, a Bermuda exempted company.</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Upon any application or request by the Issuer or any Guarantor to the Trustee or Collateral Agent, as the case may be, to take or refrain from taking any action under any provision of the Indenture, the Issuer or such Guarantor, as the case may be, shall furnish to the Trustee and the Collateral Agent, if applicable, an Officers’ Certificate and an Opinion of Counsel.</w:t>
      </w:r>
    </w:p>
    <w:p>
      <w:pPr>
        <w:spacing w:after="0" w:line="134"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Every certificate or opinion with respect to compliance with a condition or covenant provided for in the Indenture and the Notes Documents shall include,</w:t>
      </w:r>
    </w:p>
    <w:p>
      <w:pPr>
        <w:spacing w:after="0" w:line="175" w:lineRule="exact"/>
        <w:rPr>
          <w:sz w:val="20"/>
          <w:szCs w:val="20"/>
          <w:color w:val="auto"/>
        </w:rPr>
      </w:pPr>
    </w:p>
    <w:p>
      <w:pPr>
        <w:ind w:right="220" w:firstLine="656"/>
        <w:spacing w:after="0" w:line="250" w:lineRule="auto"/>
        <w:tabs>
          <w:tab w:leader="none" w:pos="142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a statement that each individual signing such certificate or opinion has read such covenant or condition and the definitions herein relating thereto;</w:t>
      </w:r>
    </w:p>
    <w:p>
      <w:pPr>
        <w:spacing w:after="0" w:line="174" w:lineRule="exact"/>
        <w:rPr>
          <w:rFonts w:ascii="Arial" w:cs="Arial" w:eastAsia="Arial" w:hAnsi="Arial"/>
          <w:sz w:val="22"/>
          <w:szCs w:val="22"/>
          <w:color w:val="010000"/>
        </w:rPr>
      </w:pPr>
    </w:p>
    <w:p>
      <w:pPr>
        <w:ind w:right="400" w:firstLine="656"/>
        <w:spacing w:after="0" w:line="250" w:lineRule="auto"/>
        <w:tabs>
          <w:tab w:leader="none" w:pos="1440"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010000"/>
        </w:rPr>
      </w:pPr>
    </w:p>
    <w:p>
      <w:pPr>
        <w:ind w:right="100" w:firstLine="656"/>
        <w:spacing w:after="0"/>
        <w:tabs>
          <w:tab w:leader="none" w:pos="142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86" w:lineRule="exact"/>
        <w:rPr>
          <w:rFonts w:ascii="Arial" w:cs="Arial" w:eastAsia="Arial" w:hAnsi="Arial"/>
          <w:sz w:val="22"/>
          <w:szCs w:val="22"/>
          <w:color w:val="010000"/>
        </w:rPr>
      </w:pPr>
    </w:p>
    <w:p>
      <w:pPr>
        <w:ind w:left="1440" w:hanging="784"/>
        <w:spacing w:after="0"/>
        <w:tabs>
          <w:tab w:leader="none" w:pos="1440"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a statement as to whether or not, in the opinion of each such individual, such condition or covenant has been</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complied with.</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w:t>
      </w:r>
    </w:p>
    <w:p>
      <w:pPr>
        <w:spacing w:after="0" w:line="218"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ind w:firstLine="648"/>
        <w:spacing w:after="0" w:line="277" w:lineRule="auto"/>
        <w:rPr>
          <w:sz w:val="20"/>
          <w:szCs w:val="20"/>
          <w:color w:val="auto"/>
        </w:rPr>
      </w:pPr>
      <w:r>
        <w:rPr>
          <w:rFonts w:ascii="Arial" w:cs="Arial" w:eastAsia="Arial" w:hAnsi="Arial"/>
          <w:sz w:val="19"/>
          <w:szCs w:val="19"/>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Where any Person is required to make, give or execute two or more applications, requests, consents, certificates,</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statements, opinions or other instruments under the Indenture, they may, but need not, be consolidated and form one instrument.</w:t>
      </w:r>
    </w:p>
    <w:p>
      <w:pPr>
        <w:spacing w:after="0" w:line="2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Acts of Holders; Record Dates; Majority Holders</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58"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87"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ownership, principal amount and serial numbers of Notes held by any Person, and the date of commencement of such Person’s holding of same, shall be proved by the Security Register.</w:t>
      </w:r>
    </w:p>
    <w:p>
      <w:pPr>
        <w:spacing w:after="0" w:line="175"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ind w:right="140" w:firstLine="648"/>
        <w:spacing w:after="0" w:line="271" w:lineRule="auto"/>
        <w:rPr>
          <w:sz w:val="20"/>
          <w:szCs w:val="20"/>
          <w:color w:val="auto"/>
        </w:rPr>
      </w:pPr>
      <w:r>
        <w:rPr>
          <w:rFonts w:ascii="Arial" w:cs="Arial" w:eastAsia="Arial" w:hAnsi="Arial"/>
          <w:sz w:val="19"/>
          <w:szCs w:val="19"/>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Issuer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106.</w:t>
      </w:r>
    </w:p>
    <w:p>
      <w:pPr>
        <w:spacing w:after="0" w:line="200" w:lineRule="exact"/>
        <w:rPr>
          <w:sz w:val="20"/>
          <w:szCs w:val="20"/>
          <w:color w:val="auto"/>
        </w:rPr>
      </w:pPr>
    </w:p>
    <w:p>
      <w:pPr>
        <w:spacing w:after="0" w:line="208"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 xml:space="preserve">The Trustee may set any day as a record date for the purpose of determining the Holders of Notes entitled to join in the giving or making of (i) any notice of Default, (ii) any declaration of acceleration referred to in Section 502, (iii) any request to institute proceedings referred to in Section 507(2) or (iv) any direction referred to in Section 512.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106.</w:t>
      </w:r>
    </w:p>
    <w:p>
      <w:pPr>
        <w:spacing w:after="0" w:line="156"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change shall be effective unless notice of the proposed new Expiration Date is given to each other party hereto in writing, and to each Holder of Notes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ind w:right="620"/>
        <w:spacing w:after="0" w:line="251" w:lineRule="auto"/>
        <w:rPr>
          <w:sz w:val="20"/>
          <w:szCs w:val="20"/>
          <w:color w:val="auto"/>
        </w:rPr>
      </w:pPr>
      <w:r>
        <w:rPr>
          <w:rFonts w:ascii="Arial" w:cs="Arial" w:eastAsia="Arial" w:hAnsi="Arial"/>
          <w:sz w:val="22"/>
          <w:szCs w:val="22"/>
          <w:color w:val="auto"/>
        </w:rPr>
        <w:t>thereto, subject to its right to change the Expiration Date as provided in this paragraph. Notwithstanding the foregoing, no Expiration Date shall be later than the 180th day after the applicable record date.</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169"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Whenever in this Indenture or the other Notes Documents, a determination is to be made by, a discretion is to be exercised by or other action taken by Majority Holders acting through legal counsel, the Trustee and Collateral Agent shall be entitled to conclusively rely on a written statement by such legal counsel that it is acting on behalf of such Majority Holders as conclusive evidence of the act of Majority Holders. Neither the Trustee nor Collateral Agent shall have any duty to investigate whether such legal counsel is counsel to the Majority Holders or whether such determination, discretion or action has been authorized by Majority Holders, and neither the Trustee nor the Collateral Agent shall have any liability to any Note Party, any Holder or any other Person for acting in reliance on such statement.</w:t>
      </w:r>
    </w:p>
    <w:p>
      <w:pPr>
        <w:spacing w:after="0" w:line="19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Notices, Etc., to Trustee, Issuer and Guarantors</w:t>
      </w:r>
      <w:r>
        <w:rPr>
          <w:rFonts w:ascii="Arial" w:cs="Arial" w:eastAsia="Arial" w:hAnsi="Arial"/>
          <w:sz w:val="16"/>
          <w:szCs w:val="16"/>
          <w:color w:val="auto"/>
        </w:rPr>
        <w:t>.</w:t>
      </w:r>
    </w:p>
    <w:p>
      <w:pPr>
        <w:spacing w:after="0" w:line="218" w:lineRule="exact"/>
        <w:rPr>
          <w:sz w:val="20"/>
          <w:szCs w:val="20"/>
          <w:color w:val="auto"/>
        </w:rPr>
      </w:pPr>
    </w:p>
    <w:p>
      <w:pPr>
        <w:ind w:right="800" w:firstLine="648"/>
        <w:spacing w:after="0" w:line="274" w:lineRule="auto"/>
        <w:rPr>
          <w:sz w:val="20"/>
          <w:szCs w:val="20"/>
          <w:color w:val="auto"/>
        </w:rPr>
      </w:pPr>
      <w:r>
        <w:rPr>
          <w:rFonts w:ascii="Arial" w:cs="Arial" w:eastAsia="Arial" w:hAnsi="Arial"/>
          <w:sz w:val="21"/>
          <w:szCs w:val="21"/>
          <w:color w:val="auto"/>
        </w:rPr>
        <w:t>Any request, demand, authorization, direction, notice, consent, waiver or other Act of Holders or other document provided or permitted by the Indenture to be made upon, given or furnished to, or filed with,</w:t>
      </w:r>
    </w:p>
    <w:p>
      <w:pPr>
        <w:spacing w:after="0" w:line="151" w:lineRule="exact"/>
        <w:rPr>
          <w:sz w:val="20"/>
          <w:szCs w:val="20"/>
          <w:color w:val="auto"/>
        </w:rPr>
      </w:pPr>
    </w:p>
    <w:p>
      <w:pPr>
        <w:ind w:right="200" w:firstLine="656"/>
        <w:spacing w:after="0"/>
        <w:tabs>
          <w:tab w:leader="none" w:pos="1428"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the Trustee or Collateral Agent by any Holder or by the Issuer or by any Guarantor shall be sufficient for every purpose hereunder if made, given, furnished or filed in writing to or with the Trustee or Collateral Agent, as applicable, at its Corporate Trust Office, or</w:t>
      </w:r>
    </w:p>
    <w:p>
      <w:pPr>
        <w:spacing w:after="0" w:line="186" w:lineRule="exact"/>
        <w:rPr>
          <w:rFonts w:ascii="Arial" w:cs="Arial" w:eastAsia="Arial" w:hAnsi="Arial"/>
          <w:sz w:val="22"/>
          <w:szCs w:val="22"/>
          <w:color w:val="010000"/>
        </w:rPr>
      </w:pPr>
    </w:p>
    <w:p>
      <w:pPr>
        <w:ind w:right="60" w:firstLine="656"/>
        <w:spacing w:after="0" w:line="287" w:lineRule="auto"/>
        <w:tabs>
          <w:tab w:leader="none" w:pos="1440"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5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w:t>
      </w:r>
    </w:p>
    <w:p>
      <w:pPr>
        <w:spacing w:after="0" w:line="218"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106, it is duly given, whether or not the addressee receives it. Where the Indenture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ind w:right="100"/>
        <w:spacing w:after="0" w:line="297" w:lineRule="auto"/>
        <w:rPr>
          <w:sz w:val="20"/>
          <w:szCs w:val="20"/>
          <w:color w:val="auto"/>
        </w:rPr>
      </w:pPr>
      <w:r>
        <w:rPr>
          <w:rFonts w:ascii="Arial" w:cs="Arial" w:eastAsia="Arial" w:hAnsi="Arial"/>
          <w:sz w:val="19"/>
          <w:szCs w:val="19"/>
          <w:color w:val="auto"/>
        </w:rPr>
        <w:t>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34"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In case by reason of the suspension of regular mail service or by reason of any other cause it shall be impracticable to give such notice by mail, then such notification as shall be made in consultation with the Trustee shall constitute a sufficient notification for every purpose hereunder.</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Trust Indenture Act</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the Trust Indenture Act shall not apply to this Indenture.</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Effect of Headings and Table of Contents</w:t>
      </w:r>
      <w:r>
        <w:rPr>
          <w:rFonts w:ascii="Arial" w:cs="Arial" w:eastAsia="Arial" w:hAnsi="Arial"/>
          <w:sz w:val="16"/>
          <w:szCs w:val="16"/>
          <w:color w:val="auto"/>
        </w:rPr>
        <w:t>.</w:t>
      </w:r>
    </w:p>
    <w:p>
      <w:pPr>
        <w:spacing w:after="0" w:line="218" w:lineRule="exact"/>
        <w:rPr>
          <w:sz w:val="20"/>
          <w:szCs w:val="20"/>
          <w:color w:val="auto"/>
        </w:rPr>
      </w:pPr>
    </w:p>
    <w:p>
      <w:pPr>
        <w:ind w:right="620" w:firstLine="648"/>
        <w:spacing w:after="0" w:line="250" w:lineRule="auto"/>
        <w:rPr>
          <w:sz w:val="20"/>
          <w:szCs w:val="20"/>
          <w:color w:val="auto"/>
        </w:rPr>
      </w:pPr>
      <w:r>
        <w:rPr>
          <w:rFonts w:ascii="Arial" w:cs="Arial" w:eastAsia="Arial" w:hAnsi="Arial"/>
          <w:sz w:val="22"/>
          <w:szCs w:val="22"/>
          <w:color w:val="auto"/>
        </w:rPr>
        <w:t>The Article and Section headings herein and the Table of Contents are for convenience only and shall not affect the construction hereof.</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18" w:lineRule="exact"/>
        <w:rPr>
          <w:sz w:val="20"/>
          <w:szCs w:val="20"/>
          <w:color w:val="auto"/>
        </w:rPr>
      </w:pPr>
    </w:p>
    <w:p>
      <w:pPr>
        <w:ind w:right="500" w:firstLine="648"/>
        <w:spacing w:after="0" w:line="250" w:lineRule="auto"/>
        <w:rPr>
          <w:sz w:val="20"/>
          <w:szCs w:val="20"/>
          <w:color w:val="auto"/>
        </w:rPr>
      </w:pPr>
      <w:r>
        <w:rPr>
          <w:rFonts w:ascii="Arial" w:cs="Arial" w:eastAsia="Arial" w:hAnsi="Arial"/>
          <w:sz w:val="22"/>
          <w:szCs w:val="22"/>
          <w:color w:val="auto"/>
        </w:rPr>
        <w:t>All covenants and agreements in the Indenture by the Issuer, the Guarantors or the Trustee shall bind their respective successors and assigns, whether so expressed or not.</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Separability Clause</w:t>
      </w:r>
      <w:r>
        <w:rPr>
          <w:rFonts w:ascii="Arial" w:cs="Arial" w:eastAsia="Arial" w:hAnsi="Arial"/>
          <w:sz w:val="16"/>
          <w:szCs w:val="16"/>
          <w:color w:val="auto"/>
        </w:rPr>
        <w:t>.</w:t>
      </w:r>
    </w:p>
    <w:p>
      <w:pPr>
        <w:spacing w:after="0" w:line="218"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In case any provision in the Indenture or the Notes shall be invalid, illegal or unenforceable, the validity, legality and enforce ability of the remaining provisions shall not in any way be affected or impaired thereby.</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Benefits of Indenture</w:t>
      </w:r>
      <w:r>
        <w:rPr>
          <w:rFonts w:ascii="Arial" w:cs="Arial" w:eastAsia="Arial" w:hAnsi="Arial"/>
          <w:sz w:val="16"/>
          <w:szCs w:val="16"/>
          <w:color w:val="auto"/>
        </w:rPr>
        <w:t>.</w:t>
      </w:r>
    </w:p>
    <w:p>
      <w:pPr>
        <w:spacing w:after="0" w:line="218"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and the Collateral Agent shall have all the rights, benefits, protections and immunities afforded by the Indenture to the Trustee in its capacity as such.</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Governing Law; Jury Trial Waiver; Submission to Jurisdiction</w:t>
      </w:r>
      <w:r>
        <w:rPr>
          <w:rFonts w:ascii="Arial" w:cs="Arial" w:eastAsia="Arial" w:hAnsi="Arial"/>
          <w:sz w:val="16"/>
          <w:szCs w:val="16"/>
          <w:color w:val="auto"/>
        </w:rPr>
        <w:t>.</w:t>
      </w:r>
    </w:p>
    <w:p>
      <w:pPr>
        <w:spacing w:after="0" w:line="218"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THE INDENTURE, THE NOTES AND THE GUARANTEES SHALL BE GOVERNED BY AND CONSTRUED IN ACCORDANCE WITH THE LAWS OF THE STATE OF NEW YORK. THE ISSUER, THE GUARANTORS, THE HOLDERS (BY THEIR ACCEPTANCE OF THE NOTES), THE TRUSTEE AND THE COLLATERAL AGENT HEREBY IRREVOCABLY WAIVE, TO THE FULLEST EXTENT PERMITTED BY APPLICABLE LAW, ANY AND ALL RIGHT TO TRIAL BY JURY IN ANY LEGAL PROCEEDING ARISING OUT OF OR RELATING TO THIS INDENTURE, THE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THE GUARANTEES, THE NOTES DOCUMENTS OR THE TRANSACTIONS CONTEMPLATED HEREBY.</w:t>
      </w:r>
    </w:p>
    <w:p>
      <w:pPr>
        <w:spacing w:after="0" w:line="220"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 xml:space="preserve">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service of process is effected upon the Issuer. Each Guarantor that is a domestic Guarantor hereby appoints Weatherford International, LLC (the “Domestic Process Agent”) as its agent for service of process for the purposes of this Section 112. The Issuer and each Guarantor that is not a domestic Guarantor has designated CT Corporation System, 28 Liberty Street, New York, New York 10005 (the “Non-Domestic Process Agent” and, together with the Domestic Process Agent, the “Process Agent”), as the designee, appointee and agent of such foreign Note Party to receive, for and on behalf of such Note Party, service of process in the State of New York, for the purposes of this Section 112. Each of the Issuer and the Guarantors further agrees that, unless otherwise required by law and to the extent permitted by applicable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Guarantor that is a domestic Guarantor agrees to take any and all action, including the execution and filing of any and all such documents and instruments as may be necessary, to continue the designation and appointment of the Domestic Process Agent in full force and effect for so long as such Guarantor has any outstanding obligations under the Indenture. The Issuer and each Guarantor that is not a domestic Guarantor agrees that it will at all times continually maintain an agent to receive service of process in New York or Delaware on its behalf and on behalf of its property with respect to this Indenture and the other Notes Documents to which it is a party, and if, for any reason, the Non-Domestic Process Agent named above or its successor shall no longer serve as agent of the Issuer or such Guarantor (as the case may be) to receive service of process in New York or Delaware, the Issuer or such Guarantor (as the case may be) shall promptly (but in any event within five (5) Business Days) appoint a reputable successor with an office in New York or Delaware and concurrently notify the Trustee in writing of such appointment (which successor shall thereupon be the Non-Domestic Process Agent hereunder).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If a Guarantor incorporated under the laws of the Netherlands is represented by an attorney-in-fact in connection with the signing and/or execution of this Indenture or any other agreement, deed or document referred to in or made pursuant to this Indenture, it is hereby expressly acknowledged and accepted by the other parties to this Indenture that the existence and extent of the attorney-in-fact’s authority and the effects of the attorney-in-fact’s exercise or purported exercise of his or her authority shall be governed by the laws of the Netherlands.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6" w:name="page57"/>
    <w:bookmarkEnd w:id="56"/>
    <w:p>
      <w:pPr>
        <w:ind w:left="660"/>
        <w:spacing w:after="0"/>
        <w:tabs>
          <w:tab w:leader="none" w:pos="258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No Personal Liability of Directors, Officers, Employees and Shareholders</w:t>
      </w:r>
      <w:r>
        <w:rPr>
          <w:rFonts w:ascii="Arial" w:cs="Arial" w:eastAsia="Arial" w:hAnsi="Arial"/>
          <w:sz w:val="16"/>
          <w:szCs w:val="16"/>
          <w:color w:val="auto"/>
        </w:rPr>
        <w:t>.</w:t>
      </w:r>
    </w:p>
    <w:p>
      <w:pPr>
        <w:spacing w:after="0" w:line="218"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18"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1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18"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(“Applicable Banking Laws”), the Trustee and the Collateral Agent are required to obtain, verify, record and update certain information relating to individuals and entities which maintain a business relationship with the Trustee or the Collateral Agent, as applicable. Accordingly, each of the parties agrees to provide to the Trustee and the Collateral Agent, upon its request from time to time, such identifying information and documentation as may be available for such parties in order to enable the Trustee and the Collateral Agent to comply with Applicable Banking Laws.</w:t>
      </w:r>
    </w:p>
    <w:p>
      <w:pPr>
        <w:spacing w:after="0" w:line="15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u w:val="single" w:color="auto"/>
          <w:color w:val="auto"/>
        </w:rPr>
        <w:t>Payment in Required Currency; Judgment Currency</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of the Issuer and the Guarantors agrees, to the fullest extent that it may effectively do so under applicable law, that</w:t>
      </w:r>
    </w:p>
    <w:p>
      <w:pPr>
        <w:spacing w:after="0" w:line="43" w:lineRule="exact"/>
        <w:rPr>
          <w:sz w:val="20"/>
          <w:szCs w:val="20"/>
          <w:color w:val="auto"/>
        </w:rPr>
      </w:pPr>
    </w:p>
    <w:p>
      <w:pPr>
        <w:ind w:right="80" w:firstLine="8"/>
        <w:spacing w:after="0" w:line="243" w:lineRule="auto"/>
        <w:tabs>
          <w:tab w:leader="none" w:pos="294"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for the purpose of obtaining judgment in any court it is necessary to convert the sum due in Dollars in respect of the principal of, or premium, if any, or interest on, the Notes (the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line="272" w:lineRule="auto"/>
        <w:rPr>
          <w:sz w:val="20"/>
          <w:szCs w:val="20"/>
          <w:color w:val="auto"/>
        </w:rPr>
      </w:pPr>
      <w:r>
        <w:rPr>
          <w:rFonts w:ascii="Arial" w:cs="Arial" w:eastAsia="Arial" w:hAnsi="Arial"/>
          <w:sz w:val="19"/>
          <w:szCs w:val="19"/>
          <w:color w:val="auto"/>
        </w:rPr>
        <w:t>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w:t>
      </w:r>
    </w:p>
    <w:p>
      <w:pPr>
        <w:ind w:right="100" w:firstLine="8"/>
        <w:spacing w:after="0" w:line="287" w:lineRule="auto"/>
        <w:tabs>
          <w:tab w:leader="none" w:pos="318" w:val="left"/>
        </w:tabs>
        <w:numPr>
          <w:ilvl w:val="0"/>
          <w:numId w:val="49"/>
        </w:numPr>
        <w:rPr>
          <w:rFonts w:ascii="Arial" w:cs="Arial" w:eastAsia="Arial" w:hAnsi="Arial"/>
          <w:sz w:val="19"/>
          <w:szCs w:val="19"/>
          <w:color w:val="auto"/>
        </w:rPr>
      </w:pPr>
      <w:r>
        <w:rPr>
          <w:rFonts w:ascii="Arial" w:cs="Arial" w:eastAsia="Arial" w:hAnsi="Arial"/>
          <w:sz w:val="19"/>
          <w:szCs w:val="19"/>
          <w:color w:val="auto"/>
        </w:rPr>
        <w:t>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15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u w:val="single" w:color="auto"/>
          <w:color w:val="auto"/>
        </w:rPr>
        <w:t>Language of Notices, Etc</w:t>
      </w:r>
      <w:r>
        <w:rPr>
          <w:rFonts w:ascii="Arial" w:cs="Arial" w:eastAsia="Arial" w:hAnsi="Arial"/>
          <w:sz w:val="16"/>
          <w:szCs w:val="16"/>
          <w:color w:val="auto"/>
        </w:rPr>
        <w:t>.</w:t>
      </w:r>
    </w:p>
    <w:p>
      <w:pPr>
        <w:spacing w:after="0" w:line="218" w:lineRule="exact"/>
        <w:rPr>
          <w:sz w:val="20"/>
          <w:szCs w:val="20"/>
          <w:color w:val="auto"/>
        </w:rPr>
      </w:pPr>
    </w:p>
    <w:p>
      <w:pPr>
        <w:jc w:val="both"/>
        <w:ind w:right="280" w:firstLine="648"/>
        <w:spacing w:after="0" w:line="328" w:lineRule="auto"/>
        <w:rPr>
          <w:sz w:val="20"/>
          <w:szCs w:val="20"/>
          <w:color w:val="auto"/>
        </w:rPr>
      </w:pPr>
      <w:r>
        <w:rPr>
          <w:rFonts w:ascii="Arial" w:cs="Arial" w:eastAsia="Arial" w:hAnsi="Arial"/>
          <w:sz w:val="19"/>
          <w:szCs w:val="19"/>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1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18" w:lineRule="exact"/>
        <w:rPr>
          <w:sz w:val="20"/>
          <w:szCs w:val="20"/>
          <w:color w:val="auto"/>
        </w:rPr>
      </w:pPr>
    </w:p>
    <w:p>
      <w:pPr>
        <w:ind w:right="200" w:firstLine="648"/>
        <w:spacing w:after="0" w:line="235" w:lineRule="auto"/>
        <w:rPr>
          <w:sz w:val="20"/>
          <w:szCs w:val="20"/>
          <w:color w:val="auto"/>
        </w:rPr>
      </w:pPr>
      <w:r>
        <w:rPr>
          <w:rFonts w:ascii="Arial" w:cs="Arial" w:eastAsia="Arial" w:hAnsi="Arial"/>
          <w:sz w:val="22"/>
          <w:szCs w:val="22"/>
          <w:color w:val="auto"/>
        </w:rPr>
        <w:t>The parties may sign any number of copies of the Indenture, and each party hereto may sign any number of separate copies of the Indenture. Each signed copy shall be an original, but all of them together represent the same agreement. The exchange of copies of the Indenture and of signature pages by facsimile, PDF or other electronic transmission shall constitute effective execution and delivery of the Indenture as to the parties hereto and may be used in lieu of the original Indenture for all purposes. Signatures of the parties hereto transmitted by facsimile, PDF or other electronic transmission shall be deemed to be their original signatures for all purposes.</w:t>
      </w:r>
    </w:p>
    <w:p>
      <w:pPr>
        <w:spacing w:after="0" w:line="182"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ARTICLE TWO</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NOTE FORMS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Forms Generally</w:t>
      </w:r>
      <w:r>
        <w:rPr>
          <w:rFonts w:ascii="Arial" w:cs="Arial" w:eastAsia="Arial" w:hAnsi="Arial"/>
          <w:sz w:val="16"/>
          <w:szCs w:val="16"/>
          <w:color w:val="auto"/>
        </w:rPr>
        <w:t>.</w:t>
      </w:r>
    </w:p>
    <w:p>
      <w:pPr>
        <w:spacing w:after="0" w:line="218"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The Notes and the Trustee’s certificate of authentication shall be in substantially the respective forms set forth in Annex A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147" w:lineRule="exact"/>
        <w:rPr>
          <w:sz w:val="20"/>
          <w:szCs w:val="20"/>
          <w:color w:val="auto"/>
        </w:rPr>
      </w:pPr>
    </w:p>
    <w:p>
      <w:pPr>
        <w:ind w:right="160" w:firstLine="648"/>
        <w:spacing w:after="0" w:line="274" w:lineRule="auto"/>
        <w:rPr>
          <w:sz w:val="20"/>
          <w:szCs w:val="20"/>
          <w:color w:val="auto"/>
        </w:rPr>
      </w:pPr>
      <w:r>
        <w:rPr>
          <w:rFonts w:ascii="Arial" w:cs="Arial" w:eastAsia="Arial" w:hAnsi="Arial"/>
          <w:sz w:val="21"/>
          <w:szCs w:val="21"/>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51"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As provided in Section 203, the Notes shall be issued initially in the form of one or more Global Notes, which shall be deposited with the Trustee, as Securities Custodian for the Depositary.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tabs>
          <w:tab w:leader="none" w:pos="19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Legends for Notes</w:t>
      </w:r>
      <w:r>
        <w:rPr>
          <w:rFonts w:ascii="Arial" w:cs="Arial" w:eastAsia="Arial" w:hAnsi="Arial"/>
          <w:sz w:val="16"/>
          <w:szCs w:val="16"/>
          <w:color w:val="auto"/>
        </w:rPr>
        <w:t>.</w:t>
      </w:r>
    </w:p>
    <w:p>
      <w:pPr>
        <w:spacing w:after="0" w:line="218"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Every Global Note authenticated and delivered under the Indenture shall bear a legend (the “Global Note Legend”) in substantially the following form:</w:t>
      </w:r>
    </w:p>
    <w:p>
      <w:pPr>
        <w:spacing w:after="0" w:line="155" w:lineRule="exact"/>
        <w:rPr>
          <w:sz w:val="20"/>
          <w:szCs w:val="20"/>
          <w:color w:val="auto"/>
        </w:rPr>
      </w:pPr>
    </w:p>
    <w:p>
      <w:pPr>
        <w:ind w:right="180"/>
        <w:spacing w:after="0" w:line="215" w:lineRule="auto"/>
        <w:rPr>
          <w:sz w:val="20"/>
          <w:szCs w:val="20"/>
          <w:color w:val="auto"/>
        </w:rPr>
      </w:pPr>
      <w:r>
        <w:rPr>
          <w:rFonts w:ascii="Arial" w:cs="Arial" w:eastAsia="Arial" w:hAnsi="Arial"/>
          <w:sz w:val="22"/>
          <w:szCs w:val="22"/>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52" w:lineRule="exact"/>
        <w:rPr>
          <w:sz w:val="20"/>
          <w:szCs w:val="20"/>
          <w:color w:val="auto"/>
        </w:rPr>
      </w:pPr>
    </w:p>
    <w:p>
      <w:pPr>
        <w:ind w:right="80"/>
        <w:spacing w:after="0" w:line="222" w:lineRule="auto"/>
        <w:rPr>
          <w:sz w:val="20"/>
          <w:szCs w:val="20"/>
          <w:color w:val="auto"/>
        </w:rPr>
      </w:pPr>
      <w:r>
        <w:rPr>
          <w:rFonts w:ascii="Arial" w:cs="Arial" w:eastAsia="Arial" w:hAnsi="Arial"/>
          <w:sz w:val="21"/>
          <w:szCs w:val="21"/>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7"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Unless and until (i) a Note is sold under an effective registration statement, or (ii) as otherwise provided in Section 311, such Note shall bear the following legend (the “Restricted Notes Legend”) on the face thereof:</w:t>
      </w:r>
    </w:p>
    <w:p>
      <w:pPr>
        <w:spacing w:after="0" w:line="155" w:lineRule="exact"/>
        <w:rPr>
          <w:sz w:val="20"/>
          <w:szCs w:val="20"/>
          <w:color w:val="auto"/>
        </w:rPr>
      </w:pPr>
    </w:p>
    <w:p>
      <w:pPr>
        <w:ind w:right="40"/>
        <w:spacing w:after="0" w:line="215" w:lineRule="auto"/>
        <w:rPr>
          <w:sz w:val="20"/>
          <w:szCs w:val="20"/>
          <w:color w:val="auto"/>
        </w:rPr>
      </w:pPr>
      <w:r>
        <w:rPr>
          <w:rFonts w:ascii="Arial" w:cs="Arial" w:eastAsia="Arial" w:hAnsi="Arial"/>
          <w:sz w:val="22"/>
          <w:szCs w:val="22"/>
          <w:b w:val="1"/>
          <w:bCs w:val="1"/>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52" w:lineRule="exact"/>
        <w:rPr>
          <w:sz w:val="20"/>
          <w:szCs w:val="20"/>
          <w:color w:val="auto"/>
        </w:rPr>
      </w:pPr>
    </w:p>
    <w:p>
      <w:pPr>
        <w:spacing w:after="0" w:line="210" w:lineRule="auto"/>
        <w:rPr>
          <w:sz w:val="20"/>
          <w:szCs w:val="20"/>
          <w:color w:val="auto"/>
        </w:rPr>
      </w:pPr>
      <w:r>
        <w:rPr>
          <w:rFonts w:ascii="Arial" w:cs="Arial" w:eastAsia="Arial" w:hAnsi="Arial"/>
          <w:sz w:val="22"/>
          <w:szCs w:val="22"/>
          <w:b w:val="1"/>
          <w:bCs w:val="1"/>
          <w:color w:val="auto"/>
        </w:rPr>
        <w:t>THE HOLDER OF THIS NOTE, BY ITS ACCEPTANCE HEREOF, AGREES ON ITS OWN BEHALF AND ON BEHALF OF ANY INVESTOR ACCOUNT FOR WHICH IT HAS PURCHASED NOTES, TO OFFER, SELL, OR OTHERWISE TRANSFER SUCH NOTE, PRIOR TO THE DATE (THE “RESALE RESTRICTION TERMINATION DATE”) THAT IS ONE YEAR AFTER THE LATER OF THE ORIGINAL ISSUE DATE HEREOF AND THE LAST DATE ON WHICH THE ISSUER OR ANY AFFILIATE OF THE ISSUER WAS THE OWNER OF THIS NOTE (OR ANY PREDECESSOR OF SUCH NOTE), ONLY (A) TO THE PARENT GUARANTOR OR ANY SUBSIDIARY THEREOF, (B) PURSUANT TO A REGISTRATION STATEMENT THAT HAS BEEN DECLARED EFFECTIVE UNDER THE SECURITIES ACT, (C) FOR SO LONG AS THE NOTES ARE ELIGIBLE FOR RESALE PURSUANT TO RULE 144A UNDER THE SECURITIES ACT (“RULE 144A”), TO A PERSON IT REASONABLY BELIEVES IS A “QUALIFIED INSTITUTIONAL BUYER” AS DEFINED IN RULE 144A THAT PURCHASES FOR ITS OWN ACCOUNT OR FOR THE ACCOUNT OF A QUALIFIED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right="180"/>
        <w:spacing w:after="0" w:line="222" w:lineRule="auto"/>
        <w:rPr>
          <w:sz w:val="20"/>
          <w:szCs w:val="20"/>
          <w:color w:val="auto"/>
        </w:rPr>
      </w:pPr>
      <w:r>
        <w:rPr>
          <w:rFonts w:ascii="Arial" w:cs="Arial" w:eastAsia="Arial" w:hAnsi="Arial"/>
          <w:sz w:val="21"/>
          <w:szCs w:val="21"/>
          <w:b w:val="1"/>
          <w:bCs w:val="1"/>
          <w:color w:val="auto"/>
        </w:rPr>
        <w:t>INSTITUTIONAL BUYER TO WHOM NOTICE IS GIVEN THAT THE TRANSFER IS BEING MADE IN RELIANCE ON RULE 144A, (D) PURSUANT TO OFFERS AND SALES TO NON-U.S. PERSONS THAT OCCUR OUTSIDE THE UNITED STATES WITHIN THE MEANING OF REGULATION S UNDER THE SECURITIES ACT,</w:t>
      </w:r>
    </w:p>
    <w:p>
      <w:pPr>
        <w:ind w:left="360" w:hanging="352"/>
        <w:spacing w:after="0" w:line="207" w:lineRule="auto"/>
        <w:tabs>
          <w:tab w:leader="none" w:pos="3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TO AN INSTITUTIONAL “ACCREDITED INVESTOR” WITHIN THE MEANING OF RULE 501(a)(1), (2), (3),</w:t>
      </w:r>
    </w:p>
    <w:p>
      <w:pPr>
        <w:spacing w:after="0" w:line="208" w:lineRule="auto"/>
        <w:rPr>
          <w:rFonts w:ascii="Arial" w:cs="Arial" w:eastAsia="Arial" w:hAnsi="Arial"/>
          <w:sz w:val="22"/>
          <w:szCs w:val="22"/>
          <w:b w:val="1"/>
          <w:bCs w:val="1"/>
          <w:color w:val="auto"/>
        </w:rPr>
      </w:pPr>
      <w:r>
        <w:rPr>
          <w:rFonts w:ascii="Arial" w:cs="Arial" w:eastAsia="Arial" w:hAnsi="Arial"/>
          <w:sz w:val="22"/>
          <w:szCs w:val="22"/>
          <w:b w:val="1"/>
          <w:bCs w:val="1"/>
          <w:color w:val="auto"/>
        </w:rPr>
        <w:t>OR (7)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CLAUSES (E) OR (F) TO REQUIRE THE DELIVERY OF AN OPINION OF COUNSEL, CERTIFICATION, AND/OR OTHER INFORMATION SATISFACTORY TO EACH OF THEM. THIS LEGEND WILL BE REMOVED UPON THE REQUEST OF THE HOLDER AFTER THE RESALE RESTRICTION TERMINATION DATE.</w:t>
      </w:r>
    </w:p>
    <w:p>
      <w:pPr>
        <w:spacing w:after="0" w:line="156" w:lineRule="exact"/>
        <w:rPr>
          <w:sz w:val="20"/>
          <w:szCs w:val="20"/>
          <w:color w:val="auto"/>
        </w:rPr>
      </w:pPr>
    </w:p>
    <w:p>
      <w:pPr>
        <w:ind w:right="40"/>
        <w:spacing w:after="0" w:line="220" w:lineRule="auto"/>
        <w:rPr>
          <w:sz w:val="20"/>
          <w:szCs w:val="20"/>
          <w:color w:val="auto"/>
        </w:rPr>
      </w:pPr>
      <w:r>
        <w:rPr>
          <w:rFonts w:ascii="Arial" w:cs="Arial" w:eastAsia="Arial" w:hAnsi="Arial"/>
          <w:sz w:val="21"/>
          <w:szCs w:val="21"/>
          <w:b w:val="1"/>
          <w:bCs w:val="1"/>
          <w:color w:val="auto"/>
        </w:rPr>
        <w:t>BY ITS ACQUISITION OF THIS NOTE, THE HOLDER THEREOF WILL BE DEEMED TO HAVE REPRESENTED AND WARRANTED THAT EITHER (1) NO PORTION OF THE ASSETS USED BY SUCH HOLDER TO ACQUIRE OR HOLD THIS NOTE CONSTITUTES THE ASSETS OF AN EMPLOYEE BENEFIT PLAN THAT IS SUBJECT TO TITLE I OF THE U.S. EMPLOYEE RETIREMENT INCOME NOTE ACT OF 1974, AS AMENDED (“ERISA”), ANY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ANY ENTITY WHOSE UNDERLYING ASSETS ARE CONSIDERED TO INCLUDE “PLAN ASSETS” OF ANY SUCH PLAN, ACCOUNT OR ARRANGEMENT, OR (2) THE ACQUISITION AND HOLDING OF THIS NOTE WILL NOT CONSTITUTE A NON-EXEMPT PROHIBITED TRANSACTION UNDER SECTION 406 OF ERISA OR SECTION 4975 OF THE CODE OR A SIMILAR VIOLATION UNDER ANY APPLICABLE SIMILAR LAWS.</w:t>
      </w:r>
    </w:p>
    <w:p>
      <w:pPr>
        <w:spacing w:after="0" w:line="171"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Notes issued with original issue discount shall bear a legend in substantially the following form (the “OID Legend”) on the face thereof:</w:t>
      </w:r>
    </w:p>
    <w:p>
      <w:pPr>
        <w:spacing w:after="0" w:line="169"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b w:val="1"/>
          <w:bCs w:val="1"/>
          <w:color w:val="auto"/>
        </w:rPr>
        <w:t>THIS NOTE HAS BEEN ISSUED WITH “ORIGINAL ISSUE DISCOUNT” (WITHIN THE MEANING OF SECTION 1273 OF THE INTERNAL REVENUE CODE OF 1986, AS AMENDED). UPON WRITTEN REQUEST TO THE ISSUER AT 2000 ST. JAMES PLACE, HOUSTON, TEXAS 77056, THE ISSUER WILL PROMPTLY MAKE AVAILABLE TO ANY HOLDER OF THIS NOTE THE FOLLOWING INFORMATION: (1) THE ISSUE PRICE AND DATE OF THE NOTE, (2) THE AMOUNT OF ORIGINAL ISSUE DISCOUNT ON THE NOTE AND (3) THE YIELD TO MATURITY OF THE NOTE.</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Global Notes</w:t>
      </w:r>
      <w:r>
        <w:rPr>
          <w:rFonts w:ascii="Arial" w:cs="Arial" w:eastAsia="Arial" w:hAnsi="Arial"/>
          <w:sz w:val="16"/>
          <w:szCs w:val="16"/>
          <w:color w:val="auto"/>
        </w:rPr>
        <w: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0" w:name="page61"/>
    <w:bookmarkEnd w:id="60"/>
    <w:p>
      <w:pPr>
        <w:ind w:right="80" w:firstLine="648"/>
        <w:spacing w:after="0" w:line="275" w:lineRule="auto"/>
        <w:rPr>
          <w:sz w:val="20"/>
          <w:szCs w:val="20"/>
          <w:color w:val="auto"/>
        </w:rPr>
      </w:pPr>
      <w:r>
        <w:rPr>
          <w:rFonts w:ascii="Arial" w:cs="Arial" w:eastAsia="Arial" w:hAnsi="Arial"/>
          <w:sz w:val="19"/>
          <w:szCs w:val="19"/>
          <w:color w:val="auto"/>
        </w:rPr>
        <w:t>The Notes are being issued pursuant to an exercise of rights to acquire the Notes obtained in an offering exempt from registration under the Securities Act pursuant to the exemption from registration afforded by Regulation D under the Securities Act or other applicable exemptions, in the form of one or more permanent Global Notes substantially in the form of Annex A, including appropriate legends as set forth in Section 202, duly executed by the Issuer and authenticated by the Trustee as herein provided and deposited upon issuance with the Trustee, as Securities Custodian. The Global Note may be represented by more than one certificate, if so required by DTC’s rules regarding the maximum principal amount to be represented by a single certificate. The aggregate principal amount of the Global Note may from time to time be increased or decreased by adjustments made on the records of the Trustee, as Securities Custodian, as hereinafter provided.</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THREE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THE NOTES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Title and Terms</w:t>
      </w:r>
    </w:p>
    <w:p>
      <w:pPr>
        <w:spacing w:after="0" w:line="21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Notes shall be entitled the “8.75% Senior Secured First Lien Notes due 2024.” The Trustee shall authenticate and deliver $500,000,000 in aggregate principal amount of the Initial Notes on the Initial Issuance Date and, at any time and from time to time thereafter, subject to the Issuer’s compliance with Sections 1008 and 1010, the Trustee shall authenticate and deliver Additional Notes for original issue in an aggregate principal amount specified in an Officer’s Certificate delivered in accordance with Section 314.</w:t>
      </w:r>
    </w:p>
    <w:p>
      <w:pPr>
        <w:spacing w:after="0" w:line="187"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Notes will mature on September 1, 2024. Interest on the Notes will accrue at the rate of 8.75% per annum, and will be payable semiannually in cash on each March 1 and September 1, commencing on March 1, 2021 in the case of the Initial Notes, to the Persons who are registered Holders of Notes at the close of business on February 15 and August 15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88" w:lineRule="exact"/>
        <w:rPr>
          <w:sz w:val="20"/>
          <w:szCs w:val="20"/>
          <w:color w:val="auto"/>
        </w:rPr>
      </w:pPr>
    </w:p>
    <w:p>
      <w:pPr>
        <w:ind w:right="100" w:firstLine="648"/>
        <w:spacing w:after="0" w:line="274" w:lineRule="auto"/>
        <w:rPr>
          <w:sz w:val="20"/>
          <w:szCs w:val="20"/>
          <w:color w:val="auto"/>
        </w:rPr>
      </w:pPr>
      <w:r>
        <w:rPr>
          <w:rFonts w:ascii="Arial" w:cs="Arial" w:eastAsia="Arial" w:hAnsi="Arial"/>
          <w:sz w:val="21"/>
          <w:szCs w:val="21"/>
          <w:color w:val="auto"/>
        </w:rPr>
        <w:t xml:space="preserve">The Notes shall be redeemable as provided in Article Eleven and subject to Legal Defeasance and Covenant Defeasance as provided in Article Thirteen. The Notes shall have such other terms as are indicated in </w:t>
      </w:r>
      <w:r>
        <w:rPr>
          <w:rFonts w:ascii="Arial" w:cs="Arial" w:eastAsia="Arial" w:hAnsi="Arial"/>
          <w:sz w:val="21"/>
          <w:szCs w:val="21"/>
          <w:u w:val="single" w:color="auto"/>
          <w:color w:val="auto"/>
        </w:rPr>
        <w:t>Annex A</w:t>
      </w:r>
      <w:r>
        <w:rPr>
          <w:rFonts w:ascii="Arial" w:cs="Arial" w:eastAsia="Arial" w:hAnsi="Arial"/>
          <w:sz w:val="21"/>
          <w:szCs w:val="21"/>
          <w:color w:val="auto"/>
        </w:rPr>
        <w:t>.</w:t>
      </w:r>
    </w:p>
    <w:p>
      <w:pPr>
        <w:spacing w:after="0" w:line="15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Denominations</w:t>
      </w:r>
      <w:r>
        <w:rPr>
          <w:rFonts w:ascii="Arial" w:cs="Arial" w:eastAsia="Arial" w:hAnsi="Arial"/>
          <w:sz w:val="16"/>
          <w:szCs w:val="16"/>
          <w:color w:val="auto"/>
        </w:rPr>
        <w:t>.</w:t>
      </w:r>
    </w:p>
    <w:p>
      <w:pPr>
        <w:spacing w:after="0" w:line="218"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The Notes shall be issuable only in fully registered form without coupons and only in minimum denominations of $1.00 and any integral multiple of $1.00 in excess thereof.</w:t>
      </w:r>
    </w:p>
    <w:p>
      <w:pPr>
        <w:spacing w:after="0" w:line="19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w:t>
      </w:r>
    </w:p>
    <w:p>
      <w:pPr>
        <w:spacing w:after="0" w:line="258"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1" w:name="page62"/>
    <w:bookmarkEnd w:id="61"/>
    <w:p>
      <w:pPr>
        <w:jc w:val="both"/>
        <w:ind w:right="280" w:firstLine="648"/>
        <w:spacing w:after="0" w:line="251" w:lineRule="auto"/>
        <w:rPr>
          <w:sz w:val="20"/>
          <w:szCs w:val="20"/>
          <w:color w:val="auto"/>
        </w:rPr>
      </w:pPr>
      <w:r>
        <w:rPr>
          <w:rFonts w:ascii="Arial" w:cs="Arial" w:eastAsia="Arial" w:hAnsi="Arial"/>
          <w:sz w:val="22"/>
          <w:szCs w:val="22"/>
          <w:color w:val="auto"/>
        </w:rPr>
        <w:t>If the Issuer elects to reproduce its corporate seal on the Notes, then such seal may be in the form of a facsimile thereof and may be impressed, affixed, imprinted or otherwise reproduced on the Notes.</w:t>
      </w:r>
    </w:p>
    <w:p>
      <w:pPr>
        <w:spacing w:after="0" w:line="173"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21"/>
          <w:szCs w:val="21"/>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69"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At any time and from time to time after the execution and delivery of the Indenture and as provided in Section 301, the Issuer may deliver Notes or, subject to the Issuer’s compliance with Sections 1008 and 1010, Additional Notes executed by the Issuer to the Trustee for authentication, together with an Issuer Order for the authentication and delivery of such Notes or Additional Notes, and the Trustee in accordance with the Issuer Order shall authenticate and deliver such Notes or Additional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Note shall be dated the date of its authentication.</w:t>
      </w:r>
    </w:p>
    <w:p>
      <w:pPr>
        <w:spacing w:after="0" w:line="206"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No Note shall be entitled to any benefit under the Indenture or be valid or obligatory for any purpose unless there appears on such Note a certificate of authentication substantially in the form provided for in Annex A, signed manually in the name of the Trustee by an authorized signatory,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309, for all purposes of the Indenture such Note shall be deemed never to have been authenticated and delivered hereunder and shall never be entitled to the benefits of the Indenture.</w:t>
      </w:r>
    </w:p>
    <w:p>
      <w:pPr>
        <w:spacing w:after="0" w:line="15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5"/>
          <w:szCs w:val="15"/>
          <w:u w:val="single" w:color="auto"/>
          <w:color w:val="auto"/>
        </w:rPr>
        <w:t>Temporary Notes</w:t>
      </w:r>
      <w:r>
        <w:rPr>
          <w:rFonts w:ascii="Arial" w:cs="Arial" w:eastAsia="Arial" w:hAnsi="Arial"/>
          <w:sz w:val="15"/>
          <w:szCs w:val="15"/>
          <w:color w:val="auto"/>
        </w:rPr>
        <w:t>.</w:t>
      </w:r>
    </w:p>
    <w:p>
      <w:pPr>
        <w:spacing w:after="0" w:line="218"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If temporary Notes are issued, the Issuer will cause definitive Notes in either global or certificated form, as appropriate, in each case, in registered form,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 denominations and of like tenor and aggregate principal amount. Until so exchanged,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temporary Notes shall in all respects be entitled to the same benefits under the Indenture as definitive Notes.</w:t>
      </w:r>
    </w:p>
    <w:p>
      <w:pPr>
        <w:spacing w:after="0" w:line="21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Registrar, Global Notes and Definitive Notes</w:t>
      </w:r>
      <w:r>
        <w:rPr>
          <w:rFonts w:ascii="Arial" w:cs="Arial" w:eastAsia="Arial" w:hAnsi="Arial"/>
          <w:sz w:val="16"/>
          <w:szCs w:val="16"/>
          <w:color w:val="auto"/>
        </w:rPr>
        <w:t>.</w:t>
      </w:r>
    </w:p>
    <w:p>
      <w:pPr>
        <w:spacing w:after="0" w:line="218" w:lineRule="exact"/>
        <w:rPr>
          <w:sz w:val="20"/>
          <w:szCs w:val="20"/>
          <w:color w:val="auto"/>
        </w:rPr>
      </w:pPr>
    </w:p>
    <w:p>
      <w:pPr>
        <w:ind w:right="220" w:firstLine="648"/>
        <w:spacing w:after="0" w:line="236" w:lineRule="auto"/>
        <w:rPr>
          <w:sz w:val="20"/>
          <w:szCs w:val="20"/>
          <w:color w:val="auto"/>
        </w:rPr>
      </w:pPr>
      <w:r>
        <w:rPr>
          <w:rFonts w:ascii="Arial" w:cs="Arial" w:eastAsia="Arial" w:hAnsi="Arial"/>
          <w:sz w:val="22"/>
          <w:szCs w:val="22"/>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Book-Entry Provisions</w:t>
      </w:r>
      <w:r>
        <w:rPr>
          <w:rFonts w:ascii="Arial" w:cs="Arial" w:eastAsia="Arial" w:hAnsi="Arial"/>
          <w:sz w:val="22"/>
          <w:szCs w:val="22"/>
          <w:color w:val="auto"/>
        </w:rPr>
        <w:t>. The provisions of clauses (1) through (6) below shall apply only to Global Notes:</w:t>
      </w:r>
    </w:p>
    <w:p>
      <w:pPr>
        <w:spacing w:after="0" w:line="206" w:lineRule="exact"/>
        <w:rPr>
          <w:sz w:val="20"/>
          <w:szCs w:val="20"/>
          <w:color w:val="auto"/>
        </w:rPr>
      </w:pPr>
    </w:p>
    <w:p>
      <w:pPr>
        <w:ind w:left="660" w:firstLine="644"/>
        <w:spacing w:after="0" w:line="272" w:lineRule="auto"/>
        <w:tabs>
          <w:tab w:leader="none" w:pos="21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Global Note authenticated under the Indenture shall be registered in the name of the Depositary designated for such Global Note or a nominee thereof, delivered to the Trustee, as Securities Custodian, and bear appropriate legends as set forth in Section 202. Transfers of a Global Note (but not a beneficial interest therein) will be limited to transfers thereof in whole, but not in part, to the Depositary, its successors or their respective nominees, except as set forth in this Section 305.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60" w:lineRule="exact"/>
        <w:rPr>
          <w:rFonts w:ascii="Arial" w:cs="Arial" w:eastAsia="Arial" w:hAnsi="Arial"/>
          <w:sz w:val="19"/>
          <w:szCs w:val="19"/>
          <w:color w:val="auto"/>
        </w:rPr>
      </w:pPr>
    </w:p>
    <w:p>
      <w:pPr>
        <w:ind w:left="660" w:right="40" w:firstLine="644"/>
        <w:spacing w:after="0" w:line="275" w:lineRule="auto"/>
        <w:tabs>
          <w:tab w:leader="none" w:pos="21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Members of, or participants in, DTC (“Agent Members”) shall have no rights under the Indenture with respect to any Global Note held on their behalf by DTC or by the Trustee as the Securities Custodian, and DTC may be treated by the Issuer, the Guarantors, the Trustee, the Collateral Agent and any agent of the Issuer, the Guarantors, the Trustee or the Collateral Agent as the absolute owner of such Global Note for all purposes whatsoever. Notwithstanding the foregoing, nothing herein shall prevent the Issuer, the Guarantors, the Trustee, the Collateral Agent or any agent of the Issuer, the Guarantors, the Trustee or the Collateral Agent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57" w:lineRule="exact"/>
        <w:rPr>
          <w:rFonts w:ascii="Arial" w:cs="Arial" w:eastAsia="Arial" w:hAnsi="Arial"/>
          <w:sz w:val="19"/>
          <w:szCs w:val="19"/>
          <w:color w:val="auto"/>
        </w:rPr>
      </w:pPr>
    </w:p>
    <w:p>
      <w:pPr>
        <w:ind w:left="660" w:right="160" w:firstLine="644"/>
        <w:spacing w:after="0"/>
        <w:tabs>
          <w:tab w:leader="none" w:pos="21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connection with any transfer of a portion of the beneficial interest in a Global Note pursuant to this Article Three to beneficial owners who are required to hold Definitive Notes, the Securities Custodian shall reflect on its books and records the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ind w:right="200"/>
        <w:spacing w:after="0" w:line="241" w:lineRule="auto"/>
        <w:rPr>
          <w:sz w:val="20"/>
          <w:szCs w:val="20"/>
          <w:color w:val="auto"/>
        </w:rPr>
      </w:pPr>
      <w:r>
        <w:rPr>
          <w:rFonts w:ascii="Arial" w:cs="Arial" w:eastAsia="Arial" w:hAnsi="Arial"/>
          <w:sz w:val="22"/>
          <w:szCs w:val="22"/>
          <w:color w:val="auto"/>
        </w:rPr>
        <w:t>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83" w:lineRule="exact"/>
        <w:rPr>
          <w:sz w:val="20"/>
          <w:szCs w:val="20"/>
          <w:color w:val="auto"/>
        </w:rPr>
      </w:pPr>
    </w:p>
    <w:p>
      <w:pPr>
        <w:ind w:right="240" w:firstLine="644"/>
        <w:spacing w:after="0" w:line="236" w:lineRule="auto"/>
        <w:tabs>
          <w:tab w:leader="none" w:pos="14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connection with the transfer of an entire Global Note to beneficial owners pursuant to this Article Three,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187" w:lineRule="exact"/>
        <w:rPr>
          <w:rFonts w:ascii="Arial" w:cs="Arial" w:eastAsia="Arial" w:hAnsi="Arial"/>
          <w:sz w:val="22"/>
          <w:szCs w:val="22"/>
          <w:color w:val="auto"/>
        </w:rPr>
      </w:pPr>
    </w:p>
    <w:p>
      <w:pPr>
        <w:ind w:right="40" w:firstLine="644"/>
        <w:spacing w:after="0"/>
        <w:tabs>
          <w:tab w:leader="none" w:pos="143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86" w:lineRule="exact"/>
        <w:rPr>
          <w:rFonts w:ascii="Arial" w:cs="Arial" w:eastAsia="Arial" w:hAnsi="Arial"/>
          <w:sz w:val="22"/>
          <w:szCs w:val="22"/>
          <w:color w:val="auto"/>
        </w:rPr>
      </w:pPr>
    </w:p>
    <w:p>
      <w:pPr>
        <w:ind w:firstLine="644"/>
        <w:spacing w:after="0" w:line="252" w:lineRule="auto"/>
        <w:tabs>
          <w:tab w:leader="none" w:pos="1428" w:val="left"/>
        </w:tabs>
        <w:numPr>
          <w:ilvl w:val="0"/>
          <w:numId w:val="52"/>
        </w:numPr>
        <w:rPr>
          <w:rFonts w:ascii="Arial" w:cs="Arial" w:eastAsia="Arial" w:hAnsi="Arial"/>
          <w:sz w:val="21"/>
          <w:szCs w:val="21"/>
          <w:color w:val="auto"/>
        </w:rPr>
      </w:pPr>
      <w:r>
        <w:rPr>
          <w:rFonts w:ascii="Arial" w:cs="Arial" w:eastAsia="Arial" w:hAnsi="Arial"/>
          <w:sz w:val="21"/>
          <w:szCs w:val="21"/>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Definitive Notes</w:t>
      </w:r>
      <w:r>
        <w:rPr>
          <w:rFonts w:ascii="Arial" w:cs="Arial" w:eastAsia="Arial" w:hAnsi="Arial"/>
          <w:sz w:val="22"/>
          <w:szCs w:val="22"/>
          <w:color w:val="auto"/>
        </w:rPr>
        <w:t>. The provision of clauses (i) – (iv) below shall apply only to Definitive Notes.</w:t>
      </w:r>
    </w:p>
    <w:p>
      <w:pPr>
        <w:spacing w:after="0" w:line="206" w:lineRule="exact"/>
        <w:rPr>
          <w:sz w:val="20"/>
          <w:szCs w:val="20"/>
          <w:color w:val="auto"/>
        </w:rPr>
      </w:pPr>
    </w:p>
    <w:p>
      <w:pPr>
        <w:ind w:right="20" w:firstLine="644"/>
        <w:spacing w:after="0" w:line="271" w:lineRule="auto"/>
        <w:tabs>
          <w:tab w:leader="none" w:pos="1392" w:val="left"/>
        </w:tabs>
        <w:numPr>
          <w:ilvl w:val="0"/>
          <w:numId w:val="53"/>
        </w:numPr>
        <w:rPr>
          <w:rFonts w:ascii="Arial" w:cs="Arial" w:eastAsia="Arial" w:hAnsi="Arial"/>
          <w:sz w:val="19"/>
          <w:szCs w:val="19"/>
          <w:color w:val="auto"/>
        </w:rPr>
      </w:pPr>
      <w:r>
        <w:rPr>
          <w:rFonts w:ascii="Arial" w:cs="Arial" w:eastAsia="Arial" w:hAnsi="Arial"/>
          <w:sz w:val="19"/>
          <w:szCs w:val="19"/>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subject to DTC’s rules, the Issuer, at its option, delivers to the Trustee and Registrar written notice stating that such Global Note shall be so exchangeable or (C) an Event of 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8" w:right="379" w:bottom="1440" w:gutter="0" w:footer="0" w:header="0"/>
        </w:sectPr>
      </w:pPr>
    </w:p>
    <w:bookmarkStart w:id="64" w:name="page65"/>
    <w:bookmarkEnd w:id="64"/>
    <w:p>
      <w:pPr>
        <w:ind w:left="2100" w:hanging="796"/>
        <w:spacing w:after="0"/>
        <w:tabs>
          <w:tab w:leader="none" w:pos="21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 beneficial interest in a Global Note, the Trustee will</w:t>
      </w:r>
    </w:p>
    <w:p>
      <w:pPr>
        <w:spacing w:after="0" w:line="43" w:lineRule="exact"/>
        <w:rPr>
          <w:rFonts w:ascii="Arial" w:cs="Arial" w:eastAsia="Arial" w:hAnsi="Arial"/>
          <w:sz w:val="19"/>
          <w:szCs w:val="19"/>
          <w:color w:val="auto"/>
        </w:rPr>
      </w:pPr>
    </w:p>
    <w:p>
      <w:pPr>
        <w:ind w:left="660" w:right="120" w:hanging="4"/>
        <w:spacing w:after="0" w:line="233" w:lineRule="auto"/>
        <w:tabs>
          <w:tab w:leader="none" w:pos="966" w:val="left"/>
        </w:tabs>
        <w:numPr>
          <w:ilvl w:val="0"/>
          <w:numId w:val="55"/>
        </w:numPr>
        <w:rPr>
          <w:rFonts w:ascii="Arial" w:cs="Arial" w:eastAsia="Arial" w:hAnsi="Arial"/>
          <w:sz w:val="22"/>
          <w:szCs w:val="22"/>
          <w:color w:val="auto"/>
        </w:rPr>
      </w:pPr>
      <w:r>
        <w:rPr>
          <w:rFonts w:ascii="Arial" w:cs="Arial" w:eastAsia="Arial" w:hAnsi="Arial"/>
          <w:sz w:val="22"/>
          <w:szCs w:val="22"/>
          <w:color w:val="auto"/>
        </w:rPr>
        <w:t>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85" w:lineRule="exact"/>
        <w:rPr>
          <w:rFonts w:ascii="Arial" w:cs="Arial" w:eastAsia="Arial" w:hAnsi="Arial"/>
          <w:sz w:val="22"/>
          <w:szCs w:val="22"/>
          <w:color w:val="auto"/>
        </w:rPr>
      </w:pPr>
    </w:p>
    <w:p>
      <w:pPr>
        <w:ind w:left="660" w:firstLine="644"/>
        <w:spacing w:after="0" w:line="274" w:lineRule="auto"/>
        <w:tabs>
          <w:tab w:leader="none" w:pos="2172"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6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Mutilated, Destroyed, Lost and Stolen Notes</w:t>
      </w:r>
      <w:r>
        <w:rPr>
          <w:rFonts w:ascii="Arial" w:cs="Arial" w:eastAsia="Arial" w:hAnsi="Arial"/>
          <w:sz w:val="16"/>
          <w:szCs w:val="16"/>
          <w:color w:val="auto"/>
        </w:rPr>
        <w:t>.</w:t>
      </w:r>
    </w:p>
    <w:p>
      <w:pPr>
        <w:spacing w:after="0" w:line="218"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0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47"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In case any such mutilated, destroyed, lost or stolen Note has become or is about to become due and payable, the Issuer in its discretion may, instead of issuing a new Note, pay such Note.</w:t>
      </w:r>
    </w:p>
    <w:p>
      <w:pPr>
        <w:spacing w:after="0" w:line="175"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86"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Every new Note issued pursuant to this Section in lieu of any destroyed, lost or stolen Note shall constitute an original additional contractual obligation of the Issuer whether or not the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ind w:right="80"/>
        <w:spacing w:after="0" w:line="251" w:lineRule="auto"/>
        <w:rPr>
          <w:sz w:val="20"/>
          <w:szCs w:val="20"/>
          <w:color w:val="auto"/>
        </w:rPr>
      </w:pPr>
      <w:r>
        <w:rPr>
          <w:rFonts w:ascii="Arial" w:cs="Arial" w:eastAsia="Arial" w:hAnsi="Arial"/>
          <w:sz w:val="22"/>
          <w:szCs w:val="22"/>
          <w:color w:val="auto"/>
        </w:rPr>
        <w:t>destroyed, lost or stolen Note shall be at any time enforceable by anyone, and shall be entitled to all the benefits of the Indenture equally and proportionately with any and all other Notes duly issued hereunder.</w:t>
      </w:r>
    </w:p>
    <w:p>
      <w:pPr>
        <w:spacing w:after="0" w:line="173"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Notes.</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If the Issuer defaults in a payment of principal, interest or premium, if any, on the Notes, the Issuer shall pay defaulted interest (plus interest on such defaulted interest to the extent lawful) in any lawful manner at the rate provided in the Notes (“Defaulted Interest”). The Issuer may pay the Defaulted Interest to the Persons who are Holders on a subsequent special record date. The Issuer shall fix or cause to be fixed any such special record date and payment date and at least 15 days before the special record date, shall promptly mail to each Holder (with a copy to the Trustee) a notice that states the special record date, the payment date and the amount of Defaulted Interest to be paid;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special record date may be less than 10 days prior to the related payment date for such defaulted interest.</w:t>
      </w:r>
    </w:p>
    <w:p>
      <w:pPr>
        <w:spacing w:after="0" w:line="184"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5"/>
          <w:szCs w:val="15"/>
          <w:u w:val="single" w:color="auto"/>
          <w:color w:val="auto"/>
        </w:rPr>
        <w:t>Persons Deemed Owners</w:t>
      </w:r>
      <w:r>
        <w:rPr>
          <w:rFonts w:ascii="Arial" w:cs="Arial" w:eastAsia="Arial" w:hAnsi="Arial"/>
          <w:sz w:val="15"/>
          <w:szCs w:val="15"/>
          <w:color w:val="auto"/>
        </w:rPr>
        <w:t>.</w:t>
      </w:r>
    </w:p>
    <w:p>
      <w:pPr>
        <w:spacing w:after="0" w:line="218"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Prior to due presentment of a Note for registration of transfer, the Issuer, the Guarantors, the Trustee, the Collateral Agent and any agent of the Issuer, the Guarantors, the Trustee or the Collateral Agent may treat the Person in whose name such Note is registered as the owner of such Note for the purpose of receiving payment of principal of and any premium and (subject to Section 307) any interest on such Note and for all other purposes whatsoever (except as required by applicable tax laws), whether or not such Note be overdue, and none of the Issuer, the Guarantors, the Trustee, the Collateral Agent nor any of their respective agents shall be affected by notice to the contrary.</w:t>
      </w:r>
    </w:p>
    <w:p>
      <w:pPr>
        <w:spacing w:after="0" w:line="177"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None of the Issuer, the Guarantors, the Trustee, the Collateral Agent,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 or for any actions taken or not taken by the Depositary.</w:t>
      </w:r>
    </w:p>
    <w:p>
      <w:pPr>
        <w:spacing w:after="0" w:line="19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1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6" w:name="page67"/>
    <w:bookmarkEnd w:id="66"/>
    <w:p>
      <w:pPr>
        <w:ind w:right="120"/>
        <w:spacing w:after="0" w:line="249" w:lineRule="auto"/>
        <w:rPr>
          <w:sz w:val="20"/>
          <w:szCs w:val="20"/>
          <w:color w:val="auto"/>
        </w:rPr>
      </w:pPr>
      <w:r>
        <w:rPr>
          <w:rFonts w:ascii="Arial" w:cs="Arial" w:eastAsia="Arial" w:hAnsi="Arial"/>
          <w:sz w:val="21"/>
          <w:szCs w:val="21"/>
          <w:color w:val="auto"/>
        </w:rPr>
        <w:t>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procedures.</w:t>
      </w:r>
    </w:p>
    <w:p>
      <w:pPr>
        <w:spacing w:after="0" w:line="18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on the Notes shall be computed on the basis of a 360-day year of twelve 30-day months.</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18" w:lineRule="exact"/>
        <w:rPr>
          <w:sz w:val="20"/>
          <w:szCs w:val="20"/>
          <w:color w:val="auto"/>
        </w:rPr>
      </w:pPr>
    </w:p>
    <w:p>
      <w:pPr>
        <w:ind w:right="140" w:firstLine="656"/>
        <w:spacing w:after="0" w:line="274" w:lineRule="auto"/>
        <w:tabs>
          <w:tab w:leader="none" w:pos="1428"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311. The Trustee shall promptly register any transfer or exchange that meets the requirements of this Section 311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311 and Section 203, as applicable, and, in the case of a Global Note (or a beneficial interest therein), the applicable rules and procedures of the Depository. The Trustee shall refuse to register any requested transfer or exchange that does not comply with this paragraph.</w:t>
      </w:r>
    </w:p>
    <w:p>
      <w:pPr>
        <w:spacing w:after="0" w:line="158" w:lineRule="exact"/>
        <w:rPr>
          <w:rFonts w:ascii="Arial" w:cs="Arial" w:eastAsia="Arial" w:hAnsi="Arial"/>
          <w:sz w:val="19"/>
          <w:szCs w:val="19"/>
          <w:color w:val="010000"/>
        </w:rPr>
      </w:pPr>
    </w:p>
    <w:p>
      <w:pPr>
        <w:ind w:right="80" w:firstLine="656"/>
        <w:spacing w:after="0" w:line="238" w:lineRule="auto"/>
        <w:tabs>
          <w:tab w:leader="none" w:pos="1440"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Transfers of Restricted Notes</w:t>
      </w:r>
      <w:r>
        <w:rPr>
          <w:rFonts w:ascii="Arial" w:cs="Arial" w:eastAsia="Arial" w:hAnsi="Arial"/>
          <w:sz w:val="22"/>
          <w:szCs w:val="22"/>
          <w:color w:val="auto"/>
        </w:rPr>
        <w:t>. The following provisions shall apply with respect to any proposed registration of transfer of a Restricted Note prior to the date which is one year after the later of the date of its original issue and the last date on which the Issuer or any Affiliate of the Issuer was the owner of such Notes (or any predecessor thereto) (the “Resale Restriction Termination Date”):</w:t>
      </w:r>
    </w:p>
    <w:p>
      <w:pPr>
        <w:spacing w:after="0" w:line="184" w:lineRule="exact"/>
        <w:rPr>
          <w:rFonts w:ascii="Arial" w:cs="Arial" w:eastAsia="Arial" w:hAnsi="Arial"/>
          <w:sz w:val="22"/>
          <w:szCs w:val="22"/>
          <w:color w:val="010000"/>
        </w:rPr>
      </w:pPr>
    </w:p>
    <w:p>
      <w:pPr>
        <w:ind w:left="660" w:firstLine="644"/>
        <w:spacing w:after="0" w:line="273" w:lineRule="auto"/>
        <w:tabs>
          <w:tab w:leader="none" w:pos="2052" w:val="left"/>
        </w:tabs>
        <w:numPr>
          <w:ilvl w:val="1"/>
          <w:numId w:val="56"/>
        </w:numPr>
        <w:rPr>
          <w:rFonts w:ascii="Arial" w:cs="Arial" w:eastAsia="Arial" w:hAnsi="Arial"/>
          <w:sz w:val="19"/>
          <w:szCs w:val="19"/>
          <w:color w:val="auto"/>
        </w:rPr>
      </w:pPr>
      <w:r>
        <w:rPr>
          <w:rFonts w:ascii="Arial" w:cs="Arial" w:eastAsia="Arial" w:hAnsi="Arial"/>
          <w:sz w:val="19"/>
          <w:szCs w:val="19"/>
          <w:color w:val="auto"/>
        </w:rPr>
        <w:t>a registration of transfer of a Restricted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 order to claim the exemption from registration provided by Rule 144A; provided that no such written representation or other written certification shall be required in connection with the transfer of a beneficial interest in the Global Note in reliance on Rule 144A to a transferee in the form of a beneficial interest in such Global Note in accordance with the Indenture and the applicable procedures of DTC;</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7" w:name="page68"/>
    <w:bookmarkEnd w:id="67"/>
    <w:p>
      <w:pPr>
        <w:ind w:left="640" w:right="40" w:firstLine="644"/>
        <w:spacing w:after="0" w:line="238" w:lineRule="auto"/>
        <w:tabs>
          <w:tab w:leader="none" w:pos="2092" w:val="left"/>
        </w:tabs>
        <w:numPr>
          <w:ilvl w:val="1"/>
          <w:numId w:val="57"/>
        </w:numPr>
        <w:rPr>
          <w:rFonts w:ascii="Arial" w:cs="Arial" w:eastAsia="Arial" w:hAnsi="Arial"/>
          <w:sz w:val="22"/>
          <w:szCs w:val="22"/>
          <w:color w:val="auto"/>
        </w:rPr>
      </w:pPr>
      <w:r>
        <w:rPr>
          <w:rFonts w:ascii="Arial" w:cs="Arial" w:eastAsia="Arial" w:hAnsi="Arial"/>
          <w:sz w:val="22"/>
          <w:szCs w:val="22"/>
          <w:color w:val="auto"/>
        </w:rPr>
        <w:t>a registration of transfer of a Restricted Note or a beneficial interest therein to an IAI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 and</w:t>
      </w:r>
    </w:p>
    <w:p>
      <w:pPr>
        <w:spacing w:after="0" w:line="185" w:lineRule="exact"/>
        <w:rPr>
          <w:rFonts w:ascii="Arial" w:cs="Arial" w:eastAsia="Arial" w:hAnsi="Arial"/>
          <w:sz w:val="22"/>
          <w:szCs w:val="22"/>
          <w:color w:val="auto"/>
        </w:rPr>
      </w:pPr>
    </w:p>
    <w:p>
      <w:pPr>
        <w:ind w:left="640" w:firstLine="644"/>
        <w:spacing w:after="0" w:line="297" w:lineRule="auto"/>
        <w:tabs>
          <w:tab w:leader="none" w:pos="2152" w:val="left"/>
        </w:tabs>
        <w:numPr>
          <w:ilvl w:val="1"/>
          <w:numId w:val="57"/>
        </w:numPr>
        <w:rPr>
          <w:rFonts w:ascii="Arial" w:cs="Arial" w:eastAsia="Arial" w:hAnsi="Arial"/>
          <w:sz w:val="19"/>
          <w:szCs w:val="19"/>
          <w:color w:val="auto"/>
        </w:rPr>
      </w:pPr>
      <w:r>
        <w:rPr>
          <w:rFonts w:ascii="Arial" w:cs="Arial" w:eastAsia="Arial" w:hAnsi="Arial"/>
          <w:sz w:val="19"/>
          <w:szCs w:val="19"/>
          <w:color w:val="auto"/>
        </w:rPr>
        <w:t>a registration of transfer of Restricted Note or a beneficial interest therein to a Non-U.S. Person shall be made upon receipt by the Trustee or its agent of a certificate substantially in the form set forth in Annex D hereto from the proposed transferee and, if requested by the Issuer, certification and/or other information satisfactory to it.</w:t>
      </w:r>
    </w:p>
    <w:p>
      <w:pPr>
        <w:spacing w:after="0" w:line="133" w:lineRule="exact"/>
        <w:rPr>
          <w:rFonts w:ascii="Arial" w:cs="Arial" w:eastAsia="Arial" w:hAnsi="Arial"/>
          <w:sz w:val="19"/>
          <w:szCs w:val="19"/>
          <w:color w:val="auto"/>
        </w:rPr>
      </w:pPr>
    </w:p>
    <w:p>
      <w:pPr>
        <w:ind w:left="-20" w:firstLine="656"/>
        <w:spacing w:after="0" w:line="279" w:lineRule="auto"/>
        <w:tabs>
          <w:tab w:leader="none" w:pos="1408"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auto"/>
        </w:rPr>
        <w:t>Restricted Notes Legend</w:t>
      </w:r>
      <w:r>
        <w:rPr>
          <w:rFonts w:ascii="Arial" w:cs="Arial" w:eastAsia="Arial" w:hAnsi="Arial"/>
          <w:sz w:val="19"/>
          <w:szCs w:val="19"/>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(i) such Note is being transferred pursuant to an effective registration statement or (ii)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w:t>
      </w:r>
    </w:p>
    <w:p>
      <w:pPr>
        <w:spacing w:after="0" w:line="150" w:lineRule="exact"/>
        <w:rPr>
          <w:rFonts w:ascii="Arial" w:cs="Arial" w:eastAsia="Arial" w:hAnsi="Arial"/>
          <w:sz w:val="19"/>
          <w:szCs w:val="19"/>
          <w:color w:val="010000"/>
        </w:rPr>
      </w:pPr>
    </w:p>
    <w:p>
      <w:pPr>
        <w:ind w:left="-20" w:right="180" w:firstLine="656"/>
        <w:spacing w:after="0" w:line="238" w:lineRule="auto"/>
        <w:tabs>
          <w:tab w:leader="none" w:pos="1420"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Retention of Written Communications</w:t>
      </w:r>
      <w:r>
        <w:rPr>
          <w:rFonts w:ascii="Arial" w:cs="Arial" w:eastAsia="Arial" w:hAnsi="Arial"/>
          <w:sz w:val="22"/>
          <w:szCs w:val="22"/>
          <w:color w:val="auto"/>
        </w:rPr>
        <w:t>. The Registrar shall retain copies of all letters, notices and other written communications received pursuant to this Section 311. The Issuer shall have the right to inspect and make copies of all such letters, notices or other written communications at any reasonable time upon the giving of reasonable prior written notice to the Registrar.</w:t>
      </w:r>
    </w:p>
    <w:p>
      <w:pPr>
        <w:spacing w:after="0" w:line="184" w:lineRule="exact"/>
        <w:rPr>
          <w:rFonts w:ascii="Arial" w:cs="Arial" w:eastAsia="Arial" w:hAnsi="Arial"/>
          <w:sz w:val="22"/>
          <w:szCs w:val="22"/>
          <w:color w:val="010000"/>
        </w:rPr>
      </w:pPr>
    </w:p>
    <w:p>
      <w:pPr>
        <w:ind w:left="1420" w:hanging="784"/>
        <w:spacing w:after="0"/>
        <w:tabs>
          <w:tab w:leader="none" w:pos="1420"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Obligations with Respect to Transfers and Exchanges of Notes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640" w:right="680" w:firstLine="644"/>
        <w:spacing w:after="0"/>
        <w:tabs>
          <w:tab w:leader="none" w:pos="2028" w:val="left"/>
        </w:tabs>
        <w:numPr>
          <w:ilvl w:val="1"/>
          <w:numId w:val="58"/>
        </w:numPr>
        <w:rPr>
          <w:rFonts w:ascii="Arial" w:cs="Arial" w:eastAsia="Arial" w:hAnsi="Arial"/>
          <w:sz w:val="22"/>
          <w:szCs w:val="22"/>
          <w:color w:val="010000"/>
        </w:rPr>
      </w:pPr>
      <w:r>
        <w:rPr>
          <w:rFonts w:ascii="Arial" w:cs="Arial" w:eastAsia="Arial" w:hAnsi="Arial"/>
          <w:sz w:val="22"/>
          <w:szCs w:val="22"/>
          <w:color w:val="auto"/>
        </w:rPr>
        <w:t>To permit registrations of transfers and exchanges, the Issuer shall, subject to the other terms and conditions of this Article Two, execute and the Trustee shall authenticate Definitive Notes and Global Notes at the Registrar’s request.</w:t>
      </w:r>
    </w:p>
    <w:p>
      <w:pPr>
        <w:spacing w:after="0" w:line="186" w:lineRule="exact"/>
        <w:rPr>
          <w:rFonts w:ascii="Arial" w:cs="Arial" w:eastAsia="Arial" w:hAnsi="Arial"/>
          <w:sz w:val="22"/>
          <w:szCs w:val="22"/>
          <w:color w:val="010000"/>
        </w:rPr>
      </w:pPr>
    </w:p>
    <w:p>
      <w:pPr>
        <w:ind w:left="640" w:right="260" w:firstLine="644"/>
        <w:spacing w:after="0" w:line="252" w:lineRule="auto"/>
        <w:tabs>
          <w:tab w:leader="none" w:pos="2092" w:val="left"/>
        </w:tabs>
        <w:numPr>
          <w:ilvl w:val="1"/>
          <w:numId w:val="58"/>
        </w:numPr>
        <w:rPr>
          <w:rFonts w:ascii="Arial" w:cs="Arial" w:eastAsia="Arial" w:hAnsi="Arial"/>
          <w:sz w:val="21"/>
          <w:szCs w:val="21"/>
          <w:color w:val="010000"/>
        </w:rPr>
      </w:pPr>
      <w:r>
        <w:rPr>
          <w:rFonts w:ascii="Arial" w:cs="Arial" w:eastAsia="Arial" w:hAnsi="Arial"/>
          <w:sz w:val="21"/>
          <w:szCs w:val="21"/>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304, 906, 1007, 1012 or 1108 not involving any transfer).</w:t>
      </w:r>
    </w:p>
    <w:p>
      <w:pPr>
        <w:spacing w:after="0" w:line="173" w:lineRule="exact"/>
        <w:rPr>
          <w:rFonts w:ascii="Arial" w:cs="Arial" w:eastAsia="Arial" w:hAnsi="Arial"/>
          <w:sz w:val="21"/>
          <w:szCs w:val="21"/>
          <w:color w:val="010000"/>
        </w:rPr>
      </w:pPr>
    </w:p>
    <w:p>
      <w:pPr>
        <w:ind w:left="2140" w:hanging="856"/>
        <w:spacing w:after="0"/>
        <w:tabs>
          <w:tab w:leader="none" w:pos="2140"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The Issuer (and the Registrar) shall not be required to register the transfer of or exchange of any Note,</w:t>
      </w:r>
    </w:p>
    <w:p>
      <w:pPr>
        <w:spacing w:after="0" w:line="241" w:lineRule="exact"/>
        <w:rPr>
          <w:sz w:val="20"/>
          <w:szCs w:val="20"/>
          <w:color w:val="auto"/>
        </w:rPr>
      </w:pPr>
    </w:p>
    <w:p>
      <w:pPr>
        <w:jc w:val="both"/>
        <w:ind w:left="1280" w:right="200" w:firstLine="652"/>
        <w:spacing w:after="0"/>
        <w:tabs>
          <w:tab w:leader="none" w:pos="2768"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68" w:name="page69"/>
    <w:bookmarkEnd w:id="68"/>
    <w:p>
      <w:pPr>
        <w:ind w:left="660" w:right="100" w:firstLine="644"/>
        <w:spacing w:after="0" w:line="235" w:lineRule="auto"/>
        <w:tabs>
          <w:tab w:leader="none" w:pos="2160" w:val="left"/>
        </w:tabs>
        <w:numPr>
          <w:ilvl w:val="1"/>
          <w:numId w:val="60"/>
        </w:numPr>
        <w:rPr>
          <w:rFonts w:ascii="Arial" w:cs="Arial" w:eastAsia="Arial" w:hAnsi="Arial"/>
          <w:sz w:val="22"/>
          <w:szCs w:val="22"/>
          <w:color w:val="010000"/>
        </w:rPr>
      </w:pPr>
      <w:r>
        <w:rPr>
          <w:rFonts w:ascii="Arial" w:cs="Arial" w:eastAsia="Arial" w:hAnsi="Arial"/>
          <w:sz w:val="22"/>
          <w:szCs w:val="22"/>
          <w:color w:val="auto"/>
        </w:rPr>
        <w:t>Prior to the due presentation for registration of transfer of any Note, the Issuer, any Guarantor, the Trustee, the Collateral Agent,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Collateral Agent, the Paying Agent or the Registrar shall be affected by notice to the contrary.</w:t>
      </w:r>
    </w:p>
    <w:p>
      <w:pPr>
        <w:spacing w:after="0" w:line="188" w:lineRule="exact"/>
        <w:rPr>
          <w:rFonts w:ascii="Arial" w:cs="Arial" w:eastAsia="Arial" w:hAnsi="Arial"/>
          <w:sz w:val="22"/>
          <w:szCs w:val="22"/>
          <w:color w:val="010000"/>
        </w:rPr>
      </w:pPr>
    </w:p>
    <w:p>
      <w:pPr>
        <w:ind w:left="660" w:right="160" w:firstLine="644"/>
        <w:spacing w:after="0"/>
        <w:tabs>
          <w:tab w:leader="none" w:pos="2088" w:val="left"/>
        </w:tabs>
        <w:numPr>
          <w:ilvl w:val="1"/>
          <w:numId w:val="60"/>
        </w:numPr>
        <w:rPr>
          <w:rFonts w:ascii="Arial" w:cs="Arial" w:eastAsia="Arial" w:hAnsi="Arial"/>
          <w:sz w:val="22"/>
          <w:szCs w:val="22"/>
          <w:color w:val="010000"/>
        </w:rPr>
      </w:pPr>
      <w:r>
        <w:rPr>
          <w:rFonts w:ascii="Arial" w:cs="Arial" w:eastAsia="Arial" w:hAnsi="Arial"/>
          <w:sz w:val="22"/>
          <w:szCs w:val="22"/>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86" w:lineRule="exact"/>
        <w:rPr>
          <w:rFonts w:ascii="Arial" w:cs="Arial" w:eastAsia="Arial" w:hAnsi="Arial"/>
          <w:sz w:val="22"/>
          <w:szCs w:val="22"/>
          <w:color w:val="010000"/>
        </w:rPr>
      </w:pPr>
    </w:p>
    <w:p>
      <w:pPr>
        <w:ind w:firstLine="656"/>
        <w:spacing w:after="0" w:line="271" w:lineRule="auto"/>
        <w:tabs>
          <w:tab w:leader="none" w:pos="1404"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No Obligation of the Trustee</w:t>
      </w:r>
      <w:r>
        <w:rPr>
          <w:rFonts w:ascii="Arial" w:cs="Arial" w:eastAsia="Arial" w:hAnsi="Arial"/>
          <w:sz w:val="19"/>
          <w:szCs w:val="19"/>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60" w:lineRule="exact"/>
        <w:rPr>
          <w:rFonts w:ascii="Arial" w:cs="Arial" w:eastAsia="Arial" w:hAnsi="Arial"/>
          <w:sz w:val="19"/>
          <w:szCs w:val="19"/>
          <w:color w:val="010000"/>
        </w:rPr>
      </w:pPr>
    </w:p>
    <w:p>
      <w:pPr>
        <w:jc w:val="both"/>
        <w:ind w:right="60" w:firstLine="656"/>
        <w:spacing w:after="0"/>
        <w:tabs>
          <w:tab w:leader="none" w:pos="144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Affiliate Holders</w:t>
      </w:r>
      <w:r>
        <w:rPr>
          <w:rFonts w:ascii="Arial" w:cs="Arial" w:eastAsia="Arial" w:hAnsi="Arial"/>
          <w:sz w:val="22"/>
          <w:szCs w:val="22"/>
          <w:color w:val="auto"/>
        </w:rPr>
        <w:t>. After the Initial Issuance Date, by accepting a beneficial interest in a Global Note, any Person that is an Affiliate of the Issuer agrees to give notice to the Issuer, the Trustee and the Registrar of the acquisition and its Affiliate status.</w:t>
      </w:r>
    </w:p>
    <w:p>
      <w:pPr>
        <w:spacing w:after="0" w:line="186"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When Securities Disregarded</w:t>
      </w:r>
      <w:r>
        <w:rPr>
          <w:rFonts w:ascii="Arial" w:cs="Arial" w:eastAsia="Arial" w:hAnsi="Arial"/>
          <w:sz w:val="19"/>
          <w:szCs w:val="19"/>
          <w:color w:val="auto"/>
        </w:rPr>
        <w:t>.</w:t>
      </w:r>
    </w:p>
    <w:p>
      <w:pPr>
        <w:spacing w:after="0" w:line="206"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(a) Notes owned by Specified Holders shall not be so disregarded and (b) for the purpose of determining whether the Trustee shall be protected in relying on any such direction, waiver, consent, approval or other action of Holders, only Notes that the Trustee knows are so owned shall be so disregarded. Notes so owned that have been pledged in good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ind w:right="80"/>
        <w:spacing w:after="0" w:line="287" w:lineRule="auto"/>
        <w:rPr>
          <w:sz w:val="20"/>
          <w:szCs w:val="20"/>
          <w:color w:val="auto"/>
        </w:rPr>
      </w:pPr>
      <w:r>
        <w:rPr>
          <w:rFonts w:ascii="Arial" w:cs="Arial" w:eastAsia="Arial" w:hAnsi="Arial"/>
          <w:sz w:val="19"/>
          <w:szCs w:val="19"/>
          <w:color w:val="auto"/>
        </w:rPr>
        <w:t>faith shall not be so disregarded if the pledgee establishes to the satisfaction of the Trustee the pledgee’s right to deliver any such direction, waiver, consent, approval or other action of Holders with respect to the Notes and that the pledgee is either (i) not the Issuer, any Guarantor or any Person directly or indirectly controlled by the Issuer or any Guarantor or (ii) a Specified Holder. Also, subject to the foregoing, only Notes Outstanding at the time shall be considered in any such determination.</w:t>
      </w:r>
    </w:p>
    <w:p>
      <w:pPr>
        <w:spacing w:after="0" w:line="15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Calculation of Specified Percentage of Notes</w:t>
      </w:r>
      <w:r>
        <w:rPr>
          <w:rFonts w:ascii="Arial" w:cs="Arial" w:eastAsia="Arial" w:hAnsi="Arial"/>
          <w:sz w:val="16"/>
          <w:szCs w:val="16"/>
          <w:color w:val="auto"/>
        </w:rPr>
        <w:t>.</w:t>
      </w:r>
    </w:p>
    <w:p>
      <w:pPr>
        <w:spacing w:after="0" w:line="21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With respect to any matter requiring consent, waiver, approval or other action of the Holders of a specified percentage of the principal amount of all the Notes then Outstanding, such percentage shall be calculated, on the relevant date of determination, by dividing (a) the principal amount, as of such date of determination, of the Notes then Outstanding, the Holders of which have so consented by (b) the aggregate principal amount, as of such date of determination, of the Notes then Outstanding, in each case, as determined in accordance with Section 312 of the Indenture. Any such calculation made pursuant to this Section 313 shall be made by the Issuer and delivered to the Trustee pursuant to an Officers’ Certificate.</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Issuance of Additional Notes</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The Issuer shall be entitled, subject to its compliance with Sections 1008 and 1010, to issue Additional Notes under this Indenture in an aggregate amount not to exceed $100 million which Additional Notes shall be part of the same series as the Initial Notes issued on the Initial Issuance Date, rank equally with the Initial Notes and shall have identical terms as the Initial Notes issued on the Initial Issuance Date in all respects, other than with respect to (a) the date of issuance, (b) the issue price, (c) the date from which interest begins to accrue and (d) the initial interest payment date. The Initial Notes and any Additional Notes issued upon original issue under this Indenture shall be treated as a single class for purposes of this Indenture, including waivers, consents, directions, declarations, amendments, redemptions and offers to purchase; and none of the Holders of any Initial Notes or any Additional Notes shall have the right to vote or consent as a separate class on any matter to which such Holders are entitled to vote or consent; provided that the Initial Notes and any Additional Notes may be issued under separate CUSIP numbers.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respect to any Additional Notes, the Issuer shall set forth in an Officers’ Certificate, which shall be delivered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Trustee, the following information:</w:t>
      </w:r>
    </w:p>
    <w:p>
      <w:pPr>
        <w:spacing w:after="0" w:line="188" w:lineRule="exact"/>
        <w:rPr>
          <w:sz w:val="20"/>
          <w:szCs w:val="20"/>
          <w:color w:val="auto"/>
        </w:rPr>
      </w:pPr>
    </w:p>
    <w:p>
      <w:pPr>
        <w:ind w:left="1440" w:hanging="784"/>
        <w:spacing w:after="0"/>
        <w:tabs>
          <w:tab w:leader="none" w:pos="1440"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the aggregate principal amount of such Additional Notes to be authenticated and delivered pursuant to this</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Indenture; and</w:t>
      </w:r>
    </w:p>
    <w:p>
      <w:pPr>
        <w:spacing w:after="0" w:line="188" w:lineRule="exact"/>
        <w:rPr>
          <w:rFonts w:ascii="Arial" w:cs="Arial" w:eastAsia="Arial" w:hAnsi="Arial"/>
          <w:sz w:val="19"/>
          <w:szCs w:val="19"/>
          <w:color w:val="010000"/>
        </w:rPr>
      </w:pPr>
    </w:p>
    <w:p>
      <w:pPr>
        <w:ind w:right="200" w:firstLine="656"/>
        <w:spacing w:after="0" w:line="328" w:lineRule="auto"/>
        <w:tabs>
          <w:tab w:leader="none" w:pos="1440"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the issue price, the issue date (and the corresponding date from which interest shall accrue thereon and the first interest payment date therefor) and the CUSIP number and any corresponding ISIN of such Additional Notes.</w:t>
      </w:r>
    </w:p>
    <w:p>
      <w:pPr>
        <w:spacing w:after="0" w:line="10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Notwithstanding anything else herein, with respect to any Additional Notes issued subsequent to the date of this Indenture, when the context requires, all provisions of this Indenture shall be construed and interpreted to permit the issuance of such Additional Notes and to allow such Additional Notes to be part of the same series as the Initial Notes originally issued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Arial" w:cs="Arial" w:eastAsia="Arial" w:hAnsi="Arial"/>
          <w:sz w:val="19"/>
          <w:szCs w:val="19"/>
          <w:color w:val="auto"/>
        </w:rPr>
        <w:t>under this Indenture. Indebtedness represented by Additional Notes shall be subject to the covenants contained in this Indenture.</w:t>
      </w:r>
    </w:p>
    <w:p>
      <w:pPr>
        <w:spacing w:after="0" w:line="235"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ARTICLE FOUR</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SATISFACTION AND DISCHARGE</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18"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The Indenture shall be discharged and shall cease to be of further effect, and the Trustee, upon Issuer Request and at the expense of the Issuer, shall execute instruments reasonably requested by the Issuer acknowledging satisfaction and discharge of the Indenture, when</w:t>
      </w:r>
    </w:p>
    <w:p>
      <w:pPr>
        <w:spacing w:after="0" w:line="186" w:lineRule="exact"/>
        <w:rPr>
          <w:sz w:val="20"/>
          <w:szCs w:val="20"/>
          <w:color w:val="auto"/>
        </w:rPr>
      </w:pPr>
    </w:p>
    <w:p>
      <w:pPr>
        <w:ind w:left="2100" w:hanging="796"/>
        <w:spacing w:after="0"/>
        <w:tabs>
          <w:tab w:leader="none" w:pos="2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ind w:left="1300" w:right="80" w:firstLine="652"/>
        <w:spacing w:after="0" w:line="236" w:lineRule="auto"/>
        <w:tabs>
          <w:tab w:leader="none" w:pos="2728"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all Notes theretofore authenticated and delivered (other than Notes which have been destroyed, lost or stolen and which have been replaced or paid as provided in Section 306 and Notes for whose payment money has theretofore been deposited in trust or segregated and held in trust by the Issuer and thereafter repaid to the Issuer or discharged from such trust, as provided in Section 1003) have been delivered to the Trustee for cancellation; or</w:t>
      </w:r>
    </w:p>
    <w:p>
      <w:pPr>
        <w:spacing w:after="0" w:line="187" w:lineRule="exact"/>
        <w:rPr>
          <w:rFonts w:ascii="Arial" w:cs="Arial" w:eastAsia="Arial" w:hAnsi="Arial"/>
          <w:sz w:val="22"/>
          <w:szCs w:val="22"/>
          <w:color w:val="010000"/>
        </w:rPr>
      </w:pPr>
    </w:p>
    <w:p>
      <w:pPr>
        <w:ind w:left="2740" w:hanging="788"/>
        <w:spacing w:after="0"/>
        <w:tabs>
          <w:tab w:leader="none" w:pos="2740"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all Notes not theretofore delivered to the Trustee for cancellation</w:t>
      </w:r>
    </w:p>
    <w:p>
      <w:pPr>
        <w:spacing w:after="0" w:line="206" w:lineRule="exact"/>
        <w:rPr>
          <w:rFonts w:ascii="Arial" w:cs="Arial" w:eastAsia="Arial" w:hAnsi="Arial"/>
          <w:sz w:val="22"/>
          <w:szCs w:val="22"/>
          <w:color w:val="010000"/>
        </w:rPr>
      </w:pPr>
    </w:p>
    <w:p>
      <w:pPr>
        <w:ind w:left="3340" w:hanging="740"/>
        <w:spacing w:after="0"/>
        <w:tabs>
          <w:tab w:leader="none" w:pos="3340" w:val="left"/>
        </w:tabs>
        <w:numPr>
          <w:ilvl w:val="2"/>
          <w:numId w:val="63"/>
        </w:numPr>
        <w:rPr>
          <w:rFonts w:ascii="Arial" w:cs="Arial" w:eastAsia="Arial" w:hAnsi="Arial"/>
          <w:sz w:val="22"/>
          <w:szCs w:val="22"/>
          <w:color w:val="010000"/>
        </w:rPr>
      </w:pPr>
      <w:r>
        <w:rPr>
          <w:rFonts w:ascii="Arial" w:cs="Arial" w:eastAsia="Arial" w:hAnsi="Arial"/>
          <w:sz w:val="22"/>
          <w:szCs w:val="22"/>
          <w:color w:val="auto"/>
        </w:rPr>
        <w:t>have become due and payable, or</w:t>
      </w:r>
    </w:p>
    <w:p>
      <w:pPr>
        <w:spacing w:after="0" w:line="206" w:lineRule="exact"/>
        <w:rPr>
          <w:rFonts w:ascii="Arial" w:cs="Arial" w:eastAsia="Arial" w:hAnsi="Arial"/>
          <w:sz w:val="22"/>
          <w:szCs w:val="22"/>
          <w:color w:val="010000"/>
        </w:rPr>
      </w:pPr>
    </w:p>
    <w:p>
      <w:pPr>
        <w:jc w:val="both"/>
        <w:ind w:left="1960" w:right="160" w:firstLine="640"/>
        <w:spacing w:after="0" w:line="257" w:lineRule="auto"/>
        <w:tabs>
          <w:tab w:leader="none" w:pos="3412" w:val="left"/>
        </w:tabs>
        <w:numPr>
          <w:ilvl w:val="2"/>
          <w:numId w:val="63"/>
        </w:numPr>
        <w:rPr>
          <w:rFonts w:ascii="Arial" w:cs="Arial" w:eastAsia="Arial" w:hAnsi="Arial"/>
          <w:sz w:val="21"/>
          <w:szCs w:val="21"/>
          <w:color w:val="010000"/>
        </w:rPr>
      </w:pPr>
      <w:r>
        <w:rPr>
          <w:rFonts w:ascii="Arial" w:cs="Arial" w:eastAsia="Arial" w:hAnsi="Arial"/>
          <w:sz w:val="21"/>
          <w:szCs w:val="21"/>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69" w:lineRule="exact"/>
        <w:rPr>
          <w:rFonts w:ascii="Arial" w:cs="Arial" w:eastAsia="Arial" w:hAnsi="Arial"/>
          <w:sz w:val="21"/>
          <w:szCs w:val="21"/>
          <w:color w:val="010000"/>
        </w:rPr>
      </w:pPr>
    </w:p>
    <w:p>
      <w:pPr>
        <w:ind w:left="3460" w:hanging="860"/>
        <w:spacing w:after="0"/>
        <w:tabs>
          <w:tab w:leader="none" w:pos="3460" w:val="left"/>
        </w:tabs>
        <w:numPr>
          <w:ilvl w:val="2"/>
          <w:numId w:val="63"/>
        </w:numPr>
        <w:rPr>
          <w:rFonts w:ascii="Arial" w:cs="Arial" w:eastAsia="Arial" w:hAnsi="Arial"/>
          <w:sz w:val="22"/>
          <w:szCs w:val="22"/>
          <w:color w:val="010000"/>
        </w:rPr>
      </w:pPr>
      <w:r>
        <w:rPr>
          <w:rFonts w:ascii="Arial" w:cs="Arial" w:eastAsia="Arial" w:hAnsi="Arial"/>
          <w:sz w:val="22"/>
          <w:szCs w:val="22"/>
          <w:color w:val="auto"/>
        </w:rPr>
        <w:t>have been called for redemption pursuant to the provisions of Article Eleven,</w:t>
      </w:r>
    </w:p>
    <w:p>
      <w:pPr>
        <w:spacing w:after="0" w:line="206" w:lineRule="exact"/>
        <w:rPr>
          <w:sz w:val="20"/>
          <w:szCs w:val="20"/>
          <w:color w:val="auto"/>
        </w:rPr>
      </w:pPr>
    </w:p>
    <w:p>
      <w:pPr>
        <w:ind w:left="660"/>
        <w:spacing w:after="0" w:line="279" w:lineRule="auto"/>
        <w:rPr>
          <w:sz w:val="20"/>
          <w:szCs w:val="20"/>
          <w:color w:val="auto"/>
        </w:rPr>
      </w:pPr>
      <w:r>
        <w:rPr>
          <w:rFonts w:ascii="Arial" w:cs="Arial" w:eastAsia="Arial" w:hAnsi="Arial"/>
          <w:sz w:val="19"/>
          <w:szCs w:val="19"/>
          <w:color w:val="auto"/>
        </w:rPr>
        <w:t>and the Issuer or any Guarantor in the case of (i), (ii) or (iii) of subclause (b), has irrevocably deposited or caused to be irrevocably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50" w:lineRule="exact"/>
        <w:rPr>
          <w:sz w:val="20"/>
          <w:szCs w:val="20"/>
          <w:color w:val="auto"/>
        </w:rPr>
      </w:pPr>
    </w:p>
    <w:p>
      <w:pPr>
        <w:ind w:left="5520" w:right="760" w:hanging="4216"/>
        <w:spacing w:after="0" w:line="455" w:lineRule="auto"/>
        <w:tabs>
          <w:tab w:leader="none" w:pos="21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Issuer has paid or caused to be paid all other sums payable under the Indenture by the Issuer;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1" w:name="page72"/>
    <w:bookmarkEnd w:id="71"/>
    <w:p>
      <w:pPr>
        <w:ind w:left="660" w:right="240" w:firstLine="644"/>
        <w:spacing w:after="0" w:line="251" w:lineRule="auto"/>
        <w:tabs>
          <w:tab w:leader="none" w:pos="21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Issuer has delivered irrevocable instructions to the Trustee to apply the deposited funds towards the payment of the Notes at Stated Maturity or on the Redemption Date, as the case may be; and</w:t>
      </w:r>
    </w:p>
    <w:p>
      <w:pPr>
        <w:spacing w:after="0" w:line="173" w:lineRule="exact"/>
        <w:rPr>
          <w:rFonts w:ascii="Arial" w:cs="Arial" w:eastAsia="Arial" w:hAnsi="Arial"/>
          <w:sz w:val="22"/>
          <w:szCs w:val="22"/>
          <w:color w:val="auto"/>
        </w:rPr>
      </w:pPr>
    </w:p>
    <w:p>
      <w:pPr>
        <w:ind w:left="660" w:right="200" w:firstLine="644"/>
        <w:spacing w:after="0" w:line="328" w:lineRule="auto"/>
        <w:tabs>
          <w:tab w:leader="none" w:pos="21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Issuer has delivered to the Trustee an Officers’ Certificate and an Opinion of Counsel, each stating that all conditions precedent in the Indenture to the satisfaction and discharge of the Indenture have been complied with.</w:t>
      </w:r>
    </w:p>
    <w:p>
      <w:pPr>
        <w:spacing w:after="0" w:line="105"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Notwithstanding the satisfaction and discharge of the Indenture, the obligations of the Issuer to the Holders under Sections 305 and 306, the obligations of the Issuer to the Trustee under Section 607, the obligations of the Issuer to the Collateral Agent under Sections 607 and 1508, the obligations of the Issuer to any Authenticating Agent under Section 614 and, if cash or U.S. Government Obligations shall have been deposited with the Trustee pursuant to subclause (b) of clause (1) of this Section, the obligations of the Trustee under Section 402 and the last paragraph of Section 1003 shall survive so long as any Notes are Outstanding.</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Subject to the provisions of the last paragraph of Section 1003, all cash and U.S. Government Obligations (including the proceeds thereof) deposited with the Trustee pursuant to Section 401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FIVE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REMEDIES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1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21"/>
          <w:szCs w:val="21"/>
          <w:color w:val="auto"/>
        </w:rPr>
        <w:t>An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9" w:lineRule="exact"/>
        <w:rPr>
          <w:sz w:val="20"/>
          <w:szCs w:val="20"/>
          <w:color w:val="auto"/>
        </w:rPr>
      </w:pPr>
    </w:p>
    <w:p>
      <w:pPr>
        <w:ind w:left="660" w:right="180" w:firstLine="644"/>
        <w:spacing w:after="0" w:line="250" w:lineRule="auto"/>
        <w:tabs>
          <w:tab w:leader="none" w:pos="2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failure to pay interest on any of the Notes when the same becomes due and payable and the continuance of any such failure for 30 days;</w:t>
      </w:r>
    </w:p>
    <w:p>
      <w:pPr>
        <w:spacing w:after="0" w:line="174" w:lineRule="exact"/>
        <w:rPr>
          <w:rFonts w:ascii="Arial" w:cs="Arial" w:eastAsia="Arial" w:hAnsi="Arial"/>
          <w:sz w:val="22"/>
          <w:szCs w:val="22"/>
          <w:color w:val="auto"/>
        </w:rPr>
      </w:pPr>
    </w:p>
    <w:p>
      <w:pPr>
        <w:ind w:left="660" w:right="460" w:firstLine="644"/>
        <w:spacing w:after="0" w:line="274" w:lineRule="auto"/>
        <w:tabs>
          <w:tab w:leader="none" w:pos="2100" w:val="left"/>
        </w:tabs>
        <w:numPr>
          <w:ilvl w:val="0"/>
          <w:numId w:val="66"/>
        </w:numPr>
        <w:rPr>
          <w:rFonts w:ascii="Arial" w:cs="Arial" w:eastAsia="Arial" w:hAnsi="Arial"/>
          <w:sz w:val="21"/>
          <w:szCs w:val="21"/>
          <w:color w:val="auto"/>
        </w:rPr>
      </w:pPr>
      <w:r>
        <w:rPr>
          <w:rFonts w:ascii="Arial" w:cs="Arial" w:eastAsia="Arial" w:hAnsi="Arial"/>
          <w:sz w:val="21"/>
          <w:szCs w:val="21"/>
          <w:color w:val="auto"/>
        </w:rPr>
        <w:t>failure to pay principal of or premium, if any, on any of the Notes when it becomes due and payable, whether at Stated Maturity, upon redemption, required purchase, acceleration or otherwise;</w:t>
      </w:r>
    </w:p>
    <w:p>
      <w:pPr>
        <w:spacing w:after="0" w:line="150" w:lineRule="exact"/>
        <w:rPr>
          <w:rFonts w:ascii="Arial" w:cs="Arial" w:eastAsia="Arial" w:hAnsi="Arial"/>
          <w:sz w:val="21"/>
          <w:szCs w:val="21"/>
          <w:color w:val="auto"/>
        </w:rPr>
      </w:pPr>
    </w:p>
    <w:p>
      <w:pPr>
        <w:ind w:left="660" w:right="280" w:firstLine="644"/>
        <w:spacing w:after="0"/>
        <w:tabs>
          <w:tab w:leader="none" w:pos="2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failure by the Issuer or any Guarantors to comply with any of their respective agreements or covenants under Article Eight or failure by the Issuer to comply in respect of its obligations to make a Change of Control Offer under Section 1007;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460" w:firstLine="644"/>
        <w:spacing w:after="0" w:line="277" w:lineRule="auto"/>
        <w:tabs>
          <w:tab w:leader="none" w:pos="9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 except with respect to the covenant contained in Section 703 or as described in clause (3) above, failure by the Parent Guarantor or any Restricted Subsidiary to comply with any other covenant or agreement contained in the Indenture or the Collateral Documents and continuance of this failure for 60 days after notice of the failure has been given to the Issuer by the Trustee or to the Issuer and the Trustee by the Holders of at least 25.0% of 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703;</w:t>
      </w:r>
    </w:p>
    <w:p>
      <w:pPr>
        <w:spacing w:after="0" w:line="152" w:lineRule="exact"/>
        <w:rPr>
          <w:rFonts w:ascii="Arial" w:cs="Arial" w:eastAsia="Arial" w:hAnsi="Arial"/>
          <w:sz w:val="19"/>
          <w:szCs w:val="19"/>
          <w:color w:val="auto"/>
        </w:rPr>
      </w:pPr>
    </w:p>
    <w:p>
      <w:pPr>
        <w:ind w:left="-460" w:right="40" w:firstLine="644"/>
        <w:spacing w:after="0" w:line="238" w:lineRule="auto"/>
        <w:tabs>
          <w:tab w:leader="none" w:pos="9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Initial Issuance Date, which default:</w:t>
      </w:r>
    </w:p>
    <w:p>
      <w:pPr>
        <w:spacing w:after="0" w:line="184" w:lineRule="exact"/>
        <w:rPr>
          <w:rFonts w:ascii="Arial" w:cs="Arial" w:eastAsia="Arial" w:hAnsi="Arial"/>
          <w:sz w:val="22"/>
          <w:szCs w:val="22"/>
          <w:color w:val="auto"/>
        </w:rPr>
      </w:pPr>
    </w:p>
    <w:p>
      <w:pPr>
        <w:ind w:left="180" w:right="560" w:firstLine="652"/>
        <w:spacing w:after="0" w:line="250" w:lineRule="auto"/>
        <w:tabs>
          <w:tab w:leader="none" w:pos="1608"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is caused by a failure to pay at its Stated Maturity principal on such Indebtedness within the applicable express grace period and any extensions thereof, or</w:t>
      </w:r>
    </w:p>
    <w:p>
      <w:pPr>
        <w:spacing w:after="0" w:line="174" w:lineRule="exact"/>
        <w:rPr>
          <w:rFonts w:ascii="Arial" w:cs="Arial" w:eastAsia="Arial" w:hAnsi="Arial"/>
          <w:sz w:val="22"/>
          <w:szCs w:val="22"/>
          <w:color w:val="010000"/>
        </w:rPr>
      </w:pPr>
    </w:p>
    <w:p>
      <w:pPr>
        <w:ind w:left="180" w:right="100" w:firstLine="652"/>
        <w:spacing w:after="0"/>
        <w:tabs>
          <w:tab w:leader="none" w:pos="1620"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86" w:lineRule="exact"/>
        <w:rPr>
          <w:sz w:val="20"/>
          <w:szCs w:val="20"/>
          <w:color w:val="auto"/>
        </w:rPr>
      </w:pPr>
    </w:p>
    <w:p>
      <w:pPr>
        <w:ind w:left="180" w:right="500"/>
        <w:spacing w:after="0"/>
        <w:rPr>
          <w:sz w:val="20"/>
          <w:szCs w:val="20"/>
          <w:color w:val="auto"/>
        </w:rPr>
      </w:pPr>
      <w:r>
        <w:rPr>
          <w:rFonts w:ascii="Arial" w:cs="Arial" w:eastAsia="Arial" w:hAnsi="Arial"/>
          <w:sz w:val="22"/>
          <w:szCs w:val="22"/>
          <w:color w:val="auto"/>
        </w:rPr>
        <w:t>and, in each case, the principal amount of such Indebtedness, together with the principal amount of any other Indebtedness with respect to which an event described in clause (a) or (b) has occurred and is continuing aggregates $75.0 million or more;</w:t>
      </w:r>
    </w:p>
    <w:p>
      <w:pPr>
        <w:spacing w:after="0" w:line="186" w:lineRule="exact"/>
        <w:rPr>
          <w:sz w:val="20"/>
          <w:szCs w:val="20"/>
          <w:color w:val="auto"/>
        </w:rPr>
      </w:pPr>
    </w:p>
    <w:p>
      <w:pPr>
        <w:ind w:left="-460" w:right="520" w:firstLine="644"/>
        <w:spacing w:after="0" w:line="252" w:lineRule="auto"/>
        <w:tabs>
          <w:tab w:leader="none" w:pos="9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173" w:lineRule="exact"/>
        <w:rPr>
          <w:rFonts w:ascii="Arial" w:cs="Arial" w:eastAsia="Arial" w:hAnsi="Arial"/>
          <w:sz w:val="21"/>
          <w:szCs w:val="21"/>
          <w:color w:val="auto"/>
        </w:rPr>
      </w:pPr>
    </w:p>
    <w:p>
      <w:pPr>
        <w:ind w:left="-460" w:firstLine="644"/>
        <w:spacing w:after="0" w:line="246" w:lineRule="auto"/>
        <w:tabs>
          <w:tab w:leader="none" w:pos="9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entry by a court having jurisdiction in the premises of (A)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73" w:name="page74"/>
    <w:bookmarkEnd w:id="73"/>
    <w:p>
      <w:pPr>
        <w:ind w:right="20"/>
        <w:spacing w:after="0" w:line="279" w:lineRule="auto"/>
        <w:rPr>
          <w:sz w:val="20"/>
          <w:szCs w:val="20"/>
          <w:color w:val="auto"/>
        </w:rPr>
      </w:pPr>
      <w:r>
        <w:rPr>
          <w:rFonts w:ascii="Arial" w:cs="Arial" w:eastAsia="Arial" w:hAnsi="Arial"/>
          <w:sz w:val="19"/>
          <w:szCs w:val="19"/>
          <w:color w:val="auto"/>
        </w:rPr>
        <w:t>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151" w:lineRule="exact"/>
        <w:rPr>
          <w:sz w:val="20"/>
          <w:szCs w:val="20"/>
          <w:color w:val="auto"/>
        </w:rPr>
      </w:pPr>
    </w:p>
    <w:p>
      <w:pPr>
        <w:ind w:right="40" w:firstLine="644"/>
        <w:spacing w:after="0" w:line="271" w:lineRule="auto"/>
        <w:tabs>
          <w:tab w:leader="none" w:pos="14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examiner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 assignment for the benefit of creditors, or the admission by it or them in writing of its or their inability to pay its or their debts generally as they become due;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644"/>
        <w:spacing w:after="0" w:line="248" w:lineRule="auto"/>
        <w:tabs>
          <w:tab w:leader="none" w:pos="1440" w:val="left"/>
        </w:tabs>
        <w:numPr>
          <w:ilvl w:val="0"/>
          <w:numId w:val="69"/>
        </w:numPr>
        <w:rPr>
          <w:rFonts w:ascii="Arial" w:cs="Arial" w:eastAsia="Arial" w:hAnsi="Arial"/>
          <w:sz w:val="21"/>
          <w:szCs w:val="21"/>
          <w:color w:val="auto"/>
        </w:rPr>
      </w:pPr>
      <w:r>
        <w:rPr>
          <w:rFonts w:ascii="Arial" w:cs="Arial" w:eastAsia="Arial" w:hAnsi="Arial"/>
          <w:sz w:val="21"/>
          <w:szCs w:val="21"/>
          <w:color w:val="auto"/>
        </w:rPr>
        <w:t>unless such Liens have been released in accordance with the provisions of this Indenture or the applicable Notes Documents (or unless otherwise permitted thereunder), Liens with respect to Collateral with an aggregate Fair Market Value of more than $100.0 million cease to be valid or enforceable, or the Issuer shall assert or any Guarantor shall assert, in any pleading in any court of competent jurisdiction, that any such security interests are invalid or unenforceable and, in the case of any such Guarantor, the Issuer fails to cause such Guarantor to rescind such assertions within 30 days after the Issuer has actual knowledge of such assertions; or</w:t>
      </w:r>
    </w:p>
    <w:p>
      <w:pPr>
        <w:spacing w:after="0" w:line="176" w:lineRule="exact"/>
        <w:rPr>
          <w:rFonts w:ascii="Arial" w:cs="Arial" w:eastAsia="Arial" w:hAnsi="Arial"/>
          <w:sz w:val="21"/>
          <w:szCs w:val="21"/>
          <w:color w:val="auto"/>
        </w:rPr>
      </w:pPr>
    </w:p>
    <w:p>
      <w:pPr>
        <w:ind w:right="80" w:firstLine="644"/>
        <w:spacing w:after="0" w:line="287" w:lineRule="auto"/>
        <w:tabs>
          <w:tab w:leader="none" w:pos="1548"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the Collateral Documents and the Guarantee).</w:t>
      </w:r>
    </w:p>
    <w:p>
      <w:pPr>
        <w:spacing w:after="0" w:line="14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74" w:name="page75"/>
    <w:bookmarkEnd w:id="74"/>
    <w:p>
      <w:pPr>
        <w:spacing w:after="0"/>
        <w:tabs>
          <w:tab w:leader="none" w:pos="19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If an Event of Default (other than an Event of Default specified in Section 501(7) or 501(8) with respect to the Parent Guarantor) shall have occurred and be continuing, the Trustee, by written notice to the Issuer, or the Holders of at least 25% in aggregate principal amount of the Notes then Outstanding, by written notice to the Issuer and the Trustee, may declare (an “acceleration declaration”) the principal of, premium, if any, and accured and unpaid interest on the Notes, to be due and payable, and upon any such declaration the aggregate principal of, premium, if any, and accrued and unpaid interest on all of the Outstanding Notes shall become due and payable immediately. If an Event of Default specified in Section 501(7) or 501(8) occurs with respect to the Parent Guarantor, the principal of, premium, if any, and accrued and unpaid interest, on all of the Outstanding Notes shall become immediately due and payable, without any further action or notice to the extent permitted by law.</w:t>
      </w:r>
    </w:p>
    <w:p>
      <w:pPr>
        <w:spacing w:after="0" w:line="19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186" w:lineRule="exact"/>
        <w:rPr>
          <w:sz w:val="20"/>
          <w:szCs w:val="20"/>
          <w:color w:val="auto"/>
        </w:rPr>
      </w:pPr>
    </w:p>
    <w:p>
      <w:pPr>
        <w:ind w:left="2040" w:hanging="736"/>
        <w:spacing w:after="0"/>
        <w:tabs>
          <w:tab w:leader="none" w:pos="2040"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such rescission would not conflict with any judgment or decree of a court of competent jurisdiction;</w:t>
      </w:r>
    </w:p>
    <w:p>
      <w:pPr>
        <w:spacing w:after="0" w:line="217" w:lineRule="exact"/>
        <w:rPr>
          <w:rFonts w:ascii="Arial" w:cs="Arial" w:eastAsia="Arial" w:hAnsi="Arial"/>
          <w:sz w:val="21"/>
          <w:szCs w:val="21"/>
          <w:color w:val="010000"/>
        </w:rPr>
      </w:pPr>
    </w:p>
    <w:p>
      <w:pPr>
        <w:ind w:left="2100" w:hanging="796"/>
        <w:spacing w:after="0"/>
        <w:tabs>
          <w:tab w:leader="none" w:pos="2100"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the Issuer has paid or deposited with the Trustee a sum sufficient to pay</w:t>
      </w:r>
    </w:p>
    <w:p>
      <w:pPr>
        <w:spacing w:after="0" w:line="206" w:lineRule="exact"/>
        <w:rPr>
          <w:rFonts w:ascii="Arial" w:cs="Arial" w:eastAsia="Arial" w:hAnsi="Arial"/>
          <w:sz w:val="22"/>
          <w:szCs w:val="22"/>
          <w:color w:val="010000"/>
        </w:rPr>
      </w:pPr>
    </w:p>
    <w:p>
      <w:pPr>
        <w:ind w:left="2800" w:hanging="848"/>
        <w:spacing w:after="0"/>
        <w:tabs>
          <w:tab w:leader="none" w:pos="2800"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all overdue interest on all the Notes,</w:t>
      </w:r>
    </w:p>
    <w:p>
      <w:pPr>
        <w:spacing w:after="0" w:line="206" w:lineRule="exact"/>
        <w:rPr>
          <w:rFonts w:ascii="Arial" w:cs="Arial" w:eastAsia="Arial" w:hAnsi="Arial"/>
          <w:sz w:val="22"/>
          <w:szCs w:val="22"/>
          <w:color w:val="010000"/>
        </w:rPr>
      </w:pPr>
    </w:p>
    <w:p>
      <w:pPr>
        <w:ind w:left="1300" w:right="40" w:firstLine="652"/>
        <w:spacing w:after="0" w:line="328" w:lineRule="auto"/>
        <w:tabs>
          <w:tab w:leader="none" w:pos="2776"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the principal of (and premium, if any, on) any such Notes which have become due otherwise than by such acceleration declaration and any interest thereon at the rate or rates prescribed therefor in the Notes,</w:t>
      </w:r>
    </w:p>
    <w:p>
      <w:pPr>
        <w:spacing w:after="0" w:line="104" w:lineRule="exact"/>
        <w:rPr>
          <w:rFonts w:ascii="Arial" w:cs="Arial" w:eastAsia="Arial" w:hAnsi="Arial"/>
          <w:sz w:val="19"/>
          <w:szCs w:val="19"/>
          <w:color w:val="010000"/>
        </w:rPr>
      </w:pPr>
    </w:p>
    <w:p>
      <w:pPr>
        <w:ind w:left="1300" w:right="440" w:firstLine="652"/>
        <w:spacing w:after="0" w:line="250" w:lineRule="auto"/>
        <w:tabs>
          <w:tab w:leader="none" w:pos="2776"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to the extent that payment of such interest is lawful, interest upon overdue interest at the rate prescribed therefor in the Notes, and</w:t>
      </w:r>
    </w:p>
    <w:p>
      <w:pPr>
        <w:spacing w:after="0" w:line="174" w:lineRule="exact"/>
        <w:rPr>
          <w:rFonts w:ascii="Arial" w:cs="Arial" w:eastAsia="Arial" w:hAnsi="Arial"/>
          <w:sz w:val="22"/>
          <w:szCs w:val="22"/>
          <w:color w:val="010000"/>
        </w:rPr>
      </w:pPr>
    </w:p>
    <w:p>
      <w:pPr>
        <w:ind w:left="1300" w:right="120" w:firstLine="652"/>
        <w:spacing w:after="0" w:line="250" w:lineRule="auto"/>
        <w:tabs>
          <w:tab w:leader="none" w:pos="2788"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all sums paid or advanced by the Trustee hereunder and the reasonable compensation, expenses, disbursements and advances of the Trustee, its agents and counsel; and</w:t>
      </w:r>
    </w:p>
    <w:p>
      <w:pPr>
        <w:spacing w:after="0" w:line="174" w:lineRule="exact"/>
        <w:rPr>
          <w:rFonts w:ascii="Arial" w:cs="Arial" w:eastAsia="Arial" w:hAnsi="Arial"/>
          <w:sz w:val="22"/>
          <w:szCs w:val="22"/>
          <w:color w:val="010000"/>
        </w:rPr>
      </w:pPr>
    </w:p>
    <w:p>
      <w:pPr>
        <w:ind w:left="660" w:right="20" w:firstLine="644"/>
        <w:spacing w:after="0" w:line="328" w:lineRule="auto"/>
        <w:tabs>
          <w:tab w:leader="none" w:pos="2172"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all Events of Default, other than the non-payment of the principal of, and interest on, the Notes that have become due solely by such acceleration declaration, have been cured or waived as provided in Section 513.</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06"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If the Notes are accelerated or otherwise become due prior to their Stated Maturity, in each case, as a result of an Event of Default (including, but not limited to, upon the occurrence of a bankruptcy or insolvency event (including the acceleration of claims by operation of law)) on or after August 28, 2021, the amount of principal of, accrued and unpaid interest and premium</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line="245" w:lineRule="auto"/>
        <w:rPr>
          <w:sz w:val="20"/>
          <w:szCs w:val="20"/>
          <w:color w:val="auto"/>
        </w:rPr>
      </w:pPr>
      <w:r>
        <w:rPr>
          <w:rFonts w:ascii="Arial" w:cs="Arial" w:eastAsia="Arial" w:hAnsi="Arial"/>
          <w:sz w:val="21"/>
          <w:szCs w:val="21"/>
          <w:color w:val="auto"/>
        </w:rPr>
        <w:t>on the Notes that becomes due and payable shall equal the optional redemption price, plus accrued and unpaid interest to the redemption date, that would be applicable with respect to an optional redemption of the applicable Notes on the date of such acceleration as if such acceleration were an optional redemption of the Notes accelerated. If the Notes are accelerated or otherwise become due prior to their Stated Maturity date, in each case, as a result of an Event of Default (including, but not limited to, upon the occurrence of a bankruptcy or insolvency event (including the acceleration of claims by operation of law)) prior to August 28, 2021, the amount of principal of, accrued and unpaid interest and premium on the Notes that becomes due and payable shall equal 100% of the principal amount of the Notes prepaid plus the Make Whole Premium in effect on the date of such acceleration, plus accrued and unpaid interest to the redemption date, as if such acceleration were an optional redemption of the Notes accelerated.</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In any such case, the optional redemption price or the principal amount of the Notes plus the Make Whole Premium, as applicable, shall constitute part of the Notes, in view of the impracticability and extreme difficulty of ascertaining actual damages and by mutual agreement of the Parent Guarantor, the Issuer and the Subsidiary Guarantors, on the one hand, and the Holders, on the other hand, as to a reasonable calculation of each Holder’s lost profits as a result thereof. Any amounts payable pursuant to the above shall be presumed to be the liquidated damages sustained by each Holder, and each of the Parent Guarantor, the Issuer and the Subsidiary Guarantors agrees that it is reasonable under the circumstances currently existing. The optional redemption price or the principal amount of the Notes plus the Make Whole Premium, as applicable, plus accrued and unpaid interest, shall also be payable in the event the Notes are satisfied or released by foreclosure (whether by power of judicial proceeding, deed in lieu of foreclosure or by any other means). EACH OF THE PARENT GUARANTOR, THE ISSUER AND THE SUBSIDIARY GUARANTORS EXPRESSLY WAIVES (TO THE FULLEST EXTENT IT MAY LAWFULLY DO SO) THE PROVISIONS OF ANY PRESENT OR FUTURE STATUTE OR LAW THAT PROHIBITS OR MAY PROHIBIT THE COLLECTION OF THE FOREGOING AMOUNTS IN CONNECTION WITH ANY SUCH ACCELERATION. Each of the Parent Guarantor, the Issuer and the Subsidiary Guarantors expressly agrees (to the fullest extent it may lawfully do so) that: (A) each of the optional redemption price or the principal amount of the Notes plus the Make Whole Premium, as applicable, is reasonable and is the product of an arm’s length transaction between sophisticated business people, ably represented by counsel; (B) the optional redemption price or the principal amount of the Notes plus the Make Whole Premium, as applicable shall be payable notwithstanding the then prevailing market rates at the time payment is made; (C) there has been a course of conduct between the Holders, the Parent Guarantor, the Issuer and the Subsidiary Guarantors giving specific consideration in this transaction for such agreement to pay the optional redemption price or the principal amount of the Notes plus the Make Whole Premium, as applicable; and (D) the Parent Guarantor, the Issuer and the Subsidiary Guarantors shall be estopped hereafter from claiming differently than as agreed to in this paragraph. Each of the Parent Guarantor, the Issuer and the Subsidiary Guarantors expressly acknowledges that its agreement to pay the optional redemption price or the principal amount of the Notes plus the Make Whole Premium, as applicable to the Holders as herein described is a material inducement to the Holders to purchase the Notes.</w:t>
      </w:r>
    </w:p>
    <w:p>
      <w:pPr>
        <w:spacing w:after="0" w:line="18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ind w:firstLine="648"/>
        <w:spacing w:after="0" w:line="279" w:lineRule="auto"/>
        <w:rPr>
          <w:sz w:val="20"/>
          <w:szCs w:val="20"/>
          <w:color w:val="auto"/>
        </w:rPr>
      </w:pPr>
      <w:r>
        <w:rPr>
          <w:rFonts w:ascii="Arial" w:cs="Arial" w:eastAsia="Arial" w:hAnsi="Arial"/>
          <w:sz w:val="19"/>
          <w:szCs w:val="19"/>
          <w:color w:val="auto"/>
        </w:rPr>
        <w:t>Subject to the First Lien Intercreditor Agreement, 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5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18"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as may be necessary or advisable in order to have claims of the Holders, the Trustee and the Collateral Agent allowed in any such proceeding. In particular, the Trustee shall be authorized to collect and receive any moneys or other property payable or deliverable on any such claims and to distribute the same; and any custodian, receiver, assignee, trustee, liquidator, sequestrator, examiner or other similar official in any such judicial proceeding is hereby authorized by each Holder to make such payments to the Trustee and, in the event that the Trustee shall consent to the making of such payments directly to the Holders, to pay to the Trustee and the Collateral Agent any amount due them for the compensation, expenses, disbursements and advances of the Trustee, the Collateral Agent, and their agents and counsel, and any other amounts due the Trustee and Collateral Agent under Sections 607 and 1508.</w:t>
      </w:r>
    </w:p>
    <w:p>
      <w:pPr>
        <w:spacing w:after="0" w:line="161"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Trustee may, on behalf of the Holders, vote for the election of a trustee in bankruptcy or similar official and be</w:t>
      </w:r>
      <w:r>
        <w:rPr>
          <w:rFonts w:ascii="Arial" w:cs="Arial" w:eastAsia="Arial" w:hAnsi="Arial"/>
          <w:sz w:val="22"/>
          <w:szCs w:val="22"/>
          <w:i w:val="1"/>
          <w:iCs w:val="1"/>
          <w:color w:val="auto"/>
        </w:rPr>
        <w:t xml:space="preserve"> </w:t>
      </w:r>
      <w:r>
        <w:rPr>
          <w:rFonts w:ascii="Arial" w:cs="Arial" w:eastAsia="Arial" w:hAnsi="Arial"/>
          <w:sz w:val="22"/>
          <w:szCs w:val="22"/>
          <w:color w:val="auto"/>
        </w:rPr>
        <w:t>a member of a creditors’ or other similar committee.</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Trustee May Enforce Claims Without Possession of Notes</w:t>
      </w:r>
      <w:r>
        <w:rPr>
          <w:rFonts w:ascii="Arial" w:cs="Arial" w:eastAsia="Arial" w:hAnsi="Arial"/>
          <w:sz w:val="16"/>
          <w:szCs w:val="16"/>
          <w:color w:val="auto"/>
        </w:rPr>
        <w:t>.</w:t>
      </w:r>
    </w:p>
    <w:p>
      <w:pPr>
        <w:spacing w:after="0" w:line="218"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 in respect of which such judgment has been recovered.</w:t>
      </w:r>
    </w:p>
    <w:p>
      <w:pPr>
        <w:spacing w:after="0" w:line="15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18"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Any money or property collected by the Trustee pursuant to this Article, including upon realization of the Collateral, but subject to the First Lien Intercreditor Agreement, shall be applied in the following order, at the date or dates fixed by the Trustee and, in case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7" w:name="page78"/>
    <w:bookmarkEnd w:id="77"/>
    <w:p>
      <w:pPr>
        <w:ind w:right="20"/>
        <w:spacing w:after="0" w:line="251" w:lineRule="auto"/>
        <w:rPr>
          <w:sz w:val="20"/>
          <w:szCs w:val="20"/>
          <w:color w:val="auto"/>
        </w:rPr>
      </w:pPr>
      <w:r>
        <w:rPr>
          <w:rFonts w:ascii="Arial" w:cs="Arial" w:eastAsia="Arial" w:hAnsi="Arial"/>
          <w:sz w:val="22"/>
          <w:szCs w:val="22"/>
          <w:color w:val="auto"/>
        </w:rPr>
        <w:t>distribution of such money or property on account of principal or any premium or interest, upon presentation of the Notes and the notation thereon of the payment if only partially paid and upon surrender thereof if fully paid:</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FIRST: To the payment of all amounts due the Trustee and the Collateral Agent under Sections 607 and 1508;</w:t>
      </w:r>
    </w:p>
    <w:p>
      <w:pPr>
        <w:spacing w:after="0" w:line="241" w:lineRule="exact"/>
        <w:rPr>
          <w:sz w:val="20"/>
          <w:szCs w:val="20"/>
          <w:color w:val="auto"/>
        </w:rPr>
      </w:pPr>
    </w:p>
    <w:p>
      <w:pPr>
        <w:jc w:val="both"/>
        <w:ind w:left="660" w:right="140" w:firstLine="648"/>
        <w:spacing w:after="0"/>
        <w:rPr>
          <w:sz w:val="20"/>
          <w:szCs w:val="20"/>
          <w:color w:val="auto"/>
        </w:rPr>
      </w:pPr>
      <w:r>
        <w:rPr>
          <w:rFonts w:ascii="Arial" w:cs="Arial" w:eastAsia="Arial" w:hAnsi="Arial"/>
          <w:sz w:val="22"/>
          <w:szCs w:val="22"/>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186" w:lineRule="exact"/>
        <w:rPr>
          <w:sz w:val="20"/>
          <w:szCs w:val="20"/>
          <w:color w:val="auto"/>
        </w:rPr>
      </w:pPr>
    </w:p>
    <w:p>
      <w:pPr>
        <w:ind w:left="660" w:right="40" w:firstLine="648"/>
        <w:spacing w:after="0" w:line="250" w:lineRule="auto"/>
        <w:rPr>
          <w:sz w:val="20"/>
          <w:szCs w:val="20"/>
          <w:color w:val="auto"/>
        </w:rPr>
      </w:pPr>
      <w:r>
        <w:rPr>
          <w:rFonts w:ascii="Arial" w:cs="Arial" w:eastAsia="Arial" w:hAnsi="Arial"/>
          <w:sz w:val="22"/>
          <w:szCs w:val="22"/>
          <w:color w:val="auto"/>
        </w:rPr>
        <w:t>THIRD: The remainder, if any, shall be paid to the Guarantors or the Issuer, as applicable, or to whomsoever may be lawfully entitled to receive the same, or as a court of competent jurisdiction may direct.</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w:t>
      </w:r>
    </w:p>
    <w:p>
      <w:pPr>
        <w:spacing w:after="0" w:line="218"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A Holder of Notes may not institute any proceeding, judicial or otherwise, with respect to the Indenture or the Notes, or for the appointment of a receiver or trustee, or for any other remedy hereunder, unless:</w:t>
      </w:r>
    </w:p>
    <w:p>
      <w:pPr>
        <w:spacing w:after="0" w:line="175" w:lineRule="exact"/>
        <w:rPr>
          <w:sz w:val="20"/>
          <w:szCs w:val="20"/>
          <w:color w:val="auto"/>
        </w:rPr>
      </w:pPr>
    </w:p>
    <w:p>
      <w:pPr>
        <w:ind w:left="2100" w:hanging="796"/>
        <w:spacing w:after="0"/>
        <w:tabs>
          <w:tab w:leader="none" w:pos="21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Holder gives to the Trustee written notice of a continuing Event of Default;</w:t>
      </w:r>
    </w:p>
    <w:p>
      <w:pPr>
        <w:spacing w:after="0" w:line="206" w:lineRule="exact"/>
        <w:rPr>
          <w:rFonts w:ascii="Arial" w:cs="Arial" w:eastAsia="Arial" w:hAnsi="Arial"/>
          <w:sz w:val="22"/>
          <w:szCs w:val="22"/>
          <w:color w:val="auto"/>
        </w:rPr>
      </w:pPr>
    </w:p>
    <w:p>
      <w:pPr>
        <w:ind w:left="660" w:right="200" w:firstLine="644"/>
        <w:spacing w:after="0" w:line="250" w:lineRule="auto"/>
        <w:tabs>
          <w:tab w:leader="none" w:pos="21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Holder or Holders of at least 25.0% in aggregate principal amount of the Outstanding Notes make a written request to the Trustee to pursue the remedy;</w:t>
      </w:r>
    </w:p>
    <w:p>
      <w:pPr>
        <w:spacing w:after="0" w:line="174" w:lineRule="exact"/>
        <w:rPr>
          <w:rFonts w:ascii="Arial" w:cs="Arial" w:eastAsia="Arial" w:hAnsi="Arial"/>
          <w:sz w:val="22"/>
          <w:szCs w:val="22"/>
          <w:color w:val="auto"/>
        </w:rPr>
      </w:pPr>
    </w:p>
    <w:p>
      <w:pPr>
        <w:ind w:left="660" w:right="100" w:firstLine="644"/>
        <w:spacing w:after="0" w:line="250" w:lineRule="auto"/>
        <w:tabs>
          <w:tab w:leader="none" w:pos="21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the Trustee indemnity satisfactory to the Trustee against any costs, liability or expense;</w:t>
      </w:r>
    </w:p>
    <w:p>
      <w:pPr>
        <w:spacing w:after="0" w:line="174" w:lineRule="exact"/>
        <w:rPr>
          <w:rFonts w:ascii="Arial" w:cs="Arial" w:eastAsia="Arial" w:hAnsi="Arial"/>
          <w:sz w:val="22"/>
          <w:szCs w:val="22"/>
          <w:color w:val="auto"/>
        </w:rPr>
      </w:pPr>
    </w:p>
    <w:p>
      <w:pPr>
        <w:ind w:left="2100" w:hanging="796"/>
        <w:spacing w:after="0"/>
        <w:tabs>
          <w:tab w:leader="none" w:pos="2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Trustee does not comply with the request within 60 days after receipt of the request and the offer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indemnity; and</w:t>
      </w:r>
    </w:p>
    <w:p>
      <w:pPr>
        <w:spacing w:after="0" w:line="188" w:lineRule="exact"/>
        <w:rPr>
          <w:rFonts w:ascii="Arial" w:cs="Arial" w:eastAsia="Arial" w:hAnsi="Arial"/>
          <w:sz w:val="19"/>
          <w:szCs w:val="19"/>
          <w:color w:val="auto"/>
        </w:rPr>
      </w:pPr>
    </w:p>
    <w:p>
      <w:pPr>
        <w:ind w:left="660" w:right="260" w:firstLine="644"/>
        <w:spacing w:after="0" w:line="250" w:lineRule="auto"/>
        <w:tabs>
          <w:tab w:leader="none" w:pos="21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Outstanding Notes do not give the Trustee a direction that is inconsistent with the request.</w:t>
      </w:r>
    </w:p>
    <w:p>
      <w:pPr>
        <w:spacing w:after="0" w:line="17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4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Unconditional Right of Holders to Receive Principal, Premium and Interest</w:t>
      </w:r>
      <w:r>
        <w:rPr>
          <w:rFonts w:ascii="Arial" w:cs="Arial" w:eastAsia="Arial" w:hAnsi="Arial"/>
          <w:sz w:val="16"/>
          <w:szCs w:val="16"/>
          <w:color w:val="auto"/>
        </w:rPr>
        <w:t>.</w:t>
      </w:r>
    </w:p>
    <w:p>
      <w:pPr>
        <w:spacing w:after="0" w:line="218"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Notwithstanding any other provision in the Indenture, the Holder of any Notes shall have the right, which is absolute and unconditional, to receive payment of the principal of and any premium and (subject to Section 307) interest on such Notes on the Stated Maturity expressed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ind w:right="80"/>
        <w:spacing w:after="0" w:line="258" w:lineRule="auto"/>
        <w:rPr>
          <w:sz w:val="20"/>
          <w:szCs w:val="20"/>
          <w:color w:val="auto"/>
        </w:rPr>
      </w:pPr>
      <w:r>
        <w:rPr>
          <w:rFonts w:ascii="Arial" w:cs="Arial" w:eastAsia="Arial" w:hAnsi="Arial"/>
          <w:sz w:val="21"/>
          <w:szCs w:val="21"/>
          <w:color w:val="auto"/>
        </w:rPr>
        <w:t>such Notes (or, in the case of acceleration, redemption or offer by the Issuer to purchase the Notes pursuant to the terms of the Indenture, on the date of acceleration, Redemption Date or purchase date, as applicable), and to bring suit for the enforcement of any such payment, which right shall not be impaired without the consent of such Holder.</w:t>
      </w:r>
    </w:p>
    <w:p>
      <w:pPr>
        <w:spacing w:after="0" w:line="17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1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1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9"/>
          <w:szCs w:val="19"/>
          <w:color w:val="auto"/>
        </w:rPr>
        <w:t>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subject to the terms of the First Lien Intercreditor Agreement. The assertion or employment of any right or remedy hereunder, or otherwise, shall not prevent the concurrent assertion or employment of any other appropriate right or remedy.</w:t>
      </w:r>
    </w:p>
    <w:p>
      <w:pPr>
        <w:spacing w:after="0" w:line="15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No delay or omission of the Trustee, the Collateral Agent or of any Holder to exercise any right or remedy accruing upon any Event of Default shall impair any such right or remedy or constitute a waiver of any such Event of Default or an acquiescence therein. Every right and remedy given by this Article or by law to the Trustee, the Collateral Agent or to the Holders may be exercised from time to time, and as often as may be deemed expedient, by the Trustee, the Collateral Agent or by the Holders, as the case may be.</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18"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 xml:space="preserve">Subject to Section 603(5), the Holders of a majority in aggregate principal amount of the then Outstanding Notes shall have the right to direct the time, method and place of conducting any proceeding for exercising any remedy available to the Trustee or the Collateral Agent, or exercising any trust or power conferred on the Trustee or the Collateral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34" w:lineRule="exact"/>
        <w:rPr>
          <w:sz w:val="20"/>
          <w:szCs w:val="20"/>
          <w:color w:val="auto"/>
        </w:rPr>
      </w:pPr>
    </w:p>
    <w:p>
      <w:pPr>
        <w:ind w:right="140" w:firstLine="656"/>
        <w:spacing w:after="0" w:line="236" w:lineRule="auto"/>
        <w:tabs>
          <w:tab w:leader="none" w:pos="1428"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the Trustee and the Collateral Agent may refuse to follow any direction that conflicts with any rule of law or with the Indenture, that may involve the Trustee or the Collateral Agent in personal liability, or that the Trustee or the Collateral Agent determines in good faith may be unduly prejudicial to the rights of Holders of Notes not joining in the giving of such direction (it being understood that the Trustee and the Collateral Agent have no duty to determine whether any such direction is prejudicial to any Holder),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9" w:name="page80"/>
    <w:bookmarkEnd w:id="79"/>
    <w:p>
      <w:pPr>
        <w:ind w:right="640" w:firstLine="656"/>
        <w:spacing w:after="0" w:line="251" w:lineRule="auto"/>
        <w:tabs>
          <w:tab w:leader="none" w:pos="1440"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the Trustee may take any other action deemed proper by the Trustee that is not inconsistent with any such direction received from such Holders of Notes.</w:t>
      </w:r>
    </w:p>
    <w:p>
      <w:pPr>
        <w:spacing w:after="0" w:line="18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Waiver of Existing Defaults</w:t>
      </w:r>
      <w:r>
        <w:rPr>
          <w:rFonts w:ascii="Arial" w:cs="Arial" w:eastAsia="Arial" w:hAnsi="Arial"/>
          <w:sz w:val="16"/>
          <w:szCs w:val="16"/>
          <w:color w:val="auto"/>
        </w:rPr>
        <w:t>.</w:t>
      </w:r>
    </w:p>
    <w:p>
      <w:pPr>
        <w:spacing w:after="0" w:line="218"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186" w:lineRule="exact"/>
        <w:rPr>
          <w:sz w:val="20"/>
          <w:szCs w:val="20"/>
          <w:color w:val="auto"/>
        </w:rPr>
      </w:pPr>
    </w:p>
    <w:p>
      <w:pPr>
        <w:ind w:right="40" w:firstLine="656"/>
        <w:spacing w:after="0"/>
        <w:tabs>
          <w:tab w:leader="none" w:pos="1428"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186" w:lineRule="exact"/>
        <w:rPr>
          <w:rFonts w:ascii="Arial" w:cs="Arial" w:eastAsia="Arial" w:hAnsi="Arial"/>
          <w:sz w:val="22"/>
          <w:szCs w:val="22"/>
          <w:color w:val="010000"/>
        </w:rPr>
      </w:pPr>
    </w:p>
    <w:p>
      <w:pPr>
        <w:ind w:right="240" w:firstLine="656"/>
        <w:spacing w:after="0" w:line="250" w:lineRule="auto"/>
        <w:tabs>
          <w:tab w:leader="none" w:pos="1440"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in respect of a covenant or provision hereof which under Article Nine cannot be modified or amended without the consent of the Holder of each Outstanding Note affected.</w:t>
      </w:r>
    </w:p>
    <w:p>
      <w:pPr>
        <w:spacing w:after="0" w:line="175"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1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having due regard to the merits and good faith of the claims or defenses made by the party litigant;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shall not be deemed to authorize any court to require such an undertaking or to make such an assessment in any suit instituted by the Issuer.</w:t>
      </w:r>
    </w:p>
    <w:p>
      <w:pPr>
        <w:spacing w:after="0" w:line="15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w:t>
      </w:r>
    </w:p>
    <w:p>
      <w:pPr>
        <w:spacing w:after="0" w:line="218"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5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u w:val="single" w:color="auto"/>
          <w:color w:val="auto"/>
        </w:rPr>
        <w:t>Subject to First Lien Intercreditor Agreement</w:t>
      </w:r>
      <w:r>
        <w:rPr>
          <w:rFonts w:ascii="Arial" w:cs="Arial" w:eastAsia="Arial" w:hAnsi="Arial"/>
          <w:sz w:val="16"/>
          <w:szCs w:val="16"/>
          <w:color w:val="auto"/>
        </w:rPr>
        <w:t>.</w:t>
      </w:r>
    </w:p>
    <w:p>
      <w:pPr>
        <w:spacing w:after="0" w:line="218"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Notwithstanding anything herein to the contrary, it is hereby understood and agreed that (i) the Liens and security interests granted to the Collateral Agent for the benefit of the Holder Group pursuant to the Notes Documents and (ii) the exercise of any right or remedy by the Trustee or the Collateral Agent under the Notes Documents or the application of proceeds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0" w:name="page81"/>
    <w:bookmarkEnd w:id="80"/>
    <w:p>
      <w:pPr>
        <w:ind w:right="160"/>
        <w:spacing w:after="0" w:line="251" w:lineRule="auto"/>
        <w:rPr>
          <w:sz w:val="20"/>
          <w:szCs w:val="20"/>
          <w:color w:val="auto"/>
        </w:rPr>
      </w:pPr>
      <w:r>
        <w:rPr>
          <w:rFonts w:ascii="Arial" w:cs="Arial" w:eastAsia="Arial" w:hAnsi="Arial"/>
          <w:sz w:val="22"/>
          <w:szCs w:val="22"/>
          <w:color w:val="auto"/>
        </w:rPr>
        <w:t>(including insurance and condemnation proceeds) of any Collateral, in each case, are subject to the limitations and provisions of the First Lien Intercreditor Agreement to the extent provided therein.</w:t>
      </w:r>
    </w:p>
    <w:p>
      <w:pPr>
        <w:spacing w:after="0" w:line="167"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SIX</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THE TRUSTEE</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w:t>
      </w:r>
    </w:p>
    <w:p>
      <w:pPr>
        <w:spacing w:after="0" w:line="218"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or the other Notes Documents against the Trustee; and in the absence of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80"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The Trustee will not be liable for interest on any money received by it except as the Trustee may agree in writing with the Issuer. Money held in trust by the Trustee need not be segregated from other funds except to the extent required by law. The Trustee will not be liable with respect to any action it takes or omits to take in good faith in accordance with a direction received by it pursuant to Section 512. The Trustee may not be relieved from liabilities for its own grossly negligent action, its own grossly negligent failure to act, or its own willful misconduct as determined by a final order of a court of competent jurisdiction, except that the Trustee will not be liable for any error of judgment made in good faith by a Responsible Officer, unless it is proved that the Trustee was grossly negligent in ascertaining the pertinent facts. Whether or not therein expressly so provided, every provision of the Indenture relating to the conduct or affecting the liability of or affording protection to the Trustee shall be subject to the provisions of this Section.</w:t>
      </w:r>
    </w:p>
    <w:p>
      <w:pPr>
        <w:spacing w:after="0" w:line="200" w:lineRule="exact"/>
        <w:rPr>
          <w:sz w:val="20"/>
          <w:szCs w:val="20"/>
          <w:color w:val="auto"/>
        </w:rPr>
      </w:pPr>
    </w:p>
    <w:p>
      <w:pPr>
        <w:spacing w:after="0" w:line="21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18"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 xml:space="preserve">If a default occurs hereunder and is continuing which is actually known to a Responsible Officer of the Trustee, the Trustee shall give the Holders of the Notes notice of such default within 90 days after it becomes known to such Responsible Officer;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case of any default of the character specified in Section 501(4) or 501(5), no such notice to Holders shall be given until at least 30 days after the occurrence thereof. For the purpose of this Section, the term “default” means any Event of Default and any event which is, or after notice or lapse of time or both would become, an Event of Default. Except in the case of a default or Event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ind w:right="100"/>
        <w:spacing w:after="0" w:line="274" w:lineRule="auto"/>
        <w:rPr>
          <w:sz w:val="20"/>
          <w:szCs w:val="20"/>
          <w:color w:val="auto"/>
        </w:rPr>
      </w:pPr>
      <w:r>
        <w:rPr>
          <w:rFonts w:ascii="Arial" w:cs="Arial" w:eastAsia="Arial" w:hAnsi="Arial"/>
          <w:sz w:val="21"/>
          <w:szCs w:val="21"/>
          <w:color w:val="auto"/>
        </w:rPr>
        <w:t>of Default in payment of principal of, premium on, if any, or interest on, any Note, the Trustee may withhold the notice if and so long as it in good faith determines that withholding the notice is in the interests of the Holders of the Notes.</w:t>
      </w:r>
    </w:p>
    <w:p>
      <w:pPr>
        <w:spacing w:after="0" w:line="15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4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provisions of Section 601:</w:t>
      </w:r>
    </w:p>
    <w:p>
      <w:pPr>
        <w:spacing w:after="0" w:line="206" w:lineRule="exact"/>
        <w:rPr>
          <w:sz w:val="20"/>
          <w:szCs w:val="20"/>
          <w:color w:val="auto"/>
        </w:rPr>
      </w:pPr>
    </w:p>
    <w:p>
      <w:pPr>
        <w:ind w:left="660" w:firstLine="644"/>
        <w:spacing w:after="0" w:line="238" w:lineRule="auto"/>
        <w:tabs>
          <w:tab w:leader="none" w:pos="2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4" w:lineRule="exact"/>
        <w:rPr>
          <w:rFonts w:ascii="Arial" w:cs="Arial" w:eastAsia="Arial" w:hAnsi="Arial"/>
          <w:sz w:val="22"/>
          <w:szCs w:val="22"/>
          <w:color w:val="auto"/>
        </w:rPr>
      </w:pPr>
    </w:p>
    <w:p>
      <w:pPr>
        <w:ind w:left="660" w:right="600" w:firstLine="644"/>
        <w:spacing w:after="0"/>
        <w:tabs>
          <w:tab w:leader="none" w:pos="2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186" w:lineRule="exact"/>
        <w:rPr>
          <w:rFonts w:ascii="Arial" w:cs="Arial" w:eastAsia="Arial" w:hAnsi="Arial"/>
          <w:sz w:val="22"/>
          <w:szCs w:val="22"/>
          <w:color w:val="auto"/>
        </w:rPr>
      </w:pPr>
    </w:p>
    <w:p>
      <w:pPr>
        <w:ind w:left="660" w:right="340" w:firstLine="644"/>
        <w:spacing w:after="0" w:line="238" w:lineRule="auto"/>
        <w:tabs>
          <w:tab w:leader="none" w:pos="2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rely upon an Officers’ Certificate;</w:t>
      </w:r>
    </w:p>
    <w:p>
      <w:pPr>
        <w:spacing w:after="0" w:line="184" w:lineRule="exact"/>
        <w:rPr>
          <w:rFonts w:ascii="Arial" w:cs="Arial" w:eastAsia="Arial" w:hAnsi="Arial"/>
          <w:sz w:val="22"/>
          <w:szCs w:val="22"/>
          <w:color w:val="auto"/>
        </w:rPr>
      </w:pPr>
    </w:p>
    <w:p>
      <w:pPr>
        <w:jc w:val="both"/>
        <w:ind w:left="660" w:right="120" w:firstLine="644"/>
        <w:spacing w:after="0"/>
        <w:tabs>
          <w:tab w:leader="none" w:pos="2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86" w:lineRule="exact"/>
        <w:rPr>
          <w:rFonts w:ascii="Arial" w:cs="Arial" w:eastAsia="Arial" w:hAnsi="Arial"/>
          <w:sz w:val="22"/>
          <w:szCs w:val="22"/>
          <w:color w:val="auto"/>
        </w:rPr>
      </w:pPr>
    </w:p>
    <w:p>
      <w:pPr>
        <w:jc w:val="both"/>
        <w:ind w:left="660" w:right="300" w:firstLine="644"/>
        <w:spacing w:after="0"/>
        <w:tabs>
          <w:tab w:leader="none" w:pos="2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w:t>
      </w:r>
    </w:p>
    <w:p>
      <w:pPr>
        <w:spacing w:after="0" w:line="186" w:lineRule="exact"/>
        <w:rPr>
          <w:rFonts w:ascii="Arial" w:cs="Arial" w:eastAsia="Arial" w:hAnsi="Arial"/>
          <w:sz w:val="22"/>
          <w:szCs w:val="22"/>
          <w:color w:val="auto"/>
        </w:rPr>
      </w:pPr>
    </w:p>
    <w:p>
      <w:pPr>
        <w:ind w:left="660" w:right="160" w:firstLine="644"/>
        <w:spacing w:after="0" w:line="287" w:lineRule="auto"/>
        <w:tabs>
          <w:tab w:leader="none" w:pos="21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the Indenture at the request or direction of any of the Holders pursuant to the Indenture, unless such Holders shall have offered, and if requested, provided to the Trustee security or indemnity satisfactory to the Trustee against the fees, costs, expenses and liabilities which might be incurred by it in compliance with such request or direction;</w:t>
      </w:r>
    </w:p>
    <w:p>
      <w:pPr>
        <w:spacing w:after="0" w:line="142" w:lineRule="exact"/>
        <w:rPr>
          <w:rFonts w:ascii="Arial" w:cs="Arial" w:eastAsia="Arial" w:hAnsi="Arial"/>
          <w:sz w:val="19"/>
          <w:szCs w:val="19"/>
          <w:color w:val="auto"/>
        </w:rPr>
      </w:pPr>
    </w:p>
    <w:p>
      <w:pPr>
        <w:ind w:left="660" w:right="20" w:firstLine="644"/>
        <w:spacing w:after="0" w:line="250" w:lineRule="auto"/>
        <w:tabs>
          <w:tab w:leader="none" w:pos="2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opinion, report, notice,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2" w:name="page83"/>
    <w:bookmarkEnd w:id="82"/>
    <w:p>
      <w:pPr>
        <w:ind w:left="660" w:right="80"/>
        <w:spacing w:after="0" w:line="252" w:lineRule="auto"/>
        <w:rPr>
          <w:sz w:val="20"/>
          <w:szCs w:val="20"/>
          <w:color w:val="auto"/>
        </w:rPr>
      </w:pPr>
      <w:r>
        <w:rPr>
          <w:rFonts w:ascii="Arial" w:cs="Arial" w:eastAsia="Arial" w:hAnsi="Arial"/>
          <w:sz w:val="21"/>
          <w:szCs w:val="21"/>
          <w:color w:val="auto"/>
        </w:rPr>
        <w:t>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74" w:lineRule="exact"/>
        <w:rPr>
          <w:sz w:val="20"/>
          <w:szCs w:val="20"/>
          <w:color w:val="auto"/>
        </w:rPr>
      </w:pPr>
    </w:p>
    <w:p>
      <w:pPr>
        <w:jc w:val="both"/>
        <w:ind w:left="660" w:right="440" w:firstLine="644"/>
        <w:spacing w:after="0" w:line="297" w:lineRule="auto"/>
        <w:tabs>
          <w:tab w:leader="none" w:pos="21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Trustee shall not be responsible for genuineness, enforceability, collectability, value, sufficiency, location or existence of any Collateral, or the validity, effectiveness, enforceability, sufficiency, extent, perfection or priority of any Lien, or for monitoring the value of the Collateral that is released from the Lien hereunder;</w:t>
      </w:r>
    </w:p>
    <w:p>
      <w:pPr>
        <w:spacing w:after="0" w:line="133" w:lineRule="exact"/>
        <w:rPr>
          <w:rFonts w:ascii="Arial" w:cs="Arial" w:eastAsia="Arial" w:hAnsi="Arial"/>
          <w:sz w:val="19"/>
          <w:szCs w:val="19"/>
          <w:color w:val="auto"/>
        </w:rPr>
      </w:pPr>
    </w:p>
    <w:p>
      <w:pPr>
        <w:ind w:left="660" w:right="60" w:firstLine="644"/>
        <w:spacing w:after="0"/>
        <w:tabs>
          <w:tab w:leader="none" w:pos="21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6" w:lineRule="exact"/>
        <w:rPr>
          <w:rFonts w:ascii="Arial" w:cs="Arial" w:eastAsia="Arial" w:hAnsi="Arial"/>
          <w:sz w:val="22"/>
          <w:szCs w:val="22"/>
          <w:color w:val="auto"/>
        </w:rPr>
      </w:pPr>
    </w:p>
    <w:p>
      <w:pPr>
        <w:ind w:left="660" w:right="440" w:firstLine="644"/>
        <w:spacing w:after="0" w:line="250" w:lineRule="auto"/>
        <w:tabs>
          <w:tab w:leader="none" w:pos="22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authorized or within its rights;</w:t>
      </w:r>
    </w:p>
    <w:p>
      <w:pPr>
        <w:spacing w:after="0" w:line="174" w:lineRule="exact"/>
        <w:rPr>
          <w:rFonts w:ascii="Arial" w:cs="Arial" w:eastAsia="Arial" w:hAnsi="Arial"/>
          <w:sz w:val="22"/>
          <w:szCs w:val="22"/>
          <w:color w:val="auto"/>
        </w:rPr>
      </w:pPr>
    </w:p>
    <w:p>
      <w:pPr>
        <w:ind w:left="660" w:firstLine="644"/>
        <w:spacing w:after="0" w:line="249" w:lineRule="auto"/>
        <w:tabs>
          <w:tab w:leader="none" w:pos="22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epidemics, or the unavailability of the Federal Reserve Bank wire or facsimile or other wire or communication facility);</w:t>
      </w:r>
    </w:p>
    <w:p>
      <w:pPr>
        <w:spacing w:after="0" w:line="178" w:lineRule="exact"/>
        <w:rPr>
          <w:rFonts w:ascii="Arial" w:cs="Arial" w:eastAsia="Arial" w:hAnsi="Arial"/>
          <w:sz w:val="21"/>
          <w:szCs w:val="21"/>
          <w:color w:val="auto"/>
        </w:rPr>
      </w:pPr>
    </w:p>
    <w:p>
      <w:pPr>
        <w:ind w:left="660" w:right="40" w:firstLine="644"/>
        <w:spacing w:after="0" w:line="235" w:lineRule="auto"/>
        <w:tabs>
          <w:tab w:leader="none" w:pos="22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w:t>
      </w:r>
    </w:p>
    <w:p>
      <w:pPr>
        <w:spacing w:after="0" w:line="187" w:lineRule="exact"/>
        <w:rPr>
          <w:rFonts w:ascii="Arial" w:cs="Arial" w:eastAsia="Arial" w:hAnsi="Arial"/>
          <w:sz w:val="22"/>
          <w:szCs w:val="22"/>
          <w:color w:val="auto"/>
        </w:rPr>
      </w:pPr>
    </w:p>
    <w:p>
      <w:pPr>
        <w:ind w:left="660" w:right="60" w:firstLine="644"/>
        <w:spacing w:after="0" w:line="297" w:lineRule="auto"/>
        <w:tabs>
          <w:tab w:leader="none" w:pos="2208"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special, indirect, punitive, incidental or consequential loss or damage of any kind whatsoever (including, but not limited to, loss of profit) irrespective of whether such Trustee has been advised of the likelihood of such loss or damage and regardless of the form of action; and</w:t>
      </w:r>
    </w:p>
    <w:p>
      <w:pPr>
        <w:spacing w:after="0" w:line="133" w:lineRule="exact"/>
        <w:rPr>
          <w:rFonts w:ascii="Arial" w:cs="Arial" w:eastAsia="Arial" w:hAnsi="Arial"/>
          <w:sz w:val="19"/>
          <w:szCs w:val="19"/>
          <w:color w:val="auto"/>
        </w:rPr>
      </w:pPr>
    </w:p>
    <w:p>
      <w:pPr>
        <w:ind w:left="2200" w:hanging="896"/>
        <w:spacing w:after="0"/>
        <w:tabs>
          <w:tab w:leader="none" w:pos="22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permissive rights of the Trustee herein and in the other Notes Documents shall not be construed as a</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duty.</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Not Responsible for Recitals or Issuance of Notes</w:t>
      </w:r>
      <w:r>
        <w:rPr>
          <w:rFonts w:ascii="Arial" w:cs="Arial" w:eastAsia="Arial" w:hAnsi="Arial"/>
          <w:sz w:val="16"/>
          <w:szCs w:val="16"/>
          <w:color w:val="auto"/>
        </w:rPr>
        <w:t>.</w:t>
      </w:r>
    </w:p>
    <w:p>
      <w:pPr>
        <w:spacing w:after="0" w:line="218"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The recitals contained herein and in the Notes, except the Trustee’s certificates of authentication, shall be taken as the statements of the Issuer and neither the Trustee nor any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3" w:name="page84"/>
    <w:bookmarkEnd w:id="83"/>
    <w:p>
      <w:pPr>
        <w:jc w:val="both"/>
        <w:ind w:right="40"/>
        <w:spacing w:after="0" w:line="241" w:lineRule="auto"/>
        <w:rPr>
          <w:sz w:val="20"/>
          <w:szCs w:val="20"/>
          <w:color w:val="auto"/>
        </w:rPr>
      </w:pPr>
      <w:r>
        <w:rPr>
          <w:rFonts w:ascii="Arial" w:cs="Arial" w:eastAsia="Arial" w:hAnsi="Arial"/>
          <w:sz w:val="22"/>
          <w:szCs w:val="22"/>
          <w:color w:val="auto"/>
        </w:rPr>
        <w:t>Authenticating Agent assumes any responsibility for their correctness. The Trustee makes no representations as to the validity or sufficiency of the Indenture, the Notes or the other Notes Documents. Neither the Trustee nor any Authenticating Agent shall be accountable for the use or application by the Issuer of Notes or the proceeds thereof.</w:t>
      </w:r>
    </w:p>
    <w:p>
      <w:pPr>
        <w:spacing w:after="0" w:line="19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May Hold Notes</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Trustee, any Authenticating Agent, any Paying Agent, any Registrar, the Collateral Agent or any other agent of the Issuer, in its individual or any other capacity, may become the owner or pledgee of Notes and, subject to Sections 608 and 613, may otherwise deal with the Issuer with the same rights it would have if it were not Trustee, Authenticating Agent, Paying Agent, Registrar, Collateral Agent or such other agent.</w:t>
      </w:r>
    </w:p>
    <w:p>
      <w:pPr>
        <w:spacing w:after="0" w:line="19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Money Held in Trust</w:t>
      </w:r>
      <w:r>
        <w:rPr>
          <w:rFonts w:ascii="Arial" w:cs="Arial" w:eastAsia="Arial" w:hAnsi="Arial"/>
          <w:sz w:val="16"/>
          <w:szCs w:val="16"/>
          <w:color w:val="auto"/>
        </w:rPr>
        <w:t>.</w:t>
      </w:r>
    </w:p>
    <w:p>
      <w:pPr>
        <w:spacing w:after="0" w:line="218"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5"/>
          <w:szCs w:val="15"/>
          <w:u w:val="single" w:color="auto"/>
          <w:color w:val="auto"/>
        </w:rPr>
        <w:t>Compensation and Reimbursement</w:t>
      </w:r>
      <w:r>
        <w:rPr>
          <w:rFonts w:ascii="Arial" w:cs="Arial" w:eastAsia="Arial" w:hAnsi="Arial"/>
          <w:sz w:val="15"/>
          <w:szCs w:val="15"/>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agrees:</w:t>
      </w:r>
    </w:p>
    <w:p>
      <w:pPr>
        <w:spacing w:after="0" w:line="206" w:lineRule="exact"/>
        <w:rPr>
          <w:sz w:val="20"/>
          <w:szCs w:val="20"/>
          <w:color w:val="auto"/>
        </w:rPr>
      </w:pPr>
    </w:p>
    <w:p>
      <w:pPr>
        <w:ind w:right="800" w:firstLine="656"/>
        <w:spacing w:after="0" w:line="328" w:lineRule="auto"/>
        <w:tabs>
          <w:tab w:leader="none" w:pos="1428"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04" w:lineRule="exact"/>
        <w:rPr>
          <w:rFonts w:ascii="Arial" w:cs="Arial" w:eastAsia="Arial" w:hAnsi="Arial"/>
          <w:sz w:val="19"/>
          <w:szCs w:val="19"/>
          <w:color w:val="010000"/>
        </w:rPr>
      </w:pPr>
    </w:p>
    <w:p>
      <w:pPr>
        <w:ind w:right="20" w:firstLine="656"/>
        <w:spacing w:after="0" w:line="236" w:lineRule="auto"/>
        <w:tabs>
          <w:tab w:leader="none" w:pos="1440" w:val="left"/>
        </w:tabs>
        <w:numPr>
          <w:ilvl w:val="0"/>
          <w:numId w:val="77"/>
        </w:numPr>
        <w:rPr>
          <w:rFonts w:ascii="Arial" w:cs="Arial" w:eastAsia="Arial" w:hAnsi="Arial"/>
          <w:sz w:val="22"/>
          <w:szCs w:val="22"/>
          <w:color w:val="010000"/>
        </w:rPr>
      </w:pPr>
      <w:r>
        <w:rPr>
          <w:rFonts w:ascii="Arial" w:cs="Arial" w:eastAsia="Arial" w:hAnsi="Arial"/>
          <w:sz w:val="22"/>
          <w:szCs w:val="22"/>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and the Notes Documents, except any such expense, disbursement or advance as may be attributable to its gross negligence or willful misconduct as determined by a final order of a court of competent jurisdiction; and</w:t>
      </w:r>
    </w:p>
    <w:p>
      <w:pPr>
        <w:spacing w:after="0" w:line="187" w:lineRule="exact"/>
        <w:rPr>
          <w:rFonts w:ascii="Arial" w:cs="Arial" w:eastAsia="Arial" w:hAnsi="Arial"/>
          <w:sz w:val="22"/>
          <w:szCs w:val="22"/>
          <w:color w:val="010000"/>
        </w:rPr>
      </w:pPr>
    </w:p>
    <w:p>
      <w:pPr>
        <w:ind w:right="80" w:firstLine="656"/>
        <w:spacing w:after="0" w:line="235" w:lineRule="auto"/>
        <w:tabs>
          <w:tab w:leader="none" w:pos="1428" w:val="left"/>
        </w:tabs>
        <w:numPr>
          <w:ilvl w:val="0"/>
          <w:numId w:val="77"/>
        </w:numPr>
        <w:rPr>
          <w:rFonts w:ascii="Arial" w:cs="Arial" w:eastAsia="Arial" w:hAnsi="Arial"/>
          <w:sz w:val="22"/>
          <w:szCs w:val="22"/>
          <w:color w:val="010000"/>
        </w:rPr>
      </w:pPr>
      <w:r>
        <w:rPr>
          <w:rFonts w:ascii="Arial" w:cs="Arial" w:eastAsia="Arial" w:hAnsi="Arial"/>
          <w:sz w:val="22"/>
          <w:szCs w:val="22"/>
          <w:color w:val="auto"/>
        </w:rPr>
        <w:t>to indemnify, jointly and severally with the Guarantors, the Trustee for, and to hold it harmless against, any loss, liability or expense incurred without gross negligence or willful misconduct on the Trustee’s part as determined by a final order of a court of competent jurisdiction, arising out of or in connection with the acceptance or administration of the trust or trusts hereunder and the other Notes Documents (including enforcing this Section 607), including the costs and expenses of defending itself against any claim or liability in connection with the exercise or performance of any of its powers or duties hereunder and under the other Notes Documents.</w:t>
      </w:r>
    </w:p>
    <w:p>
      <w:pPr>
        <w:spacing w:after="0" w:line="188"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The obligations of the Issuer under this Section 607 shall survive the satisfaction and discharge of the Indenture and the resignation or removal of the Trustee.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jc w:val="both"/>
        <w:ind w:right="420" w:firstLine="648"/>
        <w:spacing w:after="0" w:line="241" w:lineRule="auto"/>
        <w:rPr>
          <w:sz w:val="20"/>
          <w:szCs w:val="20"/>
          <w:color w:val="auto"/>
        </w:rPr>
      </w:pPr>
      <w:r>
        <w:rPr>
          <w:rFonts w:ascii="Arial" w:cs="Arial" w:eastAsia="Arial" w:hAnsi="Arial"/>
          <w:sz w:val="22"/>
          <w:szCs w:val="22"/>
          <w:color w:val="auto"/>
        </w:rPr>
        <w:t>To secure the Issuer’s payment obligations in this Section 607, the Trustee shall have a Lien prior to the Notes on all money or property held or collected by the Trustee, except that held in trust to pay principal and interest on particular Notes. Such Lien shall survive the satisfaction and discharge of the Indenture.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When the Trustee incurs expenses or renders services after the occurrence of an Event of Default specified in paragraph</w:t>
      </w:r>
    </w:p>
    <w:p>
      <w:pPr>
        <w:spacing w:after="0" w:line="43" w:lineRule="exact"/>
        <w:rPr>
          <w:sz w:val="20"/>
          <w:szCs w:val="20"/>
          <w:color w:val="auto"/>
        </w:rPr>
      </w:pPr>
    </w:p>
    <w:p>
      <w:pPr>
        <w:ind w:right="60" w:firstLine="8"/>
        <w:spacing w:after="0" w:line="273" w:lineRule="auto"/>
        <w:tabs>
          <w:tab w:leader="none" w:pos="306" w:val="left"/>
        </w:tabs>
        <w:numPr>
          <w:ilvl w:val="0"/>
          <w:numId w:val="78"/>
        </w:numPr>
        <w:rPr>
          <w:rFonts w:ascii="Arial" w:cs="Arial" w:eastAsia="Arial" w:hAnsi="Arial"/>
          <w:sz w:val="19"/>
          <w:szCs w:val="19"/>
          <w:color w:val="auto"/>
        </w:rPr>
      </w:pPr>
      <w:r>
        <w:rPr>
          <w:rFonts w:ascii="Arial" w:cs="Arial" w:eastAsia="Arial" w:hAnsi="Arial"/>
          <w:sz w:val="19"/>
          <w:szCs w:val="19"/>
          <w:color w:val="auto"/>
        </w:rPr>
        <w:t>or (8) of Section 501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examinership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16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There shall at all times be one (and only one) Trustee hereunder. Each Trustee shall be a Person that has a combined capital and surplus of at least $50.0 million. If any such Person publishes reports of condition at least annually, pursuant to law or to the requirements of its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7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258"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6"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The Trustee may resign at any time by giving written notice thereof to the Issuer.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185"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The Trustee may be removed at any time by Act of the Holders of a majority in aggregate principal amount of the Outstanding Notes (voting as a single class), delivered to the Trustee and to the Issuer.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at any time: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5" w:name="page86"/>
    <w:bookmarkEnd w:id="85"/>
    <w:p>
      <w:pPr>
        <w:ind w:left="660" w:right="380" w:firstLine="644"/>
        <w:spacing w:after="0" w:line="251" w:lineRule="auto"/>
        <w:tabs>
          <w:tab w:leader="none" w:pos="21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Trustee shall fail to comply with Section 608 after written request therefor by the Issuer or by any Holder who has been a bona fide Holder of a Note for at least six months;</w:t>
      </w:r>
    </w:p>
    <w:p>
      <w:pPr>
        <w:spacing w:after="0" w:line="173" w:lineRule="exact"/>
        <w:rPr>
          <w:rFonts w:ascii="Arial" w:cs="Arial" w:eastAsia="Arial" w:hAnsi="Arial"/>
          <w:sz w:val="22"/>
          <w:szCs w:val="22"/>
          <w:color w:val="auto"/>
        </w:rPr>
      </w:pPr>
    </w:p>
    <w:p>
      <w:pPr>
        <w:ind w:left="660" w:right="620" w:firstLine="644"/>
        <w:spacing w:after="0" w:line="250" w:lineRule="auto"/>
        <w:tabs>
          <w:tab w:leader="none" w:pos="21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Trustee shall cease to be eligible under Section 609 and shall fail to resign after written request therefor by the Issuer or by any such Holder; or</w:t>
      </w:r>
    </w:p>
    <w:p>
      <w:pPr>
        <w:spacing w:after="0" w:line="174" w:lineRule="exact"/>
        <w:rPr>
          <w:rFonts w:ascii="Arial" w:cs="Arial" w:eastAsia="Arial" w:hAnsi="Arial"/>
          <w:sz w:val="22"/>
          <w:szCs w:val="22"/>
          <w:color w:val="auto"/>
        </w:rPr>
      </w:pPr>
    </w:p>
    <w:p>
      <w:pPr>
        <w:ind w:left="660" w:right="80" w:firstLine="644"/>
        <w:spacing w:after="0"/>
        <w:tabs>
          <w:tab w:leader="none" w:pos="21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then, in any such case, (A) the Issuer by a resolution duly passed by its Board of Directors may remove the Trustee, or (B) subject to Section 514,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611.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611, become the successor Trustee and to that extent supersede the successor Trustee appointed by the Issuer. If no successor Trustee shall have been so appointed by the Issuer or the Holders and accepted appointment in the manner required by Section 611, any Holder who has been a bona fide Holder of a Note for at least six months may, on behalf of himself and all others similarly situated, petition any court of competent jurisdiction for the appointment of a successor Trustee.</w:t>
      </w:r>
    </w:p>
    <w:p>
      <w:pPr>
        <w:spacing w:after="0" w:line="155" w:lineRule="exact"/>
        <w:rPr>
          <w:sz w:val="20"/>
          <w:szCs w:val="20"/>
          <w:color w:val="auto"/>
        </w:rPr>
      </w:pPr>
    </w:p>
    <w:p>
      <w:pPr>
        <w:ind w:right="480" w:firstLine="648"/>
        <w:spacing w:after="0"/>
        <w:rPr>
          <w:sz w:val="20"/>
          <w:szCs w:val="20"/>
          <w:color w:val="auto"/>
        </w:rPr>
      </w:pPr>
      <w:r>
        <w:rPr>
          <w:rFonts w:ascii="Arial" w:cs="Arial" w:eastAsia="Arial" w:hAnsi="Arial"/>
          <w:sz w:val="22"/>
          <w:szCs w:val="22"/>
          <w:color w:val="auto"/>
        </w:rPr>
        <w:t>The Issuer shall give notice of each resignation and each removal of the Trustee and each appointment of a successor Trustee to all Holders of Notes in the manner provided in Section 106. Each notice shall include the name of the successor Trustee and the address of its Corporate Trust Office.</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218"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right="700"/>
        <w:spacing w:after="0" w:line="251" w:lineRule="auto"/>
        <w:rPr>
          <w:sz w:val="20"/>
          <w:szCs w:val="20"/>
          <w:color w:val="auto"/>
        </w:rPr>
      </w:pPr>
      <w:r>
        <w:rPr>
          <w:rFonts w:ascii="Arial" w:cs="Arial" w:eastAsia="Arial" w:hAnsi="Arial"/>
          <w:sz w:val="22"/>
          <w:szCs w:val="22"/>
          <w:color w:val="auto"/>
        </w:rPr>
        <w:t>successor Trustee all the rights, powers and trusts of the retiring Trustee and shall duly assign, transfer and deliver to such successor Trustee all property and money held by such retiring Trustee hereunder.</w:t>
      </w:r>
    </w:p>
    <w:p>
      <w:pPr>
        <w:spacing w:after="0" w:line="173"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8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No successor Trustee shall accept its appointment unless at the time of such acceptance such successor Trustee shall be qualified and eligible under this Article.</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w:t>
      </w:r>
    </w:p>
    <w:p>
      <w:pPr>
        <w:spacing w:after="0" w:line="218"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such corporation shall be otherwise qualified and eligible under this Article, without the execution or filing of any paper</w:t>
      </w:r>
      <w:r>
        <w:rPr>
          <w:rFonts w:ascii="Arial" w:cs="Arial" w:eastAsia="Arial" w:hAnsi="Arial"/>
          <w:sz w:val="22"/>
          <w:szCs w:val="22"/>
          <w:i w:val="1"/>
          <w:iCs w:val="1"/>
          <w:color w:val="auto"/>
        </w:rPr>
        <w:t xml:space="preserve"> </w:t>
      </w:r>
      <w:r>
        <w:rPr>
          <w:rFonts w:ascii="Arial" w:cs="Arial" w:eastAsia="Arial" w:hAnsi="Arial"/>
          <w:sz w:val="22"/>
          <w:szCs w:val="22"/>
          <w:color w:val="auto"/>
        </w:rPr>
        <w:t>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306, and Notes so authenticated shall be entitled to the benefits of the Indenture and shall be valid and obligatory for all purposes as if authenticated by the Trustee hereunder. Wherever reference is made in the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this Section, such Authenticating Agent shall resign immediately in the manner and with the effect specified in this Section.</w:t>
      </w:r>
    </w:p>
    <w:p>
      <w:pPr>
        <w:spacing w:after="0" w:line="241"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47"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106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58"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The Issuer agrees to pay to each Authenticating Agent from time to time reasonable compensation for its services under this Section.</w:t>
      </w:r>
    </w:p>
    <w:p>
      <w:pPr>
        <w:spacing w:after="0" w:line="175"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If an appointment is made pursuant to this Section, the Notes may have endorsed thereon, in addition to the Trustee’s certificate of authentication, an alternative certificate of authentication in the following form: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Notes designated therein referred to in the within-mentioned Indenture.</w:t>
      </w:r>
    </w:p>
    <w:p>
      <w:pPr>
        <w:spacing w:after="0" w:line="200" w:lineRule="exact"/>
        <w:rPr>
          <w:sz w:val="20"/>
          <w:szCs w:val="20"/>
          <w:color w:val="auto"/>
        </w:rPr>
      </w:pPr>
    </w:p>
    <w:p>
      <w:pPr>
        <w:spacing w:after="0" w:line="2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ILMINGTON</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 Trustee</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23495</wp:posOffset>
            </wp:positionV>
            <wp:extent cx="30861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4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23495</wp:posOffset>
            </wp:positionV>
            <wp:extent cx="308610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4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30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6"/>
          <w:szCs w:val="16"/>
          <w:u w:val="single" w:color="auto"/>
          <w:color w:val="auto"/>
        </w:rPr>
        <w:t>Collateral Documents.</w:t>
      </w:r>
    </w:p>
    <w:p>
      <w:pPr>
        <w:spacing w:after="0" w:line="21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By their acceptance of the Notes, the Holders hereby authorize and direct the Trustee and Collateral Agent, as the case may be, to execute and deliver any Collateral Documents in which the Trustee or the Collateral Agent, as applicable, is named as a party, including any Collateral Documents executed after the Initial Issuance Date. It is hereby expressly acknowledged 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ind w:right="200"/>
        <w:spacing w:after="0" w:line="248" w:lineRule="auto"/>
        <w:rPr>
          <w:sz w:val="20"/>
          <w:szCs w:val="20"/>
          <w:color w:val="auto"/>
        </w:rPr>
      </w:pPr>
      <w:r>
        <w:rPr>
          <w:rFonts w:ascii="Arial" w:cs="Arial" w:eastAsia="Arial" w:hAnsi="Arial"/>
          <w:sz w:val="21"/>
          <w:szCs w:val="21"/>
          <w:color w:val="auto"/>
        </w:rPr>
        <w:t>agreed that, in doing so, the Trustee and the Collateral Agent are (a) expressly authorized to make the representations attributed to Holders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any Collateral Documents, the Trustee and the Collateral Agent each shall have all of the rights, immunities, indemnities and other protections granted to it under this Indenture (in addition to those that may be granted to it under the terms of the Collateral Documents).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SEVEN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HOLDERS’ LISTS AND REPORTS BY TRUSTEE AND ISSUER</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Issuer to Furnish Trustee Names and Addresses of Holders</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will furnish or cause to be furnished to the Trustee:</w:t>
      </w:r>
    </w:p>
    <w:p>
      <w:pPr>
        <w:spacing w:after="0" w:line="206" w:lineRule="exact"/>
        <w:rPr>
          <w:sz w:val="20"/>
          <w:szCs w:val="20"/>
          <w:color w:val="auto"/>
        </w:rPr>
      </w:pPr>
    </w:p>
    <w:p>
      <w:pPr>
        <w:ind w:left="660" w:right="20" w:firstLine="644"/>
        <w:spacing w:after="0" w:line="328" w:lineRule="auto"/>
        <w:tabs>
          <w:tab w:leader="none" w:pos="2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104" w:lineRule="exact"/>
        <w:rPr>
          <w:rFonts w:ascii="Arial" w:cs="Arial" w:eastAsia="Arial" w:hAnsi="Arial"/>
          <w:sz w:val="19"/>
          <w:szCs w:val="19"/>
          <w:color w:val="auto"/>
        </w:rPr>
      </w:pPr>
    </w:p>
    <w:p>
      <w:pPr>
        <w:ind w:left="660" w:right="80" w:firstLine="644"/>
        <w:spacing w:after="0"/>
        <w:tabs>
          <w:tab w:leader="none" w:pos="21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excluding from any such list names and addresses received by the Trustee in its capacity as Registrar.</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Preservation of Information; Communications to Holders</w:t>
      </w:r>
      <w:r>
        <w:rPr>
          <w:rFonts w:ascii="Arial" w:cs="Arial" w:eastAsia="Arial" w:hAnsi="Arial"/>
          <w:sz w:val="16"/>
          <w:szCs w:val="16"/>
          <w:color w:val="auto"/>
        </w:rPr>
        <w:t>.</w:t>
      </w:r>
    </w:p>
    <w:p>
      <w:pPr>
        <w:spacing w:after="0" w:line="218"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Registrar. The Trustee may destroy any list furnished to it as provided in Section 701 upon receipt of a new list so furnished.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may communicate with other Holders with respect to their rights under this Indenture or the Notes.</w:t>
      </w:r>
    </w:p>
    <w:p>
      <w:pPr>
        <w:spacing w:after="0" w:line="206" w:lineRule="exact"/>
        <w:rPr>
          <w:sz w:val="20"/>
          <w:szCs w:val="20"/>
          <w:color w:val="auto"/>
        </w:rPr>
      </w:pPr>
    </w:p>
    <w:p>
      <w:pPr>
        <w:ind w:right="260" w:firstLine="648"/>
        <w:spacing w:after="0" w:line="238" w:lineRule="auto"/>
        <w:rPr>
          <w:sz w:val="20"/>
          <w:szCs w:val="20"/>
          <w:color w:val="auto"/>
        </w:rPr>
      </w:pPr>
      <w:r>
        <w:rPr>
          <w:rFonts w:ascii="Arial" w:cs="Arial" w:eastAsia="Arial" w:hAnsi="Arial"/>
          <w:sz w:val="22"/>
          <w:szCs w:val="22"/>
          <w:color w:val="auto"/>
        </w:rPr>
        <w:t>To the extent permitted by applicable law, none of the Issuer, the Trustee, the Registrar or anyone else shall be held accountable by reason of the disclosure of any material pursuant to a request made hereunder, including information as to the names and addresses of the Holders in accordance with the provisions of this section, regardless of the source from which such information was derived.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Section703.</w:t>
            </w:r>
          </w:p>
        </w:tc>
        <w:tc>
          <w:tcPr>
            <w:tcW w:w="9280" w:type="dxa"/>
            <w:vAlign w:val="bottom"/>
            <w:gridSpan w:val="2"/>
          </w:tcPr>
          <w:p>
            <w:pPr>
              <w:spacing w:after="0"/>
              <w:rPr>
                <w:sz w:val="20"/>
                <w:szCs w:val="20"/>
                <w:color w:val="auto"/>
              </w:rPr>
            </w:pPr>
            <w:r>
              <w:rPr>
                <w:rFonts w:ascii="Arial" w:cs="Arial" w:eastAsia="Arial" w:hAnsi="Arial"/>
                <w:sz w:val="18"/>
                <w:szCs w:val="18"/>
                <w:color w:val="auto"/>
                <w:w w:val="93"/>
              </w:rPr>
              <w:t>Reports by the Issuer. Whether or not required by the SEC, so long as any Notes are Outstanding, the Parent Guarantor will</w:t>
            </w:r>
          </w:p>
        </w:tc>
      </w:tr>
      <w:tr>
        <w:trPr>
          <w:trHeight w:val="20"/>
        </w:trPr>
        <w:tc>
          <w:tcPr>
            <w:tcW w:w="19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63"/>
        </w:trPr>
        <w:tc>
          <w:tcPr>
            <w:tcW w:w="1960" w:type="dxa"/>
            <w:vAlign w:val="bottom"/>
          </w:tcPr>
          <w:p>
            <w:pPr>
              <w:spacing w:after="0"/>
              <w:rPr>
                <w:sz w:val="22"/>
                <w:szCs w:val="22"/>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furnish to the Trustee and the Holders of Notes, or, to the extent permitted by the SEC, file electronically with the SEC through</w:t>
            </w:r>
          </w:p>
        </w:tc>
      </w:tr>
      <w:tr>
        <w:trPr>
          <w:trHeight w:val="243"/>
        </w:trPr>
        <w:tc>
          <w:tcPr>
            <w:tcW w:w="1960" w:type="dxa"/>
            <w:vAlign w:val="bottom"/>
          </w:tcPr>
          <w:p>
            <w:pPr>
              <w:spacing w:after="0"/>
              <w:rPr>
                <w:sz w:val="21"/>
                <w:szCs w:val="21"/>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the SEC’s Electronic Data Gathering, Analysis and Retrieval System (or</w:t>
            </w:r>
          </w:p>
        </w:tc>
      </w:tr>
      <w:tr>
        <w:trPr>
          <w:trHeight w:val="685"/>
        </w:trPr>
        <w:tc>
          <w:tcPr>
            <w:tcW w:w="1960" w:type="dxa"/>
            <w:vAlign w:val="bottom"/>
          </w:tcPr>
          <w:p>
            <w:pPr>
              <w:spacing w:after="0"/>
              <w:rPr>
                <w:sz w:val="24"/>
                <w:szCs w:val="24"/>
                <w:color w:val="auto"/>
              </w:rPr>
            </w:pPr>
          </w:p>
        </w:tc>
        <w:tc>
          <w:tcPr>
            <w:tcW w:w="9280" w:type="dxa"/>
            <w:vAlign w:val="bottom"/>
            <w:gridSpan w:val="2"/>
          </w:tcPr>
          <w:p>
            <w:pPr>
              <w:jc w:val="right"/>
              <w:ind w:right="5500"/>
              <w:spacing w:after="0"/>
              <w:rPr>
                <w:sz w:val="20"/>
                <w:szCs w:val="20"/>
                <w:color w:val="auto"/>
              </w:rPr>
            </w:pPr>
            <w:r>
              <w:rPr>
                <w:rFonts w:ascii="Arial" w:cs="Arial" w:eastAsia="Arial" w:hAnsi="Arial"/>
                <w:sz w:val="22"/>
                <w:szCs w:val="22"/>
                <w:color w:val="auto"/>
              </w:rPr>
              <w:t>78</w:t>
            </w:r>
          </w:p>
        </w:tc>
      </w:tr>
      <w:tr>
        <w:trPr>
          <w:trHeight w:val="51"/>
        </w:trPr>
        <w:tc>
          <w:tcPr>
            <w:tcW w:w="19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7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89" w:name="page90"/>
    <w:bookmarkEnd w:id="89"/>
    <w:p>
      <w:pPr>
        <w:ind w:left="1960"/>
        <w:spacing w:after="0"/>
        <w:rPr>
          <w:sz w:val="20"/>
          <w:szCs w:val="20"/>
          <w:color w:val="auto"/>
        </w:rPr>
      </w:pPr>
      <w:r>
        <w:rPr>
          <w:rFonts w:ascii="Arial" w:cs="Arial" w:eastAsia="Arial" w:hAnsi="Arial"/>
          <w:sz w:val="18"/>
          <w:szCs w:val="18"/>
          <w:color w:val="auto"/>
        </w:rPr>
        <w:t>any successor system) within the time periods specified in the SEC’s rules and regulations:</w:t>
      </w:r>
    </w:p>
    <w:p>
      <w:pPr>
        <w:spacing w:after="0" w:line="231" w:lineRule="exact"/>
        <w:rPr>
          <w:sz w:val="20"/>
          <w:szCs w:val="20"/>
          <w:color w:val="auto"/>
        </w:rPr>
      </w:pPr>
    </w:p>
    <w:p>
      <w:pPr>
        <w:ind w:left="660" w:right="40" w:firstLine="644"/>
        <w:spacing w:after="0" w:line="250" w:lineRule="auto"/>
        <w:tabs>
          <w:tab w:leader="none" w:pos="210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all quarterly and annual reports that would be required to be filed with the SEC on Forms 10-Q and 10-K if the Parent Guarantor were required to file such reports; and</w:t>
      </w:r>
    </w:p>
    <w:p>
      <w:pPr>
        <w:spacing w:after="0" w:line="174" w:lineRule="exact"/>
        <w:rPr>
          <w:rFonts w:ascii="Arial" w:cs="Arial" w:eastAsia="Arial" w:hAnsi="Arial"/>
          <w:sz w:val="22"/>
          <w:szCs w:val="22"/>
          <w:color w:val="auto"/>
        </w:rPr>
      </w:pPr>
    </w:p>
    <w:p>
      <w:pPr>
        <w:ind w:left="660" w:right="220" w:firstLine="644"/>
        <w:spacing w:after="0" w:line="250" w:lineRule="auto"/>
        <w:tabs>
          <w:tab w:leader="none" w:pos="210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all current reports that would be required to be filed with the SEC on Form 8-K if the Parent Guarantor were required to file such reports.</w:t>
      </w:r>
    </w:p>
    <w:p>
      <w:pPr>
        <w:spacing w:after="0" w:line="174" w:lineRule="exact"/>
        <w:rPr>
          <w:rFonts w:ascii="Arial" w:cs="Arial" w:eastAsia="Arial" w:hAnsi="Arial"/>
          <w:sz w:val="22"/>
          <w:szCs w:val="22"/>
          <w:color w:val="auto"/>
        </w:rPr>
      </w:pPr>
    </w:p>
    <w:p>
      <w:pPr>
        <w:ind w:firstLine="656"/>
        <w:spacing w:after="0" w:line="235" w:lineRule="auto"/>
        <w:tabs>
          <w:tab w:leader="none" w:pos="1440"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87" w:lineRule="exact"/>
        <w:rPr>
          <w:rFonts w:ascii="Arial" w:cs="Arial" w:eastAsia="Arial" w:hAnsi="Arial"/>
          <w:sz w:val="22"/>
          <w:szCs w:val="22"/>
          <w:color w:val="010000"/>
        </w:rPr>
      </w:pPr>
    </w:p>
    <w:p>
      <w:pPr>
        <w:jc w:val="both"/>
        <w:ind w:right="380" w:firstLine="656"/>
        <w:spacing w:after="0" w:line="257" w:lineRule="auto"/>
        <w:tabs>
          <w:tab w:leader="none" w:pos="1428"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169" w:lineRule="exact"/>
        <w:rPr>
          <w:rFonts w:ascii="Arial" w:cs="Arial" w:eastAsia="Arial" w:hAnsi="Arial"/>
          <w:sz w:val="21"/>
          <w:szCs w:val="21"/>
          <w:color w:val="010000"/>
        </w:rPr>
      </w:pPr>
    </w:p>
    <w:p>
      <w:pPr>
        <w:ind w:right="180" w:firstLine="656"/>
        <w:spacing w:after="0" w:line="238" w:lineRule="auto"/>
        <w:tabs>
          <w:tab w:leader="none" w:pos="1440"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Delivery of reports, information and documents to the Trustee under this Section 703 is for informational purposes only and the Trustee’s receipt of the foregoing shall not constitute actual or constructive notice of any information contained therein or determinable from information contained therein, as to which the Trustee is entitled to conclusively rely on an Officers’ Certificate of the Issuer.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EIGHT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CONSOLIDATION, MERGER, CONVEYANCE, TRANSFER OR LEASE</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Issuer and Guarantors May Consolidate, Etc., Only on Certain Terms</w:t>
      </w:r>
      <w:r>
        <w:rPr>
          <w:rFonts w:ascii="Arial" w:cs="Arial" w:eastAsia="Arial" w:hAnsi="Arial"/>
          <w:sz w:val="16"/>
          <w:szCs w:val="16"/>
          <w:color w:val="auto"/>
        </w:rPr>
        <w:t>.</w:t>
      </w:r>
    </w:p>
    <w:p>
      <w:pPr>
        <w:spacing w:after="0" w:line="218" w:lineRule="exact"/>
        <w:rPr>
          <w:sz w:val="20"/>
          <w:szCs w:val="20"/>
          <w:color w:val="auto"/>
        </w:rPr>
      </w:pPr>
    </w:p>
    <w:p>
      <w:pPr>
        <w:ind w:right="280" w:firstLine="648"/>
        <w:spacing w:after="0" w:line="274" w:lineRule="auto"/>
        <w:rPr>
          <w:sz w:val="20"/>
          <w:szCs w:val="20"/>
          <w:color w:val="auto"/>
        </w:rPr>
      </w:pPr>
      <w:r>
        <w:rPr>
          <w:rFonts w:ascii="Arial" w:cs="Arial" w:eastAsia="Arial" w:hAnsi="Arial"/>
          <w:sz w:val="21"/>
          <w:szCs w:val="21"/>
          <w:color w:val="auto"/>
        </w:rPr>
        <w:t>Neither the Issuer nor any Guarantor shall consolidate or amalgamate with, or merge into, any other Person, or convey, transfer or lease its properties and assets as, or substantially as, an entirety to any Person unless:</w:t>
      </w:r>
    </w:p>
    <w:p>
      <w:pPr>
        <w:spacing w:after="0" w:line="151" w:lineRule="exact"/>
        <w:rPr>
          <w:sz w:val="20"/>
          <w:szCs w:val="20"/>
          <w:color w:val="auto"/>
        </w:rPr>
      </w:pPr>
    </w:p>
    <w:p>
      <w:pPr>
        <w:ind w:left="660" w:right="100" w:firstLine="644"/>
        <w:spacing w:after="0" w:line="277" w:lineRule="auto"/>
        <w:tabs>
          <w:tab w:leader="none" w:pos="21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and the Collateral Documents then in effect on the part of the Issuer to be performed or observed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0" w:name="page91"/>
    <w:bookmarkEnd w:id="90"/>
    <w:p>
      <w:pPr>
        <w:jc w:val="both"/>
        <w:ind w:left="660" w:right="40"/>
        <w:spacing w:after="0" w:line="241" w:lineRule="auto"/>
        <w:rPr>
          <w:sz w:val="20"/>
          <w:szCs w:val="20"/>
          <w:color w:val="auto"/>
        </w:rPr>
      </w:pPr>
      <w:r>
        <w:rPr>
          <w:rFonts w:ascii="Arial" w:cs="Arial" w:eastAsia="Arial" w:hAnsi="Arial"/>
          <w:sz w:val="22"/>
          <w:szCs w:val="22"/>
          <w:color w:val="auto"/>
        </w:rPr>
        <w:t>or (b) in the case of a Successor Person to such Guarantor, all of the obligations of such Guarantor under the Guarantee of such Guarantor and the performance or observance of every covenant of the Indenture and the Collateral Documents then in effect on the part of such Guarantor to be performed or observed;</w:t>
      </w:r>
    </w:p>
    <w:p>
      <w:pPr>
        <w:spacing w:after="0" w:line="183" w:lineRule="exact"/>
        <w:rPr>
          <w:sz w:val="20"/>
          <w:szCs w:val="20"/>
          <w:color w:val="auto"/>
        </w:rPr>
      </w:pPr>
    </w:p>
    <w:p>
      <w:pPr>
        <w:ind w:left="660" w:right="700" w:firstLine="644"/>
        <w:spacing w:after="0" w:line="250" w:lineRule="auto"/>
        <w:tabs>
          <w:tab w:leader="none" w:pos="21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Event of Default and no Default shall have occurred and be continuing;</w:t>
      </w:r>
    </w:p>
    <w:p>
      <w:pPr>
        <w:spacing w:after="0" w:line="174" w:lineRule="exact"/>
        <w:rPr>
          <w:rFonts w:ascii="Arial" w:cs="Arial" w:eastAsia="Arial" w:hAnsi="Arial"/>
          <w:sz w:val="22"/>
          <w:szCs w:val="22"/>
          <w:color w:val="auto"/>
        </w:rPr>
      </w:pPr>
    </w:p>
    <w:p>
      <w:pPr>
        <w:ind w:left="660" w:right="160" w:firstLine="644"/>
        <w:spacing w:after="0"/>
        <w:tabs>
          <w:tab w:leader="none" w:pos="21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Issuer or such Guarantor, as the case may be, shall have delivered the documents, instruments and agreements required by Section 1017(b) within the applicable time periods prescribed therefor, subject to the Applicable Collateral Limitations; and</w:t>
      </w:r>
    </w:p>
    <w:p>
      <w:pPr>
        <w:spacing w:after="0" w:line="186" w:lineRule="exact"/>
        <w:rPr>
          <w:rFonts w:ascii="Arial" w:cs="Arial" w:eastAsia="Arial" w:hAnsi="Arial"/>
          <w:sz w:val="22"/>
          <w:szCs w:val="22"/>
          <w:color w:val="auto"/>
        </w:rPr>
      </w:pPr>
    </w:p>
    <w:p>
      <w:pPr>
        <w:ind w:left="660" w:right="420" w:firstLine="644"/>
        <w:spacing w:after="0" w:line="287" w:lineRule="auto"/>
        <w:tabs>
          <w:tab w:leader="none" w:pos="2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43"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However, clause (1) of this Section 801 shall not apply in circumstances under which Section 1404 provides for the release of the Guarantee of such Guarantor.</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Successor Substituted</w:t>
      </w:r>
      <w:r>
        <w:rPr>
          <w:rFonts w:ascii="Arial" w:cs="Arial" w:eastAsia="Arial" w:hAnsi="Arial"/>
          <w:sz w:val="15"/>
          <w:szCs w:val="15"/>
          <w:color w:val="auto"/>
        </w:rPr>
        <w:t>.</w:t>
      </w:r>
    </w:p>
    <w:p>
      <w:pPr>
        <w:spacing w:after="0" w:line="218"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801,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NINE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SUPPLEMENTAL INDENTURES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Supplemental Indentures Without Consent of Holders</w:t>
      </w:r>
      <w:r>
        <w:rPr>
          <w:rFonts w:ascii="Arial" w:cs="Arial" w:eastAsia="Arial" w:hAnsi="Arial"/>
          <w:sz w:val="16"/>
          <w:szCs w:val="16"/>
          <w:color w:val="auto"/>
        </w:rPr>
        <w:t>.</w:t>
      </w:r>
    </w:p>
    <w:p>
      <w:pPr>
        <w:spacing w:after="0" w:line="218"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Without the consent of any Holders, the Issuer, the Guarantors, the Trustee and the Collateral Agent, as applicable, at any time and from time to time, may enter into one or more indentures supplemental hereto in order to amend or supplement the Indenture, the Collateral Documents, the Guarantees or the Notes for any of the following purposes:</w:t>
      </w:r>
    </w:p>
    <w:p>
      <w:pPr>
        <w:spacing w:after="0" w:line="134" w:lineRule="exact"/>
        <w:rPr>
          <w:sz w:val="20"/>
          <w:szCs w:val="20"/>
          <w:color w:val="auto"/>
        </w:rPr>
      </w:pPr>
    </w:p>
    <w:p>
      <w:pPr>
        <w:ind w:left="5520" w:right="5080" w:hanging="4216"/>
        <w:spacing w:after="0" w:line="565" w:lineRule="auto"/>
        <w:tabs>
          <w:tab w:leader="none" w:pos="2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cure any ambiguity, defect or inconsistency;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ind w:left="660" w:right="400" w:firstLine="644"/>
        <w:spacing w:after="0" w:line="251" w:lineRule="auto"/>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provide for uncertificated Notes in addition to or in place of certificated Notes (provided, that, any such Note will be in registered form for U.S. federal income tax purposes);</w:t>
      </w:r>
    </w:p>
    <w:p>
      <w:pPr>
        <w:spacing w:after="0" w:line="173" w:lineRule="exact"/>
        <w:rPr>
          <w:rFonts w:ascii="Arial" w:cs="Arial" w:eastAsia="Arial" w:hAnsi="Arial"/>
          <w:sz w:val="22"/>
          <w:szCs w:val="22"/>
          <w:color w:val="auto"/>
        </w:rPr>
      </w:pPr>
    </w:p>
    <w:p>
      <w:pPr>
        <w:ind w:left="660" w:right="200" w:firstLine="644"/>
        <w:spacing w:after="0" w:line="250" w:lineRule="auto"/>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provide for the assumption of the Issuer’s or a Guarantor’s obligations to the Holders in the case of a consolidation, amalgamation, merger or other transaction in compliance with Article Eight;</w:t>
      </w:r>
    </w:p>
    <w:p>
      <w:pPr>
        <w:spacing w:after="0" w:line="174" w:lineRule="exact"/>
        <w:rPr>
          <w:rFonts w:ascii="Arial" w:cs="Arial" w:eastAsia="Arial" w:hAnsi="Arial"/>
          <w:sz w:val="22"/>
          <w:szCs w:val="22"/>
          <w:color w:val="auto"/>
        </w:rPr>
      </w:pPr>
    </w:p>
    <w:p>
      <w:pPr>
        <w:ind w:left="660" w:right="160" w:firstLine="644"/>
        <w:spacing w:after="0" w:line="250" w:lineRule="auto"/>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provide for issuance of Additional Notes in accordance with the limitations set forth in this Indenture and the Collateral Documents;</w:t>
      </w:r>
    </w:p>
    <w:p>
      <w:pPr>
        <w:spacing w:after="0" w:line="174" w:lineRule="exact"/>
        <w:rPr>
          <w:rFonts w:ascii="Arial" w:cs="Arial" w:eastAsia="Arial" w:hAnsi="Arial"/>
          <w:sz w:val="22"/>
          <w:szCs w:val="22"/>
          <w:color w:val="auto"/>
        </w:rPr>
      </w:pPr>
    </w:p>
    <w:p>
      <w:pPr>
        <w:ind w:left="660" w:firstLine="644"/>
        <w:spacing w:after="0" w:line="274" w:lineRule="auto"/>
        <w:tabs>
          <w:tab w:leader="none" w:pos="21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add any Guarantor or to acknowledge the release of any Guarantor from any of its obligations under its Guarantee and the other provisions of the Indenture (to the extent in accordance with the Indenture);</w:t>
      </w:r>
    </w:p>
    <w:p>
      <w:pPr>
        <w:spacing w:after="0" w:line="150" w:lineRule="exact"/>
        <w:rPr>
          <w:rFonts w:ascii="Arial" w:cs="Arial" w:eastAsia="Arial" w:hAnsi="Arial"/>
          <w:sz w:val="21"/>
          <w:szCs w:val="21"/>
          <w:color w:val="auto"/>
        </w:rPr>
      </w:pPr>
    </w:p>
    <w:p>
      <w:pPr>
        <w:ind w:left="660" w:right="240" w:firstLine="644"/>
        <w:spacing w:after="0" w:line="250" w:lineRule="auto"/>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make any change that would provide any additional rights or benefits to the Holders or that does not materially adversely affect the rights of any Holder;</w:t>
      </w:r>
    </w:p>
    <w:p>
      <w:pPr>
        <w:spacing w:after="0" w:line="174" w:lineRule="exact"/>
        <w:rPr>
          <w:rFonts w:ascii="Arial" w:cs="Arial" w:eastAsia="Arial" w:hAnsi="Arial"/>
          <w:sz w:val="22"/>
          <w:szCs w:val="22"/>
          <w:color w:val="auto"/>
        </w:rPr>
      </w:pPr>
    </w:p>
    <w:p>
      <w:pPr>
        <w:ind w:left="2100" w:hanging="796"/>
        <w:spacing w:after="0"/>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reflect or enter into any First Lien Other Intercreditor Agreement;</w:t>
      </w:r>
    </w:p>
    <w:p>
      <w:pPr>
        <w:spacing w:after="0" w:line="206" w:lineRule="exact"/>
        <w:rPr>
          <w:rFonts w:ascii="Arial" w:cs="Arial" w:eastAsia="Arial" w:hAnsi="Arial"/>
          <w:sz w:val="22"/>
          <w:szCs w:val="22"/>
          <w:color w:val="auto"/>
        </w:rPr>
      </w:pPr>
    </w:p>
    <w:p>
      <w:pPr>
        <w:ind w:left="660" w:right="340" w:firstLine="644"/>
        <w:spacing w:after="0" w:line="250" w:lineRule="auto"/>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secure the Notes or any Guarantees or any other obligation under the Indenture or to add additional assets as Collateral;</w:t>
      </w:r>
    </w:p>
    <w:p>
      <w:pPr>
        <w:spacing w:after="0" w:line="174" w:lineRule="exact"/>
        <w:rPr>
          <w:rFonts w:ascii="Arial" w:cs="Arial" w:eastAsia="Arial" w:hAnsi="Arial"/>
          <w:sz w:val="22"/>
          <w:szCs w:val="22"/>
          <w:color w:val="auto"/>
        </w:rPr>
      </w:pPr>
    </w:p>
    <w:p>
      <w:pPr>
        <w:ind w:left="660" w:right="220" w:firstLine="644"/>
        <w:spacing w:after="0"/>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release Collateral from Liens pursuant to this Indenture, the Collateral Documents and the First Lien Intercreditor Agreement when permitted or required by this Indenture, the Collateral Documents or the First Lien Intercreditor Agreement; or</w:t>
      </w:r>
    </w:p>
    <w:p>
      <w:pPr>
        <w:spacing w:after="0" w:line="186" w:lineRule="exact"/>
        <w:rPr>
          <w:rFonts w:ascii="Arial" w:cs="Arial" w:eastAsia="Arial" w:hAnsi="Arial"/>
          <w:sz w:val="22"/>
          <w:szCs w:val="22"/>
          <w:color w:val="auto"/>
        </w:rPr>
      </w:pPr>
    </w:p>
    <w:p>
      <w:pPr>
        <w:ind w:left="2200" w:hanging="896"/>
        <w:spacing w:after="0"/>
        <w:tabs>
          <w:tab w:leader="none" w:pos="22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by a successor trustee.</w:t>
      </w:r>
    </w:p>
    <w:p>
      <w:pPr>
        <w:spacing w:after="0" w:line="206"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86"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Any supplemental indenture or amendment to the Collateral Documents authorized by the provisions of this Section 901 may be executed by the Issuer, the Guarantors, the Trustee and, if applicable, the Collateral Agent without the consent of the Holders, notwithstanding any of the provisions of Section 902.</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w:t>
      </w:r>
    </w:p>
    <w:p>
      <w:pPr>
        <w:spacing w:after="0" w:line="218"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With the consent of the Holders of a majority in aggregate principal amount of the Outstanding Notes (including, without limitation, Additional Notes, if any) affected thereby, including, without limitation, consents obtained in connection with a purchase of, or tender offer or exchange offer for, the Notes, the Issuer, the Guarantors, the Trustee and the Collateral Agent may amend or supplement the Indenture, the Collateral Documents, the Notes or any Guarantees or, subject to Section 513, waive any existing Default or Event of Default or compliance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ind w:right="520"/>
        <w:spacing w:after="0" w:line="251" w:lineRule="auto"/>
        <w:rPr>
          <w:sz w:val="20"/>
          <w:szCs w:val="20"/>
          <w:color w:val="auto"/>
        </w:rPr>
      </w:pPr>
      <w:r>
        <w:rPr>
          <w:rFonts w:ascii="Arial" w:cs="Arial" w:eastAsia="Arial" w:hAnsi="Arial"/>
          <w:sz w:val="22"/>
          <w:szCs w:val="22"/>
          <w:color w:val="auto"/>
        </w:rPr>
        <w:t>any provision of the Indenture (which may include consents obtained in connection with a purchase of, or tender offer or exchange offer for, the Notes).</w:t>
      </w:r>
    </w:p>
    <w:p>
      <w:pPr>
        <w:spacing w:after="0" w:line="173"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However, without the consent of each Holder affected thereby, no such amendment, supplement or waiver may (with respect to any Note held by a non-consenting Holder):</w:t>
      </w:r>
    </w:p>
    <w:p>
      <w:pPr>
        <w:spacing w:after="0" w:line="175" w:lineRule="exact"/>
        <w:rPr>
          <w:sz w:val="20"/>
          <w:szCs w:val="20"/>
          <w:color w:val="auto"/>
        </w:rPr>
      </w:pPr>
    </w:p>
    <w:p>
      <w:pPr>
        <w:ind w:left="2100" w:hanging="796"/>
        <w:spacing w:after="0"/>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reduce, or change the maturity of, the principal of any Note;</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reduce the rate of or extend the time for payment of interest on any Note;</w:t>
      </w:r>
    </w:p>
    <w:p>
      <w:pPr>
        <w:spacing w:after="0" w:line="206" w:lineRule="exact"/>
        <w:rPr>
          <w:rFonts w:ascii="Arial" w:cs="Arial" w:eastAsia="Arial" w:hAnsi="Arial"/>
          <w:sz w:val="22"/>
          <w:szCs w:val="22"/>
          <w:color w:val="auto"/>
        </w:rPr>
      </w:pPr>
    </w:p>
    <w:p>
      <w:pPr>
        <w:ind w:left="660" w:firstLine="644"/>
        <w:spacing w:after="0" w:line="287" w:lineRule="auto"/>
        <w:tabs>
          <w:tab w:leader="none" w:pos="2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solely for the avoidance of doubt, and without any other implication, any purchase or repurchase of Notes (including pursuant to Section 1007) shall not be deemed a redemption of the Notes;</w:t>
      </w:r>
    </w:p>
    <w:p>
      <w:pPr>
        <w:spacing w:after="0" w:line="142" w:lineRule="exact"/>
        <w:rPr>
          <w:rFonts w:ascii="Arial" w:cs="Arial" w:eastAsia="Arial" w:hAnsi="Arial"/>
          <w:sz w:val="19"/>
          <w:szCs w:val="19"/>
          <w:color w:val="auto"/>
        </w:rPr>
      </w:pPr>
    </w:p>
    <w:p>
      <w:pPr>
        <w:ind w:left="2100" w:hanging="796"/>
        <w:spacing w:after="0"/>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make any Note payable in money or currency other than that stated in the Notes;</w:t>
      </w:r>
    </w:p>
    <w:p>
      <w:pPr>
        <w:spacing w:after="0" w:line="206" w:lineRule="exact"/>
        <w:rPr>
          <w:rFonts w:ascii="Arial" w:cs="Arial" w:eastAsia="Arial" w:hAnsi="Arial"/>
          <w:sz w:val="22"/>
          <w:szCs w:val="22"/>
          <w:color w:val="auto"/>
        </w:rPr>
      </w:pPr>
    </w:p>
    <w:p>
      <w:pPr>
        <w:ind w:left="660" w:right="160" w:firstLine="644"/>
        <w:spacing w:after="0" w:line="250" w:lineRule="auto"/>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modify or change any provision of the Indenture or the related definitions to affect the ranking of the Notes or any Guarantee in a manner that adversely affects the Holders;</w:t>
      </w:r>
    </w:p>
    <w:p>
      <w:pPr>
        <w:spacing w:after="0" w:line="174" w:lineRule="exact"/>
        <w:rPr>
          <w:rFonts w:ascii="Arial" w:cs="Arial" w:eastAsia="Arial" w:hAnsi="Arial"/>
          <w:sz w:val="22"/>
          <w:szCs w:val="22"/>
          <w:color w:val="auto"/>
        </w:rPr>
      </w:pPr>
    </w:p>
    <w:p>
      <w:pPr>
        <w:ind w:left="660" w:right="120" w:firstLine="644"/>
        <w:spacing w:after="0" w:line="250" w:lineRule="auto"/>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reduce the percentage of Holders necessary to consent to an amendment, supplement or waiver to the Indenture, the Guarantees or the Notes;</w:t>
      </w:r>
    </w:p>
    <w:p>
      <w:pPr>
        <w:spacing w:after="0" w:line="174" w:lineRule="exact"/>
        <w:rPr>
          <w:rFonts w:ascii="Arial" w:cs="Arial" w:eastAsia="Arial" w:hAnsi="Arial"/>
          <w:sz w:val="22"/>
          <w:szCs w:val="22"/>
          <w:color w:val="auto"/>
        </w:rPr>
      </w:pPr>
    </w:p>
    <w:p>
      <w:pPr>
        <w:ind w:left="660" w:right="40" w:firstLine="644"/>
        <w:spacing w:after="0"/>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86" w:lineRule="exact"/>
        <w:rPr>
          <w:rFonts w:ascii="Arial" w:cs="Arial" w:eastAsia="Arial" w:hAnsi="Arial"/>
          <w:sz w:val="22"/>
          <w:szCs w:val="22"/>
          <w:color w:val="auto"/>
        </w:rPr>
      </w:pPr>
    </w:p>
    <w:p>
      <w:pPr>
        <w:ind w:left="660" w:right="160" w:firstLine="644"/>
        <w:spacing w:after="0" w:line="328" w:lineRule="auto"/>
        <w:tabs>
          <w:tab w:leader="none" w:pos="2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impair the rights of Holders to receive payments of principal of or interest or premium, if any, on the Notes on or after the due date therefor or to institute suit for the enforcement of any payment on the Notes;</w:t>
      </w:r>
    </w:p>
    <w:p>
      <w:pPr>
        <w:spacing w:after="0" w:line="104" w:lineRule="exact"/>
        <w:rPr>
          <w:rFonts w:ascii="Arial" w:cs="Arial" w:eastAsia="Arial" w:hAnsi="Arial"/>
          <w:sz w:val="19"/>
          <w:szCs w:val="19"/>
          <w:color w:val="auto"/>
        </w:rPr>
      </w:pPr>
    </w:p>
    <w:p>
      <w:pPr>
        <w:ind w:left="660" w:right="540" w:firstLine="644"/>
        <w:spacing w:after="0" w:line="250" w:lineRule="auto"/>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release any Guarantor from any of its obligations under its Guarantee or the Indenture, except as permitted by the Indenture; or</w:t>
      </w:r>
    </w:p>
    <w:p>
      <w:pPr>
        <w:spacing w:after="0" w:line="174" w:lineRule="exact"/>
        <w:rPr>
          <w:rFonts w:ascii="Arial" w:cs="Arial" w:eastAsia="Arial" w:hAnsi="Arial"/>
          <w:sz w:val="22"/>
          <w:szCs w:val="22"/>
          <w:color w:val="auto"/>
        </w:rPr>
      </w:pPr>
    </w:p>
    <w:p>
      <w:pPr>
        <w:ind w:left="2200" w:hanging="896"/>
        <w:spacing w:after="0"/>
        <w:tabs>
          <w:tab w:leader="none" w:pos="22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make any change in these amendment, supplement and waiver provisions.</w:t>
      </w:r>
    </w:p>
    <w:p>
      <w:pPr>
        <w:spacing w:after="0" w:line="206"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In addition, the consent of Holders representing at least 66 2⁄3% of outstanding principal amount of the Notes will be required to release the Liens for the benefit of the Holders on all or substantially all of the Collateral, other than in accordance with the Notes Documents.</w:t>
      </w:r>
    </w:p>
    <w:p>
      <w:pPr>
        <w:spacing w:after="0" w:line="186" w:lineRule="exact"/>
        <w:rPr>
          <w:sz w:val="20"/>
          <w:szCs w:val="20"/>
          <w:color w:val="auto"/>
        </w:rPr>
      </w:pPr>
    </w:p>
    <w:p>
      <w:pPr>
        <w:ind w:right="520" w:firstLine="648"/>
        <w:spacing w:after="0" w:line="328" w:lineRule="auto"/>
        <w:rPr>
          <w:sz w:val="20"/>
          <w:szCs w:val="20"/>
          <w:color w:val="auto"/>
        </w:rPr>
      </w:pPr>
      <w:r>
        <w:rPr>
          <w:rFonts w:ascii="Arial" w:cs="Arial" w:eastAsia="Arial" w:hAnsi="Arial"/>
          <w:sz w:val="19"/>
          <w:szCs w:val="19"/>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93" w:name="page94"/>
    <w:bookmarkEnd w:id="93"/>
    <w:p>
      <w:pPr>
        <w:jc w:val="both"/>
        <w:ind w:right="20" w:firstLine="648"/>
        <w:spacing w:after="0"/>
        <w:rPr>
          <w:sz w:val="20"/>
          <w:szCs w:val="20"/>
          <w:color w:val="auto"/>
        </w:rPr>
      </w:pPr>
      <w:r>
        <w:rPr>
          <w:rFonts w:ascii="Arial" w:cs="Arial" w:eastAsia="Arial" w:hAnsi="Arial"/>
          <w:sz w:val="22"/>
          <w:szCs w:val="22"/>
          <w:color w:val="auto"/>
        </w:rPr>
        <w:t>After an amendment or supplement under this Section 902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20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w:t>
      </w:r>
    </w:p>
    <w:p>
      <w:pPr>
        <w:spacing w:after="0" w:line="2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In executing, or accepting the additional trusts created by, any supplemental indenture or amendment or supplement to any Collateral Document permitted by this Article or the modifications thereby of the trusts created by the Indenture, the Trustee and the Collateral Agent shall be entitled to receive, and shall be fully protected in relying upon, an Officers’ Certificate and Opinion of Counsel stating that the execution of such supplemental indenture or supplement or amendment is authorized or permitted by the Indenture and the other Notes Documents. The Trustee and the Collateral Agent may, but shall not be obligated to, enter into any such supplemental indenture which affects the Trustee’s or the Collateral Agent’s own rights, duties or immunities under the Indenture, the other Notes Documents or otherwise.</w:t>
      </w:r>
    </w:p>
    <w:p>
      <w:pPr>
        <w:spacing w:after="0" w:line="17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w:t>
      </w:r>
    </w:p>
    <w:p>
      <w:pPr>
        <w:spacing w:after="0" w:line="258" w:lineRule="exact"/>
        <w:rPr>
          <w:sz w:val="20"/>
          <w:szCs w:val="20"/>
          <w:color w:val="auto"/>
        </w:rPr>
      </w:pPr>
    </w:p>
    <w:p>
      <w:pPr>
        <w:ind w:right="560" w:firstLine="648"/>
        <w:spacing w:after="0" w:line="257" w:lineRule="auto"/>
        <w:rPr>
          <w:sz w:val="20"/>
          <w:szCs w:val="20"/>
          <w:color w:val="auto"/>
        </w:rPr>
      </w:pPr>
      <w:r>
        <w:rPr>
          <w:rFonts w:ascii="Arial" w:cs="Arial" w:eastAsia="Arial" w:hAnsi="Arial"/>
          <w:sz w:val="21"/>
          <w:szCs w:val="21"/>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9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Reference in Notes to Supplemental Indentures</w:t>
      </w:r>
      <w:r>
        <w:rPr>
          <w:rFonts w:ascii="Arial" w:cs="Arial" w:eastAsia="Arial" w:hAnsi="Arial"/>
          <w:sz w:val="16"/>
          <w:szCs w:val="16"/>
          <w:color w:val="auto"/>
        </w:rPr>
        <w:t>.</w:t>
      </w:r>
    </w:p>
    <w:p>
      <w:pPr>
        <w:spacing w:after="0" w:line="25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Notes authenticated and delivered after the execution of any supplemental indenture pursuant to this Article may bear a notation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 Failure to make the appropriate notation or issue a new Note shall not affect the validity and effect of such amendment, supplement or waiver.</w:t>
      </w:r>
    </w:p>
    <w:p>
      <w:pPr>
        <w:spacing w:after="0" w:line="18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TEN</w:t>
      </w:r>
    </w:p>
    <w:p>
      <w:pPr>
        <w:spacing w:after="0" w:line="1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w:t>
      </w:r>
    </w:p>
    <w:p>
      <w:pPr>
        <w:spacing w:after="0" w:line="21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9"/>
          <w:szCs w:val="19"/>
          <w:color w:val="auto"/>
        </w:rPr>
        <w:t>The Issuer covenants and agrees for the benefit of the Holders of the Notes that it will duly and punctually pay the principal of and any premium and interest on the Notes in accordance with the terms of the Notes and the Indenture.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ind w:right="100" w:firstLine="648"/>
        <w:spacing w:after="0" w:line="249" w:lineRule="auto"/>
        <w:rPr>
          <w:sz w:val="20"/>
          <w:szCs w:val="20"/>
          <w:color w:val="auto"/>
        </w:rPr>
      </w:pPr>
      <w:r>
        <w:rPr>
          <w:rFonts w:ascii="Arial" w:cs="Arial" w:eastAsia="Arial" w:hAnsi="Arial"/>
          <w:sz w:val="21"/>
          <w:szCs w:val="21"/>
          <w:color w:val="auto"/>
        </w:rPr>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18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The Issuer will maintain, in the contiguous United States of America and in any other Place of Payment, an office or agency where Notes may be presented or surrendered for payment, and it will maintain an office or agency in the contiguous United States of America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office of the Trustee shall be an office or agency of the Issuer for the purposes of service of legal process on the Issuer or any Guarantor, such office or agency shall be the Process Agent appointed under Section 112. The Issuer hereby irrevocably designates as a Place of Payment for the Notes the Corporate Trust Office.</w:t>
      </w:r>
    </w:p>
    <w:p>
      <w:pPr>
        <w:spacing w:after="0" w:line="155"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 will maintain a Paying Agent and Registrar in the continguous United States of America so long as any Notes are Outstanding. The Issuer will give prompt written notice to the Trustee of any such designation or rescission and of any change in the location of any such other office or agency.</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Money for Notes Payments to Be Held in Trust</w:t>
      </w:r>
      <w:r>
        <w:rPr>
          <w:rFonts w:ascii="Arial" w:cs="Arial" w:eastAsia="Arial" w:hAnsi="Arial"/>
          <w:sz w:val="16"/>
          <w:szCs w:val="16"/>
          <w:color w:val="auto"/>
        </w:rPr>
        <w:t>.</w:t>
      </w:r>
    </w:p>
    <w:p>
      <w:pPr>
        <w:spacing w:after="0" w:line="218"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in trust for the benefit of the Holders, and (unless such Paying Agent is the Trustee) the Issuer will promptly notify the Trustee of its action or failure so to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ind w:firstLine="648"/>
        <w:spacing w:after="0" w:line="279" w:lineRule="auto"/>
        <w:rPr>
          <w:sz w:val="20"/>
          <w:szCs w:val="20"/>
          <w:color w:val="auto"/>
        </w:rPr>
      </w:pPr>
      <w:r>
        <w:rPr>
          <w:rFonts w:ascii="Arial" w:cs="Arial" w:eastAsia="Arial" w:hAnsi="Arial"/>
          <w:sz w:val="19"/>
          <w:szCs w:val="19"/>
          <w:color w:val="auto"/>
        </w:rPr>
        <w:t>The Issuer will cause each Paying Agent other than the Trustee to execute and deliver to the Trustee an instrument in which such Paying Agent shall agree with the Trustee, subject to the provisions of this Section, that such Paying Agent will (1) hold in trust for the benefit of Noteholders or the Trustee all money held by the Paying Agent for the payment of principal of, premium, if any, or interest on the Notes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51"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6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Annual Compliance Certificate; Statement by Officers as to Default</w:t>
      </w:r>
      <w:r>
        <w:rPr>
          <w:rFonts w:ascii="Arial" w:cs="Arial" w:eastAsia="Arial" w:hAnsi="Arial"/>
          <w:sz w:val="16"/>
          <w:szCs w:val="16"/>
          <w:color w:val="auto"/>
        </w:rPr>
        <w:t>.</w:t>
      </w:r>
    </w:p>
    <w:p>
      <w:pPr>
        <w:spacing w:after="0" w:line="218" w:lineRule="exact"/>
        <w:rPr>
          <w:sz w:val="20"/>
          <w:szCs w:val="20"/>
          <w:color w:val="auto"/>
        </w:rPr>
      </w:pPr>
    </w:p>
    <w:p>
      <w:pPr>
        <w:ind w:right="100" w:firstLine="656"/>
        <w:spacing w:after="0" w:line="234" w:lineRule="auto"/>
        <w:tabs>
          <w:tab w:leader="none" w:pos="1424"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The Issuer shall deliver to the Trustee within 120 days after the end of each fiscal year of the Issuer ending after the Initial Issuance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186" w:lineRule="exact"/>
        <w:rPr>
          <w:rFonts w:ascii="Arial" w:cs="Arial" w:eastAsia="Arial" w:hAnsi="Arial"/>
          <w:sz w:val="22"/>
          <w:szCs w:val="22"/>
          <w:color w:val="010000"/>
        </w:rPr>
      </w:pPr>
    </w:p>
    <w:p>
      <w:pPr>
        <w:ind w:firstLine="656"/>
        <w:spacing w:after="0" w:line="250" w:lineRule="auto"/>
        <w:tabs>
          <w:tab w:leader="none" w:pos="1436"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The Issuer shall, so long as any Note is Outstanding, deliver to the Trustee within 30 days after the occurrence of a Default, written notice (which need not be an Officers’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Certificate) specifying such Default, and what action the Issuer is taking or proposes to take with respect thereto.</w:t>
      </w:r>
    </w:p>
    <w:p>
      <w:pPr>
        <w:spacing w:after="0" w:line="21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Existence</w:t>
      </w:r>
      <w:r>
        <w:rPr>
          <w:rFonts w:ascii="Arial" w:cs="Arial" w:eastAsia="Arial" w:hAnsi="Arial"/>
          <w:sz w:val="16"/>
          <w:szCs w:val="16"/>
          <w:color w:val="auto"/>
        </w:rPr>
        <w:t>.</w:t>
      </w:r>
    </w:p>
    <w:p>
      <w:pPr>
        <w:spacing w:after="0" w:line="218"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 xml:space="preserve">Subject to Article Eight, the Issuer and each Guarantor will do or cause to be done all things necessary to preserve and keep in full force and effect its existence, rights (charter and statutory) and franchises;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 and, if applicable, the Guarantors shall not be required to preserve any such right or franchise if the Board of Directors shall determine that the preservation thereof is no longer desirable in the conduct of the business of the Issuer or such Guarantor, as the case may be.</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Limitation on Designation of Unrestricted Subsidiaries</w:t>
      </w:r>
      <w:r>
        <w:rPr>
          <w:rFonts w:ascii="Arial" w:cs="Arial" w:eastAsia="Arial" w:hAnsi="Arial"/>
          <w:sz w:val="16"/>
          <w:szCs w:val="16"/>
          <w:color w:val="auto"/>
        </w:rPr>
        <w:t>.</w:t>
      </w:r>
    </w:p>
    <w:p>
      <w:pPr>
        <w:spacing w:after="0" w:line="218" w:lineRule="exact"/>
        <w:rPr>
          <w:sz w:val="20"/>
          <w:szCs w:val="20"/>
          <w:color w:val="auto"/>
        </w:rPr>
      </w:pPr>
    </w:p>
    <w:p>
      <w:pPr>
        <w:jc w:val="both"/>
        <w:ind w:right="460" w:firstLine="648"/>
        <w:spacing w:after="0" w:line="257" w:lineRule="auto"/>
        <w:rPr>
          <w:sz w:val="20"/>
          <w:szCs w:val="20"/>
          <w:color w:val="auto"/>
        </w:rPr>
      </w:pPr>
      <w:r>
        <w:rPr>
          <w:rFonts w:ascii="Arial" w:cs="Arial" w:eastAsia="Arial" w:hAnsi="Arial"/>
          <w:sz w:val="21"/>
          <w:szCs w:val="21"/>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169" w:lineRule="exact"/>
        <w:rPr>
          <w:sz w:val="20"/>
          <w:szCs w:val="20"/>
          <w:color w:val="auto"/>
        </w:rPr>
      </w:pPr>
    </w:p>
    <w:p>
      <w:pPr>
        <w:ind w:left="2100" w:hanging="796"/>
        <w:spacing w:after="0"/>
        <w:tabs>
          <w:tab w:leader="none" w:pos="21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 Default shall have occurred and be continuing at the time of or after giving effect to such Designation;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ind w:left="660" w:right="80" w:firstLine="644"/>
        <w:spacing w:after="0" w:line="297" w:lineRule="auto"/>
        <w:tabs>
          <w:tab w:leader="none" w:pos="2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Parent Guarantor would be permitted to make, at the time of such Designation, (a) a Permitted Investment or (b) an Investment pursuant to Section 1009, in either case, in an amount (the “Designation Amount”) equal to the Fair Market Value of the Parent Guarantor’s proportionate interest in such Subsidiary on such date.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Subsidiary shall be Designated as an “Unrestricted Subsidiary” unless:</w:t>
      </w:r>
    </w:p>
    <w:p>
      <w:pPr>
        <w:spacing w:after="0" w:line="206" w:lineRule="exact"/>
        <w:rPr>
          <w:sz w:val="20"/>
          <w:szCs w:val="20"/>
          <w:color w:val="auto"/>
        </w:rPr>
      </w:pPr>
    </w:p>
    <w:p>
      <w:pPr>
        <w:ind w:left="660" w:firstLine="644"/>
        <w:spacing w:after="0" w:line="279" w:lineRule="auto"/>
        <w:tabs>
          <w:tab w:leader="none" w:pos="21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1008;</w:t>
      </w:r>
    </w:p>
    <w:p>
      <w:pPr>
        <w:spacing w:after="0" w:line="150" w:lineRule="exact"/>
        <w:rPr>
          <w:rFonts w:ascii="Arial" w:cs="Arial" w:eastAsia="Arial" w:hAnsi="Arial"/>
          <w:sz w:val="19"/>
          <w:szCs w:val="19"/>
          <w:color w:val="auto"/>
        </w:rPr>
      </w:pPr>
    </w:p>
    <w:p>
      <w:pPr>
        <w:ind w:left="660" w:right="100" w:firstLine="644"/>
        <w:spacing w:after="0" w:line="282" w:lineRule="auto"/>
        <w:tabs>
          <w:tab w:leader="none" w:pos="21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ind w:left="660" w:right="240" w:firstLine="644"/>
        <w:spacing w:after="0" w:line="329" w:lineRule="auto"/>
        <w:tabs>
          <w:tab w:leader="none" w:pos="21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such Subsidiary is a Person with respect to which neither the Parent Guarantor nor any of its Restricted Subsidiaries has any direct or indirect obligation (a) to subscribe for additional Equity Interests of such Person or</w:t>
      </w:r>
    </w:p>
    <w:p>
      <w:pPr>
        <w:spacing w:after="0" w:line="103" w:lineRule="exact"/>
        <w:rPr>
          <w:rFonts w:ascii="Arial" w:cs="Arial" w:eastAsia="Arial" w:hAnsi="Arial"/>
          <w:sz w:val="19"/>
          <w:szCs w:val="19"/>
          <w:color w:val="auto"/>
        </w:rPr>
      </w:pPr>
    </w:p>
    <w:p>
      <w:pPr>
        <w:ind w:left="1300" w:right="280" w:firstLine="652"/>
        <w:spacing w:after="0" w:line="270" w:lineRule="auto"/>
        <w:tabs>
          <w:tab w:leader="none" w:pos="2728" w:val="left"/>
        </w:tabs>
        <w:numPr>
          <w:ilvl w:val="1"/>
          <w:numId w:val="92"/>
        </w:numPr>
        <w:rPr>
          <w:rFonts w:ascii="Arial" w:cs="Arial" w:eastAsia="Arial" w:hAnsi="Arial"/>
          <w:sz w:val="19"/>
          <w:szCs w:val="19"/>
          <w:color w:val="010000"/>
        </w:rPr>
      </w:pPr>
      <w:r>
        <w:rPr>
          <w:rFonts w:ascii="Arial" w:cs="Arial" w:eastAsia="Arial" w:hAnsi="Arial"/>
          <w:sz w:val="19"/>
          <w:szCs w:val="19"/>
          <w:color w:val="auto"/>
        </w:rPr>
        <w:t>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w:t>
      </w:r>
    </w:p>
    <w:p>
      <w:pPr>
        <w:spacing w:after="0" w:line="4" w:lineRule="exact"/>
        <w:rPr>
          <w:rFonts w:ascii="Arial" w:cs="Arial" w:eastAsia="Arial" w:hAnsi="Arial"/>
          <w:sz w:val="19"/>
          <w:szCs w:val="19"/>
          <w:color w:val="010000"/>
        </w:rPr>
      </w:pPr>
    </w:p>
    <w:p>
      <w:pPr>
        <w:ind w:left="1560" w:hanging="256"/>
        <w:spacing w:after="0"/>
        <w:tabs>
          <w:tab w:leader="none" w:pos="15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p>
    <w:p>
      <w:pPr>
        <w:spacing w:after="0" w:line="223"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1008 or the Lien is not permitted under Section 1010, the Parent Guarantor shall be in default of the applicable covenant.</w:t>
      </w:r>
    </w:p>
    <w:p>
      <w:pPr>
        <w:spacing w:after="0" w:line="15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Board of Directors of the Parent Guarantor may redesignate an Unrestricted Subsidiary as a Restricted Subsidiary (a “Redesignation”) only if:</w:t>
      </w:r>
    </w:p>
    <w:p>
      <w:pPr>
        <w:spacing w:after="0" w:line="175" w:lineRule="exact"/>
        <w:rPr>
          <w:sz w:val="20"/>
          <w:szCs w:val="20"/>
          <w:color w:val="auto"/>
        </w:rPr>
      </w:pPr>
    </w:p>
    <w:p>
      <w:pPr>
        <w:ind w:left="660" w:right="1060" w:firstLine="644"/>
        <w:spacing w:after="0" w:line="250" w:lineRule="auto"/>
        <w:tabs>
          <w:tab w:leader="none" w:pos="21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 Default shall have occurred and be continuing at the time of and after giving effect to such Redesignation; and</w:t>
      </w:r>
    </w:p>
    <w:p>
      <w:pPr>
        <w:spacing w:after="0" w:line="174" w:lineRule="exact"/>
        <w:rPr>
          <w:rFonts w:ascii="Arial" w:cs="Arial" w:eastAsia="Arial" w:hAnsi="Arial"/>
          <w:sz w:val="22"/>
          <w:szCs w:val="22"/>
          <w:color w:val="auto"/>
        </w:rPr>
      </w:pPr>
    </w:p>
    <w:p>
      <w:pPr>
        <w:ind w:left="660" w:right="100" w:firstLine="644"/>
        <w:spacing w:after="0"/>
        <w:tabs>
          <w:tab w:leader="none" w:pos="21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86" w:lineRule="exact"/>
        <w:rPr>
          <w:sz w:val="20"/>
          <w:szCs w:val="20"/>
          <w:color w:val="auto"/>
        </w:rPr>
      </w:pPr>
    </w:p>
    <w:p>
      <w:pPr>
        <w:jc w:val="both"/>
        <w:ind w:right="460" w:firstLine="648"/>
        <w:spacing w:after="0"/>
        <w:rPr>
          <w:sz w:val="20"/>
          <w:szCs w:val="20"/>
          <w:color w:val="auto"/>
        </w:rPr>
      </w:pPr>
      <w:r>
        <w:rPr>
          <w:rFonts w:ascii="Arial" w:cs="Arial" w:eastAsia="Arial" w:hAnsi="Arial"/>
          <w:sz w:val="22"/>
          <w:szCs w:val="22"/>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Purchase of Notes Upon a Change of Control</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Upon the occurrence of a Change of Control, unless the Issuer has previously or concurrently exercised its right to redeem all of the Notes under Section 1103, each Holder of Notes will have the right, except as provided below, to require that the Issuer purchase all or any part (equal to a minimum of $1.00 or an integral multiple of $1.00 in excess thereof) of that Holder’s Notes for a cash price equal to 101.0% of the aggregate principal amount of the Notes to be purchased, plus accrued and unpaid interest, if any, thereon to the date of purchase (the “Change of Control 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ind w:right="220" w:firstLine="648"/>
        <w:spacing w:after="0" w:line="251" w:lineRule="auto"/>
        <w:rPr>
          <w:sz w:val="20"/>
          <w:szCs w:val="20"/>
          <w:color w:val="auto"/>
        </w:rPr>
      </w:pPr>
      <w:r>
        <w:rPr>
          <w:rFonts w:ascii="Arial" w:cs="Arial" w:eastAsia="Arial" w:hAnsi="Arial"/>
          <w:sz w:val="22"/>
          <w:szCs w:val="22"/>
          <w:color w:val="auto"/>
        </w:rPr>
        <w:t>Not later than 30 days following any Change of Control, the Issuer will deliver, or cause to be delivered, to the Holders, with a copy to the Trustee, a notice:</w:t>
      </w:r>
    </w:p>
    <w:p>
      <w:pPr>
        <w:spacing w:after="0" w:line="173" w:lineRule="exact"/>
        <w:rPr>
          <w:sz w:val="20"/>
          <w:szCs w:val="20"/>
          <w:color w:val="auto"/>
        </w:rPr>
      </w:pPr>
    </w:p>
    <w:p>
      <w:pPr>
        <w:ind w:left="2100" w:hanging="796"/>
        <w:spacing w:after="0"/>
        <w:tabs>
          <w:tab w:leader="none" w:pos="21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describing the transaction or transactions that constitute the Change of Control;</w:t>
      </w:r>
    </w:p>
    <w:p>
      <w:pPr>
        <w:spacing w:after="0" w:line="206" w:lineRule="exact"/>
        <w:rPr>
          <w:rFonts w:ascii="Arial" w:cs="Arial" w:eastAsia="Arial" w:hAnsi="Arial"/>
          <w:sz w:val="22"/>
          <w:szCs w:val="22"/>
          <w:color w:val="auto"/>
        </w:rPr>
      </w:pPr>
    </w:p>
    <w:p>
      <w:pPr>
        <w:ind w:left="660" w:firstLine="644"/>
        <w:spacing w:after="0" w:line="282" w:lineRule="auto"/>
        <w:tabs>
          <w:tab w:leader="none" w:pos="21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offering to purchase, pursuant to the procedures required hereby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147" w:lineRule="exact"/>
        <w:rPr>
          <w:rFonts w:ascii="Arial" w:cs="Arial" w:eastAsia="Arial" w:hAnsi="Arial"/>
          <w:sz w:val="19"/>
          <w:szCs w:val="19"/>
          <w:color w:val="auto"/>
        </w:rPr>
      </w:pPr>
    </w:p>
    <w:p>
      <w:pPr>
        <w:ind w:left="660" w:right="180" w:firstLine="644"/>
        <w:spacing w:after="0" w:line="250" w:lineRule="auto"/>
        <w:tabs>
          <w:tab w:leader="none" w:pos="21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describing the procedures, as determined by the Issuer, consistent with the Indenture, that Holders must follow to accept the Change of Control Offer.</w:t>
      </w:r>
    </w:p>
    <w:p>
      <w:pPr>
        <w:spacing w:after="0" w:line="175" w:lineRule="exact"/>
        <w:rPr>
          <w:sz w:val="20"/>
          <w:szCs w:val="20"/>
          <w:color w:val="auto"/>
        </w:rPr>
      </w:pPr>
    </w:p>
    <w:p>
      <w:pPr>
        <w:ind w:right="120" w:firstLine="648"/>
        <w:spacing w:after="0" w:line="328" w:lineRule="auto"/>
        <w:rPr>
          <w:sz w:val="20"/>
          <w:szCs w:val="20"/>
          <w:color w:val="auto"/>
        </w:rPr>
      </w:pPr>
      <w:r>
        <w:rPr>
          <w:rFonts w:ascii="Arial" w:cs="Arial" w:eastAsia="Arial" w:hAnsi="Arial"/>
          <w:sz w:val="19"/>
          <w:szCs w:val="19"/>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Change of Control Payment Date, the Issuer will, to the extent lawful:</w:t>
      </w:r>
    </w:p>
    <w:p>
      <w:pPr>
        <w:spacing w:after="0" w:line="206" w:lineRule="exact"/>
        <w:rPr>
          <w:sz w:val="20"/>
          <w:szCs w:val="20"/>
          <w:color w:val="auto"/>
        </w:rPr>
      </w:pPr>
    </w:p>
    <w:p>
      <w:pPr>
        <w:ind w:left="660" w:right="140" w:firstLine="644"/>
        <w:spacing w:after="0" w:line="250" w:lineRule="auto"/>
        <w:tabs>
          <w:tab w:leader="none" w:pos="21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accept for payment all Notes or portions of Notes (of a minimum of $1.00 or integral multiples of $1.00 in excess thereof) properly tendered pursuant to the Change of Control Offer; and</w:t>
      </w:r>
    </w:p>
    <w:p>
      <w:pPr>
        <w:spacing w:after="0" w:line="174" w:lineRule="exact"/>
        <w:rPr>
          <w:rFonts w:ascii="Arial" w:cs="Arial" w:eastAsia="Arial" w:hAnsi="Arial"/>
          <w:sz w:val="22"/>
          <w:szCs w:val="22"/>
          <w:color w:val="auto"/>
        </w:rPr>
      </w:pPr>
    </w:p>
    <w:p>
      <w:pPr>
        <w:ind w:left="660" w:firstLine="644"/>
        <w:spacing w:after="0" w:line="274" w:lineRule="auto"/>
        <w:tabs>
          <w:tab w:leader="none" w:pos="2100" w:val="left"/>
        </w:tabs>
        <w:numPr>
          <w:ilvl w:val="0"/>
          <w:numId w:val="96"/>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so accepted together with an Officers’ Certificate stating the aggregate principal amount of Notes or portions of Notes being purchased by the Issuer.</w:t>
      </w:r>
    </w:p>
    <w:p>
      <w:pPr>
        <w:spacing w:after="0" w:line="151"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new Note will be in a minimum principal amount of $1.00 or integral multiples of $1.00 in excess thereof.</w:t>
      </w:r>
    </w:p>
    <w:p>
      <w:pPr>
        <w:spacing w:after="0" w:line="14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6"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8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Issuer will not be required to make a Change of Control Offer upon a Change of Control if (i) a third party makes the Change of Control Offer in the manner, at the times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ind w:right="200"/>
        <w:spacing w:after="0" w:line="238" w:lineRule="auto"/>
        <w:rPr>
          <w:sz w:val="20"/>
          <w:szCs w:val="20"/>
          <w:color w:val="auto"/>
        </w:rPr>
      </w:pPr>
      <w:r>
        <w:rPr>
          <w:rFonts w:ascii="Arial" w:cs="Arial" w:eastAsia="Arial" w:hAnsi="Arial"/>
          <w:sz w:val="22"/>
          <w:szCs w:val="22"/>
          <w:color w:val="auto"/>
        </w:rPr>
        <w:t>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1103, unless and until there is a default in the payment of the applicable Redemption Price.</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If Holders of not less than 90.0%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5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9"/>
          <w:szCs w:val="19"/>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1007, the Issuer shall comply with the applicable securities laws and regulations and will not be deemed to have breached its obligations under this Section 1007 by virtue of such compliance.</w:t>
      </w:r>
    </w:p>
    <w:p>
      <w:pPr>
        <w:spacing w:after="0" w:line="147"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Notwithstanding anything to the contrary contained herein, a Change of Control Offer may be made in advance of a Change of Control, conditional upon such Change of Control, if a definitive agreement is in place for the Change of Control at the time of making of the Change of Control Offer.</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Limitation on Additional Indebtedness</w:t>
      </w:r>
      <w:r>
        <w:rPr>
          <w:rFonts w:ascii="Arial" w:cs="Arial" w:eastAsia="Arial" w:hAnsi="Arial"/>
          <w:sz w:val="16"/>
          <w:szCs w:val="16"/>
          <w:color w:val="auto"/>
        </w:rPr>
        <w:t>.</w:t>
      </w:r>
    </w:p>
    <w:p>
      <w:pPr>
        <w:spacing w:after="0" w:line="218" w:lineRule="exact"/>
        <w:rPr>
          <w:sz w:val="20"/>
          <w:szCs w:val="20"/>
          <w:color w:val="auto"/>
        </w:rPr>
      </w:pPr>
    </w:p>
    <w:p>
      <w:pPr>
        <w:ind w:right="540" w:firstLine="648"/>
        <w:spacing w:after="0" w:line="282" w:lineRule="auto"/>
        <w:rPr>
          <w:sz w:val="20"/>
          <w:szCs w:val="20"/>
          <w:color w:val="auto"/>
        </w:rPr>
      </w:pPr>
      <w:r>
        <w:rPr>
          <w:rFonts w:ascii="Arial" w:cs="Arial" w:eastAsia="Arial" w:hAnsi="Arial"/>
          <w:sz w:val="19"/>
          <w:szCs w:val="19"/>
          <w:color w:val="auto"/>
        </w:rPr>
        <w:t xml:space="preserve">The Parent Guarantor will not, and will not permit any Restricted Subsidiary to, directly or indirectly, incur any Indebtedness (including Acquired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Issuer, the Parent Guarantor or any Guarantor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Notwithstanding the above, each of the following incurrences of Indebtedness shall be permitted (the “Permitted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Indebtedness”):</w:t>
      </w:r>
    </w:p>
    <w:p>
      <w:pPr>
        <w:spacing w:after="0" w:line="188" w:lineRule="exact"/>
        <w:rPr>
          <w:sz w:val="20"/>
          <w:szCs w:val="20"/>
          <w:color w:val="auto"/>
        </w:rPr>
      </w:pPr>
    </w:p>
    <w:p>
      <w:pPr>
        <w:ind w:left="660" w:firstLine="644"/>
        <w:spacing w:after="0" w:line="236" w:lineRule="auto"/>
        <w:tabs>
          <w:tab w:leader="none" w:pos="21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Indebtedness of the Issuer or any Guarantor under one or more Credit Facilities providing solely for the issuance of letters of credit, bank guaranties, bankers’ acceptances and similar instruments, in an aggregate face amount at any time outstanding not to exceed $350.0 million;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such Credit Facilities shall be provided by commercial banks that issue letters of credit, bank guaranties, bankers’ acceptances and similar instruments in the ordinary course of such commercial banks’ business and (b)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ind w:right="220"/>
        <w:spacing w:after="0" w:line="251" w:lineRule="auto"/>
        <w:rPr>
          <w:sz w:val="20"/>
          <w:szCs w:val="20"/>
          <w:color w:val="auto"/>
        </w:rPr>
      </w:pPr>
      <w:r>
        <w:rPr>
          <w:rFonts w:ascii="Arial" w:cs="Arial" w:eastAsia="Arial" w:hAnsi="Arial"/>
          <w:sz w:val="22"/>
          <w:szCs w:val="22"/>
          <w:color w:val="auto"/>
        </w:rPr>
        <w:t>pricing and economics of such Credit Facilities shall be on then prevailing market terms (as determined in good faith by the Issuer);</w:t>
      </w:r>
    </w:p>
    <w:p>
      <w:pPr>
        <w:spacing w:after="0" w:line="173" w:lineRule="exact"/>
        <w:rPr>
          <w:sz w:val="20"/>
          <w:szCs w:val="20"/>
          <w:color w:val="auto"/>
        </w:rPr>
      </w:pPr>
    </w:p>
    <w:p>
      <w:pPr>
        <w:ind w:left="1440" w:hanging="796"/>
        <w:spacing w:after="0"/>
        <w:tabs>
          <w:tab w:leader="none" w:pos="14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Indebtedness under (a) the Notes issued on the Initial Issuance Date and (b) the Guarantees of such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188" w:lineRule="exact"/>
        <w:rPr>
          <w:sz w:val="20"/>
          <w:szCs w:val="20"/>
          <w:color w:val="auto"/>
        </w:rPr>
      </w:pPr>
    </w:p>
    <w:p>
      <w:pPr>
        <w:ind w:right="500" w:firstLine="644"/>
        <w:spacing w:after="0" w:line="328" w:lineRule="auto"/>
        <w:tabs>
          <w:tab w:leader="none" w:pos="14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Indebtedness of the Parent Guarantor and its Restricted Subsidiaries to the extent outstanding on the Initial Issuance Date (other than Indebtedness referred to in clauses (1), (2) and (6) of this paragraph);</w:t>
      </w:r>
    </w:p>
    <w:p>
      <w:pPr>
        <w:spacing w:after="0" w:line="104" w:lineRule="exact"/>
        <w:rPr>
          <w:rFonts w:ascii="Arial" w:cs="Arial" w:eastAsia="Arial" w:hAnsi="Arial"/>
          <w:sz w:val="19"/>
          <w:szCs w:val="19"/>
          <w:color w:val="auto"/>
        </w:rPr>
      </w:pPr>
    </w:p>
    <w:p>
      <w:pPr>
        <w:ind w:firstLine="644"/>
        <w:spacing w:after="0" w:line="287" w:lineRule="auto"/>
        <w:tabs>
          <w:tab w:leader="none" w:pos="14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 guarantees by the Issuer or any Guarantor of Indebtedness permitted to be incurred in accordance with the provisions of the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142" w:lineRule="exact"/>
        <w:rPr>
          <w:rFonts w:ascii="Arial" w:cs="Arial" w:eastAsia="Arial" w:hAnsi="Arial"/>
          <w:sz w:val="19"/>
          <w:szCs w:val="19"/>
          <w:color w:val="auto"/>
        </w:rPr>
      </w:pPr>
    </w:p>
    <w:p>
      <w:pPr>
        <w:ind w:right="60" w:firstLine="644"/>
        <w:spacing w:after="0" w:line="250" w:lineRule="auto"/>
        <w:tabs>
          <w:tab w:leader="none" w:pos="14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Indebtedness under Hedging Obligations entered into for bona fide hedging purposes of the Issuer or any Restricted Subsidiary and not for the purpose of speculation;</w:t>
      </w:r>
    </w:p>
    <w:p>
      <w:pPr>
        <w:spacing w:after="0" w:line="174" w:lineRule="exact"/>
        <w:rPr>
          <w:rFonts w:ascii="Arial" w:cs="Arial" w:eastAsia="Arial" w:hAnsi="Arial"/>
          <w:sz w:val="22"/>
          <w:szCs w:val="22"/>
          <w:color w:val="auto"/>
        </w:rPr>
      </w:pPr>
    </w:p>
    <w:p>
      <w:pPr>
        <w:ind w:right="40" w:firstLine="644"/>
        <w:spacing w:after="0" w:line="270" w:lineRule="auto"/>
        <w:tabs>
          <w:tab w:leader="none" w:pos="14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any subsequent issuance or transfer of Equity Interests or any other event which results in any such</w:t>
      </w:r>
      <w:r>
        <w:rPr>
          <w:rFonts w:ascii="Arial" w:cs="Arial" w:eastAsia="Arial" w:hAnsi="Arial"/>
          <w:sz w:val="19"/>
          <w:szCs w:val="19"/>
          <w:i w:val="1"/>
          <w:iCs w:val="1"/>
          <w:color w:val="auto"/>
        </w:rPr>
        <w:t xml:space="preserve"> </w:t>
      </w:r>
      <w:r>
        <w:rPr>
          <w:rFonts w:ascii="Arial" w:cs="Arial" w:eastAsia="Arial" w:hAnsi="Arial"/>
          <w:sz w:val="19"/>
          <w:szCs w:val="19"/>
          <w:color w:val="auto"/>
        </w:rPr>
        <w:t>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w:t>
      </w:r>
    </w:p>
    <w:p>
      <w:pPr>
        <w:spacing w:after="0" w:line="188" w:lineRule="exact"/>
        <w:rPr>
          <w:rFonts w:ascii="Arial" w:cs="Arial" w:eastAsia="Arial" w:hAnsi="Arial"/>
          <w:sz w:val="19"/>
          <w:szCs w:val="19"/>
          <w:color w:val="auto"/>
        </w:rPr>
      </w:pPr>
    </w:p>
    <w:p>
      <w:pPr>
        <w:ind w:right="40" w:firstLine="644"/>
        <w:spacing w:after="0" w:line="245" w:lineRule="auto"/>
        <w:tabs>
          <w:tab w:leader="none" w:pos="1440" w:val="left"/>
        </w:tabs>
        <w:numPr>
          <w:ilvl w:val="0"/>
          <w:numId w:val="99"/>
        </w:numPr>
        <w:rPr>
          <w:rFonts w:ascii="Arial" w:cs="Arial" w:eastAsia="Arial" w:hAnsi="Arial"/>
          <w:sz w:val="21"/>
          <w:szCs w:val="21"/>
          <w:color w:val="auto"/>
        </w:rPr>
      </w:pPr>
      <w:r>
        <w:rPr>
          <w:rFonts w:ascii="Arial" w:cs="Arial" w:eastAsia="Arial" w:hAnsi="Arial"/>
          <w:sz w:val="21"/>
          <w:szCs w:val="21"/>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84" w:lineRule="exact"/>
        <w:rPr>
          <w:rFonts w:ascii="Arial" w:cs="Arial" w:eastAsia="Arial" w:hAnsi="Arial"/>
          <w:sz w:val="21"/>
          <w:szCs w:val="21"/>
          <w:color w:val="auto"/>
        </w:rPr>
      </w:pPr>
    </w:p>
    <w:p>
      <w:pPr>
        <w:ind w:right="240" w:firstLine="644"/>
        <w:spacing w:after="0"/>
        <w:tabs>
          <w:tab w:leader="none" w:pos="14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Purchase Money Indebtedness incurred by the Parent Guarantor or any Restricted Subsidiary after the Initial Issuance Date in an aggregate principal amount, taken together with Refinancing Indebtedness in respect thereof, not to exceed at any</w:t>
      </w:r>
    </w:p>
    <w:p>
      <w:pPr>
        <w:spacing w:after="0" w:line="18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101" w:name="page102"/>
    <w:bookmarkEnd w:id="101"/>
    <w:p>
      <w:pPr>
        <w:ind w:left="4" w:right="440"/>
        <w:spacing w:after="0" w:line="251" w:lineRule="auto"/>
        <w:rPr>
          <w:sz w:val="20"/>
          <w:szCs w:val="20"/>
          <w:color w:val="auto"/>
        </w:rPr>
      </w:pPr>
      <w:r>
        <w:rPr>
          <w:rFonts w:ascii="Arial" w:cs="Arial" w:eastAsia="Arial" w:hAnsi="Arial"/>
          <w:sz w:val="22"/>
          <w:szCs w:val="22"/>
          <w:color w:val="auto"/>
        </w:rPr>
        <w:t>time outstanding the greater of (a) $250 million and (b) 2.5% of the Parent Guarantor’s Consolidated Tangible Assets determined at the time of incurrence;</w:t>
      </w:r>
    </w:p>
    <w:p>
      <w:pPr>
        <w:spacing w:after="0" w:line="173" w:lineRule="exact"/>
        <w:rPr>
          <w:sz w:val="20"/>
          <w:szCs w:val="20"/>
          <w:color w:val="auto"/>
        </w:rPr>
      </w:pPr>
    </w:p>
    <w:p>
      <w:pPr>
        <w:jc w:val="both"/>
        <w:ind w:left="4" w:right="20" w:firstLine="644"/>
        <w:spacing w:after="0"/>
        <w:tabs>
          <w:tab w:leader="none" w:pos="144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86" w:lineRule="exact"/>
        <w:rPr>
          <w:rFonts w:ascii="Arial" w:cs="Arial" w:eastAsia="Arial" w:hAnsi="Arial"/>
          <w:sz w:val="22"/>
          <w:szCs w:val="22"/>
          <w:color w:val="auto"/>
        </w:rPr>
      </w:pPr>
    </w:p>
    <w:p>
      <w:pPr>
        <w:ind w:left="4" w:right="1000" w:firstLine="644"/>
        <w:spacing w:after="0" w:line="250" w:lineRule="auto"/>
        <w:tabs>
          <w:tab w:leader="none" w:pos="155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Indebtedness of the Parent Guarantor or any Restricted Subsidiary arising in connection with endorsement of instruments for deposit in the ordinary course of business;</w:t>
      </w:r>
    </w:p>
    <w:p>
      <w:pPr>
        <w:spacing w:after="0" w:line="174" w:lineRule="exact"/>
        <w:rPr>
          <w:rFonts w:ascii="Arial" w:cs="Arial" w:eastAsia="Arial" w:hAnsi="Arial"/>
          <w:sz w:val="22"/>
          <w:szCs w:val="22"/>
          <w:color w:val="auto"/>
        </w:rPr>
      </w:pPr>
    </w:p>
    <w:p>
      <w:pPr>
        <w:ind w:left="4" w:right="40" w:firstLine="644"/>
        <w:spacing w:after="0" w:line="276" w:lineRule="auto"/>
        <w:tabs>
          <w:tab w:leader="none" w:pos="154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Refinancing Indebtedness with respect to Indebtedness incurred pursuant to the Coverage Ratio Exception or with respect to Indebtedness incurred pursuant to clause (2), (3) or (8) above, this clause (11), or clause (13),</w:t>
      </w:r>
    </w:p>
    <w:p>
      <w:pPr>
        <w:spacing w:after="0" w:line="1" w:lineRule="exact"/>
        <w:rPr>
          <w:rFonts w:ascii="Arial" w:cs="Arial" w:eastAsia="Arial" w:hAnsi="Arial"/>
          <w:sz w:val="19"/>
          <w:szCs w:val="19"/>
          <w:color w:val="auto"/>
        </w:rPr>
      </w:pPr>
    </w:p>
    <w:p>
      <w:pPr>
        <w:ind w:left="404" w:hanging="404"/>
        <w:spacing w:after="0"/>
        <w:tabs>
          <w:tab w:leader="none" w:pos="40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or (18) below;</w:t>
      </w:r>
    </w:p>
    <w:p>
      <w:pPr>
        <w:spacing w:after="0" w:line="188" w:lineRule="exact"/>
        <w:rPr>
          <w:rFonts w:ascii="Arial" w:cs="Arial" w:eastAsia="Arial" w:hAnsi="Arial"/>
          <w:sz w:val="22"/>
          <w:szCs w:val="22"/>
          <w:color w:val="auto"/>
        </w:rPr>
      </w:pPr>
    </w:p>
    <w:p>
      <w:pPr>
        <w:ind w:left="4" w:right="20" w:firstLine="644"/>
        <w:spacing w:after="0" w:line="236" w:lineRule="auto"/>
        <w:tabs>
          <w:tab w:leader="none" w:pos="155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87" w:lineRule="exact"/>
        <w:rPr>
          <w:rFonts w:ascii="Arial" w:cs="Arial" w:eastAsia="Arial" w:hAnsi="Arial"/>
          <w:sz w:val="22"/>
          <w:szCs w:val="22"/>
          <w:color w:val="auto"/>
        </w:rPr>
      </w:pPr>
    </w:p>
    <w:p>
      <w:pPr>
        <w:ind w:left="4" w:firstLine="644"/>
        <w:spacing w:after="0" w:line="252" w:lineRule="auto"/>
        <w:tabs>
          <w:tab w:leader="none" w:pos="155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additional Indebtedness of the Issuer or any Guarantor in an aggregate principal amount which, when taken together with the principal amount of all other Indebtedness incurred pursuant to this clause (13) and any Refinancing Indebtedness thereof and then outstanding, will not exceed the greater of (a) $500 million and (b) 5.0% of the Parent Guarantor’s Consolidated Tangible Assets determined at the time of incurrence;</w:t>
      </w:r>
    </w:p>
    <w:p>
      <w:pPr>
        <w:spacing w:after="0" w:line="173" w:lineRule="exact"/>
        <w:rPr>
          <w:rFonts w:ascii="Arial" w:cs="Arial" w:eastAsia="Arial" w:hAnsi="Arial"/>
          <w:sz w:val="21"/>
          <w:szCs w:val="21"/>
          <w:color w:val="auto"/>
        </w:rPr>
      </w:pPr>
    </w:p>
    <w:p>
      <w:pPr>
        <w:ind w:left="1544" w:hanging="896"/>
        <w:spacing w:after="0"/>
        <w:tabs>
          <w:tab w:leader="none" w:pos="154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Indebtedness in respect of Specified Cash Management Agreements entered into in the ordinary course</w:t>
      </w:r>
    </w:p>
    <w:p>
      <w:pPr>
        <w:spacing w:after="0" w:line="4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of business;</w:t>
      </w:r>
    </w:p>
    <w:p>
      <w:pPr>
        <w:spacing w:after="0" w:line="188" w:lineRule="exact"/>
        <w:rPr>
          <w:rFonts w:ascii="Arial" w:cs="Arial" w:eastAsia="Arial" w:hAnsi="Arial"/>
          <w:sz w:val="19"/>
          <w:szCs w:val="19"/>
          <w:color w:val="auto"/>
        </w:rPr>
      </w:pPr>
    </w:p>
    <w:p>
      <w:pPr>
        <w:ind w:left="4" w:right="240" w:firstLine="644"/>
        <w:spacing w:after="0" w:line="328" w:lineRule="auto"/>
        <w:tabs>
          <w:tab w:leader="none" w:pos="155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Indebtedness incurred in connection with a Permitted Factoring Transaction that is not recourse to the Parent Guarantor or any Restricted Subsidiary (except for Standard Securitization Undertakings);</w:t>
      </w:r>
    </w:p>
    <w:p>
      <w:pPr>
        <w:spacing w:after="0" w:line="104" w:lineRule="exact"/>
        <w:rPr>
          <w:rFonts w:ascii="Arial" w:cs="Arial" w:eastAsia="Arial" w:hAnsi="Arial"/>
          <w:sz w:val="19"/>
          <w:szCs w:val="19"/>
          <w:color w:val="auto"/>
        </w:rPr>
      </w:pPr>
    </w:p>
    <w:p>
      <w:pPr>
        <w:ind w:left="4" w:right="20" w:firstLine="644"/>
        <w:spacing w:after="0" w:line="275" w:lineRule="auto"/>
        <w:tabs>
          <w:tab w:leader="none" w:pos="155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Indebtedness of Persons incurred and outstanding on the date on which such Person was acquired by the Issuer or any Guarantor and such Person becomes a Guarantor upon such acquisition, or merged or consolidated with or into the Issuer or any Guarantor and the surviving Person is the Issuer or a Guarantor (other than Indebtedness incurred in connection with, or in contemplation of, such acquisition, merger or consolidation);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at the time such Person or its assets are acquired by the Issuer or a Guarantor, or merged or consolidated with the Issuer or a Guarantor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w:t>
      </w:r>
    </w:p>
    <w:p>
      <w:pPr>
        <w:spacing w:after="0" w:line="15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02" w:name="page103"/>
    <w:bookmarkEnd w:id="102"/>
    <w:p>
      <w:pPr>
        <w:ind w:left="660" w:right="80"/>
        <w:spacing w:after="0" w:line="251" w:lineRule="auto"/>
        <w:rPr>
          <w:sz w:val="20"/>
          <w:szCs w:val="20"/>
          <w:color w:val="auto"/>
        </w:rPr>
      </w:pPr>
      <w:r>
        <w:rPr>
          <w:rFonts w:ascii="Arial" w:cs="Arial" w:eastAsia="Arial" w:hAnsi="Arial"/>
          <w:sz w:val="22"/>
          <w:szCs w:val="22"/>
          <w:color w:val="auto"/>
        </w:rPr>
        <w:t>its Restricted Subsidiaries would be greater than or equal to such Consolidated Interest Coverage Ratio immediately prior to such acquisition, merger or consolidation;</w:t>
      </w:r>
    </w:p>
    <w:p>
      <w:pPr>
        <w:spacing w:after="0" w:line="173" w:lineRule="exact"/>
        <w:rPr>
          <w:sz w:val="20"/>
          <w:szCs w:val="20"/>
          <w:color w:val="auto"/>
        </w:rPr>
      </w:pPr>
    </w:p>
    <w:p>
      <w:pPr>
        <w:ind w:left="660" w:firstLine="644"/>
        <w:spacing w:after="0"/>
        <w:tabs>
          <w:tab w:leader="none" w:pos="220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Indebtedness incurred (a) under the Additional Notes as described under Section 314 originally issued at a price no less than face value, in an aggregate principal amount not to exceed $100 million at any one time outstanding and (b) the Guarantees of such Notes; and</w:t>
      </w:r>
    </w:p>
    <w:p>
      <w:pPr>
        <w:spacing w:after="0" w:line="186" w:lineRule="exact"/>
        <w:rPr>
          <w:rFonts w:ascii="Arial" w:cs="Arial" w:eastAsia="Arial" w:hAnsi="Arial"/>
          <w:sz w:val="22"/>
          <w:szCs w:val="22"/>
          <w:color w:val="auto"/>
        </w:rPr>
      </w:pPr>
    </w:p>
    <w:p>
      <w:pPr>
        <w:ind w:left="660" w:right="440" w:firstLine="644"/>
        <w:spacing w:after="0" w:line="250" w:lineRule="auto"/>
        <w:tabs>
          <w:tab w:leader="none" w:pos="220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Indebtedness incurred under any letters of credit, bank guaranties, bankers’ acceptances and similar instruments issued in the ordinary course of business.</w:t>
      </w:r>
    </w:p>
    <w:p>
      <w:pPr>
        <w:spacing w:after="0" w:line="175"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For purposes of determining compliance with this Section 1008, in the event that an item of Indebtedness meets the criteria of more than one of the categories of Permitted Indebtedness described in clauses (1) through (18)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LC Credit Agreement on the Initial Issuance Date, after giving effect to the application of the proceeds of this offering, shall be deemed to have been incurred under clause (1) above and may not be reclassified) and may later reclassify any item of Indebtedness described in clauses (2) through (18)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reclassification it meets the criteria in such category or categories). In addition, for purposes of determining any particular amount of Indebtedness under this covenant, (i) guarantees, Liens or obligations with respect to letters of credit, bank guaranties, bankers’ acceptances and similar instruments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200" w:lineRule="exact"/>
        <w:rPr>
          <w:sz w:val="20"/>
          <w:szCs w:val="20"/>
          <w:color w:val="auto"/>
        </w:rPr>
      </w:pPr>
    </w:p>
    <w:p>
      <w:pPr>
        <w:spacing w:after="0" w:line="204" w:lineRule="exact"/>
        <w:rPr>
          <w:sz w:val="20"/>
          <w:szCs w:val="20"/>
          <w:color w:val="auto"/>
        </w:rPr>
      </w:pPr>
    </w:p>
    <w:p>
      <w:pPr>
        <w:ind w:right="340" w:firstLine="648"/>
        <w:spacing w:after="0" w:line="238" w:lineRule="auto"/>
        <w:rPr>
          <w:sz w:val="20"/>
          <w:szCs w:val="20"/>
          <w:color w:val="auto"/>
        </w:rPr>
      </w:pPr>
      <w:r>
        <w:rPr>
          <w:rFonts w:ascii="Arial" w:cs="Arial" w:eastAsia="Arial" w:hAnsi="Arial"/>
          <w:sz w:val="22"/>
          <w:szCs w:val="22"/>
          <w:color w:val="auto"/>
        </w:rPr>
        <w:t xml:space="preserve">The accrual of interest, the accretion or amortization of original issue discount and the payment of interest on any Indebtedness, including in the form of additional Indebtedness with the same terms, will not be deemed to be an incurrence of Indebtedness of this Section 1008; </w:t>
      </w:r>
      <w:r>
        <w:rPr>
          <w:rFonts w:ascii="Arial" w:cs="Arial" w:eastAsia="Arial" w:hAnsi="Arial"/>
          <w:sz w:val="22"/>
          <w:szCs w:val="22"/>
          <w:i w:val="1"/>
          <w:iCs w:val="1"/>
          <w:color w:val="auto"/>
        </w:rPr>
        <w:t>provided</w:t>
      </w:r>
      <w:r>
        <w:rPr>
          <w:rFonts w:ascii="Arial" w:cs="Arial" w:eastAsia="Arial" w:hAnsi="Arial"/>
          <w:sz w:val="22"/>
          <w:szCs w:val="22"/>
          <w:color w:val="auto"/>
        </w:rPr>
        <w:t>, in each such case, that the amount thereof is included in Consolidated Interest Expense of the Parent Guarantor as accrued.</w:t>
      </w:r>
    </w:p>
    <w:p>
      <w:pPr>
        <w:spacing w:after="0" w:line="185"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if such Indebtedness is incurred to refinance other Indebtedness denominated in a foreign currency, and such</w:t>
      </w:r>
      <w:r>
        <w:rPr>
          <w:rFonts w:ascii="Arial" w:cs="Arial" w:eastAsia="Arial" w:hAnsi="Arial"/>
          <w:sz w:val="21"/>
          <w:szCs w:val="21"/>
          <w:i w:val="1"/>
          <w:iCs w:val="1"/>
          <w:color w:val="auto"/>
        </w:rPr>
        <w:t xml:space="preserve"> </w:t>
      </w:r>
      <w:r>
        <w:rPr>
          <w:rFonts w:ascii="Arial" w:cs="Arial" w:eastAsia="Arial" w:hAnsi="Arial"/>
          <w:sz w:val="21"/>
          <w:szCs w:val="21"/>
          <w:color w:val="auto"/>
        </w:rPr>
        <w:t>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ind w:right="600"/>
        <w:spacing w:after="0" w:line="328" w:lineRule="auto"/>
        <w:rPr>
          <w:sz w:val="20"/>
          <w:szCs w:val="20"/>
          <w:color w:val="auto"/>
        </w:rPr>
      </w:pPr>
      <w:r>
        <w:rPr>
          <w:rFonts w:ascii="Arial" w:cs="Arial" w:eastAsia="Arial" w:hAnsi="Arial"/>
          <w:sz w:val="19"/>
          <w:szCs w:val="19"/>
          <w:color w:val="auto"/>
        </w:rPr>
        <w:t>currency from the Indebtedness being refinanced, shall be calculated based on the currency exchange rate applicable to the currencies in which such Refinancing Indebtedness is denominated that is in effect on the date of such refinancing.</w:t>
      </w:r>
    </w:p>
    <w:p>
      <w:pPr>
        <w:spacing w:after="0" w:line="10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21"/>
          <w:szCs w:val="21"/>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1008, the Issuer shall be in Default of this covenant).</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Parent Guarantor will not, and will not permit any Restricted Subsidiary to, directly or indirectly, make any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Restricted Payment if at the time of such Restricted Payment:</w:t>
      </w:r>
    </w:p>
    <w:p>
      <w:pPr>
        <w:spacing w:after="0" w:line="188" w:lineRule="exact"/>
        <w:rPr>
          <w:sz w:val="20"/>
          <w:szCs w:val="20"/>
          <w:color w:val="auto"/>
        </w:rPr>
      </w:pPr>
    </w:p>
    <w:p>
      <w:pPr>
        <w:ind w:left="2100" w:hanging="796"/>
        <w:spacing w:after="0"/>
        <w:tabs>
          <w:tab w:leader="none" w:pos="21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Default shall have occurred and be continuing or shall occur as a consequence thereof;</w:t>
      </w:r>
    </w:p>
    <w:p>
      <w:pPr>
        <w:spacing w:after="0" w:line="206" w:lineRule="exact"/>
        <w:rPr>
          <w:rFonts w:ascii="Arial" w:cs="Arial" w:eastAsia="Arial" w:hAnsi="Arial"/>
          <w:sz w:val="22"/>
          <w:szCs w:val="22"/>
          <w:color w:val="auto"/>
        </w:rPr>
      </w:pPr>
    </w:p>
    <w:p>
      <w:pPr>
        <w:ind w:left="660" w:right="800" w:firstLine="644"/>
        <w:spacing w:after="0" w:line="250" w:lineRule="auto"/>
        <w:tabs>
          <w:tab w:leader="none" w:pos="21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Parent Guarantor is not able to incur at least $1.00 of additional Indebtedness pursuant to the Coverage Ratio Exception; or</w:t>
      </w:r>
    </w:p>
    <w:p>
      <w:pPr>
        <w:spacing w:after="0" w:line="174" w:lineRule="exact"/>
        <w:rPr>
          <w:rFonts w:ascii="Arial" w:cs="Arial" w:eastAsia="Arial" w:hAnsi="Arial"/>
          <w:sz w:val="22"/>
          <w:szCs w:val="22"/>
          <w:color w:val="auto"/>
        </w:rPr>
      </w:pPr>
    </w:p>
    <w:p>
      <w:pPr>
        <w:ind w:left="660" w:right="520" w:firstLine="644"/>
        <w:spacing w:after="0" w:line="297" w:lineRule="auto"/>
        <w:tabs>
          <w:tab w:leader="none" w:pos="21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amount of such Restricted Payment, when added to the aggregate amount of all other Restricted Payments made after the Unsecured Notes Issue Date (other than Restricted Payments made pursuant to clauses (2) through (11) of the next paragraph), exceeds the sum (the “Restricted Payments Basket”) of (without duplication):</w:t>
      </w:r>
    </w:p>
    <w:p>
      <w:pPr>
        <w:spacing w:after="0" w:line="133" w:lineRule="exact"/>
        <w:rPr>
          <w:rFonts w:ascii="Arial" w:cs="Arial" w:eastAsia="Arial" w:hAnsi="Arial"/>
          <w:sz w:val="19"/>
          <w:szCs w:val="19"/>
          <w:color w:val="auto"/>
        </w:rPr>
      </w:pPr>
    </w:p>
    <w:p>
      <w:pPr>
        <w:ind w:left="1300" w:firstLine="652"/>
        <w:spacing w:after="0" w:line="236" w:lineRule="auto"/>
        <w:tabs>
          <w:tab w:leader="none" w:pos="2728" w:val="left"/>
        </w:tabs>
        <w:numPr>
          <w:ilvl w:val="1"/>
          <w:numId w:val="103"/>
        </w:numPr>
        <w:rPr>
          <w:rFonts w:ascii="Arial" w:cs="Arial" w:eastAsia="Arial" w:hAnsi="Arial"/>
          <w:sz w:val="22"/>
          <w:szCs w:val="22"/>
          <w:color w:val="010000"/>
        </w:rPr>
      </w:pPr>
      <w:r>
        <w:rPr>
          <w:rFonts w:ascii="Arial" w:cs="Arial" w:eastAsia="Arial" w:hAnsi="Arial"/>
          <w:sz w:val="22"/>
          <w:szCs w:val="22"/>
          <w:color w:val="auto"/>
        </w:rPr>
        <w:t>50.0% of Consolidated Net Income of the Parent Guarantor and the Restricted Subsidiaries for the period (taken as one accounting period) commencing on the Unsecured Notes Issue Date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87" w:lineRule="exact"/>
        <w:rPr>
          <w:rFonts w:ascii="Arial" w:cs="Arial" w:eastAsia="Arial" w:hAnsi="Arial"/>
          <w:sz w:val="22"/>
          <w:szCs w:val="22"/>
          <w:color w:val="010000"/>
        </w:rPr>
      </w:pPr>
    </w:p>
    <w:p>
      <w:pPr>
        <w:ind w:left="1300" w:firstLine="652"/>
        <w:spacing w:after="0" w:line="273" w:lineRule="auto"/>
        <w:tabs>
          <w:tab w:leader="none" w:pos="2740"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Initial Issuance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ind w:left="640" w:right="180" w:firstLine="652"/>
        <w:spacing w:after="0" w:line="249" w:lineRule="auto"/>
        <w:tabs>
          <w:tab w:leader="none" w:pos="2068" w:val="left"/>
        </w:tabs>
        <w:numPr>
          <w:ilvl w:val="0"/>
          <w:numId w:val="104"/>
        </w:numPr>
        <w:rPr>
          <w:rFonts w:ascii="Arial" w:cs="Arial" w:eastAsia="Arial" w:hAnsi="Arial"/>
          <w:sz w:val="21"/>
          <w:szCs w:val="21"/>
          <w:color w:val="010000"/>
        </w:rPr>
      </w:pPr>
      <w:r>
        <w:rPr>
          <w:rFonts w:ascii="Arial" w:cs="Arial" w:eastAsia="Arial" w:hAnsi="Arial"/>
          <w:sz w:val="21"/>
          <w:szCs w:val="21"/>
          <w:color w:val="auto"/>
        </w:rPr>
        <w:t>in the case of the disposition or repayment of or return on any Investment that was treated as a Restricted Payment after the Unsecured Notes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78" w:lineRule="exact"/>
        <w:rPr>
          <w:rFonts w:ascii="Arial" w:cs="Arial" w:eastAsia="Arial" w:hAnsi="Arial"/>
          <w:sz w:val="21"/>
          <w:szCs w:val="21"/>
          <w:color w:val="010000"/>
        </w:rPr>
      </w:pPr>
    </w:p>
    <w:p>
      <w:pPr>
        <w:ind w:left="640" w:right="60" w:firstLine="652"/>
        <w:spacing w:after="0" w:line="235" w:lineRule="auto"/>
        <w:tabs>
          <w:tab w:leader="none" w:pos="2080"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Notwithstanding the foregoing, the provisions set forth in the immediately preceding paragraph will not prohibit:</w:t>
      </w:r>
    </w:p>
    <w:p>
      <w:pPr>
        <w:spacing w:after="0" w:line="218" w:lineRule="exact"/>
        <w:rPr>
          <w:sz w:val="20"/>
          <w:szCs w:val="20"/>
          <w:color w:val="auto"/>
        </w:rPr>
      </w:pPr>
    </w:p>
    <w:p>
      <w:pPr>
        <w:ind w:right="40" w:firstLine="644"/>
        <w:spacing w:after="0"/>
        <w:tabs>
          <w:tab w:leader="none" w:pos="14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86" w:lineRule="exact"/>
        <w:rPr>
          <w:rFonts w:ascii="Arial" w:cs="Arial" w:eastAsia="Arial" w:hAnsi="Arial"/>
          <w:sz w:val="22"/>
          <w:szCs w:val="22"/>
          <w:color w:val="auto"/>
        </w:rPr>
      </w:pPr>
    </w:p>
    <w:p>
      <w:pPr>
        <w:ind w:right="400" w:firstLine="644"/>
        <w:spacing w:after="0" w:line="250" w:lineRule="auto"/>
        <w:tabs>
          <w:tab w:leader="none" w:pos="14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Restricted Payment made in exchange for, or out of the proceeds of, the substantially concurrent issuance and sale of Qualified Equity Interests;</w:t>
      </w:r>
    </w:p>
    <w:p>
      <w:pPr>
        <w:spacing w:after="0" w:line="174" w:lineRule="exact"/>
        <w:rPr>
          <w:rFonts w:ascii="Arial" w:cs="Arial" w:eastAsia="Arial" w:hAnsi="Arial"/>
          <w:sz w:val="22"/>
          <w:szCs w:val="22"/>
          <w:color w:val="auto"/>
        </w:rPr>
      </w:pPr>
    </w:p>
    <w:p>
      <w:pPr>
        <w:ind w:right="60" w:firstLine="644"/>
        <w:spacing w:after="0" w:line="238" w:lineRule="auto"/>
        <w:tabs>
          <w:tab w:leader="none" w:pos="14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Section 1008 and the other terms of the Indenture;</w:t>
      </w:r>
    </w:p>
    <w:p>
      <w:pPr>
        <w:spacing w:after="0" w:line="184" w:lineRule="exact"/>
        <w:rPr>
          <w:rFonts w:ascii="Arial" w:cs="Arial" w:eastAsia="Arial" w:hAnsi="Arial"/>
          <w:sz w:val="22"/>
          <w:szCs w:val="22"/>
          <w:color w:val="auto"/>
        </w:rPr>
      </w:pPr>
    </w:p>
    <w:p>
      <w:pPr>
        <w:ind w:right="520" w:firstLine="644"/>
        <w:spacing w:after="0" w:line="276" w:lineRule="auto"/>
        <w:tabs>
          <w:tab w:leader="none" w:pos="14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purchase, repurchase, redemption, defeasance or other acquisition or retirement for value of Subordinated Indebtedness of the Parent Guarantor or any Restricted Subsidiary at a purchase price not greater than</w:t>
      </w:r>
    </w:p>
    <w:p>
      <w:pPr>
        <w:spacing w:after="0" w:line="1" w:lineRule="exact"/>
        <w:rPr>
          <w:rFonts w:ascii="Arial" w:cs="Arial" w:eastAsia="Arial" w:hAnsi="Arial"/>
          <w:sz w:val="19"/>
          <w:szCs w:val="19"/>
          <w:color w:val="auto"/>
        </w:rPr>
      </w:pPr>
    </w:p>
    <w:p>
      <w:pPr>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101.0% of the principal amount of such Subordinated Indebtedness in the event of a Change of Control in accordance with provisions similar to Section 1007;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prior to or simultaneously with such purchase, repurchase, redemption, defeasance or other acquisition or retirement, the Issuer has made the Change of Control Offer as provided in Section 1007 and has completed the repurchase or redemption of all Notes validly tendered for payment in connection with such Change of Control Offer;</w:t>
      </w:r>
    </w:p>
    <w:p>
      <w:pPr>
        <w:spacing w:after="0" w:line="185" w:lineRule="exact"/>
        <w:rPr>
          <w:rFonts w:ascii="Arial" w:cs="Arial" w:eastAsia="Arial" w:hAnsi="Arial"/>
          <w:sz w:val="19"/>
          <w:szCs w:val="19"/>
          <w:color w:val="auto"/>
        </w:rPr>
      </w:pPr>
    </w:p>
    <w:p>
      <w:pPr>
        <w:ind w:right="180" w:firstLine="644"/>
        <w:spacing w:after="0"/>
        <w:tabs>
          <w:tab w:leader="none" w:pos="14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or would result therefrom, the redemption, repurchase or other acquisition or retirement for value of Equity Interests of the Parent Guarantor held by officers, directors or</w:t>
      </w:r>
    </w:p>
    <w:p>
      <w:pPr>
        <w:spacing w:after="0" w:line="18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118" w:right="399" w:bottom="1440" w:gutter="0" w:footer="0" w:header="0"/>
        </w:sectPr>
      </w:pPr>
    </w:p>
    <w:bookmarkStart w:id="105" w:name="page106"/>
    <w:bookmarkEnd w:id="105"/>
    <w:p>
      <w:pPr>
        <w:ind w:left="4" w:right="200"/>
        <w:spacing w:after="0" w:line="277" w:lineRule="auto"/>
        <w:rPr>
          <w:sz w:val="20"/>
          <w:szCs w:val="20"/>
          <w:color w:val="auto"/>
        </w:rPr>
      </w:pPr>
      <w:r>
        <w:rPr>
          <w:rFonts w:ascii="Arial" w:cs="Arial" w:eastAsia="Arial" w:hAnsi="Arial"/>
          <w:sz w:val="19"/>
          <w:szCs w:val="19"/>
          <w:color w:val="auto"/>
        </w:rPr>
        <w:t>employees or former officers, directors or employees (or their transferees, estates or beneficiaries under their estates), either (x) upon any such individual’s death, disability, retirement, severance or termination of employment or service or</w:t>
      </w:r>
    </w:p>
    <w:p>
      <w:pPr>
        <w:ind w:left="4" w:right="20" w:hanging="4"/>
        <w:spacing w:after="0" w:line="270" w:lineRule="auto"/>
        <w:tabs>
          <w:tab w:leader="none" w:pos="31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pursuant to any equity subscription agreement, stock option agreement, restricted stock agreement, restricted stock unit agreement, stockholders’ agreement or similar agreement; </w:t>
      </w:r>
      <w:r>
        <w:rPr>
          <w:rFonts w:ascii="Arial" w:cs="Arial" w:eastAsia="Arial" w:hAnsi="Arial"/>
          <w:sz w:val="19"/>
          <w:szCs w:val="19"/>
          <w:i w:val="1"/>
          <w:iCs w:val="1"/>
          <w:color w:val="auto"/>
        </w:rPr>
        <w:t>provided</w:t>
      </w:r>
      <w:r>
        <w:rPr>
          <w:rFonts w:ascii="Arial" w:cs="Arial" w:eastAsia="Arial" w:hAnsi="Arial"/>
          <w:sz w:val="19"/>
          <w:szCs w:val="19"/>
          <w:color w:val="auto"/>
        </w:rPr>
        <w:t>, in any case, that the aggregate cash consideration paid for all such redemptions, repurchases or other acquisitions or retirements shall not exceed (A) $25.0 million during any calendar year (with unused amounts in any calendar year being carried forward to the next succeeding calendar year) plus (B) the amount of any net cash proceeds received by or contributed to the Parent Guarantor from the issuance and sale after the Initial Issuance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provided further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4" w:firstLine="644"/>
        <w:spacing w:after="0" w:line="277" w:lineRule="auto"/>
        <w:tabs>
          <w:tab w:leader="none" w:pos="144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51" w:lineRule="exact"/>
        <w:rPr>
          <w:rFonts w:ascii="Arial" w:cs="Arial" w:eastAsia="Arial" w:hAnsi="Arial"/>
          <w:sz w:val="19"/>
          <w:szCs w:val="19"/>
          <w:color w:val="auto"/>
        </w:rPr>
      </w:pPr>
    </w:p>
    <w:p>
      <w:pPr>
        <w:jc w:val="both"/>
        <w:ind w:left="4" w:right="200" w:firstLine="644"/>
        <w:spacing w:after="0"/>
        <w:tabs>
          <w:tab w:leader="none" w:pos="144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dividends or distributions on Disqualified Equity Interests of the Parent Guarantor or on any Preferred Stock of any Restricted Subsidiary, in each case issued in compliance with Section 1008 to the extent such dividends or distributions are included in the definition of Consolidated Interest Expense;</w:t>
      </w:r>
    </w:p>
    <w:p>
      <w:pPr>
        <w:spacing w:after="0" w:line="186" w:lineRule="exact"/>
        <w:rPr>
          <w:rFonts w:ascii="Arial" w:cs="Arial" w:eastAsia="Arial" w:hAnsi="Arial"/>
          <w:sz w:val="22"/>
          <w:szCs w:val="22"/>
          <w:color w:val="auto"/>
        </w:rPr>
      </w:pPr>
    </w:p>
    <w:p>
      <w:pPr>
        <w:ind w:left="1444" w:hanging="796"/>
        <w:spacing w:after="0"/>
        <w:tabs>
          <w:tab w:leader="none" w:pos="144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payment of cash in lieu of fractional Equity Interests;</w:t>
      </w:r>
    </w:p>
    <w:p>
      <w:pPr>
        <w:spacing w:after="0" w:line="206" w:lineRule="exact"/>
        <w:rPr>
          <w:rFonts w:ascii="Arial" w:cs="Arial" w:eastAsia="Arial" w:hAnsi="Arial"/>
          <w:sz w:val="22"/>
          <w:szCs w:val="22"/>
          <w:color w:val="auto"/>
        </w:rPr>
      </w:pPr>
    </w:p>
    <w:p>
      <w:pPr>
        <w:ind w:left="4" w:right="460" w:firstLine="644"/>
        <w:spacing w:after="0" w:line="274" w:lineRule="auto"/>
        <w:tabs>
          <w:tab w:leader="none" w:pos="1444" w:val="left"/>
        </w:tabs>
        <w:numPr>
          <w:ilvl w:val="1"/>
          <w:numId w:val="106"/>
        </w:numPr>
        <w:rPr>
          <w:rFonts w:ascii="Arial" w:cs="Arial" w:eastAsia="Arial" w:hAnsi="Arial"/>
          <w:sz w:val="21"/>
          <w:szCs w:val="21"/>
          <w:color w:val="auto"/>
        </w:rPr>
      </w:pPr>
      <w:r>
        <w:rPr>
          <w:rFonts w:ascii="Arial" w:cs="Arial" w:eastAsia="Arial" w:hAnsi="Arial"/>
          <w:sz w:val="21"/>
          <w:szCs w:val="21"/>
          <w:color w:val="auto"/>
        </w:rPr>
        <w:t>payments or distributions to dissenting stockholders pursuant to applicable law in connection with a merger, consolidation or amalgamation that complies with the provisions of Section 801;</w:t>
      </w:r>
    </w:p>
    <w:p>
      <w:pPr>
        <w:spacing w:after="0" w:line="150" w:lineRule="exact"/>
        <w:rPr>
          <w:rFonts w:ascii="Arial" w:cs="Arial" w:eastAsia="Arial" w:hAnsi="Arial"/>
          <w:sz w:val="21"/>
          <w:szCs w:val="21"/>
          <w:color w:val="auto"/>
        </w:rPr>
      </w:pPr>
    </w:p>
    <w:p>
      <w:pPr>
        <w:ind w:left="4" w:right="740" w:firstLine="644"/>
        <w:spacing w:after="0" w:line="274" w:lineRule="auto"/>
        <w:tabs>
          <w:tab w:leader="none" w:pos="1552" w:val="left"/>
        </w:tabs>
        <w:numPr>
          <w:ilvl w:val="1"/>
          <w:numId w:val="106"/>
        </w:numPr>
        <w:rPr>
          <w:rFonts w:ascii="Arial" w:cs="Arial" w:eastAsia="Arial" w:hAnsi="Arial"/>
          <w:sz w:val="21"/>
          <w:szCs w:val="21"/>
          <w:color w:val="auto"/>
        </w:rPr>
      </w:pPr>
      <w:r>
        <w:rPr>
          <w:rFonts w:ascii="Arial" w:cs="Arial" w:eastAsia="Arial" w:hAnsi="Arial"/>
          <w:sz w:val="21"/>
          <w:szCs w:val="21"/>
          <w:color w:val="auto"/>
        </w:rPr>
        <w:t>purchases of receivables pursuant to a Receivables Repurchase Obligation in connection with a Permitted Factoring Transaction and the payment or distribution of fees related thereto;</w:t>
      </w:r>
    </w:p>
    <w:p>
      <w:pPr>
        <w:spacing w:after="0" w:line="150" w:lineRule="exact"/>
        <w:rPr>
          <w:rFonts w:ascii="Arial" w:cs="Arial" w:eastAsia="Arial" w:hAnsi="Arial"/>
          <w:sz w:val="21"/>
          <w:szCs w:val="21"/>
          <w:color w:val="auto"/>
        </w:rPr>
      </w:pPr>
    </w:p>
    <w:p>
      <w:pPr>
        <w:ind w:left="4" w:right="160" w:firstLine="644"/>
        <w:spacing w:after="0" w:line="250" w:lineRule="auto"/>
        <w:tabs>
          <w:tab w:leader="none" w:pos="154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cash distributions by the Parent Guarantor to the holders of Equity Interests of the Parent Guarantor in accordance with a distribution reinvestment plan or</w:t>
      </w:r>
    </w:p>
    <w:p>
      <w:pPr>
        <w:spacing w:after="0" w:line="17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18" w:right="399" w:bottom="1440" w:gutter="0" w:footer="0" w:header="0"/>
        </w:sectPr>
      </w:pPr>
    </w:p>
    <w:bookmarkStart w:id="106" w:name="page107"/>
    <w:bookmarkEnd w:id="106"/>
    <w:p>
      <w:pPr>
        <w:ind w:left="660" w:right="240"/>
        <w:spacing w:after="0" w:line="251" w:lineRule="auto"/>
        <w:rPr>
          <w:sz w:val="20"/>
          <w:szCs w:val="20"/>
          <w:color w:val="auto"/>
        </w:rPr>
      </w:pPr>
      <w:r>
        <w:rPr>
          <w:rFonts w:ascii="Arial" w:cs="Arial" w:eastAsia="Arial" w:hAnsi="Arial"/>
          <w:sz w:val="22"/>
          <w:szCs w:val="22"/>
          <w:color w:val="auto"/>
        </w:rPr>
        <w:t>dividend reinvestment plan to the extent such payments are applied to the purchase of Equity Interests directly from the Parent Guarantor;</w:t>
      </w:r>
    </w:p>
    <w:p>
      <w:pPr>
        <w:spacing w:after="0" w:line="173" w:lineRule="exact"/>
        <w:rPr>
          <w:sz w:val="20"/>
          <w:szCs w:val="20"/>
          <w:color w:val="auto"/>
        </w:rPr>
      </w:pPr>
    </w:p>
    <w:p>
      <w:pPr>
        <w:jc w:val="both"/>
        <w:ind w:left="660" w:right="20" w:firstLine="644"/>
        <w:spacing w:after="0" w:line="238" w:lineRule="auto"/>
        <w:tabs>
          <w:tab w:leader="none" w:pos="220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payment of other Restricted Payments (other than Restricted Payments constituting Restricted Payment under clause (1) or clause (2) of the definition thereof) from time to time in an aggregate amount since the Initial Issuance Date not to exceed the greater of (i) $200 million and (ii) 2.0% of the Parent Guarantor’s Consolidated Tangible Assets determined at the time made; or</w:t>
      </w:r>
    </w:p>
    <w:p>
      <w:pPr>
        <w:spacing w:after="0" w:line="184" w:lineRule="exact"/>
        <w:rPr>
          <w:rFonts w:ascii="Arial" w:cs="Arial" w:eastAsia="Arial" w:hAnsi="Arial"/>
          <w:sz w:val="22"/>
          <w:szCs w:val="22"/>
          <w:color w:val="auto"/>
        </w:rPr>
      </w:pPr>
    </w:p>
    <w:p>
      <w:pPr>
        <w:ind w:left="660" w:right="100" w:firstLine="644"/>
        <w:spacing w:after="0"/>
        <w:tabs>
          <w:tab w:leader="none" w:pos="220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8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no issuance and sale of Qualified Equity Interests used to make a payment pursuant to clauses (2) or (5)(B) above</w:t>
      </w:r>
      <w:r>
        <w:rPr>
          <w:rFonts w:ascii="Arial" w:cs="Arial" w:eastAsia="Arial" w:hAnsi="Arial"/>
          <w:sz w:val="22"/>
          <w:szCs w:val="22"/>
          <w:i w:val="1"/>
          <w:iCs w:val="1"/>
          <w:color w:val="auto"/>
        </w:rPr>
        <w:t xml:space="preserve"> </w:t>
      </w:r>
      <w:r>
        <w:rPr>
          <w:rFonts w:ascii="Arial" w:cs="Arial" w:eastAsia="Arial" w:hAnsi="Arial"/>
          <w:sz w:val="22"/>
          <w:szCs w:val="22"/>
          <w:color w:val="auto"/>
        </w:rPr>
        <w:t>shall increase the Restricted Payments Basket to the extent of such payment.</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8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Limitation on Liens</w:t>
      </w:r>
      <w:r>
        <w:rPr>
          <w:rFonts w:ascii="Arial" w:cs="Arial" w:eastAsia="Arial" w:hAnsi="Arial"/>
          <w:sz w:val="16"/>
          <w:szCs w:val="16"/>
          <w:color w:val="auto"/>
        </w:rPr>
        <w:t>.</w:t>
      </w:r>
    </w:p>
    <w:p>
      <w:pPr>
        <w:spacing w:after="0" w:line="218"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The Parent Guarantor will not, nor will it permit any Restricted Subsidiary to, create, assume, incur or suffer to exist any Lien upon any property, whether owned or leased on the Initial Issuance Date or thereafter acquired. This restriction shall not apply to:</w:t>
      </w:r>
    </w:p>
    <w:p>
      <w:pPr>
        <w:spacing w:after="0" w:line="186" w:lineRule="exact"/>
        <w:rPr>
          <w:sz w:val="20"/>
          <w:szCs w:val="20"/>
          <w:color w:val="auto"/>
        </w:rPr>
      </w:pPr>
    </w:p>
    <w:p>
      <w:pPr>
        <w:ind w:left="660" w:right="20" w:firstLine="644"/>
        <w:spacing w:after="0" w:line="235" w:lineRule="auto"/>
        <w:tabs>
          <w:tab w:leader="none" w:pos="21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Liens (i) existing on the Initial Issuance Date (other than Liens under clause (1)(iii)), (ii) provided for under the terms of agreements existing on such date securing Indebtedness existing on such date, (iii) under the terms of a Credit Facility (including the LC Credit Agreement) securing Indebtedness incurred pursuant to clause (1) of the definition of the Permitted Indebtedness;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shall be limited to the Collateral and shall have the priorities set forth in the First Lien Intercreditor Agreement or (iv) Liens securing the Notes and the Guarantees of the Notes;</w:t>
      </w:r>
    </w:p>
    <w:p>
      <w:pPr>
        <w:spacing w:after="0" w:line="187" w:lineRule="exact"/>
        <w:rPr>
          <w:rFonts w:ascii="Arial" w:cs="Arial" w:eastAsia="Arial" w:hAnsi="Arial"/>
          <w:sz w:val="22"/>
          <w:szCs w:val="22"/>
          <w:color w:val="auto"/>
        </w:rPr>
      </w:pPr>
    </w:p>
    <w:p>
      <w:pPr>
        <w:jc w:val="both"/>
        <w:ind w:left="660" w:right="20" w:firstLine="644"/>
        <w:spacing w:after="0" w:line="287" w:lineRule="auto"/>
        <w:tabs>
          <w:tab w:leader="none" w:pos="21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Liens securing Indebtedness incurred pursuant to clauses (5), (9), (10), (14) and (18) (provided that Liens securing Indebtedness incurred pursuant to clause (18) of the definition of Permitted Indebtedness shall be limited to cash collateral pledged to secure letters of credit, bank guaranties, bankers’ acceptances and similar instruments on customary and then prevailing market terms (as determined in good faith by the Issuer)) of the definition of Permitted Indebtedness;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7" w:name="page108"/>
    <w:bookmarkEnd w:id="107"/>
    <w:p>
      <w:pPr>
        <w:ind w:left="-460" w:right="40" w:firstLine="644"/>
        <w:spacing w:after="0" w:line="273" w:lineRule="auto"/>
        <w:tabs>
          <w:tab w:leader="none" w:pos="9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(2) whether or not such Lien is created within such one year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61" w:lineRule="exact"/>
        <w:rPr>
          <w:rFonts w:ascii="Arial" w:cs="Arial" w:eastAsia="Arial" w:hAnsi="Arial"/>
          <w:sz w:val="19"/>
          <w:szCs w:val="19"/>
          <w:color w:val="auto"/>
        </w:rPr>
      </w:pPr>
    </w:p>
    <w:p>
      <w:pPr>
        <w:ind w:left="-460" w:right="160" w:firstLine="644"/>
        <w:spacing w:after="0" w:line="236" w:lineRule="auto"/>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87" w:lineRule="exact"/>
        <w:rPr>
          <w:rFonts w:ascii="Arial" w:cs="Arial" w:eastAsia="Arial" w:hAnsi="Arial"/>
          <w:sz w:val="22"/>
          <w:szCs w:val="22"/>
          <w:color w:val="auto"/>
        </w:rPr>
      </w:pPr>
    </w:p>
    <w:p>
      <w:pPr>
        <w:ind w:left="980" w:hanging="796"/>
        <w:spacing w:after="0"/>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Liens in favor of the Parent Guarantor or any Restricted Subsidiary;</w:t>
      </w:r>
    </w:p>
    <w:p>
      <w:pPr>
        <w:spacing w:after="0" w:line="206" w:lineRule="exact"/>
        <w:rPr>
          <w:rFonts w:ascii="Arial" w:cs="Arial" w:eastAsia="Arial" w:hAnsi="Arial"/>
          <w:sz w:val="22"/>
          <w:szCs w:val="22"/>
          <w:color w:val="auto"/>
        </w:rPr>
      </w:pPr>
    </w:p>
    <w:p>
      <w:pPr>
        <w:ind w:left="-460" w:firstLine="644"/>
        <w:spacing w:after="0" w:line="277" w:lineRule="auto"/>
        <w:tabs>
          <w:tab w:leader="none" w:pos="9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Indebtedness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51" w:lineRule="exact"/>
        <w:rPr>
          <w:rFonts w:ascii="Arial" w:cs="Arial" w:eastAsia="Arial" w:hAnsi="Arial"/>
          <w:sz w:val="19"/>
          <w:szCs w:val="19"/>
          <w:color w:val="auto"/>
        </w:rPr>
      </w:pPr>
    </w:p>
    <w:p>
      <w:pPr>
        <w:ind w:left="-460" w:right="620" w:firstLine="644"/>
        <w:spacing w:after="0" w:line="328" w:lineRule="auto"/>
        <w:tabs>
          <w:tab w:leader="none" w:pos="9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precautionary Liens on Receivables arising in connection with Permitted Factoring Transactions, attaching solely to the Receivables and Receivables Related Security under such Permitted Factoring Transactions;</w:t>
      </w:r>
    </w:p>
    <w:p>
      <w:pPr>
        <w:spacing w:after="0" w:line="104" w:lineRule="exact"/>
        <w:rPr>
          <w:rFonts w:ascii="Arial" w:cs="Arial" w:eastAsia="Arial" w:hAnsi="Arial"/>
          <w:sz w:val="19"/>
          <w:szCs w:val="19"/>
          <w:color w:val="auto"/>
        </w:rPr>
      </w:pPr>
    </w:p>
    <w:p>
      <w:pPr>
        <w:ind w:left="980" w:hanging="796"/>
        <w:spacing w:after="0"/>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Permitted Liens; and</w:t>
      </w:r>
    </w:p>
    <w:p>
      <w:pPr>
        <w:spacing w:after="0" w:line="206" w:lineRule="exact"/>
        <w:rPr>
          <w:rFonts w:ascii="Arial" w:cs="Arial" w:eastAsia="Arial" w:hAnsi="Arial"/>
          <w:sz w:val="22"/>
          <w:szCs w:val="22"/>
          <w:color w:val="auto"/>
        </w:rPr>
      </w:pPr>
    </w:p>
    <w:p>
      <w:pPr>
        <w:ind w:left="-460" w:right="20" w:firstLine="644"/>
        <w:spacing w:after="0" w:line="236" w:lineRule="auto"/>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any extension, renewal, or replacement (or successive extensions, renewals or replacements), in whole or in part, of any Lien referred to in any of the foregoing clauses (1), (2), (3), (4), (5), (6), (7) and (8) to the extent such extension, renewal or replacement (or successive extensions, renewals or replacements) involves a Lien described in the foregoing clauses;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principal amount of Indebtedness secured thereby shall not exceed the principal amount of Indebtedness so</w:t>
      </w:r>
    </w:p>
    <w:p>
      <w:pPr>
        <w:spacing w:after="0" w:line="1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8" w:right="379" w:bottom="1440" w:gutter="0" w:footer="0" w:header="0"/>
        </w:sectPr>
      </w:pPr>
    </w:p>
    <w:bookmarkStart w:id="108" w:name="page109"/>
    <w:bookmarkEnd w:id="108"/>
    <w:p>
      <w:pPr>
        <w:ind w:left="660" w:right="120"/>
        <w:spacing w:after="0" w:line="297" w:lineRule="auto"/>
        <w:rPr>
          <w:sz w:val="20"/>
          <w:szCs w:val="20"/>
          <w:color w:val="auto"/>
        </w:rPr>
      </w:pPr>
      <w:r>
        <w:rPr>
          <w:rFonts w:ascii="Arial" w:cs="Arial" w:eastAsia="Arial" w:hAnsi="Arial"/>
          <w:sz w:val="19"/>
          <w:szCs w:val="19"/>
          <w:color w:val="auto"/>
        </w:rPr>
        <w:t>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4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Limitation on Dividends and Other Restrictions Affecting Restricted Subsidiaries</w:t>
      </w:r>
      <w:r>
        <w:rPr>
          <w:rFonts w:ascii="Arial" w:cs="Arial" w:eastAsia="Arial" w:hAnsi="Arial"/>
          <w:sz w:val="16"/>
          <w:szCs w:val="16"/>
          <w:color w:val="auto"/>
        </w:rPr>
        <w:t>.</w:t>
      </w:r>
    </w:p>
    <w:p>
      <w:pPr>
        <w:spacing w:after="0" w:line="218"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86" w:lineRule="exact"/>
        <w:rPr>
          <w:sz w:val="20"/>
          <w:szCs w:val="20"/>
          <w:color w:val="auto"/>
        </w:rPr>
      </w:pPr>
    </w:p>
    <w:p>
      <w:pPr>
        <w:ind w:left="1300" w:right="60" w:firstLine="652"/>
        <w:spacing w:after="0" w:line="249" w:lineRule="auto"/>
        <w:tabs>
          <w:tab w:leader="none" w:pos="2728" w:val="left"/>
        </w:tabs>
        <w:numPr>
          <w:ilvl w:val="0"/>
          <w:numId w:val="110"/>
        </w:numPr>
        <w:rPr>
          <w:rFonts w:ascii="Arial" w:cs="Arial" w:eastAsia="Arial" w:hAnsi="Arial"/>
          <w:sz w:val="21"/>
          <w:szCs w:val="21"/>
          <w:color w:val="010000"/>
        </w:rPr>
      </w:pPr>
      <w:r>
        <w:rPr>
          <w:rFonts w:ascii="Arial" w:cs="Arial" w:eastAsia="Arial" w:hAnsi="Arial"/>
          <w:sz w:val="21"/>
          <w:szCs w:val="21"/>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78" w:lineRule="exact"/>
        <w:rPr>
          <w:rFonts w:ascii="Arial" w:cs="Arial" w:eastAsia="Arial" w:hAnsi="Arial"/>
          <w:sz w:val="21"/>
          <w:szCs w:val="21"/>
          <w:color w:val="010000"/>
        </w:rPr>
      </w:pPr>
    </w:p>
    <w:p>
      <w:pPr>
        <w:ind w:left="1300" w:right="340" w:firstLine="652"/>
        <w:spacing w:after="0" w:line="236" w:lineRule="auto"/>
        <w:tabs>
          <w:tab w:leader="none" w:pos="2740"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187" w:lineRule="exact"/>
        <w:rPr>
          <w:rFonts w:ascii="Arial" w:cs="Arial" w:eastAsia="Arial" w:hAnsi="Arial"/>
          <w:sz w:val="22"/>
          <w:szCs w:val="22"/>
          <w:color w:val="010000"/>
        </w:rPr>
      </w:pPr>
    </w:p>
    <w:p>
      <w:pPr>
        <w:ind w:left="1300" w:right="40" w:firstLine="652"/>
        <w:spacing w:after="0" w:line="328" w:lineRule="auto"/>
        <w:tabs>
          <w:tab w:leader="none" w:pos="2728"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transfer any of its property or assets to the Parent Guarantor or any other Restricted Subsidiary (it being understood that such transfers shall not include any type of transfer described in clause (a) or (b) above);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except for, in each case:</w:t>
      </w:r>
    </w:p>
    <w:p>
      <w:pPr>
        <w:spacing w:after="0" w:line="206" w:lineRule="exact"/>
        <w:rPr>
          <w:sz w:val="20"/>
          <w:szCs w:val="20"/>
          <w:color w:val="auto"/>
        </w:rPr>
      </w:pPr>
    </w:p>
    <w:p>
      <w:pPr>
        <w:ind w:left="660" w:right="140" w:firstLine="644"/>
        <w:spacing w:after="0" w:line="328" w:lineRule="auto"/>
        <w:tabs>
          <w:tab w:leader="none" w:pos="21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encumbrances or restrictions existing under agreements existing on the Initial Issuance Date (including, without limitation, the LC Credit Agreement and the Unsecured Notes Indenture) as in effect on that date;</w:t>
      </w:r>
    </w:p>
    <w:p>
      <w:pPr>
        <w:spacing w:after="0" w:line="104" w:lineRule="exact"/>
        <w:rPr>
          <w:rFonts w:ascii="Arial" w:cs="Arial" w:eastAsia="Arial" w:hAnsi="Arial"/>
          <w:sz w:val="19"/>
          <w:szCs w:val="19"/>
          <w:color w:val="auto"/>
        </w:rPr>
      </w:pPr>
    </w:p>
    <w:p>
      <w:pPr>
        <w:ind w:left="2100" w:hanging="796"/>
        <w:spacing w:after="0"/>
        <w:tabs>
          <w:tab w:leader="none" w:pos="21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encumbrances or restrictions existing under the Indenture, the Notes and the Guarantees;</w:t>
      </w:r>
    </w:p>
    <w:p>
      <w:pPr>
        <w:spacing w:after="0" w:line="206" w:lineRule="exact"/>
        <w:rPr>
          <w:rFonts w:ascii="Arial" w:cs="Arial" w:eastAsia="Arial" w:hAnsi="Arial"/>
          <w:sz w:val="22"/>
          <w:szCs w:val="22"/>
          <w:color w:val="auto"/>
        </w:rPr>
      </w:pPr>
    </w:p>
    <w:p>
      <w:pPr>
        <w:jc w:val="both"/>
        <w:ind w:left="660" w:right="180" w:firstLine="644"/>
        <w:spacing w:after="0" w:line="297" w:lineRule="auto"/>
        <w:tabs>
          <w:tab w:leader="none" w:pos="21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33" w:lineRule="exact"/>
        <w:rPr>
          <w:rFonts w:ascii="Arial" w:cs="Arial" w:eastAsia="Arial" w:hAnsi="Arial"/>
          <w:sz w:val="19"/>
          <w:szCs w:val="19"/>
          <w:color w:val="auto"/>
        </w:rPr>
      </w:pPr>
    </w:p>
    <w:p>
      <w:pPr>
        <w:ind w:left="660" w:right="20" w:firstLine="644"/>
        <w:spacing w:after="0"/>
        <w:tabs>
          <w:tab w:leader="none" w:pos="21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agreement or other instrument of a Person acquired by the Parent Guarantor or any of its Restricted Subsidiaries in existence at the time of such acquisition (but not created in contemplation thereof), which encumbrance or restriction is not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9" w:name="page110"/>
    <w:bookmarkEnd w:id="109"/>
    <w:p>
      <w:pPr>
        <w:ind w:right="600"/>
        <w:spacing w:after="0" w:line="328" w:lineRule="auto"/>
        <w:rPr>
          <w:sz w:val="20"/>
          <w:szCs w:val="20"/>
          <w:color w:val="auto"/>
        </w:rPr>
      </w:pPr>
      <w:r>
        <w:rPr>
          <w:rFonts w:ascii="Arial" w:cs="Arial" w:eastAsia="Arial" w:hAnsi="Arial"/>
          <w:sz w:val="19"/>
          <w:szCs w:val="19"/>
          <w:color w:val="auto"/>
        </w:rPr>
        <w:t>applicable to any Person, or the properties or assets of any Person, other than the Person and its Subsidiaries, or the property or assets of the Person and its Subsidiaries, so acquired (including after acquired property);</w:t>
      </w:r>
    </w:p>
    <w:p>
      <w:pPr>
        <w:spacing w:after="0" w:line="105" w:lineRule="exact"/>
        <w:rPr>
          <w:sz w:val="20"/>
          <w:szCs w:val="20"/>
          <w:color w:val="auto"/>
        </w:rPr>
      </w:pPr>
    </w:p>
    <w:p>
      <w:pPr>
        <w:ind w:right="20" w:firstLine="644"/>
        <w:spacing w:after="0" w:line="279" w:lineRule="auto"/>
        <w:tabs>
          <w:tab w:leader="none" w:pos="14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Initial Issuance Date or the date such Restricted Subsidiary became a Restricted Subsidiary or was merged into a Restricted Subsidiary, whichever is applicable;</w:t>
      </w:r>
    </w:p>
    <w:p>
      <w:pPr>
        <w:spacing w:after="0" w:line="150" w:lineRule="exact"/>
        <w:rPr>
          <w:rFonts w:ascii="Arial" w:cs="Arial" w:eastAsia="Arial" w:hAnsi="Arial"/>
          <w:sz w:val="19"/>
          <w:szCs w:val="19"/>
          <w:color w:val="auto"/>
        </w:rPr>
      </w:pPr>
    </w:p>
    <w:p>
      <w:pPr>
        <w:ind w:left="1440" w:hanging="796"/>
        <w:spacing w:after="0"/>
        <w:tabs>
          <w:tab w:leader="none" w:pos="14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encumbrances or restrictions existing under or by reason of applicable law, regulation or order;</w:t>
      </w:r>
    </w:p>
    <w:p>
      <w:pPr>
        <w:spacing w:after="0" w:line="217" w:lineRule="exact"/>
        <w:rPr>
          <w:rFonts w:ascii="Arial" w:cs="Arial" w:eastAsia="Arial" w:hAnsi="Arial"/>
          <w:sz w:val="21"/>
          <w:szCs w:val="21"/>
          <w:color w:val="auto"/>
        </w:rPr>
      </w:pPr>
    </w:p>
    <w:p>
      <w:pPr>
        <w:ind w:right="360" w:firstLine="644"/>
        <w:spacing w:after="0" w:line="250" w:lineRule="auto"/>
        <w:tabs>
          <w:tab w:leader="none" w:pos="14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customary restrictions or limitations in leases, licenses or other agreements restricting the assignment thereof or the assignment of the property that is the subject of such agreement;</w:t>
      </w:r>
    </w:p>
    <w:p>
      <w:pPr>
        <w:spacing w:after="0" w:line="174" w:lineRule="exact"/>
        <w:rPr>
          <w:rFonts w:ascii="Arial" w:cs="Arial" w:eastAsia="Arial" w:hAnsi="Arial"/>
          <w:sz w:val="22"/>
          <w:szCs w:val="22"/>
          <w:color w:val="auto"/>
        </w:rPr>
      </w:pPr>
    </w:p>
    <w:p>
      <w:pPr>
        <w:ind w:right="180" w:firstLine="644"/>
        <w:spacing w:after="0" w:line="250" w:lineRule="auto"/>
        <w:tabs>
          <w:tab w:leader="none" w:pos="14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the case of clause (c) above, Liens permitted to be incurred under Section 1010 that limit the right of the debtor to dispose of the assets securing such Indebtedness;</w:t>
      </w:r>
    </w:p>
    <w:p>
      <w:pPr>
        <w:spacing w:after="0" w:line="174" w:lineRule="exact"/>
        <w:rPr>
          <w:rFonts w:ascii="Arial" w:cs="Arial" w:eastAsia="Arial" w:hAnsi="Arial"/>
          <w:sz w:val="22"/>
          <w:szCs w:val="22"/>
          <w:color w:val="auto"/>
        </w:rPr>
      </w:pPr>
    </w:p>
    <w:p>
      <w:pPr>
        <w:ind w:right="420" w:firstLine="644"/>
        <w:spacing w:after="0" w:line="250" w:lineRule="auto"/>
        <w:tabs>
          <w:tab w:leader="none" w:pos="14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restrictions imposed under any agreement to sell Equity Interests or assets to any Person pending the closing of such sale;</w:t>
      </w:r>
    </w:p>
    <w:p>
      <w:pPr>
        <w:spacing w:after="0" w:line="174" w:lineRule="exact"/>
        <w:rPr>
          <w:rFonts w:ascii="Arial" w:cs="Arial" w:eastAsia="Arial" w:hAnsi="Arial"/>
          <w:sz w:val="22"/>
          <w:szCs w:val="22"/>
          <w:color w:val="auto"/>
        </w:rPr>
      </w:pPr>
    </w:p>
    <w:p>
      <w:pPr>
        <w:ind w:firstLine="644"/>
        <w:spacing w:after="0" w:line="275" w:lineRule="auto"/>
        <w:tabs>
          <w:tab w:leader="none" w:pos="154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other agreement governing Indebtedness or other obligations entered into after the Initial Issuance Date that either (A) contains encumbrances and restrictions that in the good faith judgment of the Parent Guarantor are not materially more restrictive, taken as a whole, with respect to any Restricted Subsidiary than those in effect on the Initial Issuance Date with respect to that Restricted Subsidiary pursuant to agreements in effect on the Initial Issuance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57" w:lineRule="exact"/>
        <w:rPr>
          <w:rFonts w:ascii="Arial" w:cs="Arial" w:eastAsia="Arial" w:hAnsi="Arial"/>
          <w:sz w:val="19"/>
          <w:szCs w:val="19"/>
          <w:color w:val="auto"/>
        </w:rPr>
      </w:pPr>
    </w:p>
    <w:p>
      <w:pPr>
        <w:ind w:right="60" w:firstLine="644"/>
        <w:spacing w:after="0" w:line="238" w:lineRule="auto"/>
        <w:tabs>
          <w:tab w:leader="none" w:pos="15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8" w:right="379" w:bottom="1440" w:gutter="0" w:footer="0" w:header="0"/>
        </w:sectPr>
      </w:pPr>
    </w:p>
    <w:bookmarkStart w:id="110" w:name="page111"/>
    <w:bookmarkEnd w:id="110"/>
    <w:p>
      <w:pPr>
        <w:ind w:left="660" w:right="100" w:firstLine="644"/>
        <w:spacing w:after="0" w:line="328" w:lineRule="auto"/>
        <w:tabs>
          <w:tab w:leader="none" w:pos="220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Purchase Money Indebtedness and any Refinancing Indebtedness in respect thereof incurred in compliance with Section 1008 that imposes restrictions of the nature described in clause (c) above on the assets acquired;</w:t>
      </w:r>
    </w:p>
    <w:p>
      <w:pPr>
        <w:spacing w:after="0" w:line="105" w:lineRule="exact"/>
        <w:rPr>
          <w:rFonts w:ascii="Arial" w:cs="Arial" w:eastAsia="Arial" w:hAnsi="Arial"/>
          <w:sz w:val="19"/>
          <w:szCs w:val="19"/>
          <w:color w:val="auto"/>
        </w:rPr>
      </w:pPr>
    </w:p>
    <w:p>
      <w:pPr>
        <w:ind w:left="660" w:right="260" w:firstLine="644"/>
        <w:spacing w:after="0" w:line="250" w:lineRule="auto"/>
        <w:tabs>
          <w:tab w:leader="none" w:pos="220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restrictions on cash or other deposits or net worth imposed by customers, suppliers or landlords under contracts entered into in the ordinary course of business;</w:t>
      </w:r>
    </w:p>
    <w:p>
      <w:pPr>
        <w:spacing w:after="0" w:line="174" w:lineRule="exact"/>
        <w:rPr>
          <w:rFonts w:ascii="Arial" w:cs="Arial" w:eastAsia="Arial" w:hAnsi="Arial"/>
          <w:sz w:val="22"/>
          <w:szCs w:val="22"/>
          <w:color w:val="auto"/>
        </w:rPr>
      </w:pPr>
    </w:p>
    <w:p>
      <w:pPr>
        <w:ind w:left="660" w:firstLine="644"/>
        <w:spacing w:after="0" w:line="282" w:lineRule="auto"/>
        <w:tabs>
          <w:tab w:leader="none" w:pos="220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47" w:lineRule="exact"/>
        <w:rPr>
          <w:rFonts w:ascii="Arial" w:cs="Arial" w:eastAsia="Arial" w:hAnsi="Arial"/>
          <w:sz w:val="19"/>
          <w:szCs w:val="19"/>
          <w:color w:val="auto"/>
        </w:rPr>
      </w:pPr>
    </w:p>
    <w:p>
      <w:pPr>
        <w:ind w:left="660" w:right="20" w:firstLine="644"/>
        <w:spacing w:after="0" w:line="279" w:lineRule="auto"/>
        <w:tabs>
          <w:tab w:leader="none" w:pos="220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150" w:lineRule="exact"/>
        <w:rPr>
          <w:rFonts w:ascii="Arial" w:cs="Arial" w:eastAsia="Arial" w:hAnsi="Arial"/>
          <w:sz w:val="19"/>
          <w:szCs w:val="19"/>
          <w:color w:val="auto"/>
        </w:rPr>
      </w:pPr>
    </w:p>
    <w:p>
      <w:pPr>
        <w:ind w:left="2200" w:hanging="896"/>
        <w:spacing w:after="0"/>
        <w:tabs>
          <w:tab w:leader="none" w:pos="22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any Permitted Investment or Restricted Payments which are made in accordance with Section 1009;</w:t>
      </w:r>
    </w:p>
    <w:p>
      <w:pPr>
        <w:spacing w:after="0" w:line="240" w:lineRule="exact"/>
        <w:rPr>
          <w:rFonts w:ascii="Arial" w:cs="Arial" w:eastAsia="Arial" w:hAnsi="Arial"/>
          <w:sz w:val="19"/>
          <w:szCs w:val="19"/>
          <w:color w:val="auto"/>
        </w:rPr>
      </w:pPr>
    </w:p>
    <w:p>
      <w:pPr>
        <w:ind w:left="2200" w:hanging="896"/>
        <w:spacing w:after="0"/>
        <w:tabs>
          <w:tab w:leader="none" w:pos="22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restrictions contained in Standard Securitization Undertakings; and</w:t>
      </w:r>
    </w:p>
    <w:p>
      <w:pPr>
        <w:spacing w:after="0" w:line="206" w:lineRule="exact"/>
        <w:rPr>
          <w:rFonts w:ascii="Arial" w:cs="Arial" w:eastAsia="Arial" w:hAnsi="Arial"/>
          <w:sz w:val="22"/>
          <w:szCs w:val="22"/>
          <w:color w:val="auto"/>
        </w:rPr>
      </w:pPr>
    </w:p>
    <w:p>
      <w:pPr>
        <w:ind w:left="660" w:right="120" w:firstLine="644"/>
        <w:spacing w:after="0" w:line="250" w:lineRule="auto"/>
        <w:tabs>
          <w:tab w:leader="none" w:pos="220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supermajority voting requirements existing under corporate charters, by-laws, stockholders agreements and similar documents and agreements.</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u w:val="single" w:color="auto"/>
          <w:color w:val="auto"/>
        </w:rPr>
        <w:t>Limitation on Asset Sales</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Parent Guarantor shall not, and shall not permit any of its Restricted Subsidiaries to, consummate an Asset Sale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unless:</w:t>
      </w:r>
    </w:p>
    <w:p>
      <w:pPr>
        <w:spacing w:after="0" w:line="188" w:lineRule="exact"/>
        <w:rPr>
          <w:sz w:val="20"/>
          <w:szCs w:val="20"/>
          <w:color w:val="auto"/>
        </w:rPr>
      </w:pPr>
    </w:p>
    <w:p>
      <w:pPr>
        <w:jc w:val="both"/>
        <w:ind w:right="60" w:firstLine="656"/>
        <w:spacing w:after="0" w:line="252" w:lineRule="auto"/>
        <w:tabs>
          <w:tab w:leader="none" w:pos="144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Parent Guarantor (or the Restricted Subsidiary, as the case may be) receives consideration (including by way of relief from, or any Person assuming responsibilities for, any liabilities, contingent or otherwise) at the time of the Asset Sale at least equal to the Fair Market Value (measured as of the date of the definitive agreement with respect to such Asset Sale) of the assets or Equity Interests issued or sold or otherwise disposed of; and</w:t>
      </w:r>
    </w:p>
    <w:p>
      <w:pPr>
        <w:spacing w:after="0" w:line="173" w:lineRule="exact"/>
        <w:rPr>
          <w:rFonts w:ascii="Arial" w:cs="Arial" w:eastAsia="Arial" w:hAnsi="Arial"/>
          <w:sz w:val="21"/>
          <w:szCs w:val="21"/>
          <w:color w:val="auto"/>
        </w:rPr>
      </w:pPr>
    </w:p>
    <w:p>
      <w:pPr>
        <w:jc w:val="both"/>
        <w:ind w:right="200" w:firstLine="656"/>
        <w:spacing w:after="0"/>
        <w:tabs>
          <w:tab w:leader="none" w:pos="14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at least 75% of the aggregate consideration received by the Parent Guarantor and its Restricted Subsidiaries in the Asset Sale and all other Asset Sales since the date of the Indenture is in the form of cash or Cash Equivalents. For purposes of this provision, each of the following will be deemed to be cash: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ind w:left="660" w:firstLine="644"/>
        <w:spacing w:after="0" w:line="271" w:lineRule="auto"/>
        <w:tabs>
          <w:tab w:leader="none" w:pos="208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liabilities, as shown on the Parent Guarantor’s or any Restricted Subsidiary’s most recent consolidated balance sheet, of the Parent Guarantor or such Restricted Subsidiary (other than (i) unsecured Indebtedness and Indebtedness that is secured by Liens that are junior in priority to the Liens securing the Notes and the Guarantees and (ii) contingent liabilities and liabilities that are by their terms subordinated in right of payment to the Notes or any Subsidiary Guarantee) that are assumed by the transferee of any such assets pursuant to a novation or indemnity agreement that releases the Parent Guarantor or such Restricted Subsidiary from further liability (or in lieu of such absence of liability, the acquiring Person or its parent company agrees to indemnify and hold the Parent Guarantor or such Restricted Subsidiary harmless from and against any loss, liability or cost in respect of such assumed liabilities accompanied by the posting of a letter of credit (issued by a commercial bank of national standing) in favor of the Parent Guarantor or such Restricted Subsidiary for the full amount of such liabilities and for so long as such liabilities remain outstanding unless such indemnifying party (or its long term debt securities) shall have an investment grade rating (with no indication of a negative outlook or credit watch with negative implications, in any case, that contemplates such indemnifying party (or its long term debt securities) failing to have an investment grade rating) at the time the indemnity is entered into) or that are otherwise cancelled or terminated in connection with the transaction with such transferee;</w:t>
      </w:r>
    </w:p>
    <w:p>
      <w:pPr>
        <w:spacing w:after="0" w:line="164" w:lineRule="exact"/>
        <w:rPr>
          <w:rFonts w:ascii="Arial" w:cs="Arial" w:eastAsia="Arial" w:hAnsi="Arial"/>
          <w:sz w:val="19"/>
          <w:szCs w:val="19"/>
          <w:color w:val="auto"/>
        </w:rPr>
      </w:pPr>
    </w:p>
    <w:p>
      <w:pPr>
        <w:ind w:left="660" w:right="140" w:firstLine="644"/>
        <w:spacing w:after="0" w:line="297" w:lineRule="auto"/>
        <w:tabs>
          <w:tab w:leader="none" w:pos="21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securities, notes or other obligations received by the Parent Guarantor or any such Restricted Subsidiary from such transferee that are, within 180 days after the Asset Sale, converted by the Parent Guarantor or such Restricted Subsidiary into cash, to the extent of the cash received in that conversion; and</w:t>
      </w:r>
    </w:p>
    <w:p>
      <w:pPr>
        <w:spacing w:after="0" w:line="133" w:lineRule="exact"/>
        <w:rPr>
          <w:rFonts w:ascii="Arial" w:cs="Arial" w:eastAsia="Arial" w:hAnsi="Arial"/>
          <w:sz w:val="19"/>
          <w:szCs w:val="19"/>
          <w:color w:val="auto"/>
        </w:rPr>
      </w:pPr>
    </w:p>
    <w:p>
      <w:pPr>
        <w:ind w:left="2080" w:hanging="776"/>
        <w:spacing w:after="0"/>
        <w:tabs>
          <w:tab w:leader="none" w:pos="20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Additional Assets.</w:t>
      </w:r>
    </w:p>
    <w:p>
      <w:pPr>
        <w:spacing w:after="0" w:line="206" w:lineRule="exact"/>
        <w:rPr>
          <w:sz w:val="20"/>
          <w:szCs w:val="20"/>
          <w:color w:val="auto"/>
        </w:rPr>
      </w:pPr>
    </w:p>
    <w:p>
      <w:pPr>
        <w:ind w:right="740" w:firstLine="648"/>
        <w:spacing w:after="0" w:line="250" w:lineRule="auto"/>
        <w:rPr>
          <w:sz w:val="20"/>
          <w:szCs w:val="20"/>
          <w:color w:val="auto"/>
        </w:rPr>
      </w:pPr>
      <w:r>
        <w:rPr>
          <w:rFonts w:ascii="Arial" w:cs="Arial" w:eastAsia="Arial" w:hAnsi="Arial"/>
          <w:sz w:val="22"/>
          <w:szCs w:val="22"/>
          <w:color w:val="auto"/>
        </w:rPr>
        <w:t>Within 365 days after the receipt of any Net Proceeds from an Asset Sale, the Parent Guarantor (or any Restricted Subsidiary) may apply those Net Proceeds at its option to any combination of the following:</w:t>
      </w:r>
    </w:p>
    <w:p>
      <w:pPr>
        <w:spacing w:after="0" w:line="175" w:lineRule="exact"/>
        <w:rPr>
          <w:sz w:val="20"/>
          <w:szCs w:val="20"/>
          <w:color w:val="auto"/>
        </w:rPr>
      </w:pPr>
    </w:p>
    <w:p>
      <w:pPr>
        <w:ind w:firstLine="656"/>
        <w:spacing w:after="0" w:line="273" w:lineRule="auto"/>
        <w:tabs>
          <w:tab w:leader="none" w:pos="140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to prepay, repay, redeem or repurchase First Priority Obligations;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connection with any prepayment, repayment, redemption repurchase of Indebtedness pursuant to this clause (I), (a) the Parent Guarantor or such Restricted Subsidiary will retire such Indebtedness and, in the case of revolving Indebtedness, will cause the related commitment (if any) to be permanently reduced in an amount equal to the principal amount so retired and (b) if the asset that is subject to the Asset Sale is subject to a Lien securing the First Priority LC Obligations that ranks pari passu with (and is not subject to a waterfall provision with seniority to) the Indenture Obligations, the Parent Guarantor or such Restricted Subsidiary will redeem or repurchase (or offer to redeem or repurchase) the Notes on a pro rata (or greater) basis with any other First Priority Obligations being prepaid, repaid, redeemed or repurchased, at the Company’s option, as provided under Section 1103 herein, through open market purchases (to the extent such purchases are at a purchase price at or above 100% of the principal amount thereof) or by making an offer (in accordance with the procedures set forth below for an Asset Offer) to all Holders to purchase the Notes at 100% of the principal amount thereof, plus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amount of accrued but unpaid interest, if any, on the amount of Notes that would otherwise be prepaid;</w:t>
      </w:r>
    </w:p>
    <w:p>
      <w:pPr>
        <w:spacing w:after="0" w:line="241" w:lineRule="exact"/>
        <w:rPr>
          <w:sz w:val="20"/>
          <w:szCs w:val="20"/>
          <w:color w:val="auto"/>
        </w:rPr>
      </w:pPr>
    </w:p>
    <w:p>
      <w:pPr>
        <w:ind w:left="1480" w:hanging="824"/>
        <w:spacing w:after="0"/>
        <w:tabs>
          <w:tab w:leader="none" w:pos="14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 purchase Notes;</w:t>
      </w:r>
    </w:p>
    <w:p>
      <w:pPr>
        <w:spacing w:after="0" w:line="206" w:lineRule="exact"/>
        <w:rPr>
          <w:sz w:val="20"/>
          <w:szCs w:val="20"/>
          <w:color w:val="auto"/>
        </w:rPr>
      </w:pPr>
    </w:p>
    <w:p>
      <w:pPr>
        <w:ind w:left="1560" w:hanging="904"/>
        <w:spacing w:after="0"/>
        <w:tabs>
          <w:tab w:leader="none" w:pos="15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to invest in or acquire Additional Assets; or</w:t>
      </w:r>
    </w:p>
    <w:p>
      <w:pPr>
        <w:sectPr>
          <w:pgSz w:w="11900" w:h="16838" w:orient="portrait"/>
          <w:cols w:equalWidth="0" w:num="1">
            <w:col w:w="11220"/>
          </w:cols>
          <w:pgMar w:left="320" w:top="118" w:right="359" w:bottom="1440" w:gutter="0" w:footer="0" w:header="0"/>
        </w:sect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(IV)</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Business.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560"/>
        <w:spacing w:after="0"/>
        <w:rPr>
          <w:sz w:val="20"/>
          <w:szCs w:val="20"/>
          <w:color w:val="auto"/>
        </w:rPr>
      </w:pPr>
      <w:r>
        <w:rPr>
          <w:rFonts w:ascii="Arial" w:cs="Arial" w:eastAsia="Arial" w:hAnsi="Arial"/>
          <w:sz w:val="19"/>
          <w:szCs w:val="19"/>
          <w:color w:val="auto"/>
        </w:rPr>
        <w:t>to make capital expenditures in respect of the Parent Guarantor’s or its Restricted Subsidiaries’ Permitted</w:t>
      </w:r>
    </w:p>
    <w:p>
      <w:pPr>
        <w:spacing w:after="0" w:line="483" w:lineRule="exact"/>
        <w:rPr>
          <w:sz w:val="20"/>
          <w:szCs w:val="20"/>
          <w:color w:val="auto"/>
        </w:rPr>
      </w:pPr>
    </w:p>
    <w:p>
      <w:pPr>
        <w:sectPr>
          <w:pgSz w:w="11900" w:h="16838" w:orient="portrait"/>
          <w:cols w:equalWidth="0" w:num="2">
            <w:col w:w="1020" w:space="540"/>
            <w:col w:w="9660"/>
          </w:cols>
          <w:pgMar w:left="320" w:top="118" w:right="359" w:bottom="1440" w:gutter="0" w:footer="0" w:header="0"/>
          <w:type w:val="continuous"/>
        </w:sectPr>
      </w:pPr>
    </w:p>
    <w:p>
      <w:pPr>
        <w:ind w:right="40"/>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to the extent that the assets sold pursuant to this Section constituted Collateral, the Additional Assets received as</w:t>
      </w:r>
      <w:r>
        <w:rPr>
          <w:rFonts w:ascii="Arial" w:cs="Arial" w:eastAsia="Arial" w:hAnsi="Arial"/>
          <w:sz w:val="22"/>
          <w:szCs w:val="22"/>
          <w:i w:val="1"/>
          <w:iCs w:val="1"/>
          <w:color w:val="auto"/>
        </w:rPr>
        <w:t xml:space="preserve"> </w:t>
      </w:r>
      <w:r>
        <w:rPr>
          <w:rFonts w:ascii="Arial" w:cs="Arial" w:eastAsia="Arial" w:hAnsi="Arial"/>
          <w:sz w:val="22"/>
          <w:szCs w:val="22"/>
          <w:color w:val="auto"/>
        </w:rPr>
        <w:t>consideration or that were acquired or invested in and the assets in respect of which such capital expenditures were made shall be owned by Note Parties.</w:t>
      </w:r>
    </w:p>
    <w:p>
      <w:pPr>
        <w:spacing w:after="0" w:line="186"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Any Net Proceeds from Asset Sales that are not applied or invested as provided in the second preceding paragraph will constitute “Excess Proceeds.”</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If on the 366th day after an Asset Sale the aggregate amount of Excess Proceeds then exceeds $25.0 million, within five days after such date, the Issuer will make an offer (the “Asset Sale Offer”</w:t>
      </w:r>
      <w:r>
        <w:rPr>
          <w:rFonts w:ascii="Arial" w:cs="Arial" w:eastAsia="Arial" w:hAnsi="Arial"/>
          <w:sz w:val="19"/>
          <w:szCs w:val="19"/>
          <w:i w:val="1"/>
          <w:iCs w:val="1"/>
          <w:color w:val="auto"/>
        </w:rPr>
        <w:t>)</w:t>
      </w:r>
      <w:r>
        <w:rPr>
          <w:rFonts w:ascii="Arial" w:cs="Arial" w:eastAsia="Arial" w:hAnsi="Arial"/>
          <w:sz w:val="19"/>
          <w:szCs w:val="19"/>
          <w:color w:val="auto"/>
        </w:rPr>
        <w:t xml:space="preserve"> to all Holders of Notes, and all holders of other Indebtedness that constitutes First Priority Obligations containing provisions similar to those set forth in the Indenture with respect to offers to purchase, prepay or redeem with the proceeds of sales of assets, to purchase, prepay or redeem on a pro rata basis (based on principal amounts of Notes and other First Priority Obligations) the maximum principal amount of Notes and such other First Priority Obligations (plus all accrued interest on the Indebtedness and the amount of all fees and expenses, including premiums, incurred in connection therewith) that may be purchased, prepaid or redeemed out of the Excess Proceeds. The offer price in any Asset Sale Offer will be equal to 100% of principal amount plus accrued and unpaid interest, if any, to the date of settlement, subject to the right of Holders of record on the relevant record date to receive interest due on an interest payment date that is on or prior to the date of settlement, and will be payable in cash. If any Excess Proceeds remain after consummation of an Asset Sale Offer, the Parent Guarantor or any Restricted Subsidiary may use those Excess Proceeds for any purpose not otherwise prohibited by the Indenture. If the aggregate principal amount of Notes tendered into such Asset Sale Offer exceeds the amount of Excess Proceeds allocated to the purchase of Notes, the Issuer will select the Notes to be purchased on a pro rata basis (except that any Notes represented by a note in global form will be selected by such method as DTC or its nominee or successor may require), based on the principal amounts tendered (with such adjustments as may be deemed appropriate by the Issuer so that only Notes in minimum denominations of $1.00, or an integral multiple of $1.00 thereof, will be purchased). Upon completion of each Asset Sale Offer, the amount of Excess Proceeds will be reset at zero. The Parent Guarantor may satisfy the foregoing obligation with respect to any Excess Proceeds by making an Asset Sale Offer prior to the expiration of the relevant 365-day period or with respect to Excess Proceeds of $25.0 million or less.</w:t>
      </w:r>
    </w:p>
    <w:p>
      <w:pPr>
        <w:spacing w:after="0" w:line="16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The provisions under the Indenture relative to the Parent Guarantor’s obligation to make an offer to repurchase the Notes as a result of an Asset Sale may be waived or modified with the written consent of a majority in principal amount of the outstanding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13" w:name="page114"/>
    <w:bookmarkEnd w:id="113"/>
    <w:p>
      <w:pPr>
        <w:ind w:right="20" w:firstLine="648"/>
        <w:spacing w:after="0" w:line="249" w:lineRule="auto"/>
        <w:rPr>
          <w:sz w:val="20"/>
          <w:szCs w:val="20"/>
          <w:color w:val="auto"/>
        </w:rPr>
      </w:pPr>
      <w:r>
        <w:rPr>
          <w:rFonts w:ascii="Arial" w:cs="Arial" w:eastAsia="Arial" w:hAnsi="Arial"/>
          <w:sz w:val="21"/>
          <w:szCs w:val="21"/>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this Section 1012, the Issuer will comply with the applicable securities laws and regulations and will not be deemed to have breached its obligations under such provisions by virtue of such compliance.</w:t>
      </w:r>
    </w:p>
    <w:p>
      <w:pPr>
        <w:spacing w:after="0" w:line="18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7"/>
          <w:szCs w:val="17"/>
          <w:u w:val="single" w:color="auto"/>
          <w:color w:val="auto"/>
        </w:rPr>
        <w:t>Limitation on Affiliate Transactions</w:t>
      </w:r>
      <w:r>
        <w:rPr>
          <w:rFonts w:ascii="Arial" w:cs="Arial" w:eastAsia="Arial" w:hAnsi="Arial"/>
          <w:sz w:val="17"/>
          <w:szCs w:val="17"/>
          <w:color w:val="auto"/>
        </w:rPr>
        <w:t>.</w:t>
      </w:r>
    </w:p>
    <w:p>
      <w:pPr>
        <w:spacing w:after="0" w:line="218" w:lineRule="exact"/>
        <w:rPr>
          <w:sz w:val="20"/>
          <w:szCs w:val="20"/>
          <w:color w:val="auto"/>
        </w:rPr>
      </w:pPr>
    </w:p>
    <w:p>
      <w:pPr>
        <w:jc w:val="both"/>
        <w:ind w:right="500" w:firstLine="648"/>
        <w:spacing w:after="0" w:line="287" w:lineRule="auto"/>
        <w:rPr>
          <w:sz w:val="20"/>
          <w:szCs w:val="20"/>
          <w:color w:val="auto"/>
        </w:rPr>
      </w:pPr>
      <w:r>
        <w:rPr>
          <w:rFonts w:ascii="Arial" w:cs="Arial" w:eastAsia="Arial" w:hAnsi="Arial"/>
          <w:sz w:val="19"/>
          <w:szCs w:val="19"/>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$40.0 million (an “Affiliate Transaction”), unless:</w:t>
      </w:r>
    </w:p>
    <w:p>
      <w:pPr>
        <w:spacing w:after="0" w:line="143" w:lineRule="exact"/>
        <w:rPr>
          <w:sz w:val="20"/>
          <w:szCs w:val="20"/>
          <w:color w:val="auto"/>
        </w:rPr>
      </w:pPr>
    </w:p>
    <w:p>
      <w:pPr>
        <w:ind w:left="660" w:right="60" w:firstLine="644"/>
        <w:spacing w:after="0" w:line="235" w:lineRule="auto"/>
        <w:tabs>
          <w:tab w:leader="none" w:pos="210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87" w:lineRule="exact"/>
        <w:rPr>
          <w:rFonts w:ascii="Arial" w:cs="Arial" w:eastAsia="Arial" w:hAnsi="Arial"/>
          <w:sz w:val="22"/>
          <w:szCs w:val="22"/>
          <w:color w:val="auto"/>
        </w:rPr>
      </w:pPr>
    </w:p>
    <w:p>
      <w:pPr>
        <w:ind w:left="660" w:firstLine="644"/>
        <w:spacing w:after="0" w:line="276" w:lineRule="auto"/>
        <w:tabs>
          <w:tab w:leader="none" w:pos="210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Parent Guarantor delivers to the Trustee, with respect to any Affiliate Transaction involving aggregate value in excess of $75.0 million, an Officers’ Certificate certifying that such Affiliate Transaction complies with clause</w:t>
      </w:r>
    </w:p>
    <w:p>
      <w:pPr>
        <w:spacing w:after="0" w:line="1" w:lineRule="exact"/>
        <w:rPr>
          <w:rFonts w:ascii="Arial" w:cs="Arial" w:eastAsia="Arial" w:hAnsi="Arial"/>
          <w:sz w:val="19"/>
          <w:szCs w:val="19"/>
          <w:color w:val="auto"/>
        </w:rPr>
      </w:pPr>
    </w:p>
    <w:p>
      <w:pPr>
        <w:ind w:left="660" w:right="860" w:hanging="4"/>
        <w:spacing w:after="0" w:line="236" w:lineRule="auto"/>
        <w:tabs>
          <w:tab w:leader="none" w:pos="96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above and which sets forth and authenticates a resolution that has been adopted by the Independent Directors approving such Affiliate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The foregoing restrictions shall not apply to:</w:t>
      </w:r>
    </w:p>
    <w:p>
      <w:pPr>
        <w:spacing w:after="0" w:line="206" w:lineRule="exact"/>
        <w:rPr>
          <w:sz w:val="20"/>
          <w:szCs w:val="20"/>
          <w:color w:val="auto"/>
        </w:rPr>
      </w:pPr>
    </w:p>
    <w:p>
      <w:pPr>
        <w:ind w:left="660" w:right="800" w:firstLine="644"/>
        <w:spacing w:after="0" w:line="250" w:lineRule="auto"/>
        <w:tabs>
          <w:tab w:leader="none" w:pos="21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transactions to the extent between or among (a) the Parent Guarantor and one or more Restricted Subsidiaries or (b) Restricted Subsidiaries;</w:t>
      </w:r>
    </w:p>
    <w:p>
      <w:pPr>
        <w:spacing w:after="0" w:line="174" w:lineRule="exact"/>
        <w:rPr>
          <w:rFonts w:ascii="Arial" w:cs="Arial" w:eastAsia="Arial" w:hAnsi="Arial"/>
          <w:sz w:val="22"/>
          <w:szCs w:val="22"/>
          <w:color w:val="auto"/>
        </w:rPr>
      </w:pPr>
    </w:p>
    <w:p>
      <w:pPr>
        <w:ind w:left="660" w:right="260" w:firstLine="644"/>
        <w:spacing w:after="0" w:line="236" w:lineRule="auto"/>
        <w:tabs>
          <w:tab w:leader="none" w:pos="21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87" w:lineRule="exact"/>
        <w:rPr>
          <w:rFonts w:ascii="Arial" w:cs="Arial" w:eastAsia="Arial" w:hAnsi="Arial"/>
          <w:sz w:val="22"/>
          <w:szCs w:val="22"/>
          <w:color w:val="auto"/>
        </w:rPr>
      </w:pPr>
    </w:p>
    <w:p>
      <w:pPr>
        <w:ind w:left="660" w:right="20" w:firstLine="644"/>
        <w:spacing w:after="0" w:line="250" w:lineRule="auto"/>
        <w:tabs>
          <w:tab w:leader="none" w:pos="21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Permitted Investments (other than those made under clause (1) of such definition) or Restricted Payments which are made in accordance with Section 1009;</w:t>
      </w:r>
    </w:p>
    <w:p>
      <w:pPr>
        <w:spacing w:after="0" w:line="174" w:lineRule="exact"/>
        <w:rPr>
          <w:rFonts w:ascii="Arial" w:cs="Arial" w:eastAsia="Arial" w:hAnsi="Arial"/>
          <w:sz w:val="22"/>
          <w:szCs w:val="22"/>
          <w:color w:val="auto"/>
        </w:rPr>
      </w:pPr>
    </w:p>
    <w:p>
      <w:pPr>
        <w:ind w:left="660" w:right="200" w:firstLine="644"/>
        <w:spacing w:after="0" w:line="250" w:lineRule="auto"/>
        <w:tabs>
          <w:tab w:leader="none" w:pos="21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agreement in effect on the Initial Issuance Date or as thereafter amended or replaced in any manner that, taken as a whole, is not materially less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ind w:left="660"/>
        <w:spacing w:after="0" w:line="251" w:lineRule="auto"/>
        <w:rPr>
          <w:sz w:val="20"/>
          <w:szCs w:val="20"/>
          <w:color w:val="auto"/>
        </w:rPr>
      </w:pPr>
      <w:r>
        <w:rPr>
          <w:rFonts w:ascii="Arial" w:cs="Arial" w:eastAsia="Arial" w:hAnsi="Arial"/>
          <w:sz w:val="22"/>
          <w:szCs w:val="22"/>
          <w:color w:val="auto"/>
        </w:rPr>
        <w:t>advantageous to the Parent Guarantor or any of its Restricted Subsidiaries, as applicable, than such agreement as it was in effect on the Initial Issuance Date;</w:t>
      </w:r>
    </w:p>
    <w:p>
      <w:pPr>
        <w:spacing w:after="0" w:line="173" w:lineRule="exact"/>
        <w:rPr>
          <w:sz w:val="20"/>
          <w:szCs w:val="20"/>
          <w:color w:val="auto"/>
        </w:rPr>
      </w:pPr>
    </w:p>
    <w:p>
      <w:pPr>
        <w:ind w:left="660" w:firstLine="644"/>
        <w:spacing w:after="0"/>
        <w:tabs>
          <w:tab w:leader="none" w:pos="21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86" w:lineRule="exact"/>
        <w:rPr>
          <w:rFonts w:ascii="Arial" w:cs="Arial" w:eastAsia="Arial" w:hAnsi="Arial"/>
          <w:sz w:val="22"/>
          <w:szCs w:val="22"/>
          <w:color w:val="auto"/>
        </w:rPr>
      </w:pPr>
    </w:p>
    <w:p>
      <w:pPr>
        <w:ind w:left="660" w:firstLine="644"/>
        <w:spacing w:after="0" w:line="235" w:lineRule="auto"/>
        <w:tabs>
          <w:tab w:leader="none" w:pos="21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87" w:lineRule="exact"/>
        <w:rPr>
          <w:rFonts w:ascii="Arial" w:cs="Arial" w:eastAsia="Arial" w:hAnsi="Arial"/>
          <w:sz w:val="22"/>
          <w:szCs w:val="22"/>
          <w:color w:val="auto"/>
        </w:rPr>
      </w:pPr>
    </w:p>
    <w:p>
      <w:pPr>
        <w:ind w:left="660" w:right="160" w:firstLine="644"/>
        <w:spacing w:after="0"/>
        <w:tabs>
          <w:tab w:leader="none" w:pos="21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86" w:lineRule="exact"/>
        <w:rPr>
          <w:rFonts w:ascii="Arial" w:cs="Arial" w:eastAsia="Arial" w:hAnsi="Arial"/>
          <w:sz w:val="22"/>
          <w:szCs w:val="22"/>
          <w:color w:val="auto"/>
        </w:rPr>
      </w:pPr>
    </w:p>
    <w:p>
      <w:pPr>
        <w:ind w:left="2100" w:hanging="796"/>
        <w:spacing w:after="0"/>
        <w:tabs>
          <w:tab w:leader="none" w:pos="21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pledging of Equity Interests of Unrestricted Subsidiaries;</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transaction effected as part of a Permitted Factoring Transaction;</w:t>
      </w:r>
    </w:p>
    <w:p>
      <w:pPr>
        <w:spacing w:after="0" w:line="206" w:lineRule="exact"/>
        <w:rPr>
          <w:rFonts w:ascii="Arial" w:cs="Arial" w:eastAsia="Arial" w:hAnsi="Arial"/>
          <w:sz w:val="22"/>
          <w:szCs w:val="22"/>
          <w:color w:val="auto"/>
        </w:rPr>
      </w:pPr>
    </w:p>
    <w:p>
      <w:pPr>
        <w:ind w:left="660" w:right="320" w:firstLine="644"/>
        <w:spacing w:after="0" w:line="250" w:lineRule="auto"/>
        <w:tabs>
          <w:tab w:leader="none" w:pos="220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transaction where the only consideration paid by the Parent Guarantor or the relevant Restricted Subsidiary is Qualified Equity Interests of the Parent Guarantor;</w:t>
      </w:r>
    </w:p>
    <w:p>
      <w:pPr>
        <w:spacing w:after="0" w:line="174" w:lineRule="exact"/>
        <w:rPr>
          <w:rFonts w:ascii="Arial" w:cs="Arial" w:eastAsia="Arial" w:hAnsi="Arial"/>
          <w:sz w:val="22"/>
          <w:szCs w:val="22"/>
          <w:color w:val="auto"/>
        </w:rPr>
      </w:pPr>
    </w:p>
    <w:p>
      <w:pPr>
        <w:ind w:left="2200" w:hanging="896"/>
        <w:spacing w:after="0"/>
        <w:tabs>
          <w:tab w:leader="none" w:pos="22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non-exclusive licenses of patents, copyrights, trademarks, trade secrets and other intellectual property;</w:t>
      </w:r>
    </w:p>
    <w:p>
      <w:pPr>
        <w:spacing w:after="0" w:line="240" w:lineRule="exact"/>
        <w:rPr>
          <w:rFonts w:ascii="Arial" w:cs="Arial" w:eastAsia="Arial" w:hAnsi="Arial"/>
          <w:sz w:val="19"/>
          <w:szCs w:val="19"/>
          <w:color w:val="auto"/>
        </w:rPr>
      </w:pPr>
    </w:p>
    <w:p>
      <w:pPr>
        <w:ind w:left="660" w:right="280" w:firstLine="644"/>
        <w:spacing w:after="0" w:line="287" w:lineRule="auto"/>
        <w:tabs>
          <w:tab w:leader="none" w:pos="220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director shall abstain from voting as a director of the Parent Guarantor on any matter involving such other Person; and</w:t>
      </w:r>
    </w:p>
    <w:p>
      <w:pPr>
        <w:spacing w:after="0" w:line="142" w:lineRule="exact"/>
        <w:rPr>
          <w:rFonts w:ascii="Arial" w:cs="Arial" w:eastAsia="Arial" w:hAnsi="Arial"/>
          <w:sz w:val="19"/>
          <w:szCs w:val="19"/>
          <w:color w:val="auto"/>
        </w:rPr>
      </w:pPr>
    </w:p>
    <w:p>
      <w:pPr>
        <w:ind w:left="2200" w:hanging="896"/>
        <w:spacing w:after="0"/>
        <w:tabs>
          <w:tab w:leader="none" w:pos="22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agreements and transactions entered into or effected in connection with the payment of Related Taxes.</w:t>
      </w:r>
    </w:p>
    <w:p>
      <w:pPr>
        <w:spacing w:after="0" w:line="2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Additional Guarantees</w:t>
      </w:r>
      <w:r>
        <w:rPr>
          <w:rFonts w:ascii="Arial" w:cs="Arial" w:eastAsia="Arial" w:hAnsi="Arial"/>
          <w:sz w:val="16"/>
          <w:szCs w:val="16"/>
          <w:color w:val="auto"/>
        </w:rPr>
        <w:t>.</w:t>
      </w:r>
    </w:p>
    <w:p>
      <w:pPr>
        <w:spacing w:after="0" w:line="258"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If (i) at the time of delivering any report under Section 703(a)(1), any Restricted Subsidiary that does not constitute a Guarantor is or becomes a Material Specified Subsidiary that is organized in a Specified Jurisdiction, (ii) with respect to any Restricted Subsidiary that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5" w:name="page116"/>
    <w:bookmarkEnd w:id="115"/>
    <w:p>
      <w:pPr>
        <w:spacing w:after="0" w:line="270" w:lineRule="auto"/>
        <w:rPr>
          <w:sz w:val="20"/>
          <w:szCs w:val="20"/>
          <w:color w:val="auto"/>
        </w:rPr>
      </w:pPr>
      <w:r>
        <w:rPr>
          <w:rFonts w:ascii="Arial" w:cs="Arial" w:eastAsia="Arial" w:hAnsi="Arial"/>
          <w:sz w:val="19"/>
          <w:szCs w:val="19"/>
          <w:color w:val="auto"/>
        </w:rPr>
        <w:t>does not constitute a Guarantor and is organized in an Initial Specified Jurisdiction, reasonably requested by the Majority Holders or (iii) any Restricted Subsidiary Guarantees or otherwise becomes an obligor in respect of Indebtedness or other obligations under the LC Credit Agreement or any other third party Indebtedness for borrowed money of a Note Party, or any Credit Facility incurred under Section 1008(1), in an aggregate principal amount in excess of $20,000,000, the Parent Guarantor shall (A) (1) with respect to any Guarantee provided pursuant to clause (i) or (ii) above, within 45 days (or, in the case of clause (ii), with respect to any Restricted Subsidiary specified in Annex E, on or before the applicable date set forth on such Annex E) in either case, such later date as may be agreed by the Majority Holders, or (2) with respect to any Guarantee provided pursuant to clause (iii), contemporaneously with the provision of such Guarantee, cause such Restricted Subsidiary to (a) become a Guarantor by executing and delivering to the Trustee a supplemental indenture substantially in the form of Annex B pursuant to which such Restricted Subsidiary shall become a Guarantor with respect to the Notes, upon the terms and subject to the release provisions and other limitations in Article Fourteen, (b) deliver to the Collateral Agent such opinions (including an opinion as to such Guarantor’s ability to guarantee the Indenture Obligations pursuant to such supplemental indenture and to grant Liens to secure the Indenture Obligations), organizational and authorization documents, an Officers’ Certificate and such certificates substantially in the form delivered to the agent under the LC Credit Agreement or the applicable representative under such other third party indebtedness, and (c) deliver to the Collateral Agent such other documents consistent with those documents delivered to the agent under the LC Credit Agreement or the applicable representative under such third party indebtedness, and (B) cause such Restricted Subsidiary to comply with Section 1017(b) within the applicable time periods prescribed therein (subject to the Applicable Collateral Limitations).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Section 1015.</w:t>
            </w:r>
          </w:p>
        </w:tc>
        <w:tc>
          <w:tcPr>
            <w:tcW w:w="176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1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Section 1016.</w:t>
            </w:r>
          </w:p>
        </w:tc>
        <w:tc>
          <w:tcPr>
            <w:tcW w:w="1760" w:type="dxa"/>
            <w:vAlign w:val="bottom"/>
            <w:gridSpan w:val="3"/>
          </w:tcPr>
          <w:p>
            <w:pPr>
              <w:spacing w:after="0"/>
              <w:rPr>
                <w:sz w:val="20"/>
                <w:szCs w:val="20"/>
                <w:color w:val="auto"/>
              </w:rPr>
            </w:pPr>
            <w:r>
              <w:rPr>
                <w:rFonts w:ascii="Arial" w:cs="Arial" w:eastAsia="Arial" w:hAnsi="Arial"/>
                <w:sz w:val="18"/>
                <w:szCs w:val="18"/>
                <w:color w:val="auto"/>
                <w:w w:val="89"/>
              </w:rPr>
              <w:t>Maintenance of Ratings.</w:t>
            </w:r>
          </w:p>
        </w:tc>
      </w:tr>
      <w:tr>
        <w:trPr>
          <w:trHeight w:val="20"/>
        </w:trPr>
        <w:tc>
          <w:tcPr>
            <w:tcW w:w="1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Use commercially reasonable efforts to (i) obtain a rating of the Notes (but not obtain a specific rating) from each Ratings Agency within 90 days after the Initial Issuance Date and (ii) maintain a public corporate family rating of the Parent Guarantor and maintain the rating of the Notes obtained in accordance with the immediately preceding clause (i) (but not maintain a specific rating), in each case from each Ratings Agency (it being understood and agreed that “commercially reasonable efforts” shall in any event include the payment by the Parent Guarantor of customary rating agency fees and cooperation with information and data requests by each Ratings Agency in connection with their ratings process).</w:t>
      </w:r>
    </w:p>
    <w:p>
      <w:pPr>
        <w:spacing w:after="0" w:line="15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Collateral; After-Acquired Property</w:t>
      </w:r>
      <w:r>
        <w:rPr>
          <w:rFonts w:ascii="Arial" w:cs="Arial" w:eastAsia="Arial" w:hAnsi="Arial"/>
          <w:sz w:val="16"/>
          <w:szCs w:val="16"/>
          <w:color w:val="auto"/>
        </w:rPr>
        <w:t>.</w:t>
      </w:r>
    </w:p>
    <w:p>
      <w:pPr>
        <w:spacing w:after="0" w:line="218" w:lineRule="exact"/>
        <w:rPr>
          <w:sz w:val="20"/>
          <w:szCs w:val="20"/>
          <w:color w:val="auto"/>
        </w:rPr>
      </w:pPr>
    </w:p>
    <w:p>
      <w:pPr>
        <w:ind w:right="120" w:firstLine="656"/>
        <w:spacing w:after="0" w:line="250" w:lineRule="auto"/>
        <w:tabs>
          <w:tab w:leader="none" w:pos="1428" w:val="left"/>
        </w:tabs>
        <w:numPr>
          <w:ilvl w:val="0"/>
          <w:numId w:val="123"/>
        </w:numPr>
        <w:rPr>
          <w:rFonts w:ascii="Arial" w:cs="Arial" w:eastAsia="Arial" w:hAnsi="Arial"/>
          <w:sz w:val="22"/>
          <w:szCs w:val="22"/>
          <w:color w:val="010000"/>
        </w:rPr>
      </w:pPr>
      <w:r>
        <w:rPr>
          <w:rFonts w:ascii="Arial" w:cs="Arial" w:eastAsia="Arial" w:hAnsi="Arial"/>
          <w:sz w:val="22"/>
          <w:szCs w:val="22"/>
          <w:color w:val="auto"/>
        </w:rPr>
        <w:t>Each of the Note Parties shall satisfy each requirement set forth on Annex E on or before the applicable date set forth on such Annex E (or such later date as the Majority Holders may agree).</w:t>
      </w:r>
    </w:p>
    <w:p>
      <w:pPr>
        <w:spacing w:after="0" w:line="174" w:lineRule="exact"/>
        <w:rPr>
          <w:rFonts w:ascii="Arial" w:cs="Arial" w:eastAsia="Arial" w:hAnsi="Arial"/>
          <w:sz w:val="22"/>
          <w:szCs w:val="22"/>
          <w:color w:val="010000"/>
        </w:rPr>
      </w:pPr>
    </w:p>
    <w:p>
      <w:pPr>
        <w:ind w:right="20" w:firstLine="656"/>
        <w:spacing w:after="0"/>
        <w:tabs>
          <w:tab w:leader="none" w:pos="1440" w:val="left"/>
        </w:tabs>
        <w:numPr>
          <w:ilvl w:val="0"/>
          <w:numId w:val="123"/>
        </w:numPr>
        <w:rPr>
          <w:rFonts w:ascii="Arial" w:cs="Arial" w:eastAsia="Arial" w:hAnsi="Arial"/>
          <w:sz w:val="22"/>
          <w:szCs w:val="22"/>
          <w:color w:val="010000"/>
        </w:rPr>
      </w:pPr>
      <w:r>
        <w:rPr>
          <w:rFonts w:ascii="Arial" w:cs="Arial" w:eastAsia="Arial" w:hAnsi="Arial"/>
          <w:sz w:val="22"/>
          <w:szCs w:val="22"/>
          <w:color w:val="auto"/>
        </w:rPr>
        <w:t>Promptly (but in any event within 45 days (or such later date as the Majority Holders may agree)) following the acquisition by the Issuer or any Guarantor of any After-Acquired Property that has an individual fair market value (as determined in good faith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6" w:name="page117"/>
    <w:bookmarkEnd w:id="116"/>
    <w:p>
      <w:pPr>
        <w:ind w:right="60"/>
        <w:spacing w:after="0" w:line="270" w:lineRule="auto"/>
        <w:rPr>
          <w:sz w:val="20"/>
          <w:szCs w:val="20"/>
          <w:color w:val="auto"/>
        </w:rPr>
      </w:pPr>
      <w:r>
        <w:rPr>
          <w:rFonts w:ascii="Arial" w:cs="Arial" w:eastAsia="Arial" w:hAnsi="Arial"/>
          <w:sz w:val="19"/>
          <w:szCs w:val="19"/>
          <w:color w:val="auto"/>
        </w:rPr>
        <w:t>Issuer) in an amount greater than $10,000,000, or within 45 days (or such later date as the Majority Holders may agree) after any Subsidiary becomes a Guarantor, the Issuer or such Guarantor shall, subject to the limitations set forth herein, including the remaining clauses below, (i) provide a Lien over such After-Acquired Property consistent with the Liens granted over similar property in the applicable jurisdiction (or in the case of any jurisdiction where no Liens were previously granted, to the extent customary and reasonably achievable under applicable local law) (or, in the case of a new Guarantor, substantially all of its property (other than Excluded Assets) consistent with the Liens granted over similar property in the applicable jurisdiction (or in the case of any jurisdiction where no Liens were previously granted, to the extent customary and reasonably achievable under applicable local law)) in favor of the Collateral Agent and (ii) execute and deliver such mortgages, deeds of trust, security instruments, financing statements and certificates as shall be necessary to vest in the Collateral Agent a perfected (or any analogous concept to the extent perfection does not apply in the relevant jurisdiction) security interest, subject only to Liens permitted by Section 1010 hereof, in such After-Acquired Property or in the Collateral of such Guarantor and to have such After-Acquired Property or such Collateral (but subject to the limitations set forth in the Collateral Documents) added to the Collateral, and thereupon all provisions of this Indenture relating to the Collateral shall be deemed to relate to such After-Acquired Property or Collateral to the same extent and with the same force and effect, and deliver certificates and Opinions of Counsel consistent with the ones delivered in the applicable jurisdiction in connection with other Collateral Documents or in the case of any jurisdiction where no Liens were previously granted, such certificates and Opinions of Counsel as are customary in such jurisdiction.</w:t>
      </w:r>
    </w:p>
    <w:p>
      <w:pPr>
        <w:spacing w:after="0" w:line="200" w:lineRule="exact"/>
        <w:rPr>
          <w:sz w:val="20"/>
          <w:szCs w:val="20"/>
          <w:color w:val="auto"/>
        </w:rPr>
      </w:pPr>
    </w:p>
    <w:p>
      <w:pPr>
        <w:spacing w:after="0" w:line="215" w:lineRule="exact"/>
        <w:rPr>
          <w:sz w:val="20"/>
          <w:szCs w:val="20"/>
          <w:color w:val="auto"/>
        </w:rPr>
      </w:pPr>
    </w:p>
    <w:p>
      <w:pPr>
        <w:ind w:right="40" w:firstLine="656"/>
        <w:spacing w:after="0" w:line="275" w:lineRule="auto"/>
        <w:tabs>
          <w:tab w:leader="none" w:pos="1428"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Notwithstanding the foregoing, (i) no Mortgages shall be required with respect to any real property other than Material Real Property, (ii) the applicable time periods set forth in clauses (a) and (b) above shall be deemed to be 120 days (or such later date as the Majority Holders may agree) with respect to Material Real Property (or, in the case of “Initial Issuance Date Material Real Property” referred to in Annex E, the applicable time period therefor set forth in Annex E), and (iii) the Majority Holders may waive the Mortgage requirement contained in this Section 1017 with respect to any parcel of Material Real Property if, as a result of flood, environmental or other due diligence conducted with respect to such Material Real Property, the Majority Holders determine that the cost of, or risk associated with, obtaining a Mortgage with respect to such Material Real Property is excessive in relation to the benefit to the Holder Group of the security to be afforded thereby.</w:t>
      </w:r>
    </w:p>
    <w:p>
      <w:pPr>
        <w:spacing w:after="0" w:line="157" w:lineRule="exact"/>
        <w:rPr>
          <w:rFonts w:ascii="Arial" w:cs="Arial" w:eastAsia="Arial" w:hAnsi="Arial"/>
          <w:sz w:val="19"/>
          <w:szCs w:val="19"/>
          <w:color w:val="010000"/>
        </w:rPr>
      </w:pPr>
    </w:p>
    <w:p>
      <w:pPr>
        <w:ind w:firstLine="656"/>
        <w:spacing w:after="0" w:line="246" w:lineRule="auto"/>
        <w:tabs>
          <w:tab w:leader="none" w:pos="1440" w:val="left"/>
        </w:tabs>
        <w:numPr>
          <w:ilvl w:val="0"/>
          <w:numId w:val="124"/>
        </w:numPr>
        <w:rPr>
          <w:rFonts w:ascii="Arial" w:cs="Arial" w:eastAsia="Arial" w:hAnsi="Arial"/>
          <w:sz w:val="21"/>
          <w:szCs w:val="21"/>
          <w:color w:val="010000"/>
        </w:rPr>
      </w:pPr>
      <w:r>
        <w:rPr>
          <w:rFonts w:ascii="Arial" w:cs="Arial" w:eastAsia="Arial" w:hAnsi="Arial"/>
          <w:sz w:val="21"/>
          <w:szCs w:val="21"/>
          <w:color w:val="auto"/>
        </w:rPr>
        <w:t>Notwithstanding anything in this Indenture or the Collateral Documents to the contrary, (i) the Issuer and the Guarantors will not be required to grant, perfect or take any action to grant or perfect a security interest in any asset if such asset does not constitute “Collateral” (or an equivalent term) under the LC Credit Agreement or the security documents related thereto or where the Issuer and the Guarantors are not required to take such actions under the LC Credit Agreement or the security documents related thereto and (ii) the Issuer and the Guarantors will not be required to grant, perfect or take any action to grant or perfect a security interest prior to the time at which such action is required to be taken under the LC Credit Agreement or the security documents related thereto.</w:t>
      </w:r>
    </w:p>
    <w:p>
      <w:pPr>
        <w:spacing w:after="0" w:line="184" w:lineRule="exact"/>
        <w:rPr>
          <w:rFonts w:ascii="Arial" w:cs="Arial" w:eastAsia="Arial" w:hAnsi="Arial"/>
          <w:sz w:val="21"/>
          <w:szCs w:val="21"/>
          <w:color w:val="010000"/>
        </w:rPr>
      </w:pPr>
    </w:p>
    <w:p>
      <w:pPr>
        <w:ind w:right="240" w:firstLine="656"/>
        <w:spacing w:after="0" w:line="250" w:lineRule="auto"/>
        <w:tabs>
          <w:tab w:leader="none" w:pos="1416" w:val="left"/>
        </w:tabs>
        <w:numPr>
          <w:ilvl w:val="0"/>
          <w:numId w:val="124"/>
        </w:numPr>
        <w:rPr>
          <w:rFonts w:ascii="Arial" w:cs="Arial" w:eastAsia="Arial" w:hAnsi="Arial"/>
          <w:sz w:val="22"/>
          <w:szCs w:val="22"/>
          <w:color w:val="010000"/>
        </w:rPr>
      </w:pPr>
      <w:r>
        <w:rPr>
          <w:rFonts w:ascii="Arial" w:cs="Arial" w:eastAsia="Arial" w:hAnsi="Arial"/>
          <w:sz w:val="22"/>
          <w:szCs w:val="22"/>
          <w:color w:val="auto"/>
        </w:rPr>
        <w:t>Any Collateral Document may provide that the amount recoverable in respect of the Collateral provided by the Guarantors will be limited as necessary to (1) prevent such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line="236" w:lineRule="auto"/>
        <w:rPr>
          <w:sz w:val="20"/>
          <w:szCs w:val="20"/>
          <w:color w:val="auto"/>
        </w:rPr>
      </w:pPr>
      <w:r>
        <w:rPr>
          <w:rFonts w:ascii="Arial" w:cs="Arial" w:eastAsia="Arial" w:hAnsi="Arial"/>
          <w:sz w:val="22"/>
          <w:szCs w:val="22"/>
          <w:color w:val="auto"/>
        </w:rPr>
        <w:t>Collateral from being in breach of any applicable law, (2) avoid any general legal limitations such as general statutory limitations, financial assistance, corporate benefit, “thin capitalization” rules, retention of title claims or similar matters or (3) avoid a conflict with the fiduciary duties of such company’s officers or directors, contravention of any legal prohibition or regulatory condition, or the material risk of personal or criminal liability for any officers or directors, in each case as determined by the Issuer in its sole discretion.</w:t>
      </w:r>
    </w:p>
    <w:p>
      <w:pPr>
        <w:spacing w:after="0" w:line="188" w:lineRule="exact"/>
        <w:rPr>
          <w:sz w:val="20"/>
          <w:szCs w:val="20"/>
          <w:color w:val="auto"/>
        </w:rPr>
      </w:pPr>
    </w:p>
    <w:p>
      <w:pPr>
        <w:jc w:val="both"/>
        <w:ind w:right="20" w:firstLine="656"/>
        <w:spacing w:after="0" w:line="238" w:lineRule="auto"/>
        <w:tabs>
          <w:tab w:leader="none" w:pos="1404"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Indenture or any Collateral Document, WOFS Assurance’s liability shall be limited or extinguished, as applicable, to the extent necessary to ensure that WOFS Assurance, at all times, meets its minimum solvency margin and liquidity ratio pursuant to the Insurance Act 1978 of Bermuda (the “</w:t>
      </w:r>
      <w:r>
        <w:rPr>
          <w:rFonts w:ascii="Arial" w:cs="Arial" w:eastAsia="Arial" w:hAnsi="Arial"/>
          <w:sz w:val="22"/>
          <w:szCs w:val="22"/>
          <w:u w:val="single" w:color="auto"/>
          <w:color w:val="auto"/>
        </w:rPr>
        <w:t>Insurance Act</w:t>
      </w:r>
      <w:r>
        <w:rPr>
          <w:rFonts w:ascii="Arial" w:cs="Arial" w:eastAsia="Arial" w:hAnsi="Arial"/>
          <w:sz w:val="22"/>
          <w:szCs w:val="22"/>
          <w:color w:val="auto"/>
        </w:rPr>
        <w:t>”) and remains in compliance with sections 31A through 31C of the Insurance Act.</w:t>
      </w:r>
    </w:p>
    <w:p>
      <w:pPr>
        <w:spacing w:after="0" w:line="184" w:lineRule="exact"/>
        <w:rPr>
          <w:rFonts w:ascii="Arial" w:cs="Arial" w:eastAsia="Arial" w:hAnsi="Arial"/>
          <w:sz w:val="22"/>
          <w:szCs w:val="22"/>
          <w:color w:val="010000"/>
        </w:rPr>
      </w:pPr>
    </w:p>
    <w:p>
      <w:pPr>
        <w:ind w:firstLine="656"/>
        <w:spacing w:after="0" w:line="234" w:lineRule="auto"/>
        <w:tabs>
          <w:tab w:leader="none" w:pos="1440"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 xml:space="preserve">Notwithstanding anything to the contrary in this Indenture or any Collateral Document, the Note Parties shall not be required to take any actions to grant or perfect the security interests of the Collateral Agent (a) in any Collateral, including with respect to Equity Interests, in any jurisdiction other than a Specified Jurisdiction (in each case, other than Specified Deposit Accounts), or (b) in any Equity Interest in any Foreign Subsidiary, joint venture or non-Wholly-Owned Subsidiary that is a Subsidiary of a Note Party that, in each case, is not organized in a Specified Jurisdiction;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Note Party has already granted a security interest in such assets under the laws of any Specified Filing Jurisdiction, this clause (b) shall not apply to the perfection of such security interest by filing a financing statement or similar notice filing in that Specified Filing Jurisdiction.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limitations set forth in clauses (c) - (g) above are referred to as the “</w:t>
      </w:r>
      <w:r>
        <w:rPr>
          <w:rFonts w:ascii="Arial" w:cs="Arial" w:eastAsia="Arial" w:hAnsi="Arial"/>
          <w:sz w:val="22"/>
          <w:szCs w:val="22"/>
          <w:u w:val="single" w:color="auto"/>
          <w:color w:val="auto"/>
        </w:rPr>
        <w:t>Applicable Collateral Limitations</w:t>
      </w:r>
      <w:r>
        <w:rPr>
          <w:rFonts w:ascii="Arial" w:cs="Arial" w:eastAsia="Arial" w:hAnsi="Arial"/>
          <w:sz w:val="22"/>
          <w:szCs w:val="22"/>
          <w:color w:val="auto"/>
        </w:rPr>
        <w:t>.”</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6"/>
          <w:szCs w:val="16"/>
          <w:u w:val="single" w:color="auto"/>
          <w:color w:val="auto"/>
        </w:rPr>
        <w:t>No Impairment of the Security Interests</w:t>
      </w:r>
      <w:r>
        <w:rPr>
          <w:rFonts w:ascii="Arial" w:cs="Arial" w:eastAsia="Arial" w:hAnsi="Arial"/>
          <w:sz w:val="16"/>
          <w:szCs w:val="16"/>
          <w:color w:val="auto"/>
        </w:rPr>
        <w:t>.</w:t>
      </w:r>
    </w:p>
    <w:p>
      <w:pPr>
        <w:spacing w:after="0" w:line="218"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Except as otherwise permitted under this Indenture (including, for the avoidance of doubt, pursuant to a transaction otherwise permitted by this Indenture) and the Collateral Documents, none of the Issuer nor any of the Guarantors shall be permitted to take any action, or knowingly omit to take any action, which action or omission would have the result of materially impairing the security interest with respect to the Collateral for the benefit of the Trustee, the Collateral Agent and the Holders of the Notes.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1019.</w:t>
      </w:r>
      <w:r>
        <w:rPr>
          <w:sz w:val="20"/>
          <w:szCs w:val="20"/>
          <w:color w:val="auto"/>
        </w:rPr>
        <w:tab/>
      </w:r>
      <w:r>
        <w:rPr>
          <w:rFonts w:ascii="Arial" w:cs="Arial" w:eastAsia="Arial" w:hAnsi="Arial"/>
          <w:sz w:val="17"/>
          <w:szCs w:val="17"/>
          <w:u w:val="single" w:color="auto"/>
          <w:color w:val="auto"/>
        </w:rPr>
        <w:t>Minimum Liquidity</w:t>
      </w:r>
      <w:r>
        <w:rPr>
          <w:rFonts w:ascii="Arial" w:cs="Arial" w:eastAsia="Arial" w:hAnsi="Arial"/>
          <w:sz w:val="17"/>
          <w:szCs w:val="17"/>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Parent Guarantor shall not, at any time, permit Liquidity to be less than $175.0 million.</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1020.</w:t>
      </w:r>
      <w:r>
        <w:rPr>
          <w:sz w:val="20"/>
          <w:szCs w:val="20"/>
          <w:color w:val="auto"/>
        </w:rPr>
        <w:tab/>
      </w:r>
      <w:r>
        <w:rPr>
          <w:rFonts w:ascii="Arial" w:cs="Arial" w:eastAsia="Arial" w:hAnsi="Arial"/>
          <w:sz w:val="15"/>
          <w:szCs w:val="15"/>
          <w:u w:val="single" w:color="auto"/>
          <w:color w:val="auto"/>
        </w:rPr>
        <w:t>Swiss Use of Proceeds</w:t>
      </w:r>
      <w:r>
        <w:rPr>
          <w:rFonts w:ascii="Arial" w:cs="Arial" w:eastAsia="Arial" w:hAnsi="Arial"/>
          <w:sz w:val="15"/>
          <w:szCs w:val="15"/>
          <w:color w:val="auto"/>
        </w:rPr>
        <w:t>.</w:t>
      </w:r>
    </w:p>
    <w:p>
      <w:pPr>
        <w:spacing w:after="0" w:line="218" w:lineRule="exact"/>
        <w:rPr>
          <w:sz w:val="20"/>
          <w:szCs w:val="20"/>
          <w:color w:val="auto"/>
        </w:rPr>
      </w:pPr>
    </w:p>
    <w:p>
      <w:pPr>
        <w:ind w:right="100" w:firstLine="648"/>
        <w:spacing w:after="0" w:line="257" w:lineRule="auto"/>
        <w:rPr>
          <w:sz w:val="20"/>
          <w:szCs w:val="20"/>
          <w:color w:val="auto"/>
        </w:rPr>
      </w:pPr>
      <w:r>
        <w:rPr>
          <w:rFonts w:ascii="Arial" w:cs="Arial" w:eastAsia="Arial" w:hAnsi="Arial"/>
          <w:sz w:val="21"/>
          <w:szCs w:val="21"/>
          <w:color w:val="auto"/>
        </w:rPr>
        <w:t>The Issuer intends that the proceeds of the Notes are used in a manner that would not trigger the application of Circular Nr. 6746 dated 29 June 1993 issued by the Swiss Banker's Association, taking into account the practice of the Swiss Federal Tax Administration (including notification 010-DVS-2019-d dated 5 February 2019).</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8" w:name="page119"/>
    <w:bookmarkEnd w:id="118"/>
    <w:p>
      <w:pPr>
        <w:jc w:val="center"/>
        <w:ind w:right="-119"/>
        <w:spacing w:after="0"/>
        <w:rPr>
          <w:sz w:val="20"/>
          <w:szCs w:val="20"/>
          <w:color w:val="auto"/>
        </w:rPr>
      </w:pPr>
      <w:r>
        <w:rPr>
          <w:rFonts w:ascii="Arial" w:cs="Arial" w:eastAsia="Arial" w:hAnsi="Arial"/>
          <w:sz w:val="22"/>
          <w:szCs w:val="22"/>
          <w:b w:val="1"/>
          <w:bCs w:val="1"/>
          <w:color w:val="auto"/>
        </w:rPr>
        <w:t>ARTICLE ELEVEN</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REDEMPTION OF NOTES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18"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The Notes shall be redeemable at the election of the Issuer in accordance with their terms and in accordance with this Article.</w:t>
      </w:r>
    </w:p>
    <w:p>
      <w:pPr>
        <w:spacing w:after="0" w:line="1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In case of any redemption of less than all Notes, the Issuer shall, at least 5 Business Days prior to the last date a notice of redemption may be provided to Holders under Section 1105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 prior to giving notice of such redemption, with an Officers’ Certificate evidencing compliance with such restriction.</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18" w:lineRule="exact"/>
        <w:rPr>
          <w:sz w:val="20"/>
          <w:szCs w:val="20"/>
          <w:color w:val="auto"/>
        </w:rPr>
      </w:pPr>
    </w:p>
    <w:p>
      <w:pPr>
        <w:ind w:firstLine="656"/>
        <w:spacing w:after="0" w:line="246" w:lineRule="auto"/>
        <w:tabs>
          <w:tab w:leader="none" w:pos="1428"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Except as set forth in clauses (b) and (c) of this Section 1103, the Issuer shall not have the option to redeem the Notes pursuant to this Section 1103 prior to August 28, 2021. On or after August 28,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but excluding, the applicable redemption date (subject to the right of Holders of record on the relevant record date to receive interest due on an interest payment date that is on or prior to the redemption date), if redeemed during the twelve-month period beginning on August 28 of the years indicated below: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auto"/>
              </w:rPr>
              <w:t>YEAR</w:t>
            </w:r>
          </w:p>
        </w:tc>
        <w:tc>
          <w:tcPr>
            <w:tcW w:w="1160" w:type="dxa"/>
            <w:vAlign w:val="bottom"/>
          </w:tcPr>
          <w:p>
            <w:pPr>
              <w:spacing w:after="0"/>
              <w:rPr>
                <w:sz w:val="20"/>
                <w:szCs w:val="20"/>
                <w:color w:val="auto"/>
              </w:rPr>
            </w:pPr>
            <w:r>
              <w:rPr>
                <w:rFonts w:ascii="Arial" w:cs="Arial" w:eastAsia="Arial" w:hAnsi="Arial"/>
                <w:sz w:val="18"/>
                <w:szCs w:val="18"/>
                <w:color w:val="auto"/>
                <w:w w:val="91"/>
              </w:rPr>
              <w:t>PERCENTAGE</w:t>
            </w:r>
          </w:p>
        </w:tc>
      </w:tr>
      <w:tr>
        <w:trPr>
          <w:trHeight w:val="264"/>
        </w:trPr>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220" w:type="dxa"/>
            <w:vAlign w:val="bottom"/>
          </w:tcPr>
          <w:p>
            <w:pPr>
              <w:spacing w:after="0"/>
              <w:rPr>
                <w:sz w:val="22"/>
                <w:szCs w:val="22"/>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104.375%</w:t>
            </w:r>
          </w:p>
        </w:tc>
      </w:tr>
      <w:tr>
        <w:trPr>
          <w:trHeight w:val="243"/>
        </w:trPr>
        <w:tc>
          <w:tcPr>
            <w:tcW w:w="480" w:type="dxa"/>
            <w:vAlign w:val="bottom"/>
          </w:tcPr>
          <w:p>
            <w:pPr>
              <w:spacing w:after="0"/>
              <w:rPr>
                <w:sz w:val="20"/>
                <w:szCs w:val="20"/>
                <w:color w:val="auto"/>
              </w:rPr>
            </w:pPr>
            <w:r>
              <w:rPr>
                <w:rFonts w:ascii="Arial" w:cs="Arial" w:eastAsia="Arial" w:hAnsi="Arial"/>
                <w:sz w:val="18"/>
                <w:szCs w:val="18"/>
                <w:color w:val="auto"/>
              </w:rPr>
              <w:t>2022</w:t>
            </w:r>
          </w:p>
        </w:tc>
        <w:tc>
          <w:tcPr>
            <w:tcW w:w="422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102.188%</w:t>
            </w: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60" w:type="dxa"/>
            <w:vAlign w:val="bottom"/>
          </w:tcPr>
          <w:p>
            <w:pPr>
              <w:spacing w:after="0"/>
              <w:rPr>
                <w:sz w:val="20"/>
                <w:szCs w:val="20"/>
                <w:color w:val="auto"/>
              </w:rPr>
            </w:pPr>
            <w:r>
              <w:rPr>
                <w:rFonts w:ascii="Arial" w:cs="Arial" w:eastAsia="Arial" w:hAnsi="Arial"/>
                <w:sz w:val="18"/>
                <w:szCs w:val="18"/>
                <w:color w:val="auto"/>
              </w:rPr>
              <w:t>100.000%</w:t>
            </w:r>
          </w:p>
        </w:tc>
      </w:tr>
    </w:tbl>
    <w:p>
      <w:pPr>
        <w:spacing w:after="0" w:line="235" w:lineRule="exact"/>
        <w:rPr>
          <w:sz w:val="20"/>
          <w:szCs w:val="20"/>
          <w:color w:val="auto"/>
        </w:rPr>
      </w:pPr>
    </w:p>
    <w:p>
      <w:pPr>
        <w:ind w:right="840" w:firstLine="656"/>
        <w:spacing w:after="0" w:line="250" w:lineRule="auto"/>
        <w:tabs>
          <w:tab w:leader="none" w:pos="14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Prior to August 28, 2021, the Issuer may redeem on one or more occasions all or part of the Notes at a redemption price equal to the sum of:</w:t>
      </w:r>
    </w:p>
    <w:p>
      <w:pPr>
        <w:spacing w:after="0" w:line="174" w:lineRule="exact"/>
        <w:rPr>
          <w:rFonts w:ascii="Arial" w:cs="Arial" w:eastAsia="Arial" w:hAnsi="Arial"/>
          <w:sz w:val="22"/>
          <w:szCs w:val="22"/>
          <w:color w:val="auto"/>
        </w:rPr>
      </w:pPr>
    </w:p>
    <w:p>
      <w:pPr>
        <w:ind w:left="1560" w:hanging="256"/>
        <w:spacing w:after="0"/>
        <w:tabs>
          <w:tab w:leader="none" w:pos="156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principal amount thereof, plus</w:t>
      </w:r>
    </w:p>
    <w:p>
      <w:pPr>
        <w:spacing w:after="0" w:line="206" w:lineRule="exact"/>
        <w:rPr>
          <w:rFonts w:ascii="Arial" w:cs="Arial" w:eastAsia="Arial" w:hAnsi="Arial"/>
          <w:sz w:val="22"/>
          <w:szCs w:val="22"/>
          <w:color w:val="auto"/>
        </w:rPr>
      </w:pPr>
    </w:p>
    <w:p>
      <w:pPr>
        <w:ind w:left="1620" w:hanging="316"/>
        <w:spacing w:after="0"/>
        <w:tabs>
          <w:tab w:leader="none" w:pos="162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Make Whole Premium at the redemption date, plus</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119" w:name="page120"/>
    <w:bookmarkEnd w:id="119"/>
    <w:p>
      <w:pPr>
        <w:ind w:left="1300" w:right="240" w:firstLine="4"/>
        <w:spacing w:after="0"/>
        <w:tabs>
          <w:tab w:leader="none" w:pos="1678"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accrued and unpaid interest, if any, to, but excluding, the redemption date (subject to the right of Holders of record on the relevant record date to receive interest due on an interest payment date that is on or prior to the redemption date).</w:t>
      </w:r>
    </w:p>
    <w:p>
      <w:pPr>
        <w:spacing w:after="0" w:line="186" w:lineRule="exact"/>
        <w:rPr>
          <w:rFonts w:ascii="Arial" w:cs="Arial" w:eastAsia="Arial" w:hAnsi="Arial"/>
          <w:sz w:val="22"/>
          <w:szCs w:val="22"/>
          <w:color w:val="auto"/>
        </w:rPr>
      </w:pPr>
    </w:p>
    <w:p>
      <w:pPr>
        <w:ind w:right="180" w:firstLine="656"/>
        <w:spacing w:after="0" w:line="250" w:lineRule="auto"/>
        <w:tabs>
          <w:tab w:leader="none" w:pos="142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Notes may be redeemed, as a whole, following certain Change of Control Offers pursuant to Section 1007, at the Redemption Price and subject to the conditions set forth in such Section.</w:t>
      </w:r>
    </w:p>
    <w:p>
      <w:pPr>
        <w:spacing w:after="0" w:line="174" w:lineRule="exact"/>
        <w:rPr>
          <w:rFonts w:ascii="Arial" w:cs="Arial" w:eastAsia="Arial" w:hAnsi="Arial"/>
          <w:sz w:val="22"/>
          <w:szCs w:val="22"/>
          <w:color w:val="auto"/>
        </w:rPr>
      </w:pPr>
    </w:p>
    <w:p>
      <w:pPr>
        <w:ind w:right="180" w:firstLine="656"/>
        <w:spacing w:after="0" w:line="287" w:lineRule="auto"/>
        <w:tabs>
          <w:tab w:leader="none" w:pos="14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42" w:lineRule="exact"/>
        <w:rPr>
          <w:rFonts w:ascii="Arial" w:cs="Arial" w:eastAsia="Arial" w:hAnsi="Arial"/>
          <w:sz w:val="19"/>
          <w:szCs w:val="19"/>
          <w:color w:val="auto"/>
        </w:rPr>
      </w:pPr>
    </w:p>
    <w:p>
      <w:pPr>
        <w:jc w:val="both"/>
        <w:ind w:right="520" w:firstLine="656"/>
        <w:spacing w:after="0"/>
        <w:tabs>
          <w:tab w:leader="none" w:pos="142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86" w:lineRule="exact"/>
        <w:rPr>
          <w:rFonts w:ascii="Arial" w:cs="Arial" w:eastAsia="Arial" w:hAnsi="Arial"/>
          <w:sz w:val="22"/>
          <w:szCs w:val="22"/>
          <w:color w:val="auto"/>
        </w:rPr>
      </w:pPr>
    </w:p>
    <w:p>
      <w:pPr>
        <w:ind w:right="340" w:firstLine="656"/>
        <w:spacing w:after="0" w:line="297" w:lineRule="auto"/>
        <w:tabs>
          <w:tab w:leader="none" w:pos="140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1103,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4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Selection by Trustee of Notes to Be Redeemed</w:t>
      </w:r>
      <w:r>
        <w:rPr>
          <w:rFonts w:ascii="Arial" w:cs="Arial" w:eastAsia="Arial" w:hAnsi="Arial"/>
          <w:sz w:val="16"/>
          <w:szCs w:val="16"/>
          <w:color w:val="auto"/>
        </w:rPr>
        <w:t>.</w:t>
      </w:r>
    </w:p>
    <w:p>
      <w:pPr>
        <w:spacing w:after="0" w:line="218"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w:t>
      </w:r>
    </w:p>
    <w:p>
      <w:pPr>
        <w:spacing w:after="0" w:line="178"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Notice of redemption shall be given by first-class mail, postage prepaid, mailed (or, in the case of any notice to the Holder of a Global Note, sent electronically in accordance with the Depositary’s procedures) not less than 10 nor more than 60 days prior to the Redemption Date, to (i) each Holder of Notes to be redeemed, at its address appearing in the Security Register and (ii) in the case of any redemption pursuant to Section 1103(d), to any beneficial owner of an interest in a Global Note, if required by applicable law, except that redemption notices may be sent more than 60 days prior to a Redemption Date if the notice is issued in connection with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Legal Defeasance or Covenant Defeasance of the Notes or a satisfaction and discharge of the Indenture pursuant to Article Four.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notices of redemption shall state:</w:t>
      </w:r>
    </w:p>
    <w:p>
      <w:pPr>
        <w:spacing w:after="0" w:line="206" w:lineRule="exact"/>
        <w:rPr>
          <w:sz w:val="20"/>
          <w:szCs w:val="20"/>
          <w:color w:val="auto"/>
        </w:rPr>
      </w:pPr>
    </w:p>
    <w:p>
      <w:pPr>
        <w:ind w:left="1440" w:hanging="784"/>
        <w:spacing w:after="0"/>
        <w:tabs>
          <w:tab w:leader="none" w:pos="1440"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010000"/>
        </w:rPr>
      </w:pPr>
    </w:p>
    <w:p>
      <w:pPr>
        <w:ind w:left="1440" w:hanging="784"/>
        <w:spacing w:after="0"/>
        <w:tabs>
          <w:tab w:leader="none" w:pos="1440"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the Redemption Price, if then determined and otherwise the manner of calculation thereof,</w:t>
      </w:r>
    </w:p>
    <w:p>
      <w:pPr>
        <w:spacing w:after="0" w:line="206" w:lineRule="exact"/>
        <w:rPr>
          <w:rFonts w:ascii="Arial" w:cs="Arial" w:eastAsia="Arial" w:hAnsi="Arial"/>
          <w:sz w:val="22"/>
          <w:szCs w:val="22"/>
          <w:color w:val="010000"/>
        </w:rPr>
      </w:pPr>
    </w:p>
    <w:p>
      <w:pPr>
        <w:ind w:firstLine="656"/>
        <w:spacing w:after="0" w:line="250" w:lineRule="auto"/>
        <w:tabs>
          <w:tab w:leader="none" w:pos="1428"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if less than all the Outstanding Notes are to be redeemed, the identification (and, in the case of partial redemption of any such Notes, the principal amounts) of the particular Notes to be redeemed,</w:t>
      </w:r>
    </w:p>
    <w:p>
      <w:pPr>
        <w:spacing w:after="0" w:line="174" w:lineRule="exact"/>
        <w:rPr>
          <w:rFonts w:ascii="Arial" w:cs="Arial" w:eastAsia="Arial" w:hAnsi="Arial"/>
          <w:sz w:val="22"/>
          <w:szCs w:val="22"/>
          <w:color w:val="010000"/>
        </w:rPr>
      </w:pPr>
    </w:p>
    <w:p>
      <w:pPr>
        <w:ind w:right="700" w:firstLine="656"/>
        <w:spacing w:after="0" w:line="250" w:lineRule="auto"/>
        <w:tabs>
          <w:tab w:leader="none" w:pos="1440"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that on the Redemption Date the Redemption Price will become due and payable upon each such Note be redeemed and that interest thereon will cease to accrue on and after said date,</w:t>
      </w:r>
    </w:p>
    <w:p>
      <w:pPr>
        <w:spacing w:after="0" w:line="174" w:lineRule="exact"/>
        <w:rPr>
          <w:rFonts w:ascii="Arial" w:cs="Arial" w:eastAsia="Arial" w:hAnsi="Arial"/>
          <w:sz w:val="22"/>
          <w:szCs w:val="22"/>
          <w:color w:val="010000"/>
        </w:rPr>
      </w:pPr>
    </w:p>
    <w:p>
      <w:pPr>
        <w:ind w:left="1440" w:hanging="784"/>
        <w:spacing w:after="0"/>
        <w:tabs>
          <w:tab w:leader="none" w:pos="1440" w:val="left"/>
        </w:tabs>
        <w:numPr>
          <w:ilvl w:val="0"/>
          <w:numId w:val="130"/>
        </w:numPr>
        <w:rPr>
          <w:rFonts w:ascii="Arial" w:cs="Arial" w:eastAsia="Arial" w:hAnsi="Arial"/>
          <w:sz w:val="21"/>
          <w:szCs w:val="21"/>
          <w:color w:val="010000"/>
        </w:rPr>
      </w:pPr>
      <w:r>
        <w:rPr>
          <w:rFonts w:ascii="Arial" w:cs="Arial" w:eastAsia="Arial" w:hAnsi="Arial"/>
          <w:sz w:val="21"/>
          <w:szCs w:val="21"/>
          <w:color w:val="auto"/>
        </w:rPr>
        <w:t>the place or places where each such Note is to be surrendered for payment of the Redemption Price,</w:t>
      </w:r>
    </w:p>
    <w:p>
      <w:pPr>
        <w:spacing w:after="0" w:line="217" w:lineRule="exact"/>
        <w:rPr>
          <w:rFonts w:ascii="Arial" w:cs="Arial" w:eastAsia="Arial" w:hAnsi="Arial"/>
          <w:sz w:val="21"/>
          <w:szCs w:val="21"/>
          <w:color w:val="010000"/>
        </w:rPr>
      </w:pPr>
    </w:p>
    <w:p>
      <w:pPr>
        <w:ind w:left="1420" w:hanging="764"/>
        <w:spacing w:after="0"/>
        <w:tabs>
          <w:tab w:leader="none" w:pos="1420"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the CUSIP/ISIN numbers of the Notes</w:t>
      </w:r>
    </w:p>
    <w:p>
      <w:pPr>
        <w:spacing w:after="0" w:line="206" w:lineRule="exact"/>
        <w:rPr>
          <w:rFonts w:ascii="Arial" w:cs="Arial" w:eastAsia="Arial" w:hAnsi="Arial"/>
          <w:sz w:val="22"/>
          <w:szCs w:val="22"/>
          <w:color w:val="010000"/>
        </w:rPr>
      </w:pPr>
    </w:p>
    <w:p>
      <w:pPr>
        <w:ind w:right="40" w:firstLine="656"/>
        <w:spacing w:after="0" w:line="246" w:lineRule="auto"/>
        <w:tabs>
          <w:tab w:leader="none" w:pos="1440" w:val="left"/>
        </w:tabs>
        <w:numPr>
          <w:ilvl w:val="0"/>
          <w:numId w:val="130"/>
        </w:numPr>
        <w:rPr>
          <w:rFonts w:ascii="Arial" w:cs="Arial" w:eastAsia="Arial" w:hAnsi="Arial"/>
          <w:sz w:val="21"/>
          <w:szCs w:val="21"/>
          <w:color w:val="010000"/>
        </w:rPr>
      </w:pPr>
      <w:r>
        <w:rPr>
          <w:rFonts w:ascii="Arial" w:cs="Arial" w:eastAsia="Arial" w:hAnsi="Arial"/>
          <w:sz w:val="21"/>
          <w:szCs w:val="21"/>
          <w:color w:val="auto"/>
        </w:rPr>
        <w:t>if the redemption is subject to the satisfaction of one or more conditions precedent, the notice thereof shall describe each such condition and, if applicable, shall state that, in the Issuer’s discretion, the Redemption Date may be delayed until such time as any or all such conditions shall be satisfied (or waived by the Issuer in its sole discretion), and/or such redemption may not occur and such notice may be rescinded in the event that any or all such conditions shall not have been satisfied (or waived by the Issuer in its sole discretion) by the Redemption Date, or by the Redemption Date as so delayed, and/or that such notice may be rescinded at any time by the Issuer if the Issuer determines in its sole discretion that any or all of such conditions will not be satisfied (or waived); and</w:t>
      </w:r>
    </w:p>
    <w:p>
      <w:pPr>
        <w:spacing w:after="0" w:line="184" w:lineRule="exact"/>
        <w:rPr>
          <w:rFonts w:ascii="Arial" w:cs="Arial" w:eastAsia="Arial" w:hAnsi="Arial"/>
          <w:sz w:val="21"/>
          <w:szCs w:val="21"/>
          <w:color w:val="010000"/>
        </w:rPr>
      </w:pPr>
    </w:p>
    <w:p>
      <w:pPr>
        <w:ind w:right="60" w:firstLine="656"/>
        <w:spacing w:after="0" w:line="250" w:lineRule="auto"/>
        <w:tabs>
          <w:tab w:leader="none" w:pos="1440"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that, at the Issuer’s option, that the payment of the Redemption Price and performance of the Issuer’s obligations with respect to such redemption may be performed by another Person.</w:t>
      </w:r>
    </w:p>
    <w:p>
      <w:pPr>
        <w:spacing w:after="0" w:line="175"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 xml:space="preserve">Notice of redemption of Notes to be redeemed at the election of the Issuer shall be given by the Issuer or, at the Issuer’s request, by the Trustee in the name and at the expense of the Issuer and shall be irrevocable, but may be conditioned as set forth herein,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Issuer shall have delivered to the Trustee, at least two Business Days, in the case of Global Notes or five Business Days, in the case of Definitive Notes, before notice of redemption is required to be delivered electronically, mailed or caused to be mailed to Holders pursuant to this Section 1105 (unless a shorter period shall be agreed to by the Trustee), an Officers’ Certificate requesting that the Trustee give such notice and setting forth the information to be stated in such notice as provided in the preceding paragraph. Unless the Issuer defaults in the payment of the Redemption Price, interest will cease to accrue on the Notes or portion thereof called for redemption on the applicable Redemption Date. Notice of any redemption upon any corporate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ind w:right="40"/>
        <w:spacing w:after="0" w:line="273" w:lineRule="auto"/>
        <w:rPr>
          <w:sz w:val="20"/>
          <w:szCs w:val="20"/>
          <w:color w:val="auto"/>
        </w:rPr>
      </w:pPr>
      <w:r>
        <w:rPr>
          <w:rFonts w:ascii="Arial" w:cs="Arial" w:eastAsia="Arial" w:hAnsi="Arial"/>
          <w:sz w:val="19"/>
          <w:szCs w:val="19"/>
          <w:color w:val="auto"/>
        </w:rPr>
        <w:t xml:space="preserve">transaction or other event (including any offering of Equity Interests, incurrence of Indebtedness, Change of Control or other transaction) may be given prior to the completion thereof. In addition, any redemption or notice thereof may, at the Issuer’s discretion, be subject to one or more conditions precedent, including, but not limited to, completion of a corporate transaction or other event. For the avoidance of doubt, if any Redemption Date shall be delayed as contemplated by this Section 1105 and the terms of the applicable notice of redemption, such Redemption Date as so delayed may occur at any time after the original Redemption Date set forth in the applicable notice of redemption and after the satisfaction (or waiver) of any applicable conditions precedent, including, without limitation, on a date that is less than 30 days after the original Redemption Date or more than 60 days after the date of the applicable notice of redemption. To the extent that the Redemption Date will occur on a date other than the original Redemption Date set forth in the applicable notice of redemption, the Issuer shall notify the Holders and the Trustee of the final Redemption Date prior to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or any defect therein, shall not impair or affect the validity of any redemption under this Article Eleven.</w:t>
      </w:r>
    </w:p>
    <w:p>
      <w:pPr>
        <w:spacing w:after="0" w:line="16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18"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Prior to 11:00 a.m., New York City time, on any Redemption Date, the Issuer shall deposit with the Trustee or with a Paying Agent (or, if the Issuer or a Subsidiary is acting as its own Paying Agent, segregate and hold in trust as provided in Section 1003) an amount of money sufficient to pay the Redemption Price of, and (except if the Redemption Date shall be an Interest Payment Date) accrued interest on, all the Notes which are to be redeemed on that date.</w:t>
      </w:r>
    </w:p>
    <w:p>
      <w:pPr>
        <w:spacing w:after="0" w:line="15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u w:val="single" w:color="auto"/>
          <w:color w:val="auto"/>
        </w:rPr>
        <w:t>Notes Payable on Redemption Date</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1103(e).</w:t>
      </w:r>
    </w:p>
    <w:p>
      <w:pPr>
        <w:spacing w:after="0" w:line="147" w:lineRule="exact"/>
        <w:rPr>
          <w:sz w:val="20"/>
          <w:szCs w:val="20"/>
          <w:color w:val="auto"/>
        </w:rPr>
      </w:pPr>
    </w:p>
    <w:p>
      <w:pPr>
        <w:ind w:right="660" w:firstLine="648"/>
        <w:spacing w:after="0" w:line="328" w:lineRule="auto"/>
        <w:rPr>
          <w:sz w:val="20"/>
          <w:szCs w:val="20"/>
          <w:color w:val="auto"/>
        </w:rPr>
      </w:pPr>
      <w:r>
        <w:rPr>
          <w:rFonts w:ascii="Arial" w:cs="Arial" w:eastAsia="Arial" w:hAnsi="Arial"/>
          <w:sz w:val="19"/>
          <w:szCs w:val="19"/>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1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5"/>
          <w:szCs w:val="15"/>
          <w:u w:val="single" w:color="auto"/>
          <w:color w:val="auto"/>
        </w:rPr>
        <w:t>Notes Redeemed in Part</w:t>
      </w:r>
      <w:r>
        <w:rPr>
          <w:rFonts w:ascii="Arial" w:cs="Arial" w:eastAsia="Arial" w:hAnsi="Arial"/>
          <w:sz w:val="15"/>
          <w:szCs w:val="15"/>
          <w:color w:val="auto"/>
        </w:rPr>
        <w:t>.</w:t>
      </w:r>
    </w:p>
    <w:p>
      <w:pPr>
        <w:spacing w:after="0" w:line="218"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aggregate principal amount equal to and in exchange for the unredeemed portion of the principal of the Note so surrendered.</w:t>
      </w:r>
    </w:p>
    <w:p>
      <w:pPr>
        <w:spacing w:after="0" w:line="23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ARTICLE TWELVE</w:t>
      </w:r>
    </w:p>
    <w:p>
      <w:pPr>
        <w:spacing w:after="0" w:line="1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SINKING FUND; OTHER ACQUISITIONS OF NOTES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u w:val="single" w:color="auto"/>
          <w:color w:val="auto"/>
        </w:rPr>
        <w:t>Mandatory Redemption, Etc.</w:t>
      </w:r>
    </w:p>
    <w:p>
      <w:pPr>
        <w:spacing w:after="0" w:line="21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Issuer will not be required to make mandatory redemption or sinking fund payments with respect to the Notes. The Issuer may purchase Notes in the market from time to time in its discretion.</w:t>
      </w:r>
    </w:p>
    <w:p>
      <w:pPr>
        <w:spacing w:after="0" w:line="175" w:lineRule="exact"/>
        <w:rPr>
          <w:sz w:val="20"/>
          <w:szCs w:val="20"/>
          <w:color w:val="auto"/>
        </w:rPr>
      </w:pPr>
    </w:p>
    <w:p>
      <w:pPr>
        <w:ind w:right="300" w:firstLine="648"/>
        <w:spacing w:after="0" w:line="328" w:lineRule="auto"/>
        <w:rPr>
          <w:sz w:val="20"/>
          <w:szCs w:val="20"/>
          <w:color w:val="auto"/>
        </w:rPr>
      </w:pPr>
      <w:r>
        <w:rPr>
          <w:rFonts w:ascii="Arial" w:cs="Arial" w:eastAsia="Arial" w:hAnsi="Arial"/>
          <w:sz w:val="19"/>
          <w:szCs w:val="19"/>
          <w:color w:val="auto"/>
        </w:rPr>
        <w:t>The Issuer may acquire Notes by means other than a redemption, whether pursuant to a tender offer, public or private exchange offer, open market purchase, negotiated transaction or otherwise, in accordance with applicable securities laws.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ARTICLE THIRTEEN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LEGAL DEFEASANCE AND COVENANT DEFEASANCE</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Issuer’s Option to Effect Legal Defeasance or Covenant Defeasance</w:t>
      </w:r>
      <w:r>
        <w:rPr>
          <w:rFonts w:ascii="Arial" w:cs="Arial" w:eastAsia="Arial" w:hAnsi="Arial"/>
          <w:sz w:val="16"/>
          <w:szCs w:val="16"/>
          <w:color w:val="auto"/>
        </w:rPr>
        <w:t>.</w:t>
      </w:r>
    </w:p>
    <w:p>
      <w:pPr>
        <w:spacing w:after="0" w:line="218"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Issuer may elect, at its option at any time, to have Section 1302 or Section 1303 applied to the Notes, upon compliance with the conditions set forth below in this Article. Any such election shall be evidenced in or pursuant to a Board Resolution delivered to the Trustee.</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5"/>
          <w:szCs w:val="15"/>
          <w:u w:val="single" w:color="auto"/>
          <w:color w:val="auto"/>
        </w:rPr>
        <w:t>Defeasance and Discharge</w:t>
      </w:r>
      <w:r>
        <w:rPr>
          <w:rFonts w:ascii="Arial" w:cs="Arial" w:eastAsia="Arial" w:hAnsi="Arial"/>
          <w:sz w:val="15"/>
          <w:szCs w:val="15"/>
          <w:color w:val="auto"/>
        </w:rPr>
        <w:t>.</w:t>
      </w:r>
    </w:p>
    <w:p>
      <w:pPr>
        <w:spacing w:after="0" w:line="218"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1304 are satisfied (hereinafter called “Legal Defeasance”). For this purpose, such Legal Defeasance means that the Issuer and the Guarantors shall be deemed to have paid and discharged the entire indebtedness represented by the Notes and the Guarantees and to have satisfied all their other respective obligations under the Indenture (and the Trustee, upon Issuer Request and at the expense of the Issuer, shall execute such instruments reasonably requested by the Issuer acknowledging the same), and the Indenture shall cease to be of further effect as to all Outstanding Notes and all Guarantees, except as to the following, which shall survive until otherwise terminated or discharged hereunder: (1) the rights of Holders of the Notes to receive, solely from the trust fund described in Section 1304 and as more fully set forth in such Section, payments in respect of the principal of, and interest and premium, if any, on, the Notes when payments are due; (2) the Issuer’s obligations under Sections 304, 305, 306, 1002, 1003 and 1004(a); (3) the rights, powers, trusts, duties and immunities of the Trustee and the Collateral Agent hereunder and the obligations of the Issuer and the Guarantors in connection therewith; and (4) this Article. If the Issuer exercises its defeasance option pursuant to this Section 1302, the payment of the defeased Notes may not be accelerated pursuant to Section 502 because of an Event of Default. Subject to compliance with this Article, the Issuer may exercise its option (if any) to have this Section applied to the Notes notwithstanding the prior exercise of its option (if any) to have Section 1303 applied to the Notes.</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23" w:name="page124"/>
    <w:bookmarkEnd w:id="123"/>
    <w:p>
      <w:pPr>
        <w:spacing w:after="0"/>
        <w:tabs>
          <w:tab w:leader="none" w:pos="194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1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Upon the Issuer’s exercise of its option to have this Section applied to the Notes, (1) the Issuer shall be released from its obligations under Section 801(3) and Sections 1006 through 1014, inclusive; (2) the occurrence of any event specified in Sections 501(3) (with respect only to the obligation under Section 801(3)), 501(4), 501(5), 501(6), 501(7) (with respect only to Significant Subsidiaries) or 501(8) (with respect only to Significant Subsidiaries), 501(9) and 501(10) shall be deemed not to be or to result in a Default or an Event of Default, and (3) the Guarantees shall be automatically released, in each case as provided in this Section on and after the date the conditions set forth in Section 1304 are satisfied (hereinafter called “Covenant Defeasance”). 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u w:val="single" w:color="auto"/>
          <w:color w:val="auto"/>
        </w:rPr>
        <w:t>Conditions to Legal Defeasance or Covenant Defeasance</w:t>
      </w:r>
      <w:r>
        <w:rPr>
          <w:rFonts w:ascii="Arial" w:cs="Arial" w:eastAsia="Arial" w:hAnsi="Arial"/>
          <w:sz w:val="16"/>
          <w:szCs w:val="16"/>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shall be the conditions to the application of Section 1302 or 1303:</w:t>
      </w:r>
    </w:p>
    <w:p>
      <w:pPr>
        <w:spacing w:after="0" w:line="206" w:lineRule="exact"/>
        <w:rPr>
          <w:sz w:val="20"/>
          <w:szCs w:val="20"/>
          <w:color w:val="auto"/>
        </w:rPr>
      </w:pPr>
    </w:p>
    <w:p>
      <w:pPr>
        <w:ind w:left="660" w:right="80" w:firstLine="644"/>
        <w:spacing w:after="0" w:line="235" w:lineRule="auto"/>
        <w:tabs>
          <w:tab w:leader="none" w:pos="21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87" w:lineRule="exact"/>
        <w:rPr>
          <w:rFonts w:ascii="Arial" w:cs="Arial" w:eastAsia="Arial" w:hAnsi="Arial"/>
          <w:sz w:val="22"/>
          <w:szCs w:val="22"/>
          <w:color w:val="auto"/>
        </w:rPr>
      </w:pPr>
    </w:p>
    <w:p>
      <w:pPr>
        <w:ind w:left="660" w:right="200" w:firstLine="644"/>
        <w:spacing w:after="0" w:line="250" w:lineRule="auto"/>
        <w:tabs>
          <w:tab w:leader="none" w:pos="21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the case of Legal Defeasance, the Issuer shall have delivered to the Trustee an Opinion of Counsel in the United States confirming that:</w:t>
      </w:r>
    </w:p>
    <w:p>
      <w:pPr>
        <w:spacing w:after="0" w:line="174" w:lineRule="exact"/>
        <w:rPr>
          <w:rFonts w:ascii="Arial" w:cs="Arial" w:eastAsia="Arial" w:hAnsi="Arial"/>
          <w:sz w:val="22"/>
          <w:szCs w:val="22"/>
          <w:color w:val="auto"/>
        </w:rPr>
      </w:pPr>
    </w:p>
    <w:p>
      <w:pPr>
        <w:ind w:left="2740" w:hanging="788"/>
        <w:spacing w:after="0"/>
        <w:tabs>
          <w:tab w:leader="none" w:pos="2740" w:val="left"/>
        </w:tabs>
        <w:numPr>
          <w:ilvl w:val="1"/>
          <w:numId w:val="131"/>
        </w:numPr>
        <w:rPr>
          <w:rFonts w:ascii="Arial" w:cs="Arial" w:eastAsia="Arial" w:hAnsi="Arial"/>
          <w:sz w:val="19"/>
          <w:szCs w:val="19"/>
          <w:color w:val="010000"/>
        </w:rPr>
      </w:pPr>
      <w:r>
        <w:rPr>
          <w:rFonts w:ascii="Arial" w:cs="Arial" w:eastAsia="Arial" w:hAnsi="Arial"/>
          <w:sz w:val="19"/>
          <w:szCs w:val="19"/>
          <w:color w:val="auto"/>
        </w:rPr>
        <w:t>the Issuer has received from, or there has been published by the Internal Revenue Service, a</w:t>
      </w:r>
    </w:p>
    <w:p>
      <w:pPr>
        <w:spacing w:after="0" w:line="42" w:lineRule="exact"/>
        <w:rPr>
          <w:rFonts w:ascii="Arial" w:cs="Arial" w:eastAsia="Arial" w:hAnsi="Arial"/>
          <w:sz w:val="19"/>
          <w:szCs w:val="19"/>
          <w:color w:val="010000"/>
        </w:rPr>
      </w:pPr>
    </w:p>
    <w:p>
      <w:pPr>
        <w:ind w:left="1300"/>
        <w:spacing w:after="0"/>
        <w:rPr>
          <w:rFonts w:ascii="Arial" w:cs="Arial" w:eastAsia="Arial" w:hAnsi="Arial"/>
          <w:sz w:val="19"/>
          <w:szCs w:val="19"/>
          <w:color w:val="010000"/>
        </w:rPr>
      </w:pPr>
      <w:r>
        <w:rPr>
          <w:rFonts w:ascii="Arial" w:cs="Arial" w:eastAsia="Arial" w:hAnsi="Arial"/>
          <w:sz w:val="22"/>
          <w:szCs w:val="22"/>
          <w:color w:val="auto"/>
        </w:rPr>
        <w:t>ruling; or</w:t>
      </w:r>
    </w:p>
    <w:p>
      <w:pPr>
        <w:spacing w:after="0" w:line="188" w:lineRule="exact"/>
        <w:rPr>
          <w:rFonts w:ascii="Arial" w:cs="Arial" w:eastAsia="Arial" w:hAnsi="Arial"/>
          <w:sz w:val="19"/>
          <w:szCs w:val="19"/>
          <w:color w:val="010000"/>
        </w:rPr>
      </w:pPr>
    </w:p>
    <w:p>
      <w:pPr>
        <w:ind w:left="2740" w:hanging="788"/>
        <w:spacing w:after="0"/>
        <w:tabs>
          <w:tab w:leader="none" w:pos="2740" w:val="left"/>
        </w:tabs>
        <w:numPr>
          <w:ilvl w:val="1"/>
          <w:numId w:val="131"/>
        </w:numPr>
        <w:rPr>
          <w:rFonts w:ascii="Arial" w:cs="Arial" w:eastAsia="Arial" w:hAnsi="Arial"/>
          <w:sz w:val="19"/>
          <w:szCs w:val="19"/>
          <w:color w:val="010000"/>
        </w:rPr>
      </w:pPr>
      <w:r>
        <w:rPr>
          <w:rFonts w:ascii="Arial" w:cs="Arial" w:eastAsia="Arial" w:hAnsi="Arial"/>
          <w:sz w:val="19"/>
          <w:szCs w:val="19"/>
          <w:color w:val="auto"/>
        </w:rPr>
        <w:t>since the date of the Indenture, there has been a change in the applicable U.S. federal income tax</w:t>
      </w:r>
    </w:p>
    <w:p>
      <w:pPr>
        <w:spacing w:after="0" w:line="42" w:lineRule="exact"/>
        <w:rPr>
          <w:rFonts w:ascii="Arial" w:cs="Arial" w:eastAsia="Arial" w:hAnsi="Arial"/>
          <w:sz w:val="19"/>
          <w:szCs w:val="19"/>
          <w:color w:val="010000"/>
        </w:rPr>
      </w:pPr>
    </w:p>
    <w:p>
      <w:pPr>
        <w:ind w:left="1300"/>
        <w:spacing w:after="0"/>
        <w:rPr>
          <w:rFonts w:ascii="Arial" w:cs="Arial" w:eastAsia="Arial" w:hAnsi="Arial"/>
          <w:sz w:val="19"/>
          <w:szCs w:val="19"/>
          <w:color w:val="010000"/>
        </w:rPr>
      </w:pPr>
      <w:r>
        <w:rPr>
          <w:rFonts w:ascii="Arial" w:cs="Arial" w:eastAsia="Arial" w:hAnsi="Arial"/>
          <w:sz w:val="22"/>
          <w:szCs w:val="22"/>
          <w:color w:val="auto"/>
        </w:rPr>
        <w:t>law</w:t>
      </w:r>
    </w:p>
    <w:p>
      <w:pPr>
        <w:spacing w:after="0" w:line="188" w:lineRule="exact"/>
        <w:rPr>
          <w:sz w:val="20"/>
          <w:szCs w:val="20"/>
          <w:color w:val="auto"/>
        </w:rPr>
      </w:pPr>
    </w:p>
    <w:p>
      <w:pPr>
        <w:jc w:val="both"/>
        <w:ind w:left="1300" w:right="160"/>
        <w:spacing w:after="0" w:line="287" w:lineRule="auto"/>
        <w:rPr>
          <w:sz w:val="20"/>
          <w:szCs w:val="20"/>
          <w:color w:val="auto"/>
        </w:rPr>
      </w:pPr>
      <w:r>
        <w:rPr>
          <w:rFonts w:ascii="Arial" w:cs="Arial" w:eastAsia="Arial" w:hAnsi="Arial"/>
          <w:sz w:val="19"/>
          <w:szCs w:val="19"/>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43" w:lineRule="exact"/>
        <w:rPr>
          <w:sz w:val="20"/>
          <w:szCs w:val="20"/>
          <w:color w:val="auto"/>
        </w:rPr>
      </w:pPr>
    </w:p>
    <w:p>
      <w:pPr>
        <w:ind w:left="660" w:right="100" w:firstLine="644"/>
        <w:spacing w:after="0" w:line="250" w:lineRule="auto"/>
        <w:tabs>
          <w:tab w:leader="none" w:pos="21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case of Covenant Defeasance, the Issuer shall have delivered to the Trustee an Opinion of Counsel in the United States confirming that the Holders of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ind w:left="660"/>
        <w:spacing w:after="0" w:line="258" w:lineRule="auto"/>
        <w:rPr>
          <w:sz w:val="20"/>
          <w:szCs w:val="20"/>
          <w:color w:val="auto"/>
        </w:rPr>
      </w:pPr>
      <w:r>
        <w:rPr>
          <w:rFonts w:ascii="Arial" w:cs="Arial" w:eastAsia="Arial" w:hAnsi="Arial"/>
          <w:sz w:val="21"/>
          <w:szCs w:val="21"/>
          <w:color w:val="auto"/>
        </w:rPr>
        <w:t>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67" w:lineRule="exact"/>
        <w:rPr>
          <w:sz w:val="20"/>
          <w:szCs w:val="20"/>
          <w:color w:val="auto"/>
        </w:rPr>
      </w:pPr>
    </w:p>
    <w:p>
      <w:pPr>
        <w:ind w:left="660" w:right="20" w:firstLine="644"/>
        <w:spacing w:after="0" w:line="328" w:lineRule="auto"/>
        <w:tabs>
          <w:tab w:leader="none" w:pos="21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04" w:lineRule="exact"/>
        <w:rPr>
          <w:rFonts w:ascii="Arial" w:cs="Arial" w:eastAsia="Arial" w:hAnsi="Arial"/>
          <w:sz w:val="19"/>
          <w:szCs w:val="19"/>
          <w:color w:val="auto"/>
        </w:rPr>
      </w:pPr>
    </w:p>
    <w:p>
      <w:pPr>
        <w:ind w:left="660" w:right="40" w:firstLine="644"/>
        <w:spacing w:after="0" w:line="287" w:lineRule="auto"/>
        <w:tabs>
          <w:tab w:leader="none" w:pos="21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42" w:lineRule="exact"/>
        <w:rPr>
          <w:rFonts w:ascii="Arial" w:cs="Arial" w:eastAsia="Arial" w:hAnsi="Arial"/>
          <w:sz w:val="19"/>
          <w:szCs w:val="19"/>
          <w:color w:val="auto"/>
        </w:rPr>
      </w:pPr>
    </w:p>
    <w:p>
      <w:pPr>
        <w:ind w:left="660" w:right="380" w:firstLine="644"/>
        <w:spacing w:after="0"/>
        <w:tabs>
          <w:tab w:leader="none" w:pos="21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86" w:lineRule="exact"/>
        <w:rPr>
          <w:rFonts w:ascii="Arial" w:cs="Arial" w:eastAsia="Arial" w:hAnsi="Arial"/>
          <w:sz w:val="22"/>
          <w:szCs w:val="22"/>
          <w:color w:val="auto"/>
        </w:rPr>
      </w:pPr>
    </w:p>
    <w:p>
      <w:pPr>
        <w:ind w:left="660" w:right="80" w:firstLine="644"/>
        <w:spacing w:after="0" w:line="274" w:lineRule="auto"/>
        <w:tabs>
          <w:tab w:leader="none" w:pos="210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Issuer shall have delivered to the Trustee an Officers’ Certificate and an Opinion of Counsel stating that the conditions precedent provided for in clauses (1) through (6) have been complied with.</w:t>
      </w:r>
    </w:p>
    <w:p>
      <w:pPr>
        <w:spacing w:after="0" w:line="15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w:t>
      </w:r>
    </w:p>
    <w:p>
      <w:pPr>
        <w:spacing w:after="0" w:line="21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Subject to the provisions of the last paragraph of Section 1003, all money and U.S. Government Obligations (including the proceeds thereof) deposited with the Trustee pursuant to Section 1304 in respect of any Notes shall be held in trust and applied by the Trustee, in 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50"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9"/>
          <w:szCs w:val="19"/>
          <w:color w:val="auto"/>
        </w:rPr>
        <w:t>The Issuer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Notes.</w:t>
      </w:r>
    </w:p>
    <w:p>
      <w:pPr>
        <w:spacing w:after="0" w:line="13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Anything in this Article to the contrary notwithstanding, the Trustee shall deliver or pay to the Issuer from time to time upon Issuer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25" w:name="page126"/>
    <w:bookmarkEnd w:id="125"/>
    <w:p>
      <w:pPr>
        <w:spacing w:after="0"/>
        <w:tabs>
          <w:tab w:leader="none" w:pos="194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218"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1302 or 1303 shall be revived and reinstated as though no deposit had occurred pursuant to this Article, until such time as the Trustee or Paying Agent is permitted to apply all money held in trust pursuant to Section 1305 in accordance with this Article;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FOURTEEN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GUARANTEES</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u w:val="single" w:color="auto"/>
          <w:color w:val="auto"/>
        </w:rPr>
        <w:t>Unconditional Guarantee</w:t>
      </w:r>
      <w:r>
        <w:rPr>
          <w:rFonts w:ascii="Arial" w:cs="Arial" w:eastAsia="Arial" w:hAnsi="Arial"/>
          <w:sz w:val="16"/>
          <w:szCs w:val="16"/>
          <w:color w:val="auto"/>
        </w:rPr>
        <w:t>.</w:t>
      </w:r>
    </w:p>
    <w:p>
      <w:pPr>
        <w:spacing w:after="0" w:line="218" w:lineRule="exact"/>
        <w:rPr>
          <w:sz w:val="20"/>
          <w:szCs w:val="20"/>
          <w:color w:val="auto"/>
        </w:rPr>
      </w:pPr>
    </w:p>
    <w:p>
      <w:pPr>
        <w:ind w:firstLine="656"/>
        <w:spacing w:after="0" w:line="271" w:lineRule="auto"/>
        <w:tabs>
          <w:tab w:leader="none" w:pos="1428"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For value received, each of the Guarantors hereby fully, irrevocably, unconditionally and absolutely guarantees to the Holders, the Trustee and the Collateral Agent the due and punctual payment of the principal of, and premium, if any, and interest on the Notes and all other amounts due and payable under the Indenture, the Notes and the Notes Documents by the Issuer and the Guarantors (including amounts incurred in enforcing this Guarantee) (collectively, the “</w:t>
      </w:r>
      <w:r>
        <w:rPr>
          <w:rFonts w:ascii="Arial" w:cs="Arial" w:eastAsia="Arial" w:hAnsi="Arial"/>
          <w:sz w:val="19"/>
          <w:szCs w:val="19"/>
          <w:i w:val="1"/>
          <w:iCs w:val="1"/>
          <w:color w:val="auto"/>
        </w:rPr>
        <w:t>Indenture Obligations</w:t>
      </w:r>
      <w:r>
        <w:rPr>
          <w:rFonts w:ascii="Arial" w:cs="Arial" w:eastAsia="Arial" w:hAnsi="Arial"/>
          <w:sz w:val="19"/>
          <w:szCs w:val="19"/>
          <w:color w:val="auto"/>
        </w:rPr>
        <w:t>”), but in the case of any Guarantor incorporated under the laws of Switzerland (a “</w:t>
      </w:r>
      <w:r>
        <w:rPr>
          <w:rFonts w:ascii="Arial" w:cs="Arial" w:eastAsia="Arial" w:hAnsi="Arial"/>
          <w:sz w:val="19"/>
          <w:szCs w:val="19"/>
          <w:i w:val="1"/>
          <w:iCs w:val="1"/>
          <w:color w:val="auto"/>
        </w:rPr>
        <w:t>Swiss Guarantor</w:t>
      </w:r>
      <w:r>
        <w:rPr>
          <w:rFonts w:ascii="Arial" w:cs="Arial" w:eastAsia="Arial" w:hAnsi="Arial"/>
          <w:sz w:val="19"/>
          <w:szCs w:val="19"/>
          <w:color w:val="auto"/>
        </w:rPr>
        <w:t>”) up to a maximum total amount of 120% of the aggregate amount of the Notes,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1403; provided, however, that notwithstanding anything to the contrary herein, the liability of WOFS Assurance with respect to the Indenture Obligations shall be limited or extinguished, as applicable, to the extent necessary to ensure that WOFS Assurance, at all times, meets its minimum solvency margin and liquidity ratio pursuant to the Insurance Act and sections 31A through 31C of the Insurance Act. Without limiting the generality of the foregoing, the Guarantors’ liability shall extend to all amounts that constitute part of the Indenture Obligations and would be owed by the Issuer to the Trustee, the Collateral Agent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200" w:lineRule="exact"/>
        <w:rPr>
          <w:rFonts w:ascii="Arial" w:cs="Arial" w:eastAsia="Arial" w:hAnsi="Arial"/>
          <w:sz w:val="19"/>
          <w:szCs w:val="19"/>
          <w:color w:val="010000"/>
        </w:rPr>
      </w:pPr>
    </w:p>
    <w:p>
      <w:pPr>
        <w:spacing w:after="0" w:line="207" w:lineRule="exact"/>
        <w:rPr>
          <w:rFonts w:ascii="Arial" w:cs="Arial" w:eastAsia="Arial" w:hAnsi="Arial"/>
          <w:sz w:val="19"/>
          <w:szCs w:val="19"/>
          <w:color w:val="010000"/>
        </w:rPr>
      </w:pPr>
    </w:p>
    <w:p>
      <w:pPr>
        <w:ind w:firstLine="656"/>
        <w:spacing w:after="0" w:line="235" w:lineRule="auto"/>
        <w:tabs>
          <w:tab w:leader="none" w:pos="1440"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 xml:space="preserve">Failing payment when due of any amount guaranteed pursuant to its Guarantee, for whatever reason, each of the Guarantors will be jointly and severally (in Spanish, </w:t>
      </w:r>
      <w:r>
        <w:rPr>
          <w:rFonts w:ascii="Arial" w:cs="Arial" w:eastAsia="Arial" w:hAnsi="Arial"/>
          <w:sz w:val="22"/>
          <w:szCs w:val="22"/>
          <w:i w:val="1"/>
          <w:iCs w:val="1"/>
          <w:color w:val="auto"/>
        </w:rPr>
        <w:t>en forma solidaria</w:t>
      </w:r>
      <w:r>
        <w:rPr>
          <w:rFonts w:ascii="Arial" w:cs="Arial" w:eastAsia="Arial" w:hAnsi="Arial"/>
          <w:sz w:val="22"/>
          <w:szCs w:val="22"/>
          <w:color w:val="auto"/>
        </w:rPr>
        <w:t>) obligated (to the fullest extent permitted by law) to pay the same immediately to the Trustee, without set-off or counterclaim or other reduction whatsoever (whether for taxes, withholding or otherwise), except as set out in Section 1410 below for a Swiss Guarantor. For the avoidance of doubt, the mechanics of Section 1410(e) to (h) below shall apply exclusively in case of Swiss tax deduction (including withholding) relating to a Swiss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6" w:name="page127"/>
    <w:bookmarkEnd w:id="126"/>
    <w:p>
      <w:pPr>
        <w:ind w:right="20"/>
        <w:spacing w:after="0" w:line="272" w:lineRule="auto"/>
        <w:rPr>
          <w:sz w:val="20"/>
          <w:szCs w:val="20"/>
          <w:color w:val="auto"/>
        </w:rPr>
      </w:pPr>
      <w:r>
        <w:rPr>
          <w:rFonts w:ascii="Arial" w:cs="Arial" w:eastAsia="Arial" w:hAnsi="Arial"/>
          <w:sz w:val="19"/>
          <w:szCs w:val="19"/>
          <w:color w:val="auto"/>
        </w:rPr>
        <w:t>Guarantor. Each Guarantee hereunder is intended to be a senior secured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507, by the Holders, on the terms and conditions set forth in the Indenture, directly against such Guarantor to enforce its Guarantee without first proceeding against the Issuer or any other Guarantor.</w:t>
      </w:r>
    </w:p>
    <w:p>
      <w:pPr>
        <w:spacing w:after="0" w:line="161" w:lineRule="exact"/>
        <w:rPr>
          <w:sz w:val="20"/>
          <w:szCs w:val="20"/>
          <w:color w:val="auto"/>
        </w:rPr>
      </w:pPr>
    </w:p>
    <w:p>
      <w:pPr>
        <w:ind w:firstLine="656"/>
        <w:spacing w:after="0" w:line="269" w:lineRule="auto"/>
        <w:tabs>
          <w:tab w:leader="none" w:pos="1424" w:val="left"/>
        </w:tabs>
        <w:numPr>
          <w:ilvl w:val="0"/>
          <w:numId w:val="135"/>
        </w:numPr>
        <w:rPr>
          <w:rFonts w:ascii="Arial" w:cs="Arial" w:eastAsia="Arial" w:hAnsi="Arial"/>
          <w:sz w:val="19"/>
          <w:szCs w:val="19"/>
          <w:color w:val="010000"/>
        </w:rPr>
      </w:pPr>
      <w:r>
        <w:rPr>
          <w:rFonts w:ascii="Arial" w:cs="Arial" w:eastAsia="Arial" w:hAnsi="Arial"/>
          <w:sz w:val="19"/>
          <w:szCs w:val="19"/>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the Collateral Agent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examinership,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or invalidity of the Notes, the Guarantees or the Indenture, (J) any incapacity or lack of power, authority or legal personality of or change in the corporate, partnership, limited liability company or other</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7" w:name="page128"/>
    <w:bookmarkEnd w:id="127"/>
    <w:p>
      <w:pPr>
        <w:ind w:right="180"/>
        <w:spacing w:after="0"/>
        <w:rPr>
          <w:sz w:val="20"/>
          <w:szCs w:val="20"/>
          <w:color w:val="auto"/>
        </w:rPr>
      </w:pPr>
      <w:r>
        <w:rPr>
          <w:rFonts w:ascii="Arial" w:cs="Arial" w:eastAsia="Arial" w:hAnsi="Arial"/>
          <w:sz w:val="22"/>
          <w:szCs w:val="22"/>
          <w:color w:val="auto"/>
        </w:rPr>
        <w:t>existence, structure or ownership of the Issuer or any Guarantor or (K) any other circumstances (other than payment in full or discharge of all amounts guaranteed pursuant to the Guarantees) which might otherwise constitute a legal or equitable discharge of a surety or guarantor.</w:t>
      </w:r>
    </w:p>
    <w:p>
      <w:pPr>
        <w:spacing w:after="0" w:line="187" w:lineRule="exact"/>
        <w:rPr>
          <w:sz w:val="20"/>
          <w:szCs w:val="20"/>
          <w:color w:val="auto"/>
        </w:rPr>
      </w:pPr>
    </w:p>
    <w:p>
      <w:pPr>
        <w:ind w:right="40" w:firstLine="656"/>
        <w:spacing w:after="0" w:line="272" w:lineRule="auto"/>
        <w:tabs>
          <w:tab w:leader="none" w:pos="1436"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 xml:space="preserve">To the fullest extent permitted by applicable law, each of the Guarantors hereby (A) waives diligence, presentment, demand of payment, the benefit of excussion (in Spanish, </w:t>
      </w:r>
      <w:r>
        <w:rPr>
          <w:rFonts w:ascii="Arial" w:cs="Arial" w:eastAsia="Arial" w:hAnsi="Arial"/>
          <w:sz w:val="19"/>
          <w:szCs w:val="19"/>
          <w:i w:val="1"/>
          <w:iCs w:val="1"/>
          <w:color w:val="auto"/>
        </w:rPr>
        <w:t>beneficio de excusión</w:t>
      </w:r>
      <w:r>
        <w:rPr>
          <w:rFonts w:ascii="Arial" w:cs="Arial" w:eastAsia="Arial" w:hAnsi="Arial"/>
          <w:sz w:val="19"/>
          <w:szCs w:val="19"/>
          <w:color w:val="auto"/>
        </w:rPr>
        <w:t xml:space="preserve">), the benefit of order (in Spanish, </w:t>
      </w:r>
      <w:r>
        <w:rPr>
          <w:rFonts w:ascii="Arial" w:cs="Arial" w:eastAsia="Arial" w:hAnsi="Arial"/>
          <w:sz w:val="19"/>
          <w:szCs w:val="19"/>
          <w:i w:val="1"/>
          <w:iCs w:val="1"/>
          <w:color w:val="auto"/>
        </w:rPr>
        <w:t>beneficio de órden</w:t>
      </w:r>
      <w:r>
        <w:rPr>
          <w:rFonts w:ascii="Arial" w:cs="Arial" w:eastAsia="Arial" w:hAnsi="Arial"/>
          <w:sz w:val="19"/>
          <w:szCs w:val="19"/>
          <w:color w:val="auto"/>
        </w:rPr>
        <w:t>), notice of acceptance, filing of claims with a court in the event of the merger, insolvency or bankruptcy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 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60" w:lineRule="exact"/>
        <w:rPr>
          <w:rFonts w:ascii="Arial" w:cs="Arial" w:eastAsia="Arial" w:hAnsi="Arial"/>
          <w:sz w:val="19"/>
          <w:szCs w:val="19"/>
          <w:color w:val="010000"/>
        </w:rPr>
      </w:pPr>
    </w:p>
    <w:p>
      <w:pPr>
        <w:jc w:val="both"/>
        <w:ind w:firstLine="656"/>
        <w:spacing w:after="0" w:line="287" w:lineRule="auto"/>
        <w:tabs>
          <w:tab w:leader="none" w:pos="1428"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 xml:space="preserve">Each of the Guarantors shall be subrogated to all rights of Holders, the Trustee and the Collateral Agent against the Issuer in respect of any amounts paid by such Guarantor pursuant to the provisions of the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142" w:lineRule="exact"/>
        <w:rPr>
          <w:rFonts w:ascii="Arial" w:cs="Arial" w:eastAsia="Arial" w:hAnsi="Arial"/>
          <w:sz w:val="19"/>
          <w:szCs w:val="19"/>
          <w:color w:val="010000"/>
        </w:rPr>
      </w:pPr>
    </w:p>
    <w:p>
      <w:pPr>
        <w:ind w:right="140" w:firstLine="656"/>
        <w:spacing w:after="0" w:line="234" w:lineRule="auto"/>
        <w:tabs>
          <w:tab w:leader="none" w:pos="1400" w:val="left"/>
        </w:tabs>
        <w:numPr>
          <w:ilvl w:val="0"/>
          <w:numId w:val="136"/>
        </w:numPr>
        <w:rPr>
          <w:rFonts w:ascii="Arial" w:cs="Arial" w:eastAsia="Arial" w:hAnsi="Arial"/>
          <w:sz w:val="22"/>
          <w:szCs w:val="22"/>
          <w:color w:val="010000"/>
        </w:rPr>
      </w:pPr>
      <w:r>
        <w:rPr>
          <w:rFonts w:ascii="Arial" w:cs="Arial" w:eastAsia="Arial" w:hAnsi="Arial"/>
          <w:sz w:val="22"/>
          <w:szCs w:val="22"/>
          <w:color w:val="auto"/>
        </w:rPr>
        <w:t>To the fullest extent permitted by applicable law, no failure to exercise and no delay in exercising, on the part of the Trustee, the Collateral Agent or the Holders, any right, power, privilege or remedy under this Article Fourteen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Fourteen shall limit the right of the Trustee, the Collateral Agent or the Holders to take any action to accelerate the maturity of the Notes pursuant to Article Five or to pursue any other rights or remedies hereunder or under applicable law.</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6"/>
          <w:szCs w:val="16"/>
          <w:u w:val="single" w:color="auto"/>
          <w:color w:val="auto"/>
        </w:rPr>
        <w:t>Subsidiary Guarantee Evidenced by Indenture</w:t>
      </w:r>
      <w:r>
        <w:rPr>
          <w:rFonts w:ascii="Arial" w:cs="Arial" w:eastAsia="Arial" w:hAnsi="Arial"/>
          <w:sz w:val="16"/>
          <w:szCs w:val="16"/>
          <w:color w:val="auto"/>
        </w:rPr>
        <w:t>.</w:t>
      </w:r>
    </w:p>
    <w:p>
      <w:pPr>
        <w:spacing w:after="0" w:line="218"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Guarantee of any Guarantor shall be evidenced solely by its execution and delivery of the Indenture (or, in the case of any Guarantor that is not party to the Indenture on the Initial Issuance Date, a supplemental indenture hereto) and not by an endorsement on, or attachment to, any Note or any guarantee or notation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ind w:right="520" w:firstLine="648"/>
        <w:spacing w:after="0" w:line="251" w:lineRule="auto"/>
        <w:rPr>
          <w:sz w:val="20"/>
          <w:szCs w:val="20"/>
          <w:color w:val="auto"/>
        </w:rPr>
      </w:pPr>
      <w:r>
        <w:rPr>
          <w:rFonts w:ascii="Arial" w:cs="Arial" w:eastAsia="Arial" w:hAnsi="Arial"/>
          <w:sz w:val="22"/>
          <w:szCs w:val="22"/>
          <w:color w:val="auto"/>
        </w:rPr>
        <w:t>Each Guarantor hereby agrees that its Guarantee set forth in Section 1401 hereof will remain in full force and effect notwithstanding any failure to endorse on each Note a notation of such Guarantee.</w:t>
      </w:r>
    </w:p>
    <w:p>
      <w:pPr>
        <w:spacing w:after="0" w:line="173"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The delivery of any Note by the Trustee, after the authentication thereof hereunder, will constitute due delivery of the Guarantee set forth in the Indenture on behalf of the Guarantors.</w:t>
      </w:r>
    </w:p>
    <w:p>
      <w:pPr>
        <w:spacing w:after="0" w:line="17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In the event that the Issuer, the Parent Guarantor or any of their respective Restricted Subsidiaries creates or acquires any Restricted Subsidiary after the Initial Issuance Date, if required by Section 1014 hereof, the Issuer or the Parent Guarantor, as applicable, will cause such Restricted Subsidiary to comply with the provisions of Section 1014 hereof and this Article Fourteen, to the extent applicable.</w:t>
      </w:r>
    </w:p>
    <w:p>
      <w:pPr>
        <w:spacing w:after="0" w:line="19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1403.</w:t>
      </w:r>
      <w:r>
        <w:rPr>
          <w:sz w:val="20"/>
          <w:szCs w:val="20"/>
          <w:color w:val="auto"/>
        </w:rPr>
        <w:tab/>
      </w:r>
      <w:r>
        <w:rPr>
          <w:rFonts w:ascii="Arial" w:cs="Arial" w:eastAsia="Arial" w:hAnsi="Arial"/>
          <w:sz w:val="17"/>
          <w:szCs w:val="17"/>
          <w:u w:val="single" w:color="auto"/>
          <w:color w:val="auto"/>
        </w:rPr>
        <w:t>Limitation on Guarantors’ Liability</w:t>
      </w:r>
      <w:r>
        <w:rPr>
          <w:rFonts w:ascii="Arial" w:cs="Arial" w:eastAsia="Arial" w:hAnsi="Arial"/>
          <w:sz w:val="17"/>
          <w:szCs w:val="17"/>
          <w:color w:val="auto"/>
        </w:rPr>
        <w:t>.</w:t>
      </w:r>
    </w:p>
    <w:p>
      <w:pPr>
        <w:spacing w:after="0" w:line="21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LC Credit Agreement or the Unsecured Notes Indenture)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1404.</w:t>
      </w:r>
      <w:r>
        <w:rPr>
          <w:sz w:val="20"/>
          <w:szCs w:val="20"/>
          <w:color w:val="auto"/>
        </w:rPr>
        <w:tab/>
      </w:r>
      <w:r>
        <w:rPr>
          <w:rFonts w:ascii="Arial" w:cs="Arial" w:eastAsia="Arial" w:hAnsi="Arial"/>
          <w:sz w:val="15"/>
          <w:szCs w:val="15"/>
          <w:u w:val="single" w:color="auto"/>
          <w:color w:val="auto"/>
        </w:rPr>
        <w:t>Release of Guarantors from Guarantees</w:t>
      </w:r>
      <w:r>
        <w:rPr>
          <w:rFonts w:ascii="Arial" w:cs="Arial" w:eastAsia="Arial" w:hAnsi="Arial"/>
          <w:sz w:val="15"/>
          <w:szCs w:val="15"/>
          <w:color w:val="auto"/>
        </w:rPr>
        <w:t>.</w:t>
      </w:r>
    </w:p>
    <w:p>
      <w:pPr>
        <w:spacing w:after="0" w:line="218" w:lineRule="exact"/>
        <w:rPr>
          <w:sz w:val="20"/>
          <w:szCs w:val="20"/>
          <w:color w:val="auto"/>
        </w:rPr>
      </w:pPr>
    </w:p>
    <w:p>
      <w:pPr>
        <w:ind w:right="240" w:firstLine="656"/>
        <w:spacing w:after="0" w:line="257" w:lineRule="auto"/>
        <w:tabs>
          <w:tab w:leader="none" w:pos="1428" w:val="left"/>
        </w:tabs>
        <w:numPr>
          <w:ilvl w:val="0"/>
          <w:numId w:val="137"/>
        </w:numPr>
        <w:rPr>
          <w:rFonts w:ascii="Arial" w:cs="Arial" w:eastAsia="Arial" w:hAnsi="Arial"/>
          <w:sz w:val="21"/>
          <w:szCs w:val="21"/>
          <w:color w:val="010000"/>
        </w:rPr>
      </w:pPr>
      <w:r>
        <w:rPr>
          <w:rFonts w:ascii="Arial" w:cs="Arial" w:eastAsia="Arial" w:hAnsi="Arial"/>
          <w:sz w:val="21"/>
          <w:szCs w:val="21"/>
          <w:color w:val="auto"/>
        </w:rPr>
        <w:t>Notwithstanding any other provisions of the Indenture, the Guarantee of any Guarantor shall be released upon the terms and subject to the conditions set forth in this Section 1404. A Guarantor shall be released automatically from its obligations under its Guarantee and its other obligations under the Indenture upon: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(i)</w:t>
      </w:r>
    </w:p>
    <w:p>
      <w:pPr>
        <w:spacing w:after="0" w:line="206" w:lineRule="exact"/>
        <w:rPr>
          <w:sz w:val="20"/>
          <w:szCs w:val="20"/>
          <w:color w:val="auto"/>
        </w:rPr>
      </w:pPr>
    </w:p>
    <w:p>
      <w:pPr>
        <w:ind w:left="1300" w:right="120" w:firstLine="652"/>
        <w:spacing w:after="0" w:line="238" w:lineRule="auto"/>
        <w:tabs>
          <w:tab w:leader="none" w:pos="2788"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184" w:lineRule="exact"/>
        <w:rPr>
          <w:rFonts w:ascii="Arial" w:cs="Arial" w:eastAsia="Arial" w:hAnsi="Arial"/>
          <w:sz w:val="22"/>
          <w:szCs w:val="22"/>
          <w:color w:val="010000"/>
        </w:rPr>
      </w:pPr>
    </w:p>
    <w:p>
      <w:pPr>
        <w:ind w:left="1300" w:right="80" w:firstLine="652"/>
        <w:spacing w:after="0" w:line="250" w:lineRule="auto"/>
        <w:tabs>
          <w:tab w:leader="none" w:pos="2776"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in the case of a Subsidiary Guarantor, any disposition (whether by consolidation, amalgamation, merger, conveyance, transfer or otherwise) of the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9" w:name="page130"/>
    <w:bookmarkEnd w:id="129"/>
    <w:p>
      <w:pPr>
        <w:ind w:left="1300" w:right="580"/>
        <w:spacing w:after="0" w:line="251" w:lineRule="auto"/>
        <w:rPr>
          <w:sz w:val="20"/>
          <w:szCs w:val="20"/>
          <w:color w:val="auto"/>
        </w:rPr>
      </w:pPr>
      <w:r>
        <w:rPr>
          <w:rFonts w:ascii="Arial" w:cs="Arial" w:eastAsia="Arial" w:hAnsi="Arial"/>
          <w:sz w:val="22"/>
          <w:szCs w:val="22"/>
          <w:color w:val="auto"/>
        </w:rPr>
        <w:t>Equity Interests of such Subsidiary Guarantor after which the Subsidiary Guarantor is no longer a Restricted Subsidiary;</w:t>
      </w:r>
    </w:p>
    <w:p>
      <w:pPr>
        <w:spacing w:after="0" w:line="173" w:lineRule="exact"/>
        <w:rPr>
          <w:sz w:val="20"/>
          <w:szCs w:val="20"/>
          <w:color w:val="auto"/>
        </w:rPr>
      </w:pPr>
    </w:p>
    <w:p>
      <w:pPr>
        <w:ind w:left="1300" w:right="140" w:firstLine="652"/>
        <w:spacing w:after="0" w:line="250" w:lineRule="auto"/>
        <w:tabs>
          <w:tab w:leader="none" w:pos="2776" w:val="left"/>
        </w:tabs>
        <w:numPr>
          <w:ilvl w:val="2"/>
          <w:numId w:val="139"/>
        </w:numPr>
        <w:rPr>
          <w:rFonts w:ascii="Arial" w:cs="Arial" w:eastAsia="Arial" w:hAnsi="Arial"/>
          <w:sz w:val="22"/>
          <w:szCs w:val="22"/>
          <w:color w:val="010000"/>
        </w:rPr>
      </w:pPr>
      <w:r>
        <w:rPr>
          <w:rFonts w:ascii="Arial" w:cs="Arial" w:eastAsia="Arial" w:hAnsi="Arial"/>
          <w:sz w:val="22"/>
          <w:szCs w:val="22"/>
          <w:color w:val="auto"/>
        </w:rPr>
        <w:t>in the case of a Subsidiary Guarantor, the proper designation of such Subsidiary Guarantor as an Unrestricted Subsidiary;</w:t>
      </w:r>
    </w:p>
    <w:p>
      <w:pPr>
        <w:spacing w:after="0" w:line="174" w:lineRule="exact"/>
        <w:rPr>
          <w:rFonts w:ascii="Arial" w:cs="Arial" w:eastAsia="Arial" w:hAnsi="Arial"/>
          <w:sz w:val="22"/>
          <w:szCs w:val="22"/>
          <w:color w:val="010000"/>
        </w:rPr>
      </w:pPr>
    </w:p>
    <w:p>
      <w:pPr>
        <w:ind w:left="1300" w:right="100" w:firstLine="652"/>
        <w:spacing w:after="0"/>
        <w:tabs>
          <w:tab w:leader="none" w:pos="2788" w:val="left"/>
        </w:tabs>
        <w:numPr>
          <w:ilvl w:val="2"/>
          <w:numId w:val="139"/>
        </w:numPr>
        <w:rPr>
          <w:rFonts w:ascii="Arial" w:cs="Arial" w:eastAsia="Arial" w:hAnsi="Arial"/>
          <w:sz w:val="22"/>
          <w:szCs w:val="22"/>
          <w:color w:val="010000"/>
        </w:rPr>
      </w:pPr>
      <w:r>
        <w:rPr>
          <w:rFonts w:ascii="Arial" w:cs="Arial" w:eastAsia="Arial" w:hAnsi="Arial"/>
          <w:sz w:val="22"/>
          <w:szCs w:val="22"/>
          <w:color w:val="auto"/>
        </w:rPr>
        <w:t xml:space="preserve">in the case of a Subsidiary Guarantor,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Event of Default has occurred and is continuing, all Debt which required such Subsidiary Guarantor to guarantee the Notes pursuant to Section 1014 is no longer outstanding;</w:t>
      </w:r>
    </w:p>
    <w:p>
      <w:pPr>
        <w:spacing w:after="0" w:line="186" w:lineRule="exact"/>
        <w:rPr>
          <w:rFonts w:ascii="Arial" w:cs="Arial" w:eastAsia="Arial" w:hAnsi="Arial"/>
          <w:sz w:val="22"/>
          <w:szCs w:val="22"/>
          <w:color w:val="010000"/>
        </w:rPr>
      </w:pPr>
    </w:p>
    <w:p>
      <w:pPr>
        <w:ind w:left="1300" w:right="580" w:firstLine="652"/>
        <w:spacing w:after="0" w:line="250" w:lineRule="auto"/>
        <w:tabs>
          <w:tab w:leader="none" w:pos="2764" w:val="left"/>
        </w:tabs>
        <w:numPr>
          <w:ilvl w:val="2"/>
          <w:numId w:val="139"/>
        </w:numPr>
        <w:rPr>
          <w:rFonts w:ascii="Arial" w:cs="Arial" w:eastAsia="Arial" w:hAnsi="Arial"/>
          <w:sz w:val="22"/>
          <w:szCs w:val="22"/>
          <w:color w:val="010000"/>
        </w:rPr>
      </w:pPr>
      <w:r>
        <w:rPr>
          <w:rFonts w:ascii="Arial" w:cs="Arial" w:eastAsia="Arial" w:hAnsi="Arial"/>
          <w:sz w:val="22"/>
          <w:szCs w:val="22"/>
          <w:color w:val="auto"/>
        </w:rPr>
        <w:t>Legal Defeasance or Covenant Defeasance or satisfaction and discharge of the Indenture as provided in Article Four; or</w:t>
      </w:r>
    </w:p>
    <w:p>
      <w:pPr>
        <w:spacing w:after="0" w:line="174" w:lineRule="exact"/>
        <w:rPr>
          <w:rFonts w:ascii="Arial" w:cs="Arial" w:eastAsia="Arial" w:hAnsi="Arial"/>
          <w:sz w:val="22"/>
          <w:szCs w:val="22"/>
          <w:color w:val="010000"/>
        </w:rPr>
      </w:pPr>
    </w:p>
    <w:p>
      <w:pPr>
        <w:ind w:left="1300" w:right="660" w:firstLine="652"/>
        <w:spacing w:after="0" w:line="250" w:lineRule="auto"/>
        <w:tabs>
          <w:tab w:leader="none" w:pos="2752" w:val="left"/>
        </w:tabs>
        <w:numPr>
          <w:ilvl w:val="2"/>
          <w:numId w:val="139"/>
        </w:numPr>
        <w:rPr>
          <w:rFonts w:ascii="Arial" w:cs="Arial" w:eastAsia="Arial" w:hAnsi="Arial"/>
          <w:sz w:val="22"/>
          <w:szCs w:val="22"/>
          <w:color w:val="010000"/>
        </w:rPr>
      </w:pPr>
      <w:r>
        <w:rPr>
          <w:rFonts w:ascii="Arial" w:cs="Arial" w:eastAsia="Arial" w:hAnsi="Arial"/>
          <w:sz w:val="22"/>
          <w:szCs w:val="22"/>
          <w:color w:val="auto"/>
        </w:rPr>
        <w:t xml:space="preserve">liquidation and dissolution of such Guarantor,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no Default or Event of Default has occurred that is continuing; and</w:t>
      </w:r>
    </w:p>
    <w:p>
      <w:pPr>
        <w:spacing w:after="0" w:line="174" w:lineRule="exact"/>
        <w:rPr>
          <w:rFonts w:ascii="Arial" w:cs="Arial" w:eastAsia="Arial" w:hAnsi="Arial"/>
          <w:sz w:val="22"/>
          <w:szCs w:val="22"/>
          <w:color w:val="010000"/>
        </w:rPr>
      </w:pPr>
    </w:p>
    <w:p>
      <w:pPr>
        <w:ind w:left="660" w:right="160" w:firstLine="644"/>
        <w:spacing w:after="0"/>
        <w:tabs>
          <w:tab w:leader="none" w:pos="2112" w:val="left"/>
        </w:tabs>
        <w:numPr>
          <w:ilvl w:val="1"/>
          <w:numId w:val="140"/>
        </w:numPr>
        <w:rPr>
          <w:rFonts w:ascii="Arial" w:cs="Arial" w:eastAsia="Arial" w:hAnsi="Arial"/>
          <w:sz w:val="22"/>
          <w:szCs w:val="22"/>
          <w:color w:val="010000"/>
        </w:rPr>
      </w:pPr>
      <w:r>
        <w:rPr>
          <w:rFonts w:ascii="Arial" w:cs="Arial" w:eastAsia="Arial" w:hAnsi="Arial"/>
          <w:sz w:val="22"/>
          <w:szCs w:val="22"/>
          <w:color w:val="auto"/>
        </w:rPr>
        <w:t>the Issuer delivering to the Trustee an Officers’ Certificate and an Opinion of Counsel stating that all conditions precedent provided for in this Section 1404 relating to the release of such Guarantor’s Guarantee and its other obligations under the Indenture have been complied with.</w:t>
      </w:r>
    </w:p>
    <w:p>
      <w:pPr>
        <w:spacing w:after="0" w:line="186" w:lineRule="exact"/>
        <w:rPr>
          <w:rFonts w:ascii="Arial" w:cs="Arial" w:eastAsia="Arial" w:hAnsi="Arial"/>
          <w:sz w:val="22"/>
          <w:szCs w:val="22"/>
          <w:color w:val="010000"/>
        </w:rPr>
      </w:pPr>
    </w:p>
    <w:p>
      <w:pPr>
        <w:ind w:right="20" w:firstLine="656"/>
        <w:spacing w:after="0"/>
        <w:tabs>
          <w:tab w:leader="none" w:pos="1436"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The Trustee shall deliver an appropriate instrument evidencing any release of a Guarantor from its Guarantee upon receipt of an Issuer Request accompanied by an Officers’ Certificate and an Opinion of Counsel the Subsidiary Guarantor is entitled to such release in accordance with the provisions of the Indenture.</w:t>
      </w:r>
    </w:p>
    <w:p>
      <w:pPr>
        <w:spacing w:after="0" w:line="186" w:lineRule="exact"/>
        <w:rPr>
          <w:rFonts w:ascii="Arial" w:cs="Arial" w:eastAsia="Arial" w:hAnsi="Arial"/>
          <w:sz w:val="22"/>
          <w:szCs w:val="22"/>
          <w:color w:val="010000"/>
        </w:rPr>
      </w:pPr>
    </w:p>
    <w:p>
      <w:pPr>
        <w:jc w:val="both"/>
        <w:ind w:right="460" w:firstLine="656"/>
        <w:spacing w:after="0"/>
        <w:tabs>
          <w:tab w:leader="none" w:pos="1416"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Any Guarantor not released in accordance with the provisions of the Indenture will remain liable for the full amount of principal of (and premium, if any, on) and interest on the Notes as provided in this Article Fourteen, subject to the limitations of Section 1403.</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1405.</w:t>
      </w:r>
      <w:r>
        <w:rPr>
          <w:sz w:val="20"/>
          <w:szCs w:val="20"/>
          <w:color w:val="auto"/>
        </w:rPr>
        <w:tab/>
      </w:r>
      <w:r>
        <w:rPr>
          <w:rFonts w:ascii="Arial" w:cs="Arial" w:eastAsia="Arial" w:hAnsi="Arial"/>
          <w:sz w:val="16"/>
          <w:szCs w:val="16"/>
          <w:u w:val="single" w:color="auto"/>
          <w:color w:val="auto"/>
        </w:rPr>
        <w:t>Guarantor Contribution</w:t>
      </w:r>
      <w:r>
        <w:rPr>
          <w:rFonts w:ascii="Arial" w:cs="Arial" w:eastAsia="Arial" w:hAnsi="Arial"/>
          <w:sz w:val="16"/>
          <w:szCs w:val="16"/>
          <w:color w:val="auto"/>
        </w:rPr>
        <w:t>.</w:t>
      </w:r>
    </w:p>
    <w:p>
      <w:pPr>
        <w:spacing w:after="0" w:line="218" w:lineRule="exact"/>
        <w:rPr>
          <w:sz w:val="20"/>
          <w:szCs w:val="20"/>
          <w:color w:val="auto"/>
        </w:rPr>
      </w:pPr>
    </w:p>
    <w:p>
      <w:pPr>
        <w:ind w:right="140" w:firstLine="648"/>
        <w:spacing w:after="0" w:line="252" w:lineRule="auto"/>
        <w:rPr>
          <w:sz w:val="20"/>
          <w:szCs w:val="20"/>
          <w:color w:val="auto"/>
        </w:rPr>
      </w:pPr>
      <w:r>
        <w:rPr>
          <w:rFonts w:ascii="Arial" w:cs="Arial" w:eastAsia="Arial" w:hAnsi="Arial"/>
          <w:sz w:val="21"/>
          <w:szCs w:val="21"/>
          <w:color w:val="auto"/>
        </w:rPr>
        <w:t>To the extent permissible under the laws applicable to the relevant Guarantor, in order to provide for just and equitable contribution among the Guarantors, the Guarantors hereby agree, inter se, that in the event any payment or distribution is made by any Guarantor (a “</w:t>
      </w:r>
      <w:r>
        <w:rPr>
          <w:rFonts w:ascii="Arial" w:cs="Arial" w:eastAsia="Arial" w:hAnsi="Arial"/>
          <w:sz w:val="21"/>
          <w:szCs w:val="21"/>
          <w:i w:val="1"/>
          <w:iCs w:val="1"/>
          <w:color w:val="auto"/>
        </w:rPr>
        <w:t>Funding Guarantor</w:t>
      </w:r>
      <w:r>
        <w:rPr>
          <w:rFonts w:ascii="Arial" w:cs="Arial" w:eastAsia="Arial" w:hAnsi="Arial"/>
          <w:sz w:val="21"/>
          <w:szCs w:val="21"/>
          <w:color w:val="auto"/>
        </w:rPr>
        <w:t>”) under its Guarantee, such Funding Guarantor shall be entitled to a contribution from each other Guarantor as to be agreed among the Guarantors by separate agreement.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Section 1406.</w:t>
            </w:r>
          </w:p>
        </w:tc>
        <w:tc>
          <w:tcPr>
            <w:tcW w:w="1800" w:type="dxa"/>
            <w:vAlign w:val="bottom"/>
            <w:gridSpan w:val="2"/>
          </w:tcPr>
          <w:p>
            <w:pPr>
              <w:ind w:left="40"/>
              <w:spacing w:after="0"/>
              <w:rPr>
                <w:sz w:val="20"/>
                <w:szCs w:val="20"/>
                <w:color w:val="auto"/>
              </w:rPr>
            </w:pPr>
            <w:r>
              <w:rPr>
                <w:rFonts w:ascii="Arial" w:cs="Arial" w:eastAsia="Arial" w:hAnsi="Arial"/>
                <w:sz w:val="18"/>
                <w:szCs w:val="18"/>
                <w:color w:val="auto"/>
              </w:rPr>
              <w:t>[Reserved]</w:t>
            </w:r>
          </w:p>
        </w:tc>
      </w:tr>
      <w:tr>
        <w:trPr>
          <w:trHeight w:val="20"/>
        </w:trPr>
        <w:tc>
          <w:tcPr>
            <w:tcW w:w="1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Section 1407.</w:t>
            </w: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Luxembourg Limitations</w:t>
            </w:r>
          </w:p>
        </w:tc>
      </w:tr>
    </w:tbl>
    <w:p>
      <w:pPr>
        <w:spacing w:after="0" w:line="222" w:lineRule="exact"/>
        <w:rPr>
          <w:sz w:val="20"/>
          <w:szCs w:val="20"/>
          <w:color w:val="auto"/>
        </w:rPr>
      </w:pPr>
    </w:p>
    <w:p>
      <w:pPr>
        <w:jc w:val="both"/>
        <w:ind w:firstLine="656"/>
        <w:spacing w:after="0" w:line="297" w:lineRule="auto"/>
        <w:tabs>
          <w:tab w:leader="none" w:pos="179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payment obligation of any Guarantor incorporated under the laws of Luxembourg (a “</w:t>
      </w:r>
      <w:r>
        <w:rPr>
          <w:rFonts w:ascii="Arial" w:cs="Arial" w:eastAsia="Arial" w:hAnsi="Arial"/>
          <w:sz w:val="19"/>
          <w:szCs w:val="19"/>
          <w:u w:val="single" w:color="auto"/>
          <w:color w:val="auto"/>
        </w:rPr>
        <w:t>Luxembourg</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Guarantor</w:t>
      </w:r>
      <w:r>
        <w:rPr>
          <w:rFonts w:ascii="Arial" w:cs="Arial" w:eastAsia="Arial" w:hAnsi="Arial"/>
          <w:sz w:val="19"/>
          <w:szCs w:val="19"/>
          <w:color w:val="auto"/>
        </w:rPr>
        <w:t>”) for the obligations of the Issuer or any other Guarantor that is not a Subsidiary of such Luxembourg Guarantor, shall be limited at any time, with no double counting, to an aggregate amount not exceeding the higher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ind w:left="660" w:firstLine="644"/>
        <w:spacing w:after="0" w:line="275" w:lineRule="auto"/>
        <w:tabs>
          <w:tab w:leader="none" w:pos="2091" w:val="left"/>
        </w:tabs>
        <w:numPr>
          <w:ilvl w:val="1"/>
          <w:numId w:val="143"/>
        </w:numPr>
        <w:rPr>
          <w:rFonts w:ascii="Arial" w:cs="Arial" w:eastAsia="Arial" w:hAnsi="Arial"/>
          <w:sz w:val="19"/>
          <w:szCs w:val="19"/>
          <w:color w:val="auto"/>
        </w:rPr>
      </w:pPr>
      <w:r>
        <w:rPr>
          <w:rFonts w:ascii="Arial" w:cs="Arial" w:eastAsia="Arial" w:hAnsi="Arial"/>
          <w:sz w:val="19"/>
          <w:szCs w:val="19"/>
          <w:color w:val="auto"/>
        </w:rPr>
        <w:t>ninety five per cent (95%) of the sum of such Luxembourg Guarantor’s own funds (</w:t>
      </w:r>
      <w:r>
        <w:rPr>
          <w:rFonts w:ascii="Arial" w:cs="Arial" w:eastAsia="Arial" w:hAnsi="Arial"/>
          <w:sz w:val="19"/>
          <w:szCs w:val="19"/>
          <w:i w:val="1"/>
          <w:iCs w:val="1"/>
          <w:color w:val="auto"/>
        </w:rPr>
        <w:t>capitaux propres</w:t>
      </w:r>
      <w:r>
        <w:rPr>
          <w:rFonts w:ascii="Arial" w:cs="Arial" w:eastAsia="Arial" w:hAnsi="Arial"/>
          <w:sz w:val="19"/>
          <w:szCs w:val="19"/>
          <w:color w:val="auto"/>
        </w:rPr>
        <w:t>) (as referred to in Annex 1 of the Luxembourg regulation dated 18 December 2015 defining the form and the content of the balance sheet and profit and loss account layouts and implementing among others article 34 of the Luxembourg law dated 19 December 2002 concerning the trade and companies register and the accounting and annual accounts of undertakings, as amended) (the “</w:t>
      </w:r>
      <w:r>
        <w:rPr>
          <w:rFonts w:ascii="Arial" w:cs="Arial" w:eastAsia="Arial" w:hAnsi="Arial"/>
          <w:sz w:val="19"/>
          <w:szCs w:val="19"/>
          <w:u w:val="single" w:color="auto"/>
          <w:color w:val="auto"/>
        </w:rPr>
        <w:t>Own Funds”</w:t>
      </w:r>
      <w:r>
        <w:rPr>
          <w:rFonts w:ascii="Arial" w:cs="Arial" w:eastAsia="Arial" w:hAnsi="Arial"/>
          <w:sz w:val="19"/>
          <w:szCs w:val="19"/>
          <w:color w:val="auto"/>
        </w:rPr>
        <w:t>) and such Luxembourg Guarantor’s debt which is subordinated in right of payment (whether generally or specifically) to any claim of any Holder under any of the Notes Documents (the “</w:t>
      </w:r>
      <w:r>
        <w:rPr>
          <w:rFonts w:ascii="Arial" w:cs="Arial" w:eastAsia="Arial" w:hAnsi="Arial"/>
          <w:sz w:val="19"/>
          <w:szCs w:val="19"/>
          <w:u w:val="single" w:color="auto"/>
          <w:color w:val="auto"/>
        </w:rPr>
        <w:t>Lux Subordinated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Debt</w:t>
      </w:r>
      <w:r>
        <w:rPr>
          <w:rFonts w:ascii="Arial" w:cs="Arial" w:eastAsia="Arial" w:hAnsi="Arial"/>
          <w:sz w:val="19"/>
          <w:szCs w:val="19"/>
          <w:color w:val="auto"/>
        </w:rPr>
        <w:t>”), as determined on the basis of the then latest available annual accounts of such Luxembourg Guarantor duly established in accordance with applicable accounting rules, as at the date of this Indenture; and</w:t>
      </w:r>
    </w:p>
    <w:p>
      <w:pPr>
        <w:spacing w:after="0" w:line="157" w:lineRule="exact"/>
        <w:rPr>
          <w:rFonts w:ascii="Arial" w:cs="Arial" w:eastAsia="Arial" w:hAnsi="Arial"/>
          <w:sz w:val="19"/>
          <w:szCs w:val="19"/>
          <w:color w:val="auto"/>
        </w:rPr>
      </w:pPr>
    </w:p>
    <w:p>
      <w:pPr>
        <w:jc w:val="both"/>
        <w:ind w:left="660" w:firstLine="644"/>
        <w:spacing w:after="0" w:line="297" w:lineRule="auto"/>
        <w:tabs>
          <w:tab w:leader="none" w:pos="215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sum of such Luxembourg Guarantor’s Own Funds and the Lux Subordinated Debt, as determined on the basis of the then latest available annual accounts of such Luxembourg Guarantor duly established in accordance with applicable accounting rules, as at the date of a guarantee payment under this Indenture.</w:t>
      </w:r>
    </w:p>
    <w:p>
      <w:pPr>
        <w:spacing w:after="0" w:line="133" w:lineRule="exact"/>
        <w:rPr>
          <w:rFonts w:ascii="Arial" w:cs="Arial" w:eastAsia="Arial" w:hAnsi="Arial"/>
          <w:sz w:val="19"/>
          <w:szCs w:val="19"/>
          <w:color w:val="auto"/>
        </w:rPr>
      </w:pPr>
    </w:p>
    <w:p>
      <w:pPr>
        <w:jc w:val="both"/>
        <w:ind w:left="660" w:firstLine="644"/>
        <w:spacing w:after="0" w:line="270" w:lineRule="auto"/>
        <w:tabs>
          <w:tab w:leader="none" w:pos="2168" w:val="left"/>
        </w:tabs>
        <w:numPr>
          <w:ilvl w:val="1"/>
          <w:numId w:val="143"/>
        </w:numPr>
        <w:rPr>
          <w:rFonts w:ascii="Arial" w:cs="Arial" w:eastAsia="Arial" w:hAnsi="Arial"/>
          <w:sz w:val="19"/>
          <w:szCs w:val="19"/>
          <w:color w:val="auto"/>
        </w:rPr>
      </w:pPr>
      <w:r>
        <w:rPr>
          <w:rFonts w:ascii="Arial" w:cs="Arial" w:eastAsia="Arial" w:hAnsi="Arial"/>
          <w:sz w:val="19"/>
          <w:szCs w:val="19"/>
          <w:color w:val="auto"/>
        </w:rPr>
        <w:t>Where for the purpose of the above determinations, no duly established annual accounts are available for the relevant reference period (which, for the avoidance of doubt, includes a situation where, in respect of the determination to be made under (a) above, no final annual accounts have been established in due time in respect of the then most recently ended financial year) the relevant Luxembourg Guarantor shall, promptly, establish unaudited interim accounts (as of the date of the end of the then most recent financial quarter) or annual accounts (as applicable) duly established in accordance with applicable accounting rules, pursuant to which the relevant Luxembourg Guarantor’s Own Funds and Lux Subordinated Debt will be determined. If the relevant Guarantor fails to provide such unaudited interim accounts or annual accounts (as applicable) within 30 Business Days as from the request of the Trustee, the Trustee may appoint an independent auditor (</w:t>
      </w:r>
      <w:r>
        <w:rPr>
          <w:rFonts w:ascii="Arial" w:cs="Arial" w:eastAsia="Arial" w:hAnsi="Arial"/>
          <w:sz w:val="19"/>
          <w:szCs w:val="19"/>
          <w:i w:val="1"/>
          <w:iCs w:val="1"/>
          <w:color w:val="auto"/>
        </w:rPr>
        <w:t>réviseur d’entreprises agréé</w:t>
      </w:r>
      <w:r>
        <w:rPr>
          <w:rFonts w:ascii="Arial" w:cs="Arial" w:eastAsia="Arial" w:hAnsi="Arial"/>
          <w:sz w:val="19"/>
          <w:szCs w:val="19"/>
          <w:color w:val="auto"/>
        </w:rPr>
        <w:t>) or an independent reputable investment bank which shall undertake the determination of the relevant Luxembourg Guarantor’s Own Funds and Lux Subordinated Debt. In order to prepare such determination, the independent auditor (</w:t>
      </w:r>
      <w:r>
        <w:rPr>
          <w:rFonts w:ascii="Arial" w:cs="Arial" w:eastAsia="Arial" w:hAnsi="Arial"/>
          <w:sz w:val="19"/>
          <w:szCs w:val="19"/>
          <w:i w:val="1"/>
          <w:iCs w:val="1"/>
          <w:color w:val="auto"/>
        </w:rPr>
        <w:t>réviseur d’entreprises agréé</w:t>
      </w:r>
      <w:r>
        <w:rPr>
          <w:rFonts w:ascii="Arial" w:cs="Arial" w:eastAsia="Arial" w:hAnsi="Arial"/>
          <w:sz w:val="19"/>
          <w:szCs w:val="19"/>
          <w:color w:val="auto"/>
        </w:rPr>
        <w:t>) or the independent reputable investment bank shall take into consideration such available elements and facts at such time, including without limitation, the latest annual accounts of such Luxembourg Guarantor and any entities in which it has a direct or indirect equity interest, any recent valuation of the assets of such Luxembourg Guarantor and any of its direct or indirect Subsidiaries, the market value of the assets of such Guarantor and any entities in which it has a direct or indirect equity interest as if sold between a willing buyer and a willing seller as a going concern using a standard market multi criteria approach combining market multiples, book value, discounted cash flow or comparable public transaction of which price is known (taking into account circumstances at the time of the valuation and making all necessary adjustments to the assumption being used) and acting in a reasonable manner.</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56"/>
        <w:spacing w:after="0"/>
        <w:tabs>
          <w:tab w:leader="none" w:pos="158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limitation set forth in clause (a) shall not apply to any amounts borrowed under this Indenture and made directly or indirectly available, in any form whatsoever, to the Luxembourg Guarantor or to any of its direct or indirect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spacing w:after="0"/>
        <w:tabs>
          <w:tab w:leader="none" w:pos="1720" w:val="left"/>
        </w:tabs>
        <w:rPr>
          <w:sz w:val="20"/>
          <w:szCs w:val="20"/>
          <w:color w:val="auto"/>
        </w:rPr>
      </w:pPr>
      <w:r>
        <w:rPr>
          <w:rFonts w:ascii="Arial" w:cs="Arial" w:eastAsia="Arial" w:hAnsi="Arial"/>
          <w:sz w:val="22"/>
          <w:szCs w:val="22"/>
          <w:color w:val="auto"/>
        </w:rPr>
        <w:t>Section 1408.</w:t>
      </w:r>
      <w:r>
        <w:rPr>
          <w:sz w:val="20"/>
          <w:szCs w:val="20"/>
          <w:color w:val="auto"/>
        </w:rPr>
        <w:tab/>
      </w:r>
      <w:r>
        <w:rPr>
          <w:rFonts w:ascii="Arial" w:cs="Arial" w:eastAsia="Arial" w:hAnsi="Arial"/>
          <w:sz w:val="19"/>
          <w:szCs w:val="19"/>
          <w:u w:val="single" w:color="auto"/>
          <w:color w:val="auto"/>
        </w:rPr>
        <w:t>Norwegian Limitations.</w:t>
      </w:r>
    </w:p>
    <w:p>
      <w:pPr>
        <w:spacing w:after="0" w:line="207"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The Norwegian Financial Agreements Act shall not apply to this Indenture, except as required by § 2 of the Financial Agreements Act (if applicable). The liability of each Guarantor incorporated in Norway in its capacity as Guarantor (each a “Norwegian Guarantor”) shall be limited to USD $750,000,000, plus any interest, default interest, commissions, charges, fees and expenses due under any Indenture Obligation. Notwithstanding any other provision of this Indenture to the contrary, the obligations and liabilities of any Norwegian Guarantor under this Indenture shall be limited by such mandatory provisions of sections 8-7 and/or 8-10 of the Norwegian Limited Liability Companies Act of 13 June 1997 (the “Act”) regarding restrictions on a Norwegian limited liability company’s ability to grant guarantees, loans, security or other financial assistance. The obligations of the Norwegian Guarantors shall only be limited to the extent this is required from time to time, and the Norwegian Guarantors shall be liable to the fullest extent permitted by the Act as amended from time to time. To the extent permitted by applicable law, if a payment under this Indenture by a Norwegian Guarantor has been made in contravention of the limitations contained in this Section 1408, the Holders shall not be liable for any damages in relation thereto, and the maximum amount repayable by the Holders as a consequence of such contravention shall be the amount received from that Norwegian Guarantor.</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1409.</w:t>
      </w:r>
      <w:r>
        <w:rPr>
          <w:sz w:val="20"/>
          <w:szCs w:val="20"/>
          <w:color w:val="auto"/>
        </w:rPr>
        <w:tab/>
      </w:r>
      <w:r>
        <w:rPr>
          <w:rFonts w:ascii="Arial" w:cs="Arial" w:eastAsia="Arial" w:hAnsi="Arial"/>
          <w:sz w:val="17"/>
          <w:szCs w:val="17"/>
          <w:u w:val="single" w:color="auto"/>
          <w:color w:val="auto"/>
        </w:rPr>
        <w:t>Irish Limitations.</w:t>
      </w:r>
    </w:p>
    <w:p>
      <w:pPr>
        <w:spacing w:after="0" w:line="218"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Notwithstanding anything to the contrary in this Indenture, the obligations, liabilities and undertakings of Parent Guarantor under this Guarantee shall be deemed not to be undertaken or incurred to the extent that the same would (a) constitute unlawful financial assistance prohibited by section 82 of the Companies Act 2014 of Ireland (or any analogous provision of any other applicable law), or (b) constitute a breach of section 239 of the Companies Act 2014 of Ireland (or any analogous provision of any other applicable law).</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1410.</w:t>
      </w:r>
      <w:r>
        <w:rPr>
          <w:sz w:val="20"/>
          <w:szCs w:val="20"/>
          <w:color w:val="auto"/>
        </w:rPr>
        <w:tab/>
      </w:r>
      <w:r>
        <w:rPr>
          <w:rFonts w:ascii="Arial" w:cs="Arial" w:eastAsia="Arial" w:hAnsi="Arial"/>
          <w:sz w:val="16"/>
          <w:szCs w:val="16"/>
          <w:u w:val="single" w:color="auto"/>
          <w:color w:val="auto"/>
        </w:rPr>
        <w:t>Swiss Financial Assistance.</w:t>
      </w:r>
    </w:p>
    <w:p>
      <w:pPr>
        <w:spacing w:after="0" w:line="218" w:lineRule="exact"/>
        <w:rPr>
          <w:sz w:val="20"/>
          <w:szCs w:val="20"/>
          <w:color w:val="auto"/>
        </w:rPr>
      </w:pPr>
    </w:p>
    <w:p>
      <w:pPr>
        <w:jc w:val="both"/>
        <w:ind w:firstLine="656"/>
        <w:spacing w:after="0" w:line="245" w:lineRule="auto"/>
        <w:tabs>
          <w:tab w:leader="none" w:pos="157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If and to the extent a Swiss Guarantor becomes liable under this Guarantee or any other Notes Document for obligations of the Issuer or any other Guarantor (other than the wholly owned direct or indirect subsidiaries of such Swiss Guarantor) (the “</w:t>
      </w:r>
      <w:r>
        <w:rPr>
          <w:rFonts w:ascii="Arial" w:cs="Arial" w:eastAsia="Arial" w:hAnsi="Arial"/>
          <w:sz w:val="21"/>
          <w:szCs w:val="21"/>
          <w:u w:val="single" w:color="auto"/>
          <w:color w:val="auto"/>
        </w:rPr>
        <w:t>Restricted Obligations</w:t>
      </w:r>
      <w:r>
        <w:rPr>
          <w:rFonts w:ascii="Arial" w:cs="Arial" w:eastAsia="Arial" w:hAnsi="Arial"/>
          <w:sz w:val="21"/>
          <w:szCs w:val="21"/>
          <w:color w:val="auto"/>
        </w:rPr>
        <w:t>”) and if complying with such obligations would constitute a repayment of capital (</w:t>
      </w:r>
      <w:r>
        <w:rPr>
          <w:rFonts w:ascii="Arial" w:cs="Arial" w:eastAsia="Arial" w:hAnsi="Arial"/>
          <w:sz w:val="21"/>
          <w:szCs w:val="21"/>
          <w:i w:val="1"/>
          <w:iCs w:val="1"/>
          <w:color w:val="auto"/>
        </w:rPr>
        <w:t>Einlagerückgewähr</w:t>
      </w:r>
      <w:r>
        <w:rPr>
          <w:rFonts w:ascii="Arial" w:cs="Arial" w:eastAsia="Arial" w:hAnsi="Arial"/>
          <w:sz w:val="21"/>
          <w:szCs w:val="21"/>
          <w:color w:val="auto"/>
        </w:rPr>
        <w:t>), a violation of the legally protected reserves (</w:t>
      </w:r>
      <w:r>
        <w:rPr>
          <w:rFonts w:ascii="Arial" w:cs="Arial" w:eastAsia="Arial" w:hAnsi="Arial"/>
          <w:sz w:val="21"/>
          <w:szCs w:val="21"/>
          <w:i w:val="1"/>
          <w:iCs w:val="1"/>
          <w:color w:val="auto"/>
        </w:rPr>
        <w:t>gesetzlich geschützte Reserven</w:t>
      </w:r>
      <w:r>
        <w:rPr>
          <w:rFonts w:ascii="Arial" w:cs="Arial" w:eastAsia="Arial" w:hAnsi="Arial"/>
          <w:sz w:val="21"/>
          <w:szCs w:val="21"/>
          <w:color w:val="auto"/>
        </w:rPr>
        <w:t>) or the payment of a (constructive) dividend (</w:t>
      </w:r>
      <w:r>
        <w:rPr>
          <w:rFonts w:ascii="Arial" w:cs="Arial" w:eastAsia="Arial" w:hAnsi="Arial"/>
          <w:sz w:val="21"/>
          <w:szCs w:val="21"/>
          <w:i w:val="1"/>
          <w:iCs w:val="1"/>
          <w:color w:val="auto"/>
        </w:rPr>
        <w:t>Gewinnausschüttung</w:t>
      </w:r>
      <w:r>
        <w:rPr>
          <w:rFonts w:ascii="Arial" w:cs="Arial" w:eastAsia="Arial" w:hAnsi="Arial"/>
          <w:sz w:val="21"/>
          <w:szCs w:val="21"/>
          <w:color w:val="auto"/>
        </w:rPr>
        <w:t>) by such Swiss Guarantor or would otherwise be restricted under Swiss law and practice then applicable, such Swiss Guarantor’s aggregate liability for Restricted Obligations shall not exceed the amount of the Swiss Guarantor’s freely disposable equity (</w:t>
      </w:r>
      <w:r>
        <w:rPr>
          <w:rFonts w:ascii="Arial" w:cs="Arial" w:eastAsia="Arial" w:hAnsi="Arial"/>
          <w:sz w:val="21"/>
          <w:szCs w:val="21"/>
          <w:i w:val="1"/>
          <w:iCs w:val="1"/>
          <w:color w:val="auto"/>
        </w:rPr>
        <w:t>frei verfügbares Eigenkapital</w:t>
      </w:r>
      <w:r>
        <w:rPr>
          <w:rFonts w:ascii="Arial" w:cs="Arial" w:eastAsia="Arial" w:hAnsi="Arial"/>
          <w:sz w:val="21"/>
          <w:szCs w:val="21"/>
          <w:color w:val="auto"/>
        </w:rPr>
        <w:t>) at the time it becomes liable including, without limitation, any statutory reserves which can be transferred into unrestricted, distributable reserves, in accordance with Swiss law (the “</w:t>
      </w:r>
      <w:r>
        <w:rPr>
          <w:rFonts w:ascii="Arial" w:cs="Arial" w:eastAsia="Arial" w:hAnsi="Arial"/>
          <w:sz w:val="21"/>
          <w:szCs w:val="21"/>
          <w:u w:val="single" w:color="auto"/>
          <w:color w:val="auto"/>
        </w:rPr>
        <w:t>Freely Disposable Amount</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firstLine="656"/>
        <w:spacing w:after="0" w:line="287" w:lineRule="auto"/>
        <w:tabs>
          <w:tab w:leader="none" w:pos="164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This limitation shall only apply to the extent it is a requirement under applicable law at the time any Swiss Guarantor is required to perform Restricted Obligations under the Notes Documents. Such limitation shall not free such Swiss Guarantor from its obligations in excess of the Freely Disposable Amount, but merely postpone the performance date thereof until such times when such Swiss Guarantor has again freely disposable equity. The limitation set out in this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both"/>
        <w:spacing w:after="0"/>
        <w:rPr>
          <w:sz w:val="20"/>
          <w:szCs w:val="20"/>
          <w:color w:val="auto"/>
        </w:rPr>
      </w:pPr>
      <w:r>
        <w:rPr>
          <w:rFonts w:ascii="Arial" w:cs="Arial" w:eastAsia="Arial" w:hAnsi="Arial"/>
          <w:sz w:val="22"/>
          <w:szCs w:val="22"/>
          <w:color w:val="auto"/>
        </w:rPr>
        <w:t>Section 1410 shall not apply to the extent such Swiss Guarantor guarantees or otherwise secures any amounts borrowed under any Notes Document which are on-lent to such Swiss Guarantor or to wholly owned direct or indirect subsidiaries of such Swiss Guarantor.</w:t>
      </w:r>
    </w:p>
    <w:p>
      <w:pPr>
        <w:spacing w:after="0" w:line="186" w:lineRule="exact"/>
        <w:rPr>
          <w:sz w:val="20"/>
          <w:szCs w:val="20"/>
          <w:color w:val="auto"/>
        </w:rPr>
      </w:pPr>
    </w:p>
    <w:p>
      <w:pPr>
        <w:jc w:val="both"/>
        <w:ind w:firstLine="656"/>
        <w:spacing w:after="0" w:line="279" w:lineRule="auto"/>
        <w:tabs>
          <w:tab w:leader="none" w:pos="150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If the enforcement of the obligations of any Swiss Guarantor under the Notes Documents would be limited due to the effects referred to in this Indenture, such Swiss Guarantor shall further, to the extent permitted by applicable law and Swiss accounting standards and upon request by the Trustee, (i) write up or sell any of its assets that are shown in its balance sheet with a book value that is significantly lower than the market value of the assets, in case of sale, however, only if such assets are not necessary for such Swiss Guarantor’s business (</w:t>
      </w:r>
      <w:r>
        <w:rPr>
          <w:rFonts w:ascii="Arial" w:cs="Arial" w:eastAsia="Arial" w:hAnsi="Arial"/>
          <w:sz w:val="19"/>
          <w:szCs w:val="19"/>
          <w:i w:val="1"/>
          <w:iCs w:val="1"/>
          <w:color w:val="auto"/>
        </w:rPr>
        <w:t>nicht betriebsnotwendig</w:t>
      </w:r>
      <w:r>
        <w:rPr>
          <w:rFonts w:ascii="Arial" w:cs="Arial" w:eastAsia="Arial" w:hAnsi="Arial"/>
          <w:sz w:val="19"/>
          <w:szCs w:val="19"/>
          <w:color w:val="auto"/>
        </w:rPr>
        <w:t>) and (ii) reduce its share capital to the minimum allowed under then applicable law, provided that such steps are permitted under the Notes Documents.</w:t>
      </w:r>
    </w:p>
    <w:p>
      <w:pPr>
        <w:spacing w:after="0" w:line="150" w:lineRule="exact"/>
        <w:rPr>
          <w:rFonts w:ascii="Arial" w:cs="Arial" w:eastAsia="Arial" w:hAnsi="Arial"/>
          <w:sz w:val="19"/>
          <w:szCs w:val="19"/>
          <w:color w:val="auto"/>
        </w:rPr>
      </w:pPr>
    </w:p>
    <w:p>
      <w:pPr>
        <w:jc w:val="both"/>
        <w:ind w:firstLine="656"/>
        <w:spacing w:after="0" w:line="244" w:lineRule="auto"/>
        <w:tabs>
          <w:tab w:leader="none" w:pos="164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Each Swiss Guarantor, and any direct holding company of the Swiss Guarantor which is a party to a Notes Document, shall procure that such Swiss Guarantor will take and will cause to be taken all and any action as soon as reasonably practicable but in any event within 30 Business Days from the request of the Trustee, including, without limitation, (i) the passing of any shareholders’ resolutions to approve any payment or other performance under this Indenture or any other Notes Documents, (ii) the provision of an audited interim balance sheet, (iii) the provision of a determination by such Swiss Guarantor of the Freely Disposable Amount based on such audited interim balance sheet, (iv) the provision of a confirmation from the auditors of such Swiss Guarantor that a payment by such Swiss Guarantor under the Notes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such Swiss Guarantor is required to make a payment or perform other obligations under this Indenture or any other Notes Document, in order to allow a prompt payment in relation to Restricted Obligations with a minimum of limitations.</w:t>
      </w:r>
    </w:p>
    <w:p>
      <w:pPr>
        <w:spacing w:after="0" w:line="185" w:lineRule="exact"/>
        <w:rPr>
          <w:rFonts w:ascii="Arial" w:cs="Arial" w:eastAsia="Arial" w:hAnsi="Arial"/>
          <w:sz w:val="21"/>
          <w:szCs w:val="21"/>
          <w:color w:val="auto"/>
        </w:rPr>
      </w:pPr>
    </w:p>
    <w:p>
      <w:pPr>
        <w:ind w:firstLine="656"/>
        <w:spacing w:after="0" w:line="250" w:lineRule="auto"/>
        <w:tabs>
          <w:tab w:leader="none" w:pos="144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If so required under applicable law (including tax treaties) at the time it is required to make a payment under this Indenture, each Swiss Guarantor:</w:t>
      </w:r>
    </w:p>
    <w:p>
      <w:pPr>
        <w:spacing w:after="0" w:line="174" w:lineRule="exact"/>
        <w:rPr>
          <w:rFonts w:ascii="Arial" w:cs="Arial" w:eastAsia="Arial" w:hAnsi="Arial"/>
          <w:sz w:val="22"/>
          <w:szCs w:val="22"/>
          <w:color w:val="auto"/>
        </w:rPr>
      </w:pPr>
    </w:p>
    <w:p>
      <w:pPr>
        <w:jc w:val="both"/>
        <w:ind w:left="660" w:firstLine="644"/>
        <w:spacing w:after="0" w:line="257" w:lineRule="auto"/>
        <w:tabs>
          <w:tab w:leader="none" w:pos="2462" w:val="left"/>
        </w:tabs>
        <w:numPr>
          <w:ilvl w:val="1"/>
          <w:numId w:val="146"/>
        </w:numPr>
        <w:rPr>
          <w:rFonts w:ascii="Arial" w:cs="Arial" w:eastAsia="Arial" w:hAnsi="Arial"/>
          <w:sz w:val="21"/>
          <w:szCs w:val="21"/>
          <w:color w:val="auto"/>
        </w:rPr>
      </w:pPr>
      <w:r>
        <w:rPr>
          <w:rFonts w:ascii="Arial" w:cs="Arial" w:eastAsia="Arial" w:hAnsi="Arial"/>
          <w:sz w:val="21"/>
          <w:szCs w:val="21"/>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69" w:lineRule="exact"/>
        <w:rPr>
          <w:rFonts w:ascii="Arial" w:cs="Arial" w:eastAsia="Arial" w:hAnsi="Arial"/>
          <w:sz w:val="21"/>
          <w:szCs w:val="21"/>
          <w:color w:val="auto"/>
        </w:rPr>
      </w:pPr>
    </w:p>
    <w:p>
      <w:pPr>
        <w:jc w:val="both"/>
        <w:ind w:left="660" w:firstLine="644"/>
        <w:spacing w:after="0" w:line="249" w:lineRule="auto"/>
        <w:tabs>
          <w:tab w:leader="none" w:pos="2168" w:val="left"/>
        </w:tabs>
        <w:numPr>
          <w:ilvl w:val="1"/>
          <w:numId w:val="146"/>
        </w:numPr>
        <w:rPr>
          <w:rFonts w:ascii="Arial" w:cs="Arial" w:eastAsia="Arial" w:hAnsi="Arial"/>
          <w:sz w:val="21"/>
          <w:szCs w:val="21"/>
          <w:color w:val="auto"/>
        </w:rPr>
      </w:pPr>
      <w:r>
        <w:rPr>
          <w:rFonts w:ascii="Arial" w:cs="Arial" w:eastAsia="Arial" w:hAnsi="Arial"/>
          <w:sz w:val="21"/>
          <w:szCs w:val="21"/>
          <w:color w:val="auto"/>
        </w:rPr>
        <w:t xml:space="preserve">shall deduct the Swiss withholding tax at such rate (being 35% on the date hereof) as in force from time to time if the notification procedure pursuant to </w:t>
      </w:r>
      <w:r>
        <w:rPr>
          <w:rFonts w:ascii="Arial" w:cs="Arial" w:eastAsia="Arial" w:hAnsi="Arial"/>
          <w:sz w:val="21"/>
          <w:szCs w:val="21"/>
          <w:u w:val="single" w:color="auto"/>
          <w:color w:val="auto"/>
        </w:rPr>
        <w:t>Section 1410(e)(i)</w:t>
      </w:r>
      <w:r>
        <w:rPr>
          <w:rFonts w:ascii="Arial" w:cs="Arial" w:eastAsia="Arial" w:hAnsi="Arial"/>
          <w:sz w:val="21"/>
          <w:szCs w:val="21"/>
          <w:color w:val="auto"/>
        </w:rPr>
        <w:t xml:space="preserve"> above does not apply; or shall deduct the Swiss withholding tax at the reduced rate resulting after discharge of part of such tax by notification if the notification procedure pursuant to </w:t>
      </w:r>
      <w:r>
        <w:rPr>
          <w:rFonts w:ascii="Arial" w:cs="Arial" w:eastAsia="Arial" w:hAnsi="Arial"/>
          <w:sz w:val="21"/>
          <w:szCs w:val="21"/>
          <w:u w:val="single" w:color="auto"/>
          <w:color w:val="auto"/>
        </w:rPr>
        <w:t>Section 1410(e)(i)</w:t>
      </w:r>
      <w:r>
        <w:rPr>
          <w:rFonts w:ascii="Arial" w:cs="Arial" w:eastAsia="Arial" w:hAnsi="Arial"/>
          <w:sz w:val="21"/>
          <w:szCs w:val="21"/>
          <w:color w:val="auto"/>
        </w:rPr>
        <w:t xml:space="preserve"> applies for a part of the Swiss withholding tax only; and shall pay within the time allowed any such taxes deducted to the Swiss Federal Tax Administration; and</w:t>
      </w:r>
    </w:p>
    <w:p>
      <w:pPr>
        <w:spacing w:after="0" w:line="178" w:lineRule="exact"/>
        <w:rPr>
          <w:rFonts w:ascii="Arial" w:cs="Arial" w:eastAsia="Arial" w:hAnsi="Arial"/>
          <w:sz w:val="21"/>
          <w:szCs w:val="21"/>
          <w:color w:val="auto"/>
        </w:rPr>
      </w:pPr>
    </w:p>
    <w:p>
      <w:pPr>
        <w:ind w:left="660" w:right="20" w:firstLine="644"/>
        <w:spacing w:after="0" w:line="250" w:lineRule="auto"/>
        <w:tabs>
          <w:tab w:leader="none" w:pos="2197" w:val="left"/>
        </w:tabs>
        <w:numPr>
          <w:ilvl w:val="1"/>
          <w:numId w:val="146"/>
        </w:numPr>
        <w:rPr>
          <w:rFonts w:ascii="Arial" w:cs="Arial" w:eastAsia="Arial" w:hAnsi="Arial"/>
          <w:sz w:val="22"/>
          <w:szCs w:val="22"/>
          <w:color w:val="auto"/>
        </w:rPr>
      </w:pPr>
      <w:r>
        <w:rPr>
          <w:rFonts w:ascii="Arial" w:cs="Arial" w:eastAsia="Arial" w:hAnsi="Arial"/>
          <w:sz w:val="22"/>
          <w:szCs w:val="22"/>
          <w:color w:val="auto"/>
        </w:rPr>
        <w:t>shall promptly notify the Trustee that such notification or, as the case may be, deduction has been made, and provide the Trustee with evidence that such a notification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ind w:left="660"/>
        <w:spacing w:after="0" w:line="250" w:lineRule="auto"/>
        <w:rPr>
          <w:sz w:val="20"/>
          <w:szCs w:val="20"/>
          <w:color w:val="auto"/>
        </w:rPr>
      </w:pPr>
      <w:r>
        <w:rPr>
          <w:rFonts w:ascii="Arial" w:cs="Arial" w:eastAsia="Arial" w:hAnsi="Arial"/>
          <w:sz w:val="22"/>
          <w:szCs w:val="22"/>
          <w:color w:val="auto"/>
        </w:rPr>
        <w:t>of the Swiss Federal Tax Administration has been made or, as the case may be, such taxes deducted have been paid to the Swiss Federal Tax Administration.</w:t>
      </w:r>
    </w:p>
    <w:p>
      <w:pPr>
        <w:spacing w:after="0" w:line="175" w:lineRule="exact"/>
        <w:rPr>
          <w:sz w:val="20"/>
          <w:szCs w:val="20"/>
          <w:color w:val="auto"/>
        </w:rPr>
      </w:pPr>
    </w:p>
    <w:p>
      <w:pPr>
        <w:jc w:val="both"/>
        <w:ind w:right="20" w:firstLine="656"/>
        <w:spacing w:after="0"/>
        <w:tabs>
          <w:tab w:leader="none" w:pos="14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 the case of a deduction of Swiss withholding tax, each Swiss Guarantor shall use its best efforts to ensure that any person that is entitled to a full or partial refund of the Swiss withholding tax deducted from such payment under this Indenture or any other Notes Document, will, as soon as possible after such deduction:</w:t>
      </w:r>
    </w:p>
    <w:p>
      <w:pPr>
        <w:spacing w:after="0" w:line="186" w:lineRule="exact"/>
        <w:rPr>
          <w:rFonts w:ascii="Arial" w:cs="Arial" w:eastAsia="Arial" w:hAnsi="Arial"/>
          <w:sz w:val="22"/>
          <w:szCs w:val="22"/>
          <w:color w:val="auto"/>
        </w:rPr>
      </w:pPr>
    </w:p>
    <w:p>
      <w:pPr>
        <w:ind w:left="2040" w:hanging="736"/>
        <w:spacing w:after="0"/>
        <w:tabs>
          <w:tab w:leader="none" w:pos="204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request a refund of the Swiss withholding tax under applicable law (including tax treaties); and</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pay to the Trustee upon receipt any amount so refunded.</w:t>
      </w:r>
    </w:p>
    <w:p>
      <w:pPr>
        <w:spacing w:after="0" w:line="206" w:lineRule="exact"/>
        <w:rPr>
          <w:rFonts w:ascii="Arial" w:cs="Arial" w:eastAsia="Arial" w:hAnsi="Arial"/>
          <w:sz w:val="22"/>
          <w:szCs w:val="22"/>
          <w:color w:val="auto"/>
        </w:rPr>
      </w:pPr>
    </w:p>
    <w:p>
      <w:pPr>
        <w:ind w:left="1440" w:hanging="784"/>
        <w:spacing w:after="0"/>
        <w:tabs>
          <w:tab w:leader="none" w:pos="14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Trustee shall co-operate with the Swiss Guarantor to secure such refund.</w:t>
      </w:r>
    </w:p>
    <w:p>
      <w:pPr>
        <w:spacing w:after="0" w:line="206" w:lineRule="exact"/>
        <w:rPr>
          <w:rFonts w:ascii="Arial" w:cs="Arial" w:eastAsia="Arial" w:hAnsi="Arial"/>
          <w:sz w:val="22"/>
          <w:szCs w:val="22"/>
          <w:color w:val="auto"/>
        </w:rPr>
      </w:pPr>
    </w:p>
    <w:p>
      <w:pPr>
        <w:jc w:val="both"/>
        <w:ind w:firstLine="656"/>
        <w:spacing w:after="0" w:line="245" w:lineRule="auto"/>
        <w:tabs>
          <w:tab w:leader="none" w:pos="1465"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To the extent any Swiss Guarantor is required to deduct Swiss withholding tax pursuant to this Guarantee, and if the Freely Disposable Amount is not fully utilised, such Swiss Guarantor will be required to pay an additional amount so that after making any required deduction of Swiss withholding tax the aggregate net amount paid to the Trustee is equal to the amount which would have been paid if no deduction of Swiss withholding tax had been required from such Swiss Guarantor, provided that (i) the aggregate amount paid (including the additional amount) shall in any event be limited to the Freely Disposable Amount (ii) such gross up is not explicitly prohibited under the applicable law or federal court practice, and (iii) such steps are permitted under the Notes Documents. In such case, if a refund of the Swiss withholding tax is made to a Holder, such Holder shall transfer the refund so received, after deduction of costs, to such Swiss Guarantor, subject to any right of set-off of such Holder pursuant to the Notes Documents.</w:t>
      </w:r>
    </w:p>
    <w:p>
      <w:pPr>
        <w:spacing w:after="0" w:line="184" w:lineRule="exact"/>
        <w:rPr>
          <w:rFonts w:ascii="Arial" w:cs="Arial" w:eastAsia="Arial" w:hAnsi="Arial"/>
          <w:sz w:val="21"/>
          <w:szCs w:val="21"/>
          <w:color w:val="auto"/>
        </w:rPr>
      </w:pPr>
    </w:p>
    <w:p>
      <w:pPr>
        <w:ind w:firstLine="656"/>
        <w:spacing w:after="0" w:line="250" w:lineRule="auto"/>
        <w:tabs>
          <w:tab w:leader="none" w:pos="140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Parent Guarantor hereby represents that it is not resident for tax purposes in Switzerland and is not subject to Swiss withholding tax.</w:t>
      </w:r>
    </w:p>
    <w:p>
      <w:pPr>
        <w:spacing w:after="0" w:line="37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1411.</w:t>
      </w:r>
      <w:r>
        <w:rPr>
          <w:sz w:val="20"/>
          <w:szCs w:val="20"/>
          <w:color w:val="auto"/>
        </w:rPr>
        <w:tab/>
      </w:r>
      <w:r>
        <w:rPr>
          <w:rFonts w:ascii="Arial" w:cs="Arial" w:eastAsia="Arial" w:hAnsi="Arial"/>
          <w:sz w:val="16"/>
          <w:szCs w:val="16"/>
          <w:u w:val="single" w:color="auto"/>
          <w:color w:val="auto"/>
        </w:rPr>
        <w:t>Parallel Debt.</w:t>
      </w:r>
    </w:p>
    <w:p>
      <w:pPr>
        <w:spacing w:after="0" w:line="218" w:lineRule="exact"/>
        <w:rPr>
          <w:sz w:val="20"/>
          <w:szCs w:val="20"/>
          <w:color w:val="auto"/>
        </w:rPr>
      </w:pPr>
    </w:p>
    <w:p>
      <w:pPr>
        <w:jc w:val="both"/>
        <w:ind w:firstLine="656"/>
        <w:spacing w:after="0" w:line="235" w:lineRule="auto"/>
        <w:tabs>
          <w:tab w:leader="none" w:pos="18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Each Guarantor, by way of an independent payment obligation, hereby irrevocably and unconditionally undertakes to pay to the Collateral Agent, as creditor in its own right and not as representative of the Holders, sums equal to and in the currency of each amount payable by such Guarantor to any of the Holders under the Indenture Obligations as and when that amount falls due for payment under the Indenture Obligations. The parties to this Indenture acknowledge and confirm that the parallel debt provisions contained herein shall not be interpreted so as to increase the maximum total amount of the obligations under the Indenture Obligations.</w:t>
      </w:r>
    </w:p>
    <w:p>
      <w:pPr>
        <w:spacing w:after="0" w:line="187" w:lineRule="exact"/>
        <w:rPr>
          <w:rFonts w:ascii="Arial" w:cs="Arial" w:eastAsia="Arial" w:hAnsi="Arial"/>
          <w:sz w:val="22"/>
          <w:szCs w:val="22"/>
          <w:color w:val="auto"/>
        </w:rPr>
      </w:pPr>
    </w:p>
    <w:p>
      <w:pPr>
        <w:jc w:val="both"/>
        <w:ind w:firstLine="656"/>
        <w:spacing w:after="0" w:line="235" w:lineRule="auto"/>
        <w:tabs>
          <w:tab w:leader="none" w:pos="144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obligations of each Guarantor under clause (a) above are several and are separate and independent from, and shall not in any way limit or affect, the corresponding obligations of such Guarantor to any Holder under the Indenture Obligations (its “</w:t>
      </w:r>
      <w:r>
        <w:rPr>
          <w:rFonts w:ascii="Arial" w:cs="Arial" w:eastAsia="Arial" w:hAnsi="Arial"/>
          <w:sz w:val="22"/>
          <w:szCs w:val="22"/>
          <w:u w:val="single" w:color="auto"/>
          <w:color w:val="auto"/>
        </w:rPr>
        <w:t>Corresponding Debt</w:t>
      </w:r>
      <w:r>
        <w:rPr>
          <w:rFonts w:ascii="Arial" w:cs="Arial" w:eastAsia="Arial" w:hAnsi="Arial"/>
          <w:sz w:val="22"/>
          <w:szCs w:val="22"/>
          <w:color w:val="auto"/>
        </w:rPr>
        <w:t>”) nor shall the amounts for which each Guarantor is liable under clause (a) above (its “</w:t>
      </w:r>
      <w:r>
        <w:rPr>
          <w:rFonts w:ascii="Arial" w:cs="Arial" w:eastAsia="Arial" w:hAnsi="Arial"/>
          <w:sz w:val="22"/>
          <w:szCs w:val="22"/>
          <w:u w:val="single" w:color="auto"/>
          <w:color w:val="auto"/>
        </w:rPr>
        <w:t>Parallel Debt</w:t>
      </w:r>
      <w:r>
        <w:rPr>
          <w:rFonts w:ascii="Arial" w:cs="Arial" w:eastAsia="Arial" w:hAnsi="Arial"/>
          <w:sz w:val="22"/>
          <w:szCs w:val="22"/>
          <w:color w:val="auto"/>
        </w:rPr>
        <w:t xml:space="preserve">”) be limited or affected in any way by its Corresponding Debt; </w:t>
      </w:r>
      <w:r>
        <w:rPr>
          <w:rFonts w:ascii="Arial" w:cs="Arial" w:eastAsia="Arial" w:hAnsi="Arial"/>
          <w:sz w:val="22"/>
          <w:szCs w:val="22"/>
          <w:u w:val="single" w:color="auto"/>
          <w:color w:val="auto"/>
        </w:rPr>
        <w:t>provided</w:t>
      </w:r>
      <w:r>
        <w:rPr>
          <w:rFonts w:ascii="Arial" w:cs="Arial" w:eastAsia="Arial" w:hAnsi="Arial"/>
          <w:sz w:val="22"/>
          <w:szCs w:val="22"/>
          <w:color w:val="auto"/>
        </w:rPr>
        <w:t>, that: (x) the Collateral Agent shall not demand payment with regard to the Parallel Debt of any Guarantor to the extent that such Guarantor’s Corresponding Debt has been paid or (in the case of guarantee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4" w:name="page135"/>
    <w:bookmarkEnd w:id="134"/>
    <w:p>
      <w:pPr>
        <w:jc w:val="both"/>
        <w:spacing w:after="0"/>
        <w:rPr>
          <w:sz w:val="20"/>
          <w:szCs w:val="20"/>
          <w:color w:val="auto"/>
        </w:rPr>
      </w:pPr>
      <w:r>
        <w:rPr>
          <w:rFonts w:ascii="Arial" w:cs="Arial" w:eastAsia="Arial" w:hAnsi="Arial"/>
          <w:sz w:val="22"/>
          <w:szCs w:val="22"/>
          <w:color w:val="auto"/>
        </w:rPr>
        <w:t>obligations) discharged and (y) none of the Collateral Agent, the Trustee or any Holder shall demand payment with regard to the Corresponding Debt of any Guarantor, to the extent that such Guarantor’s Parallel Debt has been paid or (in the case of guarantee obligations) discharged.</w:t>
      </w:r>
    </w:p>
    <w:p>
      <w:pPr>
        <w:spacing w:after="0" w:line="186" w:lineRule="exact"/>
        <w:rPr>
          <w:sz w:val="20"/>
          <w:szCs w:val="20"/>
          <w:color w:val="auto"/>
        </w:rPr>
      </w:pPr>
    </w:p>
    <w:p>
      <w:pPr>
        <w:jc w:val="both"/>
        <w:ind w:firstLine="656"/>
        <w:spacing w:after="0"/>
        <w:tabs>
          <w:tab w:leader="none" w:pos="143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Collateral Agent acts in its own name and not as agent and it shall have its own independent right to demand payment of the amounts payable by each Guarantor, under this Section 1411. Collateral Agent may not assign or transfer any claim arising from the Parallel Debt other than to any successor agent.</w:t>
      </w:r>
    </w:p>
    <w:p>
      <w:pPr>
        <w:spacing w:after="0" w:line="186" w:lineRule="exact"/>
        <w:rPr>
          <w:rFonts w:ascii="Arial" w:cs="Arial" w:eastAsia="Arial" w:hAnsi="Arial"/>
          <w:sz w:val="22"/>
          <w:szCs w:val="22"/>
          <w:color w:val="auto"/>
        </w:rPr>
      </w:pPr>
    </w:p>
    <w:p>
      <w:pPr>
        <w:jc w:val="both"/>
        <w:ind w:firstLine="656"/>
        <w:spacing w:after="0" w:line="234" w:lineRule="auto"/>
        <w:tabs>
          <w:tab w:leader="none" w:pos="159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amount due and payable by a Guarantor, to the Collateral Agent in respect of a Parallel Debt under this Section 1411 shall be automatically decreased and discharged to the extent that such Guarantor has paid the corresponding amount under the Corresponding Debt and any amount due and payable by a Guarantor to the other applicable Holders under the Corresponding Debt shall be decreased to the extent that such Guarantor has paid the corresponding amount to the Collateral Agent under its Parallel Debt. The Guarantors shall have all objections and defenses against the Parallel Debt which they have against the Corresponding Debt. An Event of Default in respect of the payment of the Corresponding Debt shall constitute a default within the meaning of section 3:248 Netherlands Civil Code with respect to the payment of the Parallel Debt without any notice being required.</w:t>
      </w:r>
    </w:p>
    <w:p>
      <w:pPr>
        <w:spacing w:after="0" w:line="186" w:lineRule="exact"/>
        <w:rPr>
          <w:rFonts w:ascii="Arial" w:cs="Arial" w:eastAsia="Arial" w:hAnsi="Arial"/>
          <w:sz w:val="22"/>
          <w:szCs w:val="22"/>
          <w:color w:val="auto"/>
        </w:rPr>
      </w:pPr>
    </w:p>
    <w:p>
      <w:pPr>
        <w:jc w:val="both"/>
        <w:ind w:firstLine="656"/>
        <w:spacing w:after="0"/>
        <w:tabs>
          <w:tab w:leader="none" w:pos="155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amount of the Parallel Debt of a Guarantor shall at all times be equal to the amount of its Corresponding Debt and the aggregate amount outstanding owed by the Guarantors under the Indenture Obligations at any time shall not exceed the amount of the Corresponding Debt at that time.</w:t>
      </w:r>
    </w:p>
    <w:p>
      <w:pPr>
        <w:spacing w:after="0" w:line="186" w:lineRule="exact"/>
        <w:rPr>
          <w:rFonts w:ascii="Arial" w:cs="Arial" w:eastAsia="Arial" w:hAnsi="Arial"/>
          <w:sz w:val="22"/>
          <w:szCs w:val="22"/>
          <w:color w:val="auto"/>
        </w:rPr>
      </w:pPr>
    </w:p>
    <w:p>
      <w:pPr>
        <w:jc w:val="both"/>
        <w:ind w:firstLine="656"/>
        <w:spacing w:after="0" w:line="297" w:lineRule="auto"/>
        <w:tabs>
          <w:tab w:leader="none" w:pos="142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rights of the Trustee and the Holders (other than the Collateral Agent in its capacity as parallel debt creditor) to receive payment of amounts payable by each Guarantor, under the Corresponding Debt are several and are separate and independent from, and without prejudice to, the rights of the Collateral Agent to receive payment under the Parallel Debt.</w:t>
      </w:r>
    </w:p>
    <w:p>
      <w:pPr>
        <w:spacing w:after="0" w:line="14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1412.</w:t>
      </w:r>
      <w:r>
        <w:rPr>
          <w:sz w:val="20"/>
          <w:szCs w:val="20"/>
          <w:color w:val="auto"/>
        </w:rPr>
        <w:tab/>
      </w:r>
      <w:r>
        <w:rPr>
          <w:rFonts w:ascii="Arial" w:cs="Arial" w:eastAsia="Arial" w:hAnsi="Arial"/>
          <w:sz w:val="16"/>
          <w:szCs w:val="16"/>
          <w:u w:val="single" w:color="auto"/>
          <w:color w:val="auto"/>
        </w:rPr>
        <w:t>Dutch Covenants.</w:t>
      </w:r>
    </w:p>
    <w:p>
      <w:pPr>
        <w:spacing w:after="0" w:line="218"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Any fiscal unity (</w:t>
      </w:r>
      <w:r>
        <w:rPr>
          <w:rFonts w:ascii="Arial" w:cs="Arial" w:eastAsia="Arial" w:hAnsi="Arial"/>
          <w:sz w:val="22"/>
          <w:szCs w:val="22"/>
          <w:i w:val="1"/>
          <w:iCs w:val="1"/>
          <w:color w:val="auto"/>
        </w:rPr>
        <w:t>fiscale eenheid</w:t>
      </w:r>
      <w:r>
        <w:rPr>
          <w:rFonts w:ascii="Arial" w:cs="Arial" w:eastAsia="Arial" w:hAnsi="Arial"/>
          <w:sz w:val="22"/>
          <w:szCs w:val="22"/>
          <w:color w:val="auto"/>
        </w:rPr>
        <w:t>) for Dutch tax purposes, of which a Note Party forms part of, shall consist of Note Parties and/or Restricted Subsidiaries only. Each Guarantor organized under the laws of the Netherlands shall be solely resident for tax purposes in the Netherlands and shall not have any permanent establishment or other taxable presence outside the Netherlands, unless with the prior written consent of the Trustee.</w:t>
      </w:r>
    </w:p>
    <w:p>
      <w:pPr>
        <w:spacing w:after="0" w:line="19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1413.</w:t>
      </w:r>
      <w:r>
        <w:rPr>
          <w:sz w:val="20"/>
          <w:szCs w:val="20"/>
          <w:color w:val="auto"/>
        </w:rPr>
        <w:tab/>
      </w:r>
      <w:r>
        <w:rPr>
          <w:rFonts w:ascii="Arial" w:cs="Arial" w:eastAsia="Arial" w:hAnsi="Arial"/>
          <w:sz w:val="17"/>
          <w:szCs w:val="17"/>
          <w:u w:val="single" w:color="auto"/>
          <w:color w:val="auto"/>
        </w:rPr>
        <w:t>German Limitation of Liability.</w:t>
      </w:r>
    </w:p>
    <w:p>
      <w:pPr>
        <w:spacing w:after="0" w:line="218" w:lineRule="exact"/>
        <w:rPr>
          <w:sz w:val="20"/>
          <w:szCs w:val="20"/>
          <w:color w:val="auto"/>
        </w:rPr>
      </w:pPr>
    </w:p>
    <w:p>
      <w:pPr>
        <w:ind w:left="1440" w:hanging="784"/>
        <w:spacing w:after="0"/>
        <w:tabs>
          <w:tab w:leader="none" w:pos="1440" w:val="left"/>
        </w:tabs>
        <w:numPr>
          <w:ilvl w:val="0"/>
          <w:numId w:val="150"/>
        </w:numPr>
        <w:rPr>
          <w:rFonts w:ascii="Arial" w:cs="Arial" w:eastAsia="Arial" w:hAnsi="Arial"/>
          <w:sz w:val="22"/>
          <w:szCs w:val="22"/>
          <w:color w:val="010000"/>
        </w:rPr>
      </w:pPr>
      <w:r>
        <w:rPr>
          <w:rFonts w:ascii="Arial" w:cs="Arial" w:eastAsia="Arial" w:hAnsi="Arial"/>
          <w:sz w:val="22"/>
          <w:szCs w:val="22"/>
          <w:color w:val="auto"/>
        </w:rPr>
        <w:t>In this Section 1413:</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Auditors’ Determination</w:t>
      </w:r>
      <w:r>
        <w:rPr>
          <w:rFonts w:ascii="Arial" w:cs="Arial" w:eastAsia="Arial" w:hAnsi="Arial"/>
          <w:sz w:val="22"/>
          <w:szCs w:val="22"/>
          <w:color w:val="auto"/>
        </w:rPr>
        <w:t>” shall have the meaning ascribed to that term in Section 1413(f).</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Enforcement Notice</w:t>
      </w:r>
      <w:r>
        <w:rPr>
          <w:rFonts w:ascii="Arial" w:cs="Arial" w:eastAsia="Arial" w:hAnsi="Arial"/>
          <w:sz w:val="22"/>
          <w:szCs w:val="22"/>
          <w:color w:val="auto"/>
        </w:rPr>
        <w:t>” shall have the meaning ascribed to that term in Section 1413(e).</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5" w:name="page136"/>
    <w:bookmarkEnd w:id="135"/>
    <w:p>
      <w:pPr>
        <w:ind w:right="200" w:firstLine="63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Guarantor</w:t>
      </w:r>
      <w:r>
        <w:rPr>
          <w:rFonts w:ascii="Arial" w:cs="Arial" w:eastAsia="Arial" w:hAnsi="Arial"/>
          <w:sz w:val="22"/>
          <w:szCs w:val="22"/>
          <w:color w:val="auto"/>
        </w:rPr>
        <w:t>” means any Guarantor incorporated in Germany as (x) a limited liability company (</w:t>
      </w:r>
      <w:r>
        <w:rPr>
          <w:rFonts w:ascii="Arial" w:cs="Arial" w:eastAsia="Arial" w:hAnsi="Arial"/>
          <w:sz w:val="22"/>
          <w:szCs w:val="22"/>
          <w:i w:val="1"/>
          <w:iCs w:val="1"/>
          <w:color w:val="auto"/>
        </w:rPr>
        <w:t>Gesellschaft mit</w:t>
      </w:r>
      <w:r>
        <w:rPr>
          <w:rFonts w:ascii="Arial" w:cs="Arial" w:eastAsia="Arial" w:hAnsi="Arial"/>
          <w:sz w:val="22"/>
          <w:szCs w:val="22"/>
          <w:color w:val="auto"/>
        </w:rPr>
        <w:t xml:space="preserve"> </w:t>
      </w:r>
      <w:r>
        <w:rPr>
          <w:rFonts w:ascii="Arial" w:cs="Arial" w:eastAsia="Arial" w:hAnsi="Arial"/>
          <w:sz w:val="22"/>
          <w:szCs w:val="22"/>
          <w:i w:val="1"/>
          <w:iCs w:val="1"/>
          <w:color w:val="auto"/>
        </w:rPr>
        <w:t>beschränkter Haftung - GmbH</w:t>
      </w:r>
      <w:r>
        <w:rPr>
          <w:rFonts w:ascii="Arial" w:cs="Arial" w:eastAsia="Arial" w:hAnsi="Arial"/>
          <w:sz w:val="22"/>
          <w:szCs w:val="22"/>
          <w:color w:val="auto"/>
        </w:rPr>
        <w:t>) (a “</w:t>
      </w:r>
      <w:r>
        <w:rPr>
          <w:rFonts w:ascii="Arial" w:cs="Arial" w:eastAsia="Arial" w:hAnsi="Arial"/>
          <w:sz w:val="22"/>
          <w:szCs w:val="22"/>
          <w:i w:val="1"/>
          <w:iCs w:val="1"/>
          <w:color w:val="auto"/>
        </w:rPr>
        <w:t>German GmbH Guarantor</w:t>
      </w:r>
      <w:r>
        <w:rPr>
          <w:rFonts w:ascii="Arial" w:cs="Arial" w:eastAsia="Arial" w:hAnsi="Arial"/>
          <w:sz w:val="22"/>
          <w:szCs w:val="22"/>
          <w:color w:val="auto"/>
        </w:rPr>
        <w:t>”) or (y) a limited partnership (</w:t>
      </w:r>
      <w:r>
        <w:rPr>
          <w:rFonts w:ascii="Arial" w:cs="Arial" w:eastAsia="Arial" w:hAnsi="Arial"/>
          <w:sz w:val="22"/>
          <w:szCs w:val="22"/>
          <w:i w:val="1"/>
          <w:iCs w:val="1"/>
          <w:color w:val="auto"/>
        </w:rPr>
        <w:t>Kommanditgesellschaft</w:t>
      </w:r>
      <w:r>
        <w:rPr>
          <w:rFonts w:ascii="Arial" w:cs="Arial" w:eastAsia="Arial" w:hAnsi="Arial"/>
          <w:sz w:val="22"/>
          <w:szCs w:val="22"/>
          <w:color w:val="auto"/>
        </w:rPr>
        <w:t>) with a</w:t>
      </w:r>
      <w:r>
        <w:rPr>
          <w:rFonts w:ascii="Arial" w:cs="Arial" w:eastAsia="Arial" w:hAnsi="Arial"/>
          <w:sz w:val="22"/>
          <w:szCs w:val="22"/>
          <w:i w:val="1"/>
          <w:iCs w:val="1"/>
          <w:color w:val="auto"/>
        </w:rPr>
        <w:t xml:space="preserve"> </w:t>
      </w:r>
      <w:r>
        <w:rPr>
          <w:rFonts w:ascii="Arial" w:cs="Arial" w:eastAsia="Arial" w:hAnsi="Arial"/>
          <w:sz w:val="22"/>
          <w:szCs w:val="22"/>
          <w:color w:val="auto"/>
        </w:rPr>
        <w:t>limited liability company as general partner (a “</w:t>
      </w:r>
      <w:r>
        <w:rPr>
          <w:rFonts w:ascii="Arial" w:cs="Arial" w:eastAsia="Arial" w:hAnsi="Arial"/>
          <w:sz w:val="22"/>
          <w:szCs w:val="22"/>
          <w:i w:val="1"/>
          <w:iCs w:val="1"/>
          <w:color w:val="auto"/>
        </w:rPr>
        <w:t>German GmbH &amp; Co. KG Guarantor</w:t>
      </w:r>
      <w:r>
        <w:rPr>
          <w:rFonts w:ascii="Arial" w:cs="Arial" w:eastAsia="Arial" w:hAnsi="Arial"/>
          <w:sz w:val="22"/>
          <w:szCs w:val="22"/>
          <w:color w:val="auto"/>
        </w:rPr>
        <w:t>”) in relation to whom any of the Holders intends to demand payment under this Guarantee.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Obligor</w:t>
      </w:r>
      <w:r>
        <w:rPr>
          <w:rFonts w:ascii="Arial" w:cs="Arial" w:eastAsia="Arial" w:hAnsi="Arial"/>
          <w:sz w:val="22"/>
          <w:szCs w:val="22"/>
          <w:color w:val="auto"/>
        </w:rPr>
        <w:t>” shall have the meaning ascribed to that term in Section 1413(b).</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Determination</w:t>
      </w:r>
      <w:r>
        <w:rPr>
          <w:rFonts w:ascii="Arial" w:cs="Arial" w:eastAsia="Arial" w:hAnsi="Arial"/>
          <w:sz w:val="22"/>
          <w:szCs w:val="22"/>
          <w:color w:val="auto"/>
        </w:rPr>
        <w:t>” shall have the meaning ascribed to that term in Section 1413(e).</w:t>
      </w:r>
    </w:p>
    <w:p>
      <w:pPr>
        <w:spacing w:after="0" w:line="206"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Assets</w:t>
      </w:r>
      <w:r>
        <w:rPr>
          <w:rFonts w:ascii="Arial" w:cs="Arial" w:eastAsia="Arial" w:hAnsi="Arial"/>
          <w:sz w:val="19"/>
          <w:szCs w:val="19"/>
          <w:color w:val="auto"/>
        </w:rPr>
        <w:t>” means the relevant company’s assets (Section 266 para. (2) A, B, C, D and E German Commercial Code (</w:t>
      </w:r>
      <w:r>
        <w:rPr>
          <w:rFonts w:ascii="Arial" w:cs="Arial" w:eastAsia="Arial" w:hAnsi="Arial"/>
          <w:sz w:val="19"/>
          <w:szCs w:val="19"/>
          <w:i w:val="1"/>
          <w:iCs w:val="1"/>
          <w:color w:val="auto"/>
        </w:rPr>
        <w:t>Handelsgesetzbuch</w:t>
      </w:r>
      <w:r>
        <w:rPr>
          <w:rFonts w:ascii="Arial" w:cs="Arial" w:eastAsia="Arial" w:hAnsi="Arial"/>
          <w:sz w:val="19"/>
          <w:szCs w:val="19"/>
          <w:color w:val="auto"/>
        </w:rPr>
        <w:t>)), less the aggregate of its liabilities (Section 266 para. (3) B (but disregarding any accruals (</w:t>
      </w:r>
      <w:r>
        <w:rPr>
          <w:rFonts w:ascii="Arial" w:cs="Arial" w:eastAsia="Arial" w:hAnsi="Arial"/>
          <w:sz w:val="19"/>
          <w:szCs w:val="19"/>
          <w:i w:val="1"/>
          <w:iCs w:val="1"/>
          <w:color w:val="auto"/>
        </w:rPr>
        <w:t>Rückstellungen</w:t>
      </w:r>
      <w:r>
        <w:rPr>
          <w:rFonts w:ascii="Arial" w:cs="Arial" w:eastAsia="Arial" w:hAnsi="Arial"/>
          <w:sz w:val="19"/>
          <w:szCs w:val="19"/>
          <w:color w:val="auto"/>
        </w:rPr>
        <w:t>) in respect of a potential enforcement of this Guarantee or any Transaction Security), C, D and E German Commercial Code), the amount of profits (</w:t>
      </w:r>
      <w:r>
        <w:rPr>
          <w:rFonts w:ascii="Arial" w:cs="Arial" w:eastAsia="Arial" w:hAnsi="Arial"/>
          <w:sz w:val="19"/>
          <w:szCs w:val="19"/>
          <w:i w:val="1"/>
          <w:iCs w:val="1"/>
          <w:color w:val="auto"/>
        </w:rPr>
        <w:t>Gewinne</w:t>
      </w:r>
      <w:r>
        <w:rPr>
          <w:rFonts w:ascii="Arial" w:cs="Arial" w:eastAsia="Arial" w:hAnsi="Arial"/>
          <w:sz w:val="19"/>
          <w:szCs w:val="19"/>
          <w:color w:val="auto"/>
        </w:rPr>
        <w:t>) not available for distribution to its shareholders in accordance with section 268 para. 8 German Commercial Code and the amount of its stated share capital (</w:t>
      </w:r>
      <w:r>
        <w:rPr>
          <w:rFonts w:ascii="Arial" w:cs="Arial" w:eastAsia="Arial" w:hAnsi="Arial"/>
          <w:sz w:val="19"/>
          <w:szCs w:val="19"/>
          <w:i w:val="1"/>
          <w:iCs w:val="1"/>
          <w:color w:val="auto"/>
        </w:rPr>
        <w:t>Stammkapital</w:t>
      </w:r>
      <w:r>
        <w:rPr>
          <w:rFonts w:ascii="Arial" w:cs="Arial" w:eastAsia="Arial" w:hAnsi="Arial"/>
          <w:sz w:val="19"/>
          <w:szCs w:val="19"/>
          <w:color w:val="auto"/>
        </w:rPr>
        <w:t>).</w:t>
      </w:r>
    </w:p>
    <w:p>
      <w:pPr>
        <w:spacing w:after="0" w:line="147" w:lineRule="exact"/>
        <w:rPr>
          <w:sz w:val="20"/>
          <w:szCs w:val="20"/>
          <w:color w:val="auto"/>
        </w:rPr>
      </w:pPr>
    </w:p>
    <w:p>
      <w:pPr>
        <w:ind w:right="40" w:firstLine="656"/>
        <w:spacing w:after="0" w:line="277" w:lineRule="auto"/>
        <w:tabs>
          <w:tab w:leader="none" w:pos="1440"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Subject to the provisions of this Section 1413, each Holder agrees not to enforce the guarantee under this Indenture if and to the extent that the guarantee under this Indenture secures any liability of a Guarantor which is an affiliated company (</w:t>
      </w:r>
      <w:r>
        <w:rPr>
          <w:rFonts w:ascii="Arial" w:cs="Arial" w:eastAsia="Arial" w:hAnsi="Arial"/>
          <w:sz w:val="19"/>
          <w:szCs w:val="19"/>
          <w:i w:val="1"/>
          <w:iCs w:val="1"/>
          <w:color w:val="auto"/>
        </w:rPr>
        <w:t>verbundenes Unternehmen</w:t>
      </w:r>
      <w:r>
        <w:rPr>
          <w:rFonts w:ascii="Arial" w:cs="Arial" w:eastAsia="Arial" w:hAnsi="Arial"/>
          <w:sz w:val="19"/>
          <w:szCs w:val="19"/>
          <w:color w:val="auto"/>
        </w:rPr>
        <w:t>) within the meaning of section 15 of the German Stock Corporation Act (</w:t>
      </w:r>
      <w:r>
        <w:rPr>
          <w:rFonts w:ascii="Arial" w:cs="Arial" w:eastAsia="Arial" w:hAnsi="Arial"/>
          <w:sz w:val="19"/>
          <w:szCs w:val="19"/>
          <w:i w:val="1"/>
          <w:iCs w:val="1"/>
          <w:color w:val="auto"/>
        </w:rPr>
        <w:t>Aktiengesetz</w:t>
      </w:r>
      <w:r>
        <w:rPr>
          <w:rFonts w:ascii="Arial" w:cs="Arial" w:eastAsia="Arial" w:hAnsi="Arial"/>
          <w:sz w:val="19"/>
          <w:szCs w:val="19"/>
          <w:color w:val="auto"/>
        </w:rPr>
        <w:t>) of a German Guarantor (other than that German Guarantor’s wholly-owned Subsidiaries) (the “</w:t>
      </w:r>
      <w:r>
        <w:rPr>
          <w:rFonts w:ascii="Arial" w:cs="Arial" w:eastAsia="Arial" w:hAnsi="Arial"/>
          <w:sz w:val="19"/>
          <w:szCs w:val="19"/>
          <w:u w:val="single" w:color="auto"/>
          <w:color w:val="auto"/>
        </w:rPr>
        <w:t>Guaranteed Obligor</w:t>
      </w:r>
      <w:r>
        <w:rPr>
          <w:rFonts w:ascii="Arial" w:cs="Arial" w:eastAsia="Arial" w:hAnsi="Arial"/>
          <w:sz w:val="19"/>
          <w:szCs w:val="19"/>
          <w:color w:val="auto"/>
        </w:rPr>
        <w:t>”) and if and to the extent that a payment under this Guarantee would cause that German Guarantor’s (or, in the case of a German GmbH &amp; Co. KG as Guarantor, its general partners’) Net Assets (determined pursuant to Section 1413(c), (e) and/or (f)) to be reduced below zero (</w:t>
      </w:r>
      <w:r>
        <w:rPr>
          <w:rFonts w:ascii="Arial" w:cs="Arial" w:eastAsia="Arial" w:hAnsi="Arial"/>
          <w:sz w:val="19"/>
          <w:szCs w:val="19"/>
          <w:i w:val="1"/>
          <w:iCs w:val="1"/>
          <w:color w:val="auto"/>
        </w:rPr>
        <w:t>Begründung einer Unterbilanz</w:t>
      </w:r>
      <w:r>
        <w:rPr>
          <w:rFonts w:ascii="Arial" w:cs="Arial" w:eastAsia="Arial" w:hAnsi="Arial"/>
          <w:sz w:val="19"/>
          <w:szCs w:val="19"/>
          <w:color w:val="auto"/>
        </w:rPr>
        <w:t>), or further reduced (</w:t>
      </w:r>
      <w:r>
        <w:rPr>
          <w:rFonts w:ascii="Arial" w:cs="Arial" w:eastAsia="Arial" w:hAnsi="Arial"/>
          <w:sz w:val="19"/>
          <w:szCs w:val="19"/>
          <w:i w:val="1"/>
          <w:iCs w:val="1"/>
          <w:color w:val="auto"/>
        </w:rPr>
        <w:t>Vertiefung einer Unterbilanz</w:t>
      </w:r>
      <w:r>
        <w:rPr>
          <w:rFonts w:ascii="Arial" w:cs="Arial" w:eastAsia="Arial" w:hAnsi="Arial"/>
          <w:sz w:val="19"/>
          <w:szCs w:val="19"/>
          <w:color w:val="auto"/>
        </w:rPr>
        <w:t>) if already below zero.</w:t>
      </w:r>
    </w:p>
    <w:p>
      <w:pPr>
        <w:spacing w:after="0" w:line="151" w:lineRule="exact"/>
        <w:rPr>
          <w:rFonts w:ascii="Arial" w:cs="Arial" w:eastAsia="Arial" w:hAnsi="Arial"/>
          <w:sz w:val="19"/>
          <w:szCs w:val="19"/>
          <w:color w:val="010000"/>
        </w:rPr>
      </w:pPr>
    </w:p>
    <w:p>
      <w:pPr>
        <w:ind w:left="1440" w:hanging="784"/>
        <w:spacing w:after="0"/>
        <w:tabs>
          <w:tab w:leader="none" w:pos="1440"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For the purposes of the calculation of the Net Assets the following balance sheet items shall be adjusted as</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follows:</w:t>
      </w:r>
    </w:p>
    <w:p>
      <w:pPr>
        <w:spacing w:after="0" w:line="188" w:lineRule="exact"/>
        <w:rPr>
          <w:rFonts w:ascii="Arial" w:cs="Arial" w:eastAsia="Arial" w:hAnsi="Arial"/>
          <w:sz w:val="19"/>
          <w:szCs w:val="19"/>
          <w:color w:val="010000"/>
        </w:rPr>
      </w:pPr>
    </w:p>
    <w:p>
      <w:pPr>
        <w:ind w:left="660" w:right="120" w:firstLine="644"/>
        <w:spacing w:after="0"/>
        <w:tabs>
          <w:tab w:leader="none" w:pos="2052"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the amount of any increase of the stated share capital (</w:t>
      </w:r>
      <w:r>
        <w:rPr>
          <w:rFonts w:ascii="Arial" w:cs="Arial" w:eastAsia="Arial" w:hAnsi="Arial"/>
          <w:sz w:val="22"/>
          <w:szCs w:val="22"/>
          <w:i w:val="1"/>
          <w:iCs w:val="1"/>
          <w:color w:val="auto"/>
        </w:rPr>
        <w:t>Erhöhungen des Stammkapitals</w:t>
      </w:r>
      <w:r>
        <w:rPr>
          <w:rFonts w:ascii="Arial" w:cs="Arial" w:eastAsia="Arial" w:hAnsi="Arial"/>
          <w:sz w:val="22"/>
          <w:szCs w:val="22"/>
          <w:color w:val="auto"/>
        </w:rPr>
        <w:t>) of the relevant German Guarantor after the date hereof that has been effected without the consent of the Holders, shall be deducted from the stated share capital at that time;</w:t>
      </w:r>
    </w:p>
    <w:p>
      <w:pPr>
        <w:spacing w:after="0" w:line="186" w:lineRule="exact"/>
        <w:rPr>
          <w:rFonts w:ascii="Arial" w:cs="Arial" w:eastAsia="Arial" w:hAnsi="Arial"/>
          <w:sz w:val="22"/>
          <w:szCs w:val="22"/>
          <w:color w:val="010000"/>
        </w:rPr>
      </w:pPr>
    </w:p>
    <w:p>
      <w:pPr>
        <w:ind w:left="2100" w:hanging="796"/>
        <w:spacing w:after="0"/>
        <w:tabs>
          <w:tab w:leader="none" w:pos="2100"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liabilities incurred by the relevant German Guarantor in violation of the Notes Documents; and</w:t>
      </w:r>
    </w:p>
    <w:p>
      <w:pPr>
        <w:spacing w:after="0" w:line="206" w:lineRule="exact"/>
        <w:rPr>
          <w:rFonts w:ascii="Arial" w:cs="Arial" w:eastAsia="Arial" w:hAnsi="Arial"/>
          <w:sz w:val="22"/>
          <w:szCs w:val="22"/>
          <w:color w:val="010000"/>
        </w:rPr>
      </w:pPr>
    </w:p>
    <w:p>
      <w:pPr>
        <w:ind w:left="660" w:right="440" w:firstLine="644"/>
        <w:spacing w:after="0" w:line="274" w:lineRule="auto"/>
        <w:tabs>
          <w:tab w:leader="none" w:pos="2172" w:val="left"/>
        </w:tabs>
        <w:numPr>
          <w:ilvl w:val="1"/>
          <w:numId w:val="151"/>
        </w:numPr>
        <w:rPr>
          <w:rFonts w:ascii="Arial" w:cs="Arial" w:eastAsia="Arial" w:hAnsi="Arial"/>
          <w:sz w:val="21"/>
          <w:szCs w:val="21"/>
          <w:color w:val="010000"/>
        </w:rPr>
      </w:pPr>
      <w:r>
        <w:rPr>
          <w:rFonts w:ascii="Arial" w:cs="Arial" w:eastAsia="Arial" w:hAnsi="Arial"/>
          <w:sz w:val="21"/>
          <w:szCs w:val="21"/>
          <w:color w:val="auto"/>
        </w:rPr>
        <w:t>indebtedness which is subordinated to any Indebtedness outstanding under this Indenture (including indebtedness in respect of guarantees for financial indebtedness which is so subordinated),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shall be disregarded.</w:t>
      </w:r>
    </w:p>
    <w:p>
      <w:pPr>
        <w:spacing w:after="0" w:line="206" w:lineRule="exact"/>
        <w:rPr>
          <w:sz w:val="20"/>
          <w:szCs w:val="20"/>
          <w:color w:val="auto"/>
        </w:rPr>
      </w:pPr>
    </w:p>
    <w:p>
      <w:pPr>
        <w:ind w:right="280" w:firstLine="656"/>
        <w:spacing w:after="0" w:line="250" w:lineRule="auto"/>
        <w:tabs>
          <w:tab w:leader="none" w:pos="1440"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In addition, the German Guarantor and, where the guarantor is a German GmbH &amp; Co. KG Guarantor, also its general partner, shall realize, to the extent legally permitted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ind w:right="20"/>
        <w:spacing w:after="0" w:line="287" w:lineRule="auto"/>
        <w:rPr>
          <w:sz w:val="20"/>
          <w:szCs w:val="20"/>
          <w:color w:val="auto"/>
        </w:rPr>
      </w:pPr>
      <w:r>
        <w:rPr>
          <w:rFonts w:ascii="Arial" w:cs="Arial" w:eastAsia="Arial" w:hAnsi="Arial"/>
          <w:sz w:val="19"/>
          <w:szCs w:val="19"/>
          <w:color w:val="auto"/>
        </w:rPr>
        <w:t>commercially reasonable with respect to the cost of such sale, in a situation where the enforcement of this Guarantee would cause the Net Assets to fall below zero or be further reduced if already below zero, any and all of its assets that are shown in the balance sheet with a book value (</w:t>
      </w:r>
      <w:r>
        <w:rPr>
          <w:rFonts w:ascii="Arial" w:cs="Arial" w:eastAsia="Arial" w:hAnsi="Arial"/>
          <w:sz w:val="19"/>
          <w:szCs w:val="19"/>
          <w:i w:val="1"/>
          <w:iCs w:val="1"/>
          <w:color w:val="auto"/>
        </w:rPr>
        <w:t>Buchwert</w:t>
      </w:r>
      <w:r>
        <w:rPr>
          <w:rFonts w:ascii="Arial" w:cs="Arial" w:eastAsia="Arial" w:hAnsi="Arial"/>
          <w:sz w:val="19"/>
          <w:szCs w:val="19"/>
          <w:color w:val="auto"/>
        </w:rPr>
        <w:t>) that is significantly lower than the market value of the asset if such asset is not ncesessary for the German Guarantor’s or, as the case may be, its general partner’s, business (</w:t>
      </w:r>
      <w:r>
        <w:rPr>
          <w:rFonts w:ascii="Arial" w:cs="Arial" w:eastAsia="Arial" w:hAnsi="Arial"/>
          <w:sz w:val="19"/>
          <w:szCs w:val="19"/>
          <w:i w:val="1"/>
          <w:iCs w:val="1"/>
          <w:color w:val="auto"/>
        </w:rPr>
        <w:t>betriebsnotwendig</w:t>
      </w:r>
      <w:r>
        <w:rPr>
          <w:rFonts w:ascii="Arial" w:cs="Arial" w:eastAsia="Arial" w:hAnsi="Arial"/>
          <w:sz w:val="19"/>
          <w:szCs w:val="19"/>
          <w:color w:val="auto"/>
        </w:rPr>
        <w:t>).</w:t>
      </w:r>
    </w:p>
    <w:p>
      <w:pPr>
        <w:spacing w:after="0" w:line="143" w:lineRule="exact"/>
        <w:rPr>
          <w:sz w:val="20"/>
          <w:szCs w:val="20"/>
          <w:color w:val="auto"/>
        </w:rPr>
      </w:pPr>
    </w:p>
    <w:p>
      <w:pPr>
        <w:ind w:firstLine="656"/>
        <w:spacing w:after="0" w:line="277" w:lineRule="auto"/>
        <w:tabs>
          <w:tab w:leader="none" w:pos="1428" w:val="left"/>
        </w:tabs>
        <w:numPr>
          <w:ilvl w:val="0"/>
          <w:numId w:val="153"/>
        </w:numPr>
        <w:rPr>
          <w:rFonts w:ascii="Arial" w:cs="Arial" w:eastAsia="Arial" w:hAnsi="Arial"/>
          <w:sz w:val="19"/>
          <w:szCs w:val="19"/>
          <w:color w:val="010000"/>
        </w:rPr>
      </w:pPr>
      <w:r>
        <w:rPr>
          <w:rFonts w:ascii="Arial" w:cs="Arial" w:eastAsia="Arial" w:hAnsi="Arial"/>
          <w:sz w:val="19"/>
          <w:szCs w:val="19"/>
          <w:color w:val="auto"/>
        </w:rPr>
        <w:t>Upon receipt of a payment demand notice to any German Guarantor under this Guarantee (the “</w:t>
      </w: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the relevant German Guarantor shall deliver to the Holders, without undue delay, but in any event no later than 10 Business Days after receipt of the Enforcement Notice, (i) a written response, including the extent, if any, to which this Guarantee should not be enforced, (ii) its up-to-date balance sheet or, in the case of a German GmbH &amp; Co. KG Guarantor, its and its general partner’s up-to-date balance sheet, and (iii) a reasonably detailed calculation of the amount of its Net Assets, taking into account the adjustments set forth in Section 1413(c) (clauses (i) through (iii), collectively, the “</w:t>
      </w:r>
      <w:r>
        <w:rPr>
          <w:rFonts w:ascii="Arial" w:cs="Arial" w:eastAsia="Arial" w:hAnsi="Arial"/>
          <w:sz w:val="19"/>
          <w:szCs w:val="19"/>
          <w:u w:val="single" w:color="auto"/>
          <w:color w:val="auto"/>
        </w:rPr>
        <w:t>Management Determination</w:t>
      </w:r>
      <w:r>
        <w:rPr>
          <w:rFonts w:ascii="Arial" w:cs="Arial" w:eastAsia="Arial" w:hAnsi="Arial"/>
          <w:sz w:val="19"/>
          <w:szCs w:val="19"/>
          <w:color w:val="auto"/>
        </w:rPr>
        <w:t>”). The Management Determination shall be prepared as of the date of receipt of the Enforcement Notice.</w:t>
      </w:r>
    </w:p>
    <w:p>
      <w:pPr>
        <w:spacing w:after="0" w:line="151" w:lineRule="exact"/>
        <w:rPr>
          <w:rFonts w:ascii="Arial" w:cs="Arial" w:eastAsia="Arial" w:hAnsi="Arial"/>
          <w:sz w:val="19"/>
          <w:szCs w:val="19"/>
          <w:color w:val="010000"/>
        </w:rPr>
      </w:pPr>
    </w:p>
    <w:p>
      <w:pPr>
        <w:ind w:right="60" w:firstLine="656"/>
        <w:spacing w:after="0" w:line="273" w:lineRule="auto"/>
        <w:tabs>
          <w:tab w:leader="none" w:pos="1404" w:val="left"/>
        </w:tabs>
        <w:numPr>
          <w:ilvl w:val="0"/>
          <w:numId w:val="153"/>
        </w:numPr>
        <w:rPr>
          <w:rFonts w:ascii="Arial" w:cs="Arial" w:eastAsia="Arial" w:hAnsi="Arial"/>
          <w:sz w:val="19"/>
          <w:szCs w:val="19"/>
          <w:color w:val="010000"/>
        </w:rPr>
      </w:pPr>
      <w:r>
        <w:rPr>
          <w:rFonts w:ascii="Arial" w:cs="Arial" w:eastAsia="Arial" w:hAnsi="Arial"/>
          <w:sz w:val="19"/>
          <w:szCs w:val="19"/>
          <w:color w:val="auto"/>
        </w:rPr>
        <w:t>Following the Holders’ receipt of the Management Determination, upon request by the Holders, the relevant German Guarantor shall deliver to the Holders, within 30 Business Days of such request, (i) its up-to-date balance sheet or, in the case of a German GmbH &amp; Co. KG Guarantor, its and its general partner’s up-to-date balance sheet, drawn-up by its auditor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(ii) a detailed calculation of the amount of the Net Assets taking into account the adjustments set forth in Section 1413(c) (the</w:t>
      </w:r>
    </w:p>
    <w:p>
      <w:pPr>
        <w:spacing w:after="0" w:line="25"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Auditor’s Determination</w:t>
      </w:r>
      <w:r>
        <w:rPr>
          <w:rFonts w:ascii="Arial" w:cs="Arial" w:eastAsia="Arial" w:hAnsi="Arial"/>
          <w:sz w:val="22"/>
          <w:szCs w:val="22"/>
          <w:color w:val="auto"/>
        </w:rPr>
        <w:t>”). Such balance sheet and Auditor’s Determination shall be prepared in accordance with the accounting principles as consistently applied by the German Guarantors. The Auditor’s Determination shall be prepared as of the date of receipt of the Enforcement Notice.</w:t>
      </w:r>
    </w:p>
    <w:p>
      <w:pPr>
        <w:spacing w:after="0" w:line="187" w:lineRule="exact"/>
        <w:rPr>
          <w:sz w:val="20"/>
          <w:szCs w:val="20"/>
          <w:color w:val="auto"/>
        </w:rPr>
      </w:pPr>
    </w:p>
    <w:p>
      <w:pPr>
        <w:ind w:right="20" w:firstLine="656"/>
        <w:spacing w:after="0" w:line="246" w:lineRule="auto"/>
        <w:tabs>
          <w:tab w:leader="none" w:pos="1436" w:val="left"/>
        </w:tabs>
        <w:numPr>
          <w:ilvl w:val="0"/>
          <w:numId w:val="154"/>
        </w:numPr>
        <w:rPr>
          <w:rFonts w:ascii="Arial" w:cs="Arial" w:eastAsia="Arial" w:hAnsi="Arial"/>
          <w:sz w:val="21"/>
          <w:szCs w:val="21"/>
          <w:color w:val="010000"/>
        </w:rPr>
      </w:pPr>
      <w:r>
        <w:rPr>
          <w:rFonts w:ascii="Arial" w:cs="Arial" w:eastAsia="Arial" w:hAnsi="Arial"/>
          <w:sz w:val="21"/>
          <w:szCs w:val="21"/>
          <w:color w:val="auto"/>
        </w:rPr>
        <w:t>The Holders shall be entitled to demand payment under this Guarantee in an amount which would, in accordance with the Management Determination or, if applicable and taking into account any previous enforcement in accordance with the Management Determination, the Auditor’s Determination, not cause the German Guarantor’s Net Assets, or in the case of a German GmbH &amp; Co. KG Guarantor, its general partner’s Net Assets, to be reduced below zero or further reduced if already below zero. If and to the extent that the Net Assets as determined by the Auditor’s Determination are lower than the amount enforced (i) in accordance with the Management Determination or (ii) without regard to the Management and/or Auditor’s Determination, the Holders shall release to the relevant German Guarantor (or in case of a German GmbH &amp; Co. KG Guarantor to its general partner) such excess enforcement proceeds.</w:t>
      </w:r>
    </w:p>
    <w:p>
      <w:pPr>
        <w:spacing w:after="0" w:line="179" w:lineRule="exact"/>
        <w:rPr>
          <w:rFonts w:ascii="Arial" w:cs="Arial" w:eastAsia="Arial" w:hAnsi="Arial"/>
          <w:sz w:val="21"/>
          <w:szCs w:val="21"/>
          <w:color w:val="010000"/>
        </w:rPr>
      </w:pPr>
    </w:p>
    <w:p>
      <w:pPr>
        <w:ind w:left="1440" w:hanging="784"/>
        <w:spacing w:after="0"/>
        <w:tabs>
          <w:tab w:leader="none" w:pos="1440" w:val="left"/>
        </w:tabs>
        <w:numPr>
          <w:ilvl w:val="0"/>
          <w:numId w:val="154"/>
        </w:numPr>
        <w:rPr>
          <w:rFonts w:ascii="Arial" w:cs="Arial" w:eastAsia="Arial" w:hAnsi="Arial"/>
          <w:sz w:val="22"/>
          <w:szCs w:val="22"/>
          <w:color w:val="010000"/>
        </w:rPr>
      </w:pPr>
      <w:r>
        <w:rPr>
          <w:rFonts w:ascii="Arial" w:cs="Arial" w:eastAsia="Arial" w:hAnsi="Arial"/>
          <w:sz w:val="22"/>
          <w:szCs w:val="22"/>
          <w:color w:val="auto"/>
        </w:rPr>
        <w:t>The restriction under Section 1413(b) shall not apply:</w:t>
      </w:r>
    </w:p>
    <w:p>
      <w:pPr>
        <w:spacing w:after="0" w:line="206" w:lineRule="exact"/>
        <w:rPr>
          <w:rFonts w:ascii="Arial" w:cs="Arial" w:eastAsia="Arial" w:hAnsi="Arial"/>
          <w:sz w:val="22"/>
          <w:szCs w:val="22"/>
          <w:color w:val="010000"/>
        </w:rPr>
      </w:pPr>
    </w:p>
    <w:p>
      <w:pPr>
        <w:ind w:left="660" w:right="40" w:firstLine="644"/>
        <w:spacing w:after="0" w:line="297" w:lineRule="auto"/>
        <w:tabs>
          <w:tab w:leader="none" w:pos="2052" w:val="left"/>
        </w:tabs>
        <w:numPr>
          <w:ilvl w:val="1"/>
          <w:numId w:val="154"/>
        </w:numPr>
        <w:rPr>
          <w:rFonts w:ascii="Arial" w:cs="Arial" w:eastAsia="Arial" w:hAnsi="Arial"/>
          <w:sz w:val="19"/>
          <w:szCs w:val="19"/>
          <w:color w:val="010000"/>
        </w:rPr>
      </w:pPr>
      <w:r>
        <w:rPr>
          <w:rFonts w:ascii="Arial" w:cs="Arial" w:eastAsia="Arial" w:hAnsi="Arial"/>
          <w:sz w:val="19"/>
          <w:szCs w:val="19"/>
          <w:color w:val="auto"/>
        </w:rPr>
        <w:t>to the extent that this Guarantee secures (A) any loans that are on-lent, otherwise been passed on or actually disbursed to the relevant German Guarantor or any of its Subsidiaries and not repaid or (B) any guarantees issued under this Guarantee for the benefit of the relevant German Guarantor or any of its Subsidiaries which are not returned;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660" w:firstLine="644"/>
        <w:spacing w:after="0" w:line="273" w:lineRule="auto"/>
        <w:tabs>
          <w:tab w:leader="none" w:pos="2112" w:val="left"/>
        </w:tabs>
        <w:numPr>
          <w:ilvl w:val="1"/>
          <w:numId w:val="155"/>
        </w:numPr>
        <w:rPr>
          <w:rFonts w:ascii="Arial" w:cs="Arial" w:eastAsia="Arial" w:hAnsi="Arial"/>
          <w:sz w:val="19"/>
          <w:szCs w:val="19"/>
          <w:color w:val="010000"/>
        </w:rPr>
      </w:pPr>
      <w:r>
        <w:rPr>
          <w:rFonts w:ascii="Arial" w:cs="Arial" w:eastAsia="Arial" w:hAnsi="Arial"/>
          <w:sz w:val="19"/>
          <w:szCs w:val="19"/>
          <w:color w:val="auto"/>
        </w:rPr>
        <w:t>if the relevant German Guarantor (as dominated entity) is subject to a domination and/or profit transfer agreement (</w:t>
      </w:r>
      <w:r>
        <w:rPr>
          <w:rFonts w:ascii="Arial" w:cs="Arial" w:eastAsia="Arial" w:hAnsi="Arial"/>
          <w:sz w:val="19"/>
          <w:szCs w:val="19"/>
          <w:i w:val="1"/>
          <w:iCs w:val="1"/>
          <w:color w:val="auto"/>
        </w:rPr>
        <w:t>Beherrschungs- und/oder Gewinnabführungsvertrag</w:t>
      </w:r>
      <w:r>
        <w:rPr>
          <w:rFonts w:ascii="Arial" w:cs="Arial" w:eastAsia="Arial" w:hAnsi="Arial"/>
          <w:sz w:val="19"/>
          <w:szCs w:val="19"/>
          <w:color w:val="auto"/>
        </w:rPr>
        <w:t>) (a “</w:t>
      </w:r>
      <w:r>
        <w:rPr>
          <w:rFonts w:ascii="Arial" w:cs="Arial" w:eastAsia="Arial" w:hAnsi="Arial"/>
          <w:sz w:val="19"/>
          <w:szCs w:val="19"/>
          <w:u w:val="single" w:color="auto"/>
          <w:color w:val="auto"/>
        </w:rPr>
        <w:t>DPTA</w:t>
      </w:r>
      <w:r>
        <w:rPr>
          <w:rFonts w:ascii="Arial" w:cs="Arial" w:eastAsia="Arial" w:hAnsi="Arial"/>
          <w:sz w:val="19"/>
          <w:szCs w:val="19"/>
          <w:color w:val="auto"/>
        </w:rPr>
        <w:t>”) with the Guaranteed Obligor, whether directly or indirectly through a chain of DPTAs between each company and its shareholder (or in case of a German GmbH</w:t>
      </w:r>
    </w:p>
    <w:p>
      <w:pPr>
        <w:spacing w:after="0" w:line="1" w:lineRule="exact"/>
        <w:rPr>
          <w:rFonts w:ascii="Arial" w:cs="Arial" w:eastAsia="Arial" w:hAnsi="Arial"/>
          <w:sz w:val="19"/>
          <w:szCs w:val="19"/>
          <w:color w:val="010000"/>
        </w:rPr>
      </w:pPr>
    </w:p>
    <w:p>
      <w:pPr>
        <w:jc w:val="both"/>
        <w:ind w:left="660" w:right="600" w:hanging="4"/>
        <w:spacing w:after="0" w:line="234" w:lineRule="auto"/>
        <w:tabs>
          <w:tab w:leader="none" w:pos="88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Co. KG Guarantor between its general partner and its shareholder) provided that the existence of that DPTA does prevent the violation of section 30 of the German Act on Companies with Limited Liabilities (</w:t>
      </w:r>
      <w:r>
        <w:rPr>
          <w:rFonts w:ascii="Arial" w:cs="Arial" w:eastAsia="Arial" w:hAnsi="Arial"/>
          <w:sz w:val="22"/>
          <w:szCs w:val="22"/>
          <w:i w:val="1"/>
          <w:iCs w:val="1"/>
          <w:color w:val="auto"/>
        </w:rPr>
        <w:t>Gesetz betreffend die</w:t>
      </w:r>
      <w:r>
        <w:rPr>
          <w:rFonts w:ascii="Arial" w:cs="Arial" w:eastAsia="Arial" w:hAnsi="Arial"/>
          <w:sz w:val="22"/>
          <w:szCs w:val="22"/>
          <w:color w:val="auto"/>
        </w:rPr>
        <w:t xml:space="preserve"> </w:t>
      </w:r>
      <w:r>
        <w:rPr>
          <w:rFonts w:ascii="Arial" w:cs="Arial" w:eastAsia="Arial" w:hAnsi="Arial"/>
          <w:sz w:val="22"/>
          <w:szCs w:val="22"/>
          <w:i w:val="1"/>
          <w:iCs w:val="1"/>
          <w:color w:val="auto"/>
        </w:rPr>
        <w:t>Gesellschaften mit beschränkter Haftung</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660" w:right="220" w:firstLine="644"/>
        <w:spacing w:after="0"/>
        <w:tabs>
          <w:tab w:leader="none" w:pos="2172" w:val="left"/>
        </w:tabs>
        <w:numPr>
          <w:ilvl w:val="1"/>
          <w:numId w:val="156"/>
        </w:numPr>
        <w:rPr>
          <w:rFonts w:ascii="Arial" w:cs="Arial" w:eastAsia="Arial" w:hAnsi="Arial"/>
          <w:sz w:val="22"/>
          <w:szCs w:val="22"/>
          <w:color w:val="010000"/>
        </w:rPr>
      </w:pPr>
      <w:r>
        <w:rPr>
          <w:rFonts w:ascii="Arial" w:cs="Arial" w:eastAsia="Arial" w:hAnsi="Arial"/>
          <w:sz w:val="22"/>
          <w:szCs w:val="22"/>
          <w:color w:val="auto"/>
        </w:rPr>
        <w:t>if and to extent the relevant German Guarantor has on the date of enforcement of this Indenture a fully recoverable indemnity or claim for refund (</w:t>
      </w:r>
      <w:r>
        <w:rPr>
          <w:rFonts w:ascii="Arial" w:cs="Arial" w:eastAsia="Arial" w:hAnsi="Arial"/>
          <w:sz w:val="22"/>
          <w:szCs w:val="22"/>
          <w:i w:val="1"/>
          <w:iCs w:val="1"/>
          <w:color w:val="auto"/>
        </w:rPr>
        <w:t>vollwertiger Gegenleistungs- oder Rückgewähranspruch</w:t>
      </w:r>
      <w:r>
        <w:rPr>
          <w:rFonts w:ascii="Arial" w:cs="Arial" w:eastAsia="Arial" w:hAnsi="Arial"/>
          <w:sz w:val="22"/>
          <w:szCs w:val="22"/>
          <w:color w:val="auto"/>
        </w:rPr>
        <w:t>) against its shareholder or the Guaranteed Obligor;</w:t>
      </w:r>
    </w:p>
    <w:p>
      <w:pPr>
        <w:spacing w:after="0" w:line="186" w:lineRule="exact"/>
        <w:rPr>
          <w:rFonts w:ascii="Arial" w:cs="Arial" w:eastAsia="Arial" w:hAnsi="Arial"/>
          <w:sz w:val="22"/>
          <w:szCs w:val="22"/>
          <w:color w:val="010000"/>
        </w:rPr>
      </w:pPr>
    </w:p>
    <w:p>
      <w:pPr>
        <w:ind w:left="660" w:right="660" w:firstLine="644"/>
        <w:spacing w:after="0" w:line="274" w:lineRule="auto"/>
        <w:tabs>
          <w:tab w:leader="none" w:pos="2160" w:val="left"/>
        </w:tabs>
        <w:numPr>
          <w:ilvl w:val="1"/>
          <w:numId w:val="156"/>
        </w:numPr>
        <w:rPr>
          <w:rFonts w:ascii="Arial" w:cs="Arial" w:eastAsia="Arial" w:hAnsi="Arial"/>
          <w:sz w:val="21"/>
          <w:szCs w:val="21"/>
          <w:color w:val="010000"/>
        </w:rPr>
      </w:pPr>
      <w:r>
        <w:rPr>
          <w:rFonts w:ascii="Arial" w:cs="Arial" w:eastAsia="Arial" w:hAnsi="Arial"/>
          <w:sz w:val="21"/>
          <w:szCs w:val="21"/>
          <w:color w:val="auto"/>
        </w:rPr>
        <w:t xml:space="preserve">if and to the extent, despite being in a position to take measures as described above under Section 1413(d), the German Guarantor fails to take </w:t>
      </w:r>
      <w:r>
        <w:rPr>
          <w:rFonts w:ascii="Arial" w:cs="Arial" w:eastAsia="Arial" w:hAnsi="Arial"/>
          <w:sz w:val="21"/>
          <w:szCs w:val="21"/>
          <w:u w:val="single" w:color="auto"/>
          <w:color w:val="auto"/>
        </w:rPr>
        <w:t>its best efforts to carry out</w:t>
      </w:r>
      <w:r>
        <w:rPr>
          <w:rFonts w:ascii="Arial" w:cs="Arial" w:eastAsia="Arial" w:hAnsi="Arial"/>
          <w:sz w:val="21"/>
          <w:szCs w:val="21"/>
          <w:color w:val="auto"/>
        </w:rPr>
        <w:t xml:space="preserve"> such measures; or</w:t>
      </w:r>
    </w:p>
    <w:p>
      <w:pPr>
        <w:spacing w:after="0" w:line="150" w:lineRule="exact"/>
        <w:rPr>
          <w:rFonts w:ascii="Arial" w:cs="Arial" w:eastAsia="Arial" w:hAnsi="Arial"/>
          <w:sz w:val="21"/>
          <w:szCs w:val="21"/>
          <w:color w:val="010000"/>
        </w:rPr>
      </w:pPr>
    </w:p>
    <w:p>
      <w:pPr>
        <w:ind w:left="660" w:right="40" w:firstLine="644"/>
        <w:spacing w:after="0" w:line="250" w:lineRule="auto"/>
        <w:tabs>
          <w:tab w:leader="none" w:pos="2100" w:val="left"/>
        </w:tabs>
        <w:numPr>
          <w:ilvl w:val="1"/>
          <w:numId w:val="156"/>
        </w:numPr>
        <w:rPr>
          <w:rFonts w:ascii="Arial" w:cs="Arial" w:eastAsia="Arial" w:hAnsi="Arial"/>
          <w:sz w:val="22"/>
          <w:szCs w:val="22"/>
          <w:color w:val="010000"/>
        </w:rPr>
      </w:pPr>
      <w:r>
        <w:rPr>
          <w:rFonts w:ascii="Arial" w:cs="Arial" w:eastAsia="Arial" w:hAnsi="Arial"/>
          <w:sz w:val="22"/>
          <w:szCs w:val="22"/>
          <w:color w:val="auto"/>
        </w:rPr>
        <w:t>if a court order providing for the commencement of insolvency proceedings in respect of the assets of the German Guarantor has been issued.</w:t>
      </w:r>
    </w:p>
    <w:p>
      <w:pPr>
        <w:spacing w:after="0" w:line="175" w:lineRule="exact"/>
        <w:rPr>
          <w:sz w:val="20"/>
          <w:szCs w:val="20"/>
          <w:color w:val="auto"/>
        </w:rPr>
      </w:pPr>
    </w:p>
    <w:p>
      <w:pPr>
        <w:ind w:right="60" w:firstLine="656"/>
        <w:spacing w:after="0" w:line="236" w:lineRule="auto"/>
        <w:tabs>
          <w:tab w:leader="none" w:pos="1392"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For the avoidance of doubt, nothing shall prevent the Trustee from enforcing its rights under this Indenture against a German Guarantor if and to the extent that such enforcement does not contravene the provisions, or such limitations are not required in order to protect the managing directors of a German Guarantor from incurring personal liability exposure with respect to breaches, of section 30 of the German Act on Companies with Limited Liability (as amended from time to time and as each interpreted by the German Federal Court).</w:t>
      </w:r>
    </w:p>
    <w:p>
      <w:pPr>
        <w:spacing w:after="0" w:line="187" w:lineRule="exact"/>
        <w:rPr>
          <w:rFonts w:ascii="Arial" w:cs="Arial" w:eastAsia="Arial" w:hAnsi="Arial"/>
          <w:sz w:val="22"/>
          <w:szCs w:val="22"/>
          <w:color w:val="010000"/>
        </w:rPr>
      </w:pPr>
    </w:p>
    <w:p>
      <w:pPr>
        <w:ind w:right="480" w:firstLine="656"/>
        <w:spacing w:after="0" w:line="328" w:lineRule="auto"/>
        <w:tabs>
          <w:tab w:leader="none" w:pos="1388" w:val="left"/>
        </w:tabs>
        <w:numPr>
          <w:ilvl w:val="0"/>
          <w:numId w:val="157"/>
        </w:numPr>
        <w:rPr>
          <w:rFonts w:ascii="Arial" w:cs="Arial" w:eastAsia="Arial" w:hAnsi="Arial"/>
          <w:sz w:val="19"/>
          <w:szCs w:val="19"/>
          <w:color w:val="010000"/>
        </w:rPr>
      </w:pPr>
      <w:r>
        <w:rPr>
          <w:rFonts w:ascii="Arial" w:cs="Arial" w:eastAsia="Arial" w:hAnsi="Arial"/>
          <w:sz w:val="19"/>
          <w:szCs w:val="19"/>
          <w:color w:val="auto"/>
        </w:rPr>
        <w:t>The limitations set forth in this Section 1413 shall not affect the right of a Holder to claim again any amount outstanding at a later point in time if and to the extent that this Section 1413 would allow this at such later point in time.</w:t>
      </w:r>
    </w:p>
    <w:p>
      <w:pPr>
        <w:spacing w:after="0" w:line="11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1414.</w:t>
      </w:r>
      <w:r>
        <w:rPr>
          <w:sz w:val="20"/>
          <w:szCs w:val="20"/>
          <w:color w:val="auto"/>
        </w:rPr>
        <w:tab/>
      </w:r>
      <w:r>
        <w:rPr>
          <w:rFonts w:ascii="Arial" w:cs="Arial" w:eastAsia="Arial" w:hAnsi="Arial"/>
          <w:sz w:val="16"/>
          <w:szCs w:val="16"/>
          <w:u w:val="single" w:color="auto"/>
          <w:color w:val="auto"/>
        </w:rPr>
        <w:t>English Law Limitations.</w:t>
      </w:r>
    </w:p>
    <w:p>
      <w:pPr>
        <w:spacing w:after="0" w:line="218"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Notwithstanding anything to the contrary in this Indenture, the guarantee, indemnity or other obligation provided under this Indenture by a Guarantor incorporated under the laws of England and Wales does not apply to any liability to the extent that it would result in such guarantee, indemnity or other obligation hereunder constituting unlawful financial assistance within the meaning of sections 678 or 679 of the Companies Act 2006 or any equivalent and applicable provisions under the laws of England and Wales.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1415.</w:t>
      </w:r>
      <w:r>
        <w:rPr>
          <w:sz w:val="20"/>
          <w:szCs w:val="20"/>
          <w:color w:val="auto"/>
        </w:rPr>
        <w:tab/>
      </w:r>
      <w:r>
        <w:rPr>
          <w:rFonts w:ascii="Arial" w:cs="Arial" w:eastAsia="Arial" w:hAnsi="Arial"/>
          <w:sz w:val="17"/>
          <w:szCs w:val="17"/>
          <w:u w:val="single" w:color="auto"/>
          <w:color w:val="auto"/>
        </w:rPr>
        <w:t>Mexican Law Limitations.</w:t>
      </w:r>
    </w:p>
    <w:p>
      <w:pPr>
        <w:spacing w:after="0" w:line="218" w:lineRule="exact"/>
        <w:rPr>
          <w:sz w:val="20"/>
          <w:szCs w:val="20"/>
          <w:color w:val="auto"/>
        </w:rPr>
      </w:pPr>
    </w:p>
    <w:p>
      <w:pPr>
        <w:ind w:right="20" w:firstLine="656"/>
        <w:spacing w:after="0" w:line="297" w:lineRule="auto"/>
        <w:tabs>
          <w:tab w:leader="none" w:pos="1428" w:val="left"/>
        </w:tabs>
        <w:numPr>
          <w:ilvl w:val="0"/>
          <w:numId w:val="158"/>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Indenture, with respect to any Mexican Guarantor, such Mexican Guarantor shall provide its consent for any renewal, extension, any change in, or any modification of, in any manner whatsoever, any of the obligations and liabilities of the Issuer or such Mexican Guarantor contained in the Notes or the Indenture.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ind w:firstLine="656"/>
        <w:spacing w:after="0" w:line="235" w:lineRule="auto"/>
        <w:tabs>
          <w:tab w:leader="none" w:pos="1428" w:val="left"/>
        </w:tabs>
        <w:numPr>
          <w:ilvl w:val="0"/>
          <w:numId w:val="159"/>
        </w:numPr>
        <w:rPr>
          <w:rFonts w:ascii="Arial" w:cs="Arial" w:eastAsia="Arial" w:hAnsi="Arial"/>
          <w:sz w:val="22"/>
          <w:szCs w:val="22"/>
          <w:color w:val="010000"/>
        </w:rPr>
      </w:pPr>
      <w:r>
        <w:rPr>
          <w:rFonts w:ascii="Arial" w:cs="Arial" w:eastAsia="Arial" w:hAnsi="Arial"/>
          <w:sz w:val="22"/>
          <w:szCs w:val="22"/>
          <w:color w:val="auto"/>
        </w:rPr>
        <w:t xml:space="preserve">Additionally, with respect to any Mexican Guarantor, in the event that proceedings are brought in Mexico seeking performance of payment obligations of such Mexican Guarantor, denominated in a currency other than Mexican Pesos, the Mexican Guarantor may discharge its obligations by paying any sum due in Mexican currency at the rate of exchange prevailing in the United Mexican States and fixed by </w:t>
      </w:r>
      <w:r>
        <w:rPr>
          <w:rFonts w:ascii="Arial" w:cs="Arial" w:eastAsia="Arial" w:hAnsi="Arial"/>
          <w:sz w:val="22"/>
          <w:szCs w:val="22"/>
          <w:i w:val="1"/>
          <w:iCs w:val="1"/>
          <w:color w:val="auto"/>
        </w:rPr>
        <w:t>Banco de Mexico</w:t>
      </w:r>
      <w:r>
        <w:rPr>
          <w:rFonts w:ascii="Arial" w:cs="Arial" w:eastAsia="Arial" w:hAnsi="Arial"/>
          <w:sz w:val="22"/>
          <w:szCs w:val="22"/>
          <w:color w:val="auto"/>
        </w:rPr>
        <w:t xml:space="preserve"> published in the Official Gazette of the Federation (</w:t>
      </w:r>
      <w:r>
        <w:rPr>
          <w:rFonts w:ascii="Arial" w:cs="Arial" w:eastAsia="Arial" w:hAnsi="Arial"/>
          <w:sz w:val="22"/>
          <w:szCs w:val="22"/>
          <w:i w:val="1"/>
          <w:iCs w:val="1"/>
          <w:color w:val="auto"/>
        </w:rPr>
        <w:t>Diario</w:t>
      </w:r>
      <w:r>
        <w:rPr>
          <w:rFonts w:ascii="Arial" w:cs="Arial" w:eastAsia="Arial" w:hAnsi="Arial"/>
          <w:sz w:val="22"/>
          <w:szCs w:val="22"/>
          <w:color w:val="auto"/>
        </w:rPr>
        <w:t xml:space="preserve"> </w:t>
      </w:r>
      <w:r>
        <w:rPr>
          <w:rFonts w:ascii="Arial" w:cs="Arial" w:eastAsia="Arial" w:hAnsi="Arial"/>
          <w:sz w:val="22"/>
          <w:szCs w:val="22"/>
          <w:i w:val="1"/>
          <w:iCs w:val="1"/>
          <w:color w:val="auto"/>
        </w:rPr>
        <w:t>Oficial de la Federación</w:t>
      </w:r>
      <w:r>
        <w:rPr>
          <w:rFonts w:ascii="Arial" w:cs="Arial" w:eastAsia="Arial" w:hAnsi="Arial"/>
          <w:sz w:val="22"/>
          <w:szCs w:val="22"/>
          <w:color w:val="auto"/>
        </w:rPr>
        <w:t>) on the date when payment is made, as provided by the Monetary Law of the United Mexican States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Ley Monetaria de los Estados Unidos Mexicanos</w:t>
      </w:r>
      <w:r>
        <w:rPr>
          <w:rFonts w:ascii="Arial" w:cs="Arial" w:eastAsia="Arial" w:hAnsi="Arial"/>
          <w:sz w:val="22"/>
          <w:szCs w:val="22"/>
          <w:color w:val="auto"/>
        </w:rPr>
        <w:t>).</w:t>
      </w:r>
    </w:p>
    <w:p>
      <w:pPr>
        <w:spacing w:after="0" w:line="188" w:lineRule="exact"/>
        <w:rPr>
          <w:rFonts w:ascii="Arial" w:cs="Arial" w:eastAsia="Arial" w:hAnsi="Arial"/>
          <w:sz w:val="22"/>
          <w:szCs w:val="22"/>
          <w:color w:val="010000"/>
        </w:rPr>
      </w:pPr>
    </w:p>
    <w:p>
      <w:pPr>
        <w:ind w:left="1440" w:hanging="784"/>
        <w:spacing w:after="0"/>
        <w:tabs>
          <w:tab w:leader="none" w:pos="1440" w:val="left"/>
        </w:tabs>
        <w:numPr>
          <w:ilvl w:val="0"/>
          <w:numId w:val="159"/>
        </w:numPr>
        <w:rPr>
          <w:rFonts w:ascii="Arial" w:cs="Arial" w:eastAsia="Arial" w:hAnsi="Arial"/>
          <w:sz w:val="21"/>
          <w:szCs w:val="21"/>
          <w:color w:val="010000"/>
        </w:rPr>
      </w:pPr>
      <w:r>
        <w:rPr>
          <w:rFonts w:ascii="Arial" w:cs="Arial" w:eastAsia="Arial" w:hAnsi="Arial"/>
          <w:sz w:val="21"/>
          <w:szCs w:val="21"/>
          <w:color w:val="auto"/>
        </w:rPr>
        <w:t>The Trustee hereby accepts the trusts in the Indenture upon the terms and conditions herein set forth.</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1416.</w:t>
      </w:r>
      <w:r>
        <w:rPr>
          <w:sz w:val="20"/>
          <w:szCs w:val="20"/>
          <w:color w:val="auto"/>
        </w:rPr>
        <w:tab/>
      </w:r>
      <w:r>
        <w:rPr>
          <w:rFonts w:ascii="Arial" w:cs="Arial" w:eastAsia="Arial" w:hAnsi="Arial"/>
          <w:sz w:val="17"/>
          <w:szCs w:val="17"/>
          <w:u w:val="single" w:color="auto"/>
          <w:color w:val="auto"/>
        </w:rPr>
        <w:t>Argentine Law Limitations</w:t>
      </w:r>
      <w:r>
        <w:rPr>
          <w:rFonts w:ascii="Arial" w:cs="Arial" w:eastAsia="Arial" w:hAnsi="Arial"/>
          <w:sz w:val="17"/>
          <w:szCs w:val="17"/>
          <w:color w:val="auto"/>
        </w:rPr>
        <w:t>.</w:t>
      </w:r>
    </w:p>
    <w:p>
      <w:pPr>
        <w:spacing w:after="0" w:line="218" w:lineRule="exact"/>
        <w:rPr>
          <w:sz w:val="20"/>
          <w:szCs w:val="20"/>
          <w:color w:val="auto"/>
        </w:rPr>
      </w:pPr>
    </w:p>
    <w:p>
      <w:pPr>
        <w:ind w:right="20" w:firstLine="656"/>
        <w:spacing w:after="0" w:line="252" w:lineRule="auto"/>
        <w:tabs>
          <w:tab w:leader="none" w:pos="1428" w:val="left"/>
        </w:tabs>
        <w:numPr>
          <w:ilvl w:val="0"/>
          <w:numId w:val="160"/>
        </w:numPr>
        <w:rPr>
          <w:rFonts w:ascii="Arial" w:cs="Arial" w:eastAsia="Arial" w:hAnsi="Arial"/>
          <w:sz w:val="21"/>
          <w:szCs w:val="21"/>
          <w:color w:val="010000"/>
        </w:rPr>
      </w:pPr>
      <w:r>
        <w:rPr>
          <w:rFonts w:ascii="Arial" w:cs="Arial" w:eastAsia="Arial" w:hAnsi="Arial"/>
          <w:sz w:val="21"/>
          <w:szCs w:val="21"/>
          <w:color w:val="auto"/>
        </w:rPr>
        <w:t>Notwithstanding anything to the contrary in this Indenture, with respect to any and each of the Guarantors incorporated in Argentina (any such guarantor, an “</w:t>
      </w:r>
      <w:r>
        <w:rPr>
          <w:rFonts w:ascii="Arial" w:cs="Arial" w:eastAsia="Arial" w:hAnsi="Arial"/>
          <w:sz w:val="21"/>
          <w:szCs w:val="21"/>
          <w:u w:val="single" w:color="auto"/>
          <w:color w:val="auto"/>
        </w:rPr>
        <w:t>Argentine Guarantor</w:t>
      </w:r>
      <w:r>
        <w:rPr>
          <w:rFonts w:ascii="Arial" w:cs="Arial" w:eastAsia="Arial" w:hAnsi="Arial"/>
          <w:sz w:val="21"/>
          <w:szCs w:val="21"/>
          <w:color w:val="auto"/>
        </w:rPr>
        <w:t>”), such Argentine Guarantor shall provide its consent for any renewal, extension, any change in, or any modification of, in any manner whatsoever, any of the obligations and liabilities of the Issuer or such Argentine Guarantor contained in the Notes or the Indenture.</w:t>
      </w:r>
    </w:p>
    <w:p>
      <w:pPr>
        <w:spacing w:after="0" w:line="173" w:lineRule="exact"/>
        <w:rPr>
          <w:rFonts w:ascii="Arial" w:cs="Arial" w:eastAsia="Arial" w:hAnsi="Arial"/>
          <w:sz w:val="21"/>
          <w:szCs w:val="21"/>
          <w:color w:val="010000"/>
        </w:rPr>
      </w:pPr>
    </w:p>
    <w:p>
      <w:pPr>
        <w:jc w:val="both"/>
        <w:ind w:right="80" w:firstLine="656"/>
        <w:spacing w:after="0"/>
        <w:tabs>
          <w:tab w:leader="none" w:pos="1440"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Each of the Argentine Guarantors hereby acknowledges and recognizes that it is in the best interest of the Parent Guarantor and its Affiliates that the Supplemental Indenture (substantially in the form of Annex B to this Indenture) be executed by the Argentine Guarantors.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(c)</w:t>
      </w:r>
    </w:p>
    <w:p>
      <w:pPr>
        <w:spacing w:after="0" w:line="206" w:lineRule="exact"/>
        <w:rPr>
          <w:sz w:val="20"/>
          <w:szCs w:val="20"/>
          <w:color w:val="auto"/>
        </w:rPr>
      </w:pPr>
    </w:p>
    <w:p>
      <w:pPr>
        <w:ind w:left="660" w:right="60" w:firstLine="644"/>
        <w:spacing w:after="0" w:line="271" w:lineRule="auto"/>
        <w:tabs>
          <w:tab w:leader="none" w:pos="2048" w:val="left"/>
        </w:tabs>
        <w:numPr>
          <w:ilvl w:val="0"/>
          <w:numId w:val="161"/>
        </w:numPr>
        <w:rPr>
          <w:rFonts w:ascii="Arial" w:cs="Arial" w:eastAsia="Arial" w:hAnsi="Arial"/>
          <w:sz w:val="19"/>
          <w:szCs w:val="19"/>
          <w:color w:val="010000"/>
        </w:rPr>
      </w:pPr>
      <w:r>
        <w:rPr>
          <w:rFonts w:ascii="Arial" w:cs="Arial" w:eastAsia="Arial" w:hAnsi="Arial"/>
          <w:sz w:val="19"/>
          <w:szCs w:val="19"/>
          <w:color w:val="auto"/>
        </w:rPr>
        <w:t>The parties hereto acknowledge that (a) this is part of a cross-border financing, (b) the transactions and disbursements made under the Notes are made and denominated in Dollars and (c) any and all payments to be made by any Argentine Guarantor hereunder shall be made exclusively in Dollars. The Argentine Guarantor waives (a) any right (including any right under Section 765 of the Argentine National Civil and Commercial Code (if applicable)) it may have in any jurisdiction to pay any amount under the Notes in a currency or currency unit other than that in which it is expressed to be payable or (b) the right to invoke any defense of payment impossibility (including any defense under Section 1091 of the Argentine Civil and Commercial Code), or similar defenses or principles (including, without limitation, equity or sharing of efforts principles, impossibility to comply with the obligations under Section 1732 of the Argentine Civil and Commercial Code, “onerosidad sobreviviente,” “lesión enorme” or “abuso del derecho” under Section 10 of the Argentine Civil and Commercial Code). Nothing in this Indenture or the Notes shall impair any of the rights of the First Lien Notes Secured Parties or justify the Argentine Guarantor in refusing to make payments hereunder in Dollars for any reason whatsoever, including, without limitation, any of the following: (a) the purchase of Dollars in Argentina by any means becoming more onerous or burdensome for the Borrower and/or the Argentine Guarantor than as of the date hereof and (b) the exchange rate in force in Argentina increasing significantly from that in effect as of the date hereof. Accordingly, the Argentine Guarantor assumes the risk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line="252" w:lineRule="auto"/>
        <w:rPr>
          <w:sz w:val="20"/>
          <w:szCs w:val="20"/>
          <w:color w:val="auto"/>
        </w:rPr>
      </w:pPr>
      <w:r>
        <w:rPr>
          <w:rFonts w:ascii="Arial" w:cs="Arial" w:eastAsia="Arial" w:hAnsi="Arial"/>
          <w:sz w:val="21"/>
          <w:szCs w:val="21"/>
          <w:color w:val="auto"/>
        </w:rPr>
        <w:t>of, and takes responsibility for any present or future circumstance (including circumstances that may constitute events of force majeure) that may affect the foreign exchange market or any methods for obtaining Dollars, or prevent or make more burdensome the acquisition of Dollars owed hereunder, and it agrees, in any event, to honor all its obligations by the delivery of the exact amount of Dollars owed hereunder outside Argentina.</w:t>
      </w:r>
    </w:p>
    <w:p>
      <w:pPr>
        <w:spacing w:after="0" w:line="174" w:lineRule="exact"/>
        <w:rPr>
          <w:sz w:val="20"/>
          <w:szCs w:val="20"/>
          <w:color w:val="auto"/>
        </w:rPr>
      </w:pPr>
    </w:p>
    <w:p>
      <w:pPr>
        <w:ind w:right="20" w:firstLine="644"/>
        <w:spacing w:after="0" w:line="270" w:lineRule="auto"/>
        <w:tabs>
          <w:tab w:leader="none" w:pos="1452" w:val="left"/>
        </w:tabs>
        <w:numPr>
          <w:ilvl w:val="0"/>
          <w:numId w:val="162"/>
        </w:numPr>
        <w:rPr>
          <w:rFonts w:ascii="Arial" w:cs="Arial" w:eastAsia="Arial" w:hAnsi="Arial"/>
          <w:sz w:val="19"/>
          <w:szCs w:val="19"/>
          <w:color w:val="010000"/>
        </w:rPr>
      </w:pPr>
      <w:r>
        <w:rPr>
          <w:rFonts w:ascii="Arial" w:cs="Arial" w:eastAsia="Arial" w:hAnsi="Arial"/>
          <w:sz w:val="19"/>
          <w:szCs w:val="19"/>
          <w:color w:val="auto"/>
        </w:rPr>
        <w:t>Each of the Argentine Guarantors hereby agrees that, if there is any restriction or prohibition to access to the Argentine foreign exchange market, or on the payment outside of Argentina of any amounts due under the Notes, or a requirement to have prior authorization of the Central Bank of the Republic of Argentina (Banco Central de la República Argentina) or of any other Authority, and such authorization is not obtained prior to the applicable payment date, the Argentine Guarantor shall, at its own expense, obtain the required amount of Dollars to pay the relevant amount, to the extent permitted by law, through (a) the purchase of any public or private bond or tradable debt or equity security listed in Argentina and denominated in Dollars, and transfer and sale of the same out of Argentina for the payment of the then-due amount in Dollars; (b) the purchase of the due amount in Dollars in any market in which it may be purchased, with any legal tender; or (c) any other lawful mechanism for the acquisition of Dollars. It is hereby clarified and understood that, in case new regulations prohibit the mechanisms referred to in (a) through (c) above, the parties (including the Argentine Guarantor) shall negotiate, in good faith, reasonable available alternatives for the Argentine Guarantor to fulfill its obligations under this Indenture. Any payment obligations shall only be discharged upon the receipt by each of the First Lien Notes Secured Parties of the full payment of all such payment obligations, in Dollars. Interest shall continue to accrue as specified in this Indenture and the Notes on any amounts that are not paid on the due date therefor as a result of the Argentine Guarantor or any other entity’s entering into or consummating any transaction to obtain Dollars to make any required payment hereunder or the Notes and such shall continue to accrue until full payment of such amount due is made to the relevant First Lien Notes Secured Party.</w:t>
      </w:r>
    </w:p>
    <w:p>
      <w:pPr>
        <w:spacing w:after="0" w:line="168" w:lineRule="exact"/>
        <w:rPr>
          <w:rFonts w:ascii="Arial" w:cs="Arial" w:eastAsia="Arial" w:hAnsi="Arial"/>
          <w:sz w:val="19"/>
          <w:szCs w:val="19"/>
          <w:color w:val="010000"/>
        </w:rPr>
      </w:pPr>
    </w:p>
    <w:p>
      <w:pPr>
        <w:ind w:right="80" w:firstLine="644"/>
        <w:spacing w:after="0" w:line="274" w:lineRule="auto"/>
        <w:tabs>
          <w:tab w:leader="none" w:pos="1508" w:val="left"/>
        </w:tabs>
        <w:numPr>
          <w:ilvl w:val="0"/>
          <w:numId w:val="162"/>
        </w:numPr>
        <w:rPr>
          <w:rFonts w:ascii="Arial" w:cs="Arial" w:eastAsia="Arial" w:hAnsi="Arial"/>
          <w:sz w:val="19"/>
          <w:szCs w:val="19"/>
          <w:color w:val="010000"/>
        </w:rPr>
      </w:pPr>
      <w:r>
        <w:rPr>
          <w:rFonts w:ascii="Arial" w:cs="Arial" w:eastAsia="Arial" w:hAnsi="Arial"/>
          <w:sz w:val="19"/>
          <w:szCs w:val="19"/>
          <w:color w:val="auto"/>
        </w:rPr>
        <w:t>Without limiting the generality of any other provision of this Indenture, the Argentine Guarantor hereby irrevocably and unconditionally waives, to the fullest extent permitted by applicable law, all rights and benefits set forth in Articles 1584 (Excepciones al beneficio de excusión), 1583 (Beneficio de excusión) the first paragraph of 1585 (Beneficio de excusión en caso de coobligados), 1588 (Efectos de la sentencia), 1589 (Beneficio de división), 1592 (Subrogación) (as long as there are any outstanding payment obligations under the Notes), 1594 (Derechos del fiador), 1595 (as long as there are any outstanding payment obligations under the Notes), 1596 (Causales de extinción), 1597 (Novación) and 1598 (Evicción) of the Argentine Civil and Commercial Code. Furthermore, the Argentine Guarantor hereby waives the right to request the termination of this Indenture for any of the events set forth in items (b), (c) and (d) of Article 1596 (Causales de extinción) of the Argentine Civil and Commercial Code.</w:t>
      </w:r>
    </w:p>
    <w:p>
      <w:pPr>
        <w:spacing w:after="0" w:line="15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8" w:right="35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22"/>
          <w:szCs w:val="22"/>
          <w:b w:val="1"/>
          <w:bCs w:val="1"/>
          <w:color w:val="auto"/>
        </w:rPr>
        <w:t>ARTICLE FIFTEEN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COLLATERAL</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1501.</w:t>
      </w:r>
      <w:r>
        <w:rPr>
          <w:sz w:val="20"/>
          <w:szCs w:val="20"/>
          <w:color w:val="auto"/>
        </w:rPr>
        <w:tab/>
      </w:r>
      <w:r>
        <w:rPr>
          <w:rFonts w:ascii="Arial" w:cs="Arial" w:eastAsia="Arial" w:hAnsi="Arial"/>
          <w:sz w:val="16"/>
          <w:szCs w:val="16"/>
          <w:u w:val="single" w:color="auto"/>
          <w:color w:val="auto"/>
        </w:rPr>
        <w:t>Collateral Documents</w:t>
      </w:r>
      <w:r>
        <w:rPr>
          <w:rFonts w:ascii="Arial" w:cs="Arial" w:eastAsia="Arial" w:hAnsi="Arial"/>
          <w:sz w:val="16"/>
          <w:szCs w:val="16"/>
          <w:color w:val="auto"/>
        </w:rPr>
        <w:t>.</w:t>
      </w:r>
    </w:p>
    <w:p>
      <w:pPr>
        <w:spacing w:after="0" w:line="218" w:lineRule="exact"/>
        <w:rPr>
          <w:sz w:val="20"/>
          <w:szCs w:val="20"/>
          <w:color w:val="auto"/>
        </w:rPr>
      </w:pPr>
    </w:p>
    <w:p>
      <w:pPr>
        <w:ind w:firstLine="656"/>
        <w:spacing w:after="0" w:line="269" w:lineRule="auto"/>
        <w:tabs>
          <w:tab w:leader="none" w:pos="1424"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Indenture Obligations of the Issuer and the Guarantors to the Holders, the Trustee or the Collateral Agent under this Indenture, the Notes, the Guarantees and the Collateral Documents, according to the terms hereunder or thereunder, shall be secured as provided in the Collateral Documents, which define the terms of the Liens that secure the Indenture Obligations, subject to the terms of the First Lien Intercreditor Agreement. The Trustee and the Issuer hereby acknowledge and agree that the Collateral Agent holds the security interest for the benefit of itself, the Holders and the Trustee and pursuant to the terms of this Indenture and the Collateral Documents. Each Holder, by accepting a Note, and each beneficial owner of an interest in a Note, consents and agrees to the terms of the Collateral Documents (including the provisions providing for the possession, use, release and foreclosure of Collateral) and the First Lien Intercreditor Agreement as the same may be in effect or may be amended from time to time in accordance with their terms and this Indenture and the First Lien Intercreditor Agreement, and authorizes and directs the Collateral Agent to enter into the Collateral Documents and to perform its obligations and exercise its rights thereunder in accordance therewith. Subject to the Applicable Collateral Limitations, the Issuer shall deliver to the Collateral Agent copies of all documents required to be filed pursuant to the Collateral Documents to which the Collateral Agent is a party, and will do or cause to be done all such acts and things as may be reasonably required by the next sentence of this Section 1501, to provide to the Collateral Agent the security interest in the Collateral contemplated hereby and/or by the Collateral Documents or any part thereof, as from time to time constituted, so as to render the same available for the security and benefit of the Indenture Obligations secured hereby or thereby, according to the intent and purposes herein expressed. Subject to the Applicable Collateral Limitations, the Issuer shall, and shall cause the Subsidiaries of the Issuer to, take any and all actions and make all filings (including the filing of UCC or PPSA financing statements, continuation statements and amendments thereto (or analogous procedures under the applicable laws in the relevant Covered Jurisdiction)) required to cause the Collateral Documents to create and maintain, as security for the Indenture Obligations of the Issuer and the Guarantors to the First Lien Notes Secured Parties, a valid and enforceable perfected (or any analogous concept to the extent perfection does not apply in the relevant jurisdiction) Lien and security interest in and on all of the Collateral (subject to terms of the First Lien Intercreditor Agreement and the other Collateral Documents), in favor of the Collateral Agent for the benefit of itself, the Holders and the Trustee subject to no Liens other than Liens permitted by Section 1010 hereof.</w:t>
      </w:r>
    </w:p>
    <w:p>
      <w:pPr>
        <w:spacing w:after="0" w:line="200" w:lineRule="exact"/>
        <w:rPr>
          <w:rFonts w:ascii="Arial" w:cs="Arial" w:eastAsia="Arial" w:hAnsi="Arial"/>
          <w:sz w:val="19"/>
          <w:szCs w:val="19"/>
          <w:color w:val="010000"/>
        </w:rPr>
      </w:pPr>
    </w:p>
    <w:p>
      <w:pPr>
        <w:spacing w:after="0" w:line="209" w:lineRule="exact"/>
        <w:rPr>
          <w:rFonts w:ascii="Arial" w:cs="Arial" w:eastAsia="Arial" w:hAnsi="Arial"/>
          <w:sz w:val="19"/>
          <w:szCs w:val="19"/>
          <w:color w:val="010000"/>
        </w:rPr>
      </w:pPr>
    </w:p>
    <w:p>
      <w:pPr>
        <w:ind w:right="140" w:firstLine="656"/>
        <w:spacing w:after="0" w:line="257" w:lineRule="auto"/>
        <w:tabs>
          <w:tab w:leader="none" w:pos="1440" w:val="left"/>
        </w:tabs>
        <w:numPr>
          <w:ilvl w:val="0"/>
          <w:numId w:val="163"/>
        </w:numPr>
        <w:rPr>
          <w:rFonts w:ascii="Arial" w:cs="Arial" w:eastAsia="Arial" w:hAnsi="Arial"/>
          <w:sz w:val="21"/>
          <w:szCs w:val="21"/>
          <w:color w:val="010000"/>
        </w:rPr>
      </w:pPr>
      <w:r>
        <w:rPr>
          <w:rFonts w:ascii="Arial" w:cs="Arial" w:eastAsia="Arial" w:hAnsi="Arial"/>
          <w:sz w:val="21"/>
          <w:szCs w:val="21"/>
          <w:color w:val="auto"/>
        </w:rPr>
        <w:t>Notwithstanding any provision hereof to the contrary, the provisions of this Article Fifteen are qualified in their entirety by the Applicable Collateral Limitations and neither the Issuer nor any Guarantor shall be required pursuant to this Indenture or any Collateral Document to take any action limited by the Applicable Collateral Limitations.</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1502.</w:t>
      </w:r>
      <w:r>
        <w:rPr>
          <w:sz w:val="20"/>
          <w:szCs w:val="20"/>
          <w:color w:val="auto"/>
        </w:rPr>
        <w:tab/>
      </w:r>
      <w:r>
        <w:rPr>
          <w:rFonts w:ascii="Arial" w:cs="Arial" w:eastAsia="Arial" w:hAnsi="Arial"/>
          <w:sz w:val="16"/>
          <w:szCs w:val="16"/>
          <w:u w:val="single" w:color="auto"/>
          <w:color w:val="auto"/>
        </w:rPr>
        <w:t>Release of Collateral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41" w:name="page142"/>
    <w:bookmarkEnd w:id="141"/>
    <w:p>
      <w:pPr>
        <w:ind w:left="-20" w:firstLine="656"/>
        <w:spacing w:after="0" w:line="275" w:lineRule="auto"/>
        <w:tabs>
          <w:tab w:leader="none" w:pos="1404"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The Liens securing the Notes will be automatically released, all without delivery of any instrument or performance of any act by any party, at any time and from time to time as provided by this Section 1502. Upon such release, subject to the terms of the Collateral Documents, all rights in the released Collateral securing Indenture Obligations shall revert to the Issuer and the Guarantors, as applicable. The Collateral shall be released from the Lien and security interest created by the Collateral Documents and the Trustee (subject to its receipt of an Officers’ Certificate and Opinion of Counsel as provided below) shall execute documents evidencing such release (if any), and instruct the Collateral Agent in writing to execute, as applicable, and the Collateral Agent (subject to its receipt of an Officers’ Certificate and Opinion of Counsel as provided below) shall execute, the same at the Issuer’s sole cost and expense, under one or more of the following circumstances:</w:t>
      </w:r>
    </w:p>
    <w:p>
      <w:pPr>
        <w:spacing w:after="0" w:line="157" w:lineRule="exact"/>
        <w:rPr>
          <w:rFonts w:ascii="Arial" w:cs="Arial" w:eastAsia="Arial" w:hAnsi="Arial"/>
          <w:sz w:val="19"/>
          <w:szCs w:val="19"/>
          <w:color w:val="010000"/>
        </w:rPr>
      </w:pPr>
    </w:p>
    <w:p>
      <w:pPr>
        <w:ind w:left="2020" w:hanging="736"/>
        <w:spacing w:after="0"/>
        <w:tabs>
          <w:tab w:leader="none" w:pos="2020" w:val="left"/>
        </w:tabs>
        <w:numPr>
          <w:ilvl w:val="1"/>
          <w:numId w:val="164"/>
        </w:numPr>
        <w:rPr>
          <w:rFonts w:ascii="Arial" w:cs="Arial" w:eastAsia="Arial" w:hAnsi="Arial"/>
          <w:sz w:val="22"/>
          <w:szCs w:val="22"/>
          <w:color w:val="010000"/>
        </w:rPr>
      </w:pPr>
      <w:r>
        <w:rPr>
          <w:rFonts w:ascii="Arial" w:cs="Arial" w:eastAsia="Arial" w:hAnsi="Arial"/>
          <w:sz w:val="22"/>
          <w:szCs w:val="22"/>
          <w:color w:val="auto"/>
        </w:rPr>
        <w:t>in whole upon:</w:t>
      </w:r>
    </w:p>
    <w:p>
      <w:pPr>
        <w:spacing w:after="0" w:line="206" w:lineRule="exact"/>
        <w:rPr>
          <w:rFonts w:ascii="Arial" w:cs="Arial" w:eastAsia="Arial" w:hAnsi="Arial"/>
          <w:sz w:val="22"/>
          <w:szCs w:val="22"/>
          <w:color w:val="010000"/>
        </w:rPr>
      </w:pPr>
    </w:p>
    <w:p>
      <w:pPr>
        <w:ind w:left="1280" w:right="140" w:firstLine="652"/>
        <w:spacing w:after="0" w:line="287" w:lineRule="auto"/>
        <w:tabs>
          <w:tab w:leader="none" w:pos="2768" w:val="left"/>
        </w:tabs>
        <w:numPr>
          <w:ilvl w:val="2"/>
          <w:numId w:val="164"/>
        </w:numPr>
        <w:rPr>
          <w:rFonts w:ascii="Arial" w:cs="Arial" w:eastAsia="Arial" w:hAnsi="Arial"/>
          <w:sz w:val="19"/>
          <w:szCs w:val="19"/>
          <w:color w:val="010000"/>
        </w:rPr>
      </w:pPr>
      <w:r>
        <w:rPr>
          <w:rFonts w:ascii="Arial" w:cs="Arial" w:eastAsia="Arial" w:hAnsi="Arial"/>
          <w:sz w:val="19"/>
          <w:szCs w:val="19"/>
          <w:color w:val="auto"/>
        </w:rPr>
        <w:t>payment in full of the principal of, together with accrued and unpaid interest, on, the Notes and all other Indenture Obligations under this Indenture, the Guarantees and the Collateral Documents (for the avoidance of doubt, other than contingent Indenture Obligations in respect of which no claims have been made) that are due and payable at or prior to the time such principal, together with accrued and unpaid interest, are paid;</w:t>
      </w:r>
    </w:p>
    <w:p>
      <w:pPr>
        <w:spacing w:after="0" w:line="142" w:lineRule="exact"/>
        <w:rPr>
          <w:rFonts w:ascii="Arial" w:cs="Arial" w:eastAsia="Arial" w:hAnsi="Arial"/>
          <w:sz w:val="19"/>
          <w:szCs w:val="19"/>
          <w:color w:val="010000"/>
        </w:rPr>
      </w:pPr>
    </w:p>
    <w:p>
      <w:pPr>
        <w:ind w:left="2760" w:hanging="828"/>
        <w:spacing w:after="0"/>
        <w:tabs>
          <w:tab w:leader="none" w:pos="2760" w:val="left"/>
        </w:tabs>
        <w:numPr>
          <w:ilvl w:val="2"/>
          <w:numId w:val="164"/>
        </w:numPr>
        <w:rPr>
          <w:rFonts w:ascii="Arial" w:cs="Arial" w:eastAsia="Arial" w:hAnsi="Arial"/>
          <w:sz w:val="22"/>
          <w:szCs w:val="22"/>
          <w:color w:val="010000"/>
        </w:rPr>
      </w:pPr>
      <w:r>
        <w:rPr>
          <w:rFonts w:ascii="Arial" w:cs="Arial" w:eastAsia="Arial" w:hAnsi="Arial"/>
          <w:sz w:val="22"/>
          <w:szCs w:val="22"/>
          <w:color w:val="auto"/>
        </w:rPr>
        <w:t>satisfaction and discharge of this Indenture with respect to the Notes as set forth under</w:t>
      </w:r>
    </w:p>
    <w:p>
      <w:pPr>
        <w:spacing w:after="0" w:line="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Section 401; or</w:t>
      </w:r>
    </w:p>
    <w:p>
      <w:pPr>
        <w:spacing w:after="0" w:line="188" w:lineRule="exact"/>
        <w:rPr>
          <w:sz w:val="20"/>
          <w:szCs w:val="20"/>
          <w:color w:val="auto"/>
        </w:rPr>
      </w:pPr>
    </w:p>
    <w:p>
      <w:pPr>
        <w:ind w:left="1280" w:right="400" w:firstLine="652"/>
        <w:spacing w:after="0" w:line="250" w:lineRule="auto"/>
        <w:tabs>
          <w:tab w:leader="none" w:pos="2756" w:val="left"/>
        </w:tabs>
        <w:numPr>
          <w:ilvl w:val="1"/>
          <w:numId w:val="165"/>
        </w:numPr>
        <w:rPr>
          <w:rFonts w:ascii="Arial" w:cs="Arial" w:eastAsia="Arial" w:hAnsi="Arial"/>
          <w:sz w:val="22"/>
          <w:szCs w:val="22"/>
          <w:color w:val="010000"/>
        </w:rPr>
      </w:pPr>
      <w:r>
        <w:rPr>
          <w:rFonts w:ascii="Arial" w:cs="Arial" w:eastAsia="Arial" w:hAnsi="Arial"/>
          <w:sz w:val="22"/>
          <w:szCs w:val="22"/>
          <w:color w:val="auto"/>
        </w:rPr>
        <w:t>a Legal Defeasance or Covenant Defeasance of this Indenture with respect to the Notes as set forth under Sections 1302 or 1303 hereof, as applicable;</w:t>
      </w:r>
    </w:p>
    <w:p>
      <w:pPr>
        <w:spacing w:after="0" w:line="174" w:lineRule="exact"/>
        <w:rPr>
          <w:rFonts w:ascii="Arial" w:cs="Arial" w:eastAsia="Arial" w:hAnsi="Arial"/>
          <w:sz w:val="22"/>
          <w:szCs w:val="22"/>
          <w:color w:val="010000"/>
        </w:rPr>
      </w:pPr>
    </w:p>
    <w:p>
      <w:pPr>
        <w:ind w:left="2080" w:hanging="796"/>
        <w:spacing w:after="0"/>
        <w:tabs>
          <w:tab w:leader="none" w:pos="2080" w:val="left"/>
        </w:tabs>
        <w:numPr>
          <w:ilvl w:val="0"/>
          <w:numId w:val="166"/>
        </w:numPr>
        <w:rPr>
          <w:rFonts w:ascii="Arial" w:cs="Arial" w:eastAsia="Arial" w:hAnsi="Arial"/>
          <w:sz w:val="21"/>
          <w:szCs w:val="21"/>
          <w:color w:val="010000"/>
        </w:rPr>
      </w:pPr>
      <w:r>
        <w:rPr>
          <w:rFonts w:ascii="Arial" w:cs="Arial" w:eastAsia="Arial" w:hAnsi="Arial"/>
          <w:sz w:val="21"/>
          <w:szCs w:val="21"/>
          <w:color w:val="auto"/>
        </w:rPr>
        <w:t>in whole or in part, with the consent of Holders of the Notes in accordance with Article Nine of this</w:t>
      </w:r>
    </w:p>
    <w:p>
      <w:pPr>
        <w:spacing w:after="0" w:line="19" w:lineRule="exact"/>
        <w:rPr>
          <w:rFonts w:ascii="Arial" w:cs="Arial" w:eastAsia="Arial" w:hAnsi="Arial"/>
          <w:sz w:val="21"/>
          <w:szCs w:val="21"/>
          <w:color w:val="010000"/>
        </w:rPr>
      </w:pPr>
    </w:p>
    <w:p>
      <w:pPr>
        <w:ind w:left="640"/>
        <w:spacing w:after="0"/>
        <w:rPr>
          <w:rFonts w:ascii="Arial" w:cs="Arial" w:eastAsia="Arial" w:hAnsi="Arial"/>
          <w:sz w:val="21"/>
          <w:szCs w:val="21"/>
          <w:color w:val="010000"/>
        </w:rPr>
      </w:pPr>
      <w:r>
        <w:rPr>
          <w:rFonts w:ascii="Arial" w:cs="Arial" w:eastAsia="Arial" w:hAnsi="Arial"/>
          <w:sz w:val="22"/>
          <w:szCs w:val="22"/>
          <w:color w:val="auto"/>
        </w:rPr>
        <w:t>Indenture;</w:t>
      </w:r>
    </w:p>
    <w:p>
      <w:pPr>
        <w:spacing w:after="0" w:line="188" w:lineRule="exact"/>
        <w:rPr>
          <w:rFonts w:ascii="Arial" w:cs="Arial" w:eastAsia="Arial" w:hAnsi="Arial"/>
          <w:sz w:val="21"/>
          <w:szCs w:val="21"/>
          <w:color w:val="010000"/>
        </w:rPr>
      </w:pPr>
    </w:p>
    <w:p>
      <w:pPr>
        <w:ind w:left="2140" w:hanging="856"/>
        <w:spacing w:after="0"/>
        <w:tabs>
          <w:tab w:leader="none" w:pos="2140" w:val="left"/>
        </w:tabs>
        <w:numPr>
          <w:ilvl w:val="0"/>
          <w:numId w:val="166"/>
        </w:numPr>
        <w:rPr>
          <w:rFonts w:ascii="Arial" w:cs="Arial" w:eastAsia="Arial" w:hAnsi="Arial"/>
          <w:sz w:val="22"/>
          <w:szCs w:val="22"/>
          <w:color w:val="010000"/>
        </w:rPr>
      </w:pPr>
      <w:r>
        <w:rPr>
          <w:rFonts w:ascii="Arial" w:cs="Arial" w:eastAsia="Arial" w:hAnsi="Arial"/>
          <w:sz w:val="22"/>
          <w:szCs w:val="22"/>
          <w:color w:val="auto"/>
        </w:rPr>
        <w:t>in part, as to any asset:</w:t>
      </w:r>
    </w:p>
    <w:p>
      <w:pPr>
        <w:spacing w:after="0" w:line="206" w:lineRule="exact"/>
        <w:rPr>
          <w:rFonts w:ascii="Arial" w:cs="Arial" w:eastAsia="Arial" w:hAnsi="Arial"/>
          <w:sz w:val="22"/>
          <w:szCs w:val="22"/>
          <w:color w:val="010000"/>
        </w:rPr>
      </w:pPr>
    </w:p>
    <w:p>
      <w:pPr>
        <w:ind w:left="1280" w:right="260" w:firstLine="652"/>
        <w:spacing w:after="0" w:line="238" w:lineRule="auto"/>
        <w:tabs>
          <w:tab w:leader="none" w:pos="2822"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(I) constituting Collateral that is sold or otherwise disposed of by the Issuer or any of the Guarantors to any Person that is not the Issuer or a Guarantor in a transaction permitted by this Indenture (to the extent of the interest sold or disposed of) or (II) constituting Collateral, in accordance with the provisions of the First Lien Intercreditor Agreement, or</w:t>
      </w:r>
    </w:p>
    <w:p>
      <w:pPr>
        <w:spacing w:after="0" w:line="184" w:lineRule="exact"/>
        <w:rPr>
          <w:rFonts w:ascii="Arial" w:cs="Arial" w:eastAsia="Arial" w:hAnsi="Arial"/>
          <w:sz w:val="22"/>
          <w:szCs w:val="22"/>
          <w:color w:val="010000"/>
        </w:rPr>
      </w:pPr>
    </w:p>
    <w:p>
      <w:pPr>
        <w:ind w:left="2760" w:hanging="828"/>
        <w:spacing w:after="0"/>
        <w:tabs>
          <w:tab w:leader="none" w:pos="2760"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that is held by a Guarantor that ceases to be a Guarantor, or</w:t>
      </w:r>
    </w:p>
    <w:p>
      <w:pPr>
        <w:spacing w:after="0" w:line="206" w:lineRule="exact"/>
        <w:rPr>
          <w:rFonts w:ascii="Arial" w:cs="Arial" w:eastAsia="Arial" w:hAnsi="Arial"/>
          <w:sz w:val="22"/>
          <w:szCs w:val="22"/>
          <w:color w:val="010000"/>
        </w:rPr>
      </w:pPr>
    </w:p>
    <w:p>
      <w:pPr>
        <w:ind w:left="2760" w:hanging="828"/>
        <w:spacing w:after="0"/>
        <w:tabs>
          <w:tab w:leader="none" w:pos="2760"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that becomes an Excluded Asset, or</w:t>
      </w:r>
    </w:p>
    <w:p>
      <w:pPr>
        <w:spacing w:after="0" w:line="206" w:lineRule="exact"/>
        <w:rPr>
          <w:rFonts w:ascii="Arial" w:cs="Arial" w:eastAsia="Arial" w:hAnsi="Arial"/>
          <w:sz w:val="22"/>
          <w:szCs w:val="22"/>
          <w:color w:val="010000"/>
        </w:rPr>
      </w:pPr>
    </w:p>
    <w:p>
      <w:pPr>
        <w:ind w:left="1280" w:right="160" w:firstLine="652"/>
        <w:spacing w:after="0" w:line="250" w:lineRule="auto"/>
        <w:tabs>
          <w:tab w:leader="none" w:pos="2768"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that is otherwise released in accordance with, and as expressly provided for by the terms of, this Indenture and the Collateral Documents,</w:t>
      </w:r>
    </w:p>
    <w:p>
      <w:pPr>
        <w:spacing w:after="0" w:line="175" w:lineRule="exact"/>
        <w:rPr>
          <w:sz w:val="20"/>
          <w:szCs w:val="20"/>
          <w:color w:val="auto"/>
        </w:rPr>
      </w:pPr>
    </w:p>
    <w:p>
      <w:pPr>
        <w:ind w:left="640" w:right="100" w:firstLine="648"/>
        <w:spacing w:after="0" w:line="250" w:lineRule="auto"/>
        <w:rPr>
          <w:sz w:val="20"/>
          <w:szCs w:val="20"/>
          <w:color w:val="auto"/>
        </w:rPr>
      </w:pPr>
      <w:r>
        <w:rPr>
          <w:rFonts w:ascii="Arial" w:cs="Arial" w:eastAsia="Arial" w:hAnsi="Arial"/>
          <w:sz w:val="22"/>
          <w:szCs w:val="22"/>
          <w:color w:val="auto"/>
        </w:rPr>
        <w:t>provided that, in the case of clause (iii)(A)(II), the proceeds of such Collateral shall be applied in accordance with the First Lien Intercreditor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42" w:name="page143"/>
    <w:bookmarkEnd w:id="142"/>
    <w:p>
      <w:pPr>
        <w:ind w:firstLine="656"/>
        <w:spacing w:after="0" w:line="245" w:lineRule="auto"/>
        <w:tabs>
          <w:tab w:leader="none" w:pos="1440" w:val="left"/>
        </w:tabs>
        <w:numPr>
          <w:ilvl w:val="0"/>
          <w:numId w:val="167"/>
        </w:numPr>
        <w:rPr>
          <w:rFonts w:ascii="Arial" w:cs="Arial" w:eastAsia="Arial" w:hAnsi="Arial"/>
          <w:sz w:val="21"/>
          <w:szCs w:val="21"/>
          <w:color w:val="010000"/>
        </w:rPr>
      </w:pPr>
      <w:r>
        <w:rPr>
          <w:rFonts w:ascii="Arial" w:cs="Arial" w:eastAsia="Arial" w:hAnsi="Arial"/>
          <w:sz w:val="21"/>
          <w:szCs w:val="21"/>
          <w:color w:val="auto"/>
        </w:rPr>
        <w:t>In addition, the Liens with respect to any portion of the Notes (less than all of the Notes) shall be automatically released, all without delivery of any instrument or performance of any act by any party, at any time and from time to time as provided by this Section 1502 and the Trustee (subject to its receipt of an Officers’ Certificate and Opinion of Counsel as provided below) shall execute documents evidencing such release (if any), and instruct the Collateral Agent in writing to execute, as applicable, and the Collateral Agent (subject to its receipt of an Officers’ Certificate and Opinion of Counsel as provided below) shall execute the same at the Issuer’s sole cost and expense, upon payment in full of the principal of, together with accrued and unpaid interest on, the applicable Notes and all other Indenture Obligations under this Indenture, the Guarantees and the Collateral Documents in respect of such Notes (for the avoidance of doubt, other than contingent Indenture Obligations in respect of which no claims have been made) that are due and payable at or prior to the time such principal, together with accrued and unpaid interest, are paid.</w:t>
      </w:r>
    </w:p>
    <w:p>
      <w:pPr>
        <w:spacing w:after="0" w:line="181" w:lineRule="exact"/>
        <w:rPr>
          <w:rFonts w:ascii="Arial" w:cs="Arial" w:eastAsia="Arial" w:hAnsi="Arial"/>
          <w:sz w:val="21"/>
          <w:szCs w:val="21"/>
          <w:color w:val="010000"/>
        </w:rPr>
      </w:pPr>
    </w:p>
    <w:p>
      <w:pPr>
        <w:ind w:right="60" w:firstLine="656"/>
        <w:spacing w:after="0" w:line="271" w:lineRule="auto"/>
        <w:tabs>
          <w:tab w:leader="none" w:pos="1424" w:val="left"/>
        </w:tabs>
        <w:numPr>
          <w:ilvl w:val="0"/>
          <w:numId w:val="167"/>
        </w:numPr>
        <w:rPr>
          <w:rFonts w:ascii="Arial" w:cs="Arial" w:eastAsia="Arial" w:hAnsi="Arial"/>
          <w:sz w:val="19"/>
          <w:szCs w:val="19"/>
          <w:color w:val="010000"/>
        </w:rPr>
      </w:pPr>
      <w:r>
        <w:rPr>
          <w:rFonts w:ascii="Arial" w:cs="Arial" w:eastAsia="Arial" w:hAnsi="Arial"/>
          <w:sz w:val="19"/>
          <w:szCs w:val="19"/>
          <w:color w:val="auto"/>
        </w:rPr>
        <w:t>With respect to any release of Collateral or release of the Notes from the Liens securing the Notes, upon receipt of an Officers’ Certificate and an Opinion of Counsel stating that all conditions precedent under this Indenture, the First Lien Intercreditor Agreement and the Collateral Documents, as applicable, to such release have been met and that it is permitted for the Trustee and/or the Collateral Agent to execute and deliver the documents requested by the Issuer in connection with such release, and any necessary or proper instruments of termination, satisfaction, discharge or release prepared by the Issuer, the Trustee shall, or shall cause the Collateral Agent to, and the Collateral Agent shall, execute, deliver or acknowledge (at the Issuer’s expense) such instruments or releases (whether electronically or in writing) to evidence, and shall do or cause to be done all other acts reasonably necessary to effect, in each case as soon as reasonably practicable, the release and discharge of any Collateral or any Notes permitted to be released pursuant to this Indenture, the First Lien Intercreditor Agreement or the other Collateral Documents. Neither the Trustee nor the Collateral Agent shall be liable for any such release undertaken in reliance upon any such Officers’ Certificate or Opinion of Counsel, and notwithstanding any term hereof or in any Collateral Document or the First Lien Intercreditor Agreement to the contrary, but without limiting any automatic release provided hereunder or under any Collateral Document, the Trustee and the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6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1503.</w:t>
      </w:r>
      <w:r>
        <w:rPr>
          <w:sz w:val="20"/>
          <w:szCs w:val="20"/>
          <w:color w:val="auto"/>
        </w:rPr>
        <w:tab/>
      </w:r>
      <w:r>
        <w:rPr>
          <w:rFonts w:ascii="Arial" w:cs="Arial" w:eastAsia="Arial" w:hAnsi="Arial"/>
          <w:sz w:val="16"/>
          <w:szCs w:val="16"/>
          <w:u w:val="single" w:color="auto"/>
          <w:color w:val="auto"/>
        </w:rPr>
        <w:t>Suits to Protect the Collateral</w:t>
      </w:r>
    </w:p>
    <w:p>
      <w:pPr>
        <w:spacing w:after="0" w:line="218"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22"/>
          <w:szCs w:val="22"/>
          <w:color w:val="auto"/>
        </w:rPr>
        <w:t>Subject to the provisions of Article Six hereof and the Collateral Documents and the First Lien Intercreditor Agreement, the Trustee, without the consent of the Holders, on behalf of the Holders, following the occurrence of an Event of Default that is continuing, may or may instruct the Collateral Agent in writing to take all actions it reasonably determines are necessary in order to:</w:t>
      </w:r>
    </w:p>
    <w:p>
      <w:pPr>
        <w:spacing w:after="0" w:line="185" w:lineRule="exact"/>
        <w:rPr>
          <w:sz w:val="20"/>
          <w:szCs w:val="20"/>
          <w:color w:val="auto"/>
        </w:rPr>
      </w:pPr>
    </w:p>
    <w:p>
      <w:pPr>
        <w:ind w:left="1440" w:hanging="784"/>
        <w:spacing w:after="0"/>
        <w:tabs>
          <w:tab w:leader="none" w:pos="1440" w:val="left"/>
        </w:tabs>
        <w:numPr>
          <w:ilvl w:val="0"/>
          <w:numId w:val="168"/>
        </w:numPr>
        <w:rPr>
          <w:rFonts w:ascii="Arial" w:cs="Arial" w:eastAsia="Arial" w:hAnsi="Arial"/>
          <w:sz w:val="22"/>
          <w:szCs w:val="22"/>
          <w:color w:val="010000"/>
        </w:rPr>
      </w:pPr>
      <w:r>
        <w:rPr>
          <w:rFonts w:ascii="Arial" w:cs="Arial" w:eastAsia="Arial" w:hAnsi="Arial"/>
          <w:sz w:val="22"/>
          <w:szCs w:val="22"/>
          <w:color w:val="auto"/>
        </w:rPr>
        <w:t>enforce any of the terms of the Collateral Documents; and</w:t>
      </w:r>
    </w:p>
    <w:p>
      <w:pPr>
        <w:spacing w:after="0" w:line="206" w:lineRule="exact"/>
        <w:rPr>
          <w:rFonts w:ascii="Arial" w:cs="Arial" w:eastAsia="Arial" w:hAnsi="Arial"/>
          <w:sz w:val="22"/>
          <w:szCs w:val="22"/>
          <w:color w:val="010000"/>
        </w:rPr>
      </w:pPr>
    </w:p>
    <w:p>
      <w:pPr>
        <w:ind w:left="1440" w:hanging="784"/>
        <w:spacing w:after="0"/>
        <w:tabs>
          <w:tab w:leader="none" w:pos="1440" w:val="left"/>
        </w:tabs>
        <w:numPr>
          <w:ilvl w:val="0"/>
          <w:numId w:val="168"/>
        </w:numPr>
        <w:rPr>
          <w:rFonts w:ascii="Arial" w:cs="Arial" w:eastAsia="Arial" w:hAnsi="Arial"/>
          <w:sz w:val="22"/>
          <w:szCs w:val="22"/>
          <w:color w:val="010000"/>
        </w:rPr>
      </w:pPr>
      <w:r>
        <w:rPr>
          <w:rFonts w:ascii="Arial" w:cs="Arial" w:eastAsia="Arial" w:hAnsi="Arial"/>
          <w:sz w:val="22"/>
          <w:szCs w:val="22"/>
          <w:color w:val="auto"/>
        </w:rPr>
        <w:t>collect and receive any and all amounts payable in respect of the Indenture Obligations hereunder.</w:t>
      </w:r>
    </w:p>
    <w:p>
      <w:pPr>
        <w:spacing w:after="0" w:line="206" w:lineRule="exact"/>
        <w:rPr>
          <w:rFonts w:ascii="Arial" w:cs="Arial" w:eastAsia="Arial" w:hAnsi="Arial"/>
          <w:sz w:val="22"/>
          <w:szCs w:val="22"/>
          <w:color w:val="010000"/>
        </w:rPr>
      </w:pPr>
    </w:p>
    <w:p>
      <w:pPr>
        <w:ind w:left="5460"/>
        <w:spacing w:after="0"/>
        <w:rPr>
          <w:rFonts w:ascii="Arial" w:cs="Arial" w:eastAsia="Arial" w:hAnsi="Arial"/>
          <w:sz w:val="22"/>
          <w:szCs w:val="22"/>
          <w:color w:val="010000"/>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3" w:name="page144"/>
    <w:bookmarkEnd w:id="143"/>
    <w:p>
      <w:pPr>
        <w:ind w:firstLine="648"/>
        <w:spacing w:after="0" w:line="248" w:lineRule="auto"/>
        <w:rPr>
          <w:sz w:val="20"/>
          <w:szCs w:val="20"/>
          <w:color w:val="auto"/>
        </w:rPr>
      </w:pPr>
      <w:r>
        <w:rPr>
          <w:rFonts w:ascii="Arial" w:cs="Arial" w:eastAsia="Arial" w:hAnsi="Arial"/>
          <w:sz w:val="21"/>
          <w:szCs w:val="21"/>
          <w:color w:val="auto"/>
        </w:rPr>
        <w:t>Subject to the provisions of the Collateral Documents and the First Lien Intercreditor Agreement, the Trustee and the Collateral Agent shall have the power to institute and to maintain such suits and proceedings as the Trustee may deem expedient to prevent any impairment of the Collateral by any acts which may be unlawful or in violation of any of the Collateral Documents or this Indenture, and such suits and proceedings as the Trustee may determine to preserve or protect its interests and the interests of the Holders in the Collateral. Nothing in this Section 1503 shall be considered to impose any such duty or obligation to act on the part of the Trustee or the Collateral Agent.</w:t>
      </w:r>
    </w:p>
    <w:p>
      <w:pPr>
        <w:spacing w:after="0" w:line="18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1504.</w:t>
      </w:r>
      <w:r>
        <w:rPr>
          <w:sz w:val="20"/>
          <w:szCs w:val="20"/>
          <w:color w:val="auto"/>
        </w:rPr>
        <w:tab/>
      </w:r>
      <w:r>
        <w:rPr>
          <w:rFonts w:ascii="Arial" w:cs="Arial" w:eastAsia="Arial" w:hAnsi="Arial"/>
          <w:sz w:val="16"/>
          <w:szCs w:val="16"/>
          <w:u w:val="single" w:color="auto"/>
          <w:color w:val="auto"/>
        </w:rPr>
        <w:t>Authorization of Receipt of Funds by the Trustee Under the Collateral Documents</w:t>
      </w:r>
      <w:r>
        <w:rPr>
          <w:rFonts w:ascii="Arial" w:cs="Arial" w:eastAsia="Arial" w:hAnsi="Arial"/>
          <w:sz w:val="16"/>
          <w:szCs w:val="16"/>
          <w:color w:val="auto"/>
        </w:rPr>
        <w:t>.</w:t>
      </w:r>
    </w:p>
    <w:p>
      <w:pPr>
        <w:spacing w:after="0" w:line="218"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Subject to the provisions of the First Lien Intercreditor Agreement, the Trustee is authorized to receive any funds for the benefit of the Holders distributed under the Collateral Documents, and to make further distributions of such funds to the Holders according to the provisions of this Indenture.</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1505.</w:t>
      </w:r>
      <w:r>
        <w:rPr>
          <w:sz w:val="20"/>
          <w:szCs w:val="20"/>
          <w:color w:val="auto"/>
        </w:rPr>
        <w:tab/>
      </w:r>
      <w:r>
        <w:rPr>
          <w:rFonts w:ascii="Arial" w:cs="Arial" w:eastAsia="Arial" w:hAnsi="Arial"/>
          <w:sz w:val="15"/>
          <w:szCs w:val="15"/>
          <w:u w:val="single" w:color="auto"/>
          <w:color w:val="auto"/>
        </w:rPr>
        <w:t>Purchaser Protected</w:t>
      </w:r>
      <w:r>
        <w:rPr>
          <w:rFonts w:ascii="Arial" w:cs="Arial" w:eastAsia="Arial" w:hAnsi="Arial"/>
          <w:sz w:val="15"/>
          <w:szCs w:val="15"/>
          <w:color w:val="auto"/>
        </w:rPr>
        <w:t>.</w:t>
      </w:r>
    </w:p>
    <w:p>
      <w:pPr>
        <w:spacing w:after="0" w:line="218"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In no event shall any purchaser or other transferee in good faith of any property or asset purported to be released hereunder be bound to ascertain the authority of the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asset or rights permitted by this Article Fifteen to be sold be under any obligation to ascertain or inquire into the authority of the Issuer or the applicable Guarantor to make any such sale or other transfer.</w:t>
      </w:r>
    </w:p>
    <w:p>
      <w:pPr>
        <w:spacing w:after="0" w:line="18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1506.</w:t>
      </w:r>
      <w:r>
        <w:rPr>
          <w:sz w:val="20"/>
          <w:szCs w:val="20"/>
          <w:color w:val="auto"/>
        </w:rPr>
        <w:tab/>
      </w:r>
      <w:r>
        <w:rPr>
          <w:rFonts w:ascii="Arial" w:cs="Arial" w:eastAsia="Arial" w:hAnsi="Arial"/>
          <w:sz w:val="16"/>
          <w:szCs w:val="16"/>
          <w:u w:val="single" w:color="auto"/>
          <w:color w:val="auto"/>
        </w:rPr>
        <w:t>Powers Exercisable by Receiver or Trustee</w:t>
      </w:r>
    </w:p>
    <w:p>
      <w:pPr>
        <w:spacing w:after="0" w:line="21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In case the Collateral shall be in the possession of a receiver or trustee, lawfully appointed, the powers conferred in this Article Fifteen upon the Issuer or a Guarantor with respect to the release, sale or other disposition of such property or asset may be exercised by such receiver or trustee, and an instrument signed by such receiver or trustee shall be deemed the equivalent of any similar instrument of the Issuer or a Guarantor or of any Officer or Officers thereof required by the provisions of this Article Fifteen; and if the Trustee shall be in the possession of the Collateral under any provision of this Indenture, then such powers may be exercised by the Trustee.</w:t>
      </w:r>
    </w:p>
    <w:p>
      <w:pPr>
        <w:spacing w:after="0" w:line="1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1507.</w:t>
      </w:r>
      <w:r>
        <w:rPr>
          <w:sz w:val="20"/>
          <w:szCs w:val="20"/>
          <w:color w:val="auto"/>
        </w:rPr>
        <w:tab/>
      </w:r>
      <w:r>
        <w:rPr>
          <w:rFonts w:ascii="Arial" w:cs="Arial" w:eastAsia="Arial" w:hAnsi="Arial"/>
          <w:sz w:val="16"/>
          <w:szCs w:val="16"/>
          <w:u w:val="single" w:color="auto"/>
          <w:color w:val="auto"/>
        </w:rPr>
        <w:t>Release Upon Termination of the Issuer’s Obligations</w:t>
      </w:r>
      <w:r>
        <w:rPr>
          <w:rFonts w:ascii="Arial" w:cs="Arial" w:eastAsia="Arial" w:hAnsi="Arial"/>
          <w:sz w:val="16"/>
          <w:szCs w:val="16"/>
          <w:color w:val="auto"/>
        </w:rPr>
        <w:t>.</w:t>
      </w:r>
    </w:p>
    <w:p>
      <w:pPr>
        <w:spacing w:after="0" w:line="218"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In the event that the Issuer delivers to the Trustee an Officers’ Certificate certifying that (i) payment in full of the principal of, together with accrued and unpaid interest on, the Notes and all other Indenture Obligations that are due and payable at or prior to the time such principal, together with accrued and unpaid interest, are paid or (ii) the Issuer shall have exercised its Legal Defeasance option or its Covenant Defeasance option, in each case in compliance with the provisions of Section 1302 or 1303 hereof, as applicable, and an Opinion of Counsel stating that all conditions precedent to the execution and delivery of such notice by the Trustee have been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line="275" w:lineRule="auto"/>
        <w:rPr>
          <w:sz w:val="20"/>
          <w:szCs w:val="20"/>
          <w:color w:val="auto"/>
        </w:rPr>
      </w:pPr>
      <w:r>
        <w:rPr>
          <w:rFonts w:ascii="Arial" w:cs="Arial" w:eastAsia="Arial" w:hAnsi="Arial"/>
          <w:sz w:val="19"/>
          <w:szCs w:val="19"/>
          <w:color w:val="auto"/>
        </w:rPr>
        <w:t>satisfied, the Trustee shall deliver to the Issuer and the Collateral Agent a notice, in form reasonably satisfactory to the Collateral Agent, stating that the Trustee, on behalf of the Holders, disclaims and gives up any and all rights it has in or to the Collateral solely on behalf of the Holders of the Notes without representation, warranty or recourse (other than with respect to funds held by the Trustee pursuant to Section 1302 or 1033 hereof, as applicable), and any rights it has under the Collateral Documents solely on behalf of the Holders of the Notes and upon receipt by the Collateral Agent of such notice, the Collateral Agent shall be deemed not to hold a Lien in the Collateral on behalf of the Trustee and shall execute and deliver all documents and do or cause to be done (at the expense of the Issuer and upon receipt of the Officers’ Certificate and Opinion of Counsel described in Section 1502(c)) all acts reasonably requested by the Issuer to release and discharge such Lien as soon as is reasonably practicable.</w:t>
      </w:r>
    </w:p>
    <w:p>
      <w:pPr>
        <w:spacing w:after="0" w:line="16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1508.</w:t>
      </w:r>
      <w:r>
        <w:rPr>
          <w:sz w:val="20"/>
          <w:szCs w:val="20"/>
          <w:color w:val="auto"/>
        </w:rPr>
        <w:tab/>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218" w:lineRule="exact"/>
        <w:rPr>
          <w:sz w:val="20"/>
          <w:szCs w:val="20"/>
          <w:color w:val="auto"/>
        </w:rPr>
      </w:pPr>
    </w:p>
    <w:p>
      <w:pPr>
        <w:ind w:firstLine="656"/>
        <w:spacing w:after="0" w:line="269" w:lineRule="auto"/>
        <w:tabs>
          <w:tab w:leader="none" w:pos="142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Issuer and each of the Holders by acceptance of the Notes, and each beneficial owner of an interest in a Note, hereby designates and appoints the Collateral Agent as its agent under this Indenture, the First Lien Intercreditor Agreement and the other Collateral Documents and the Issuer directs and authorizes and each of the Holders by acceptance of the Notes hereby irrevocably authorizes the Collateral Agent to take such action on its behalf under the provisions of this Indenture and the Collateral Documents and to exercise such powers and perform such duties as are expressly delegated to the Collateral Agent by the terms of this Indenture, the First Lien Intercreditor Agreement and the other Collateral Documents, and consents and agrees to the terms of the First Lien Intercreditor Agreement and each Collateral Document, as the same may be in effect or may be amended, restated, supplemented or otherwise modified from time to time in accordance with their respective terms or the terms of this Indenture. The Collateral Agent agrees to act as such on the express conditions contained in this Section 1508. The provisions of this Section 1508 are solely for the benefit of the Collateral Agent and none of the Trustee, any of the Holders nor any of the Grantors shall have any rights as a third party beneficiary of any of the provisions contained herein. Each Holder agrees that any action taken by the Collateral Agent in accordance with the provision of this Indenture, the First Lien Intercreditor Agreement and/or the Collateral Documents, and the exercise by the Collateral Agent of any rights or remedies set forth herein and therein shall be authorized and binding upon all Holders. Notwithstanding any provision to the contrary contained elsewhere in this Indenture, the First Lien Intercreditor Agreement and the other Collateral Documents, the duties of the Collateral Agent shall be ministerial and administrative in nature, and Collateral Agent shall not have any duties or responsibilities, except those expressly set forth herein and in the other Notes Documents to which the Collateral Agent is a party, nor shall the Collateral Agent have or be deemed to have any trust or other fiduciary relationship with the Trustee or any Holder or any Grantor, and no implied covenants, functions, responsibilities, duties, obligations or liabilities shall be read into this Indenture, the First Lien Intercreditor Agreement and the other Collateral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5" w:name="page146"/>
    <w:bookmarkEnd w:id="145"/>
    <w:p>
      <w:pPr>
        <w:spacing w:after="0" w:line="251" w:lineRule="auto"/>
        <w:rPr>
          <w:sz w:val="20"/>
          <w:szCs w:val="20"/>
          <w:color w:val="auto"/>
        </w:rPr>
      </w:pPr>
      <w:r>
        <w:rPr>
          <w:rFonts w:ascii="Arial" w:cs="Arial" w:eastAsia="Arial" w:hAnsi="Arial"/>
          <w:sz w:val="22"/>
          <w:szCs w:val="22"/>
          <w:color w:val="auto"/>
        </w:rPr>
        <w:t>Without limiting the generality of the foregoing the Collateral Agent hereby undertakes, and each of the Holders by acceptance of the Notes and each beneficial owner of an interest in a Note authorize the Collateral Agent to:</w:t>
      </w:r>
    </w:p>
    <w:p>
      <w:pPr>
        <w:spacing w:after="0" w:line="173" w:lineRule="exact"/>
        <w:rPr>
          <w:sz w:val="20"/>
          <w:szCs w:val="20"/>
          <w:color w:val="auto"/>
        </w:rPr>
      </w:pPr>
    </w:p>
    <w:p>
      <w:pPr>
        <w:ind w:left="660" w:right="20" w:hanging="4"/>
        <w:spacing w:after="0" w:line="282" w:lineRule="auto"/>
        <w:tabs>
          <w:tab w:leader="none" w:pos="140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hold and administer, or as the case may be authorize and appoint, on behalf of and for the benefit of the Holders and beneficial owners of an interest in the Notes, any other person in accordance with the First Lien Intercreditor Agreement or First Lien Other Intercreditor Agreement (as applicable), any non-accessory Collateral (nicht-akzessorische Sicherheit) governed by the laws of the Federal Republic of Germany as fiduciary (treuhänderisch) in its own name but for the benefit of the Holders and beneficial owners of an interest in the Notes;</w:t>
      </w:r>
    </w:p>
    <w:p>
      <w:pPr>
        <w:spacing w:after="0" w:line="147" w:lineRule="exact"/>
        <w:rPr>
          <w:rFonts w:ascii="Arial" w:cs="Arial" w:eastAsia="Arial" w:hAnsi="Arial"/>
          <w:sz w:val="19"/>
          <w:szCs w:val="19"/>
          <w:color w:val="auto"/>
        </w:rPr>
      </w:pPr>
    </w:p>
    <w:p>
      <w:pPr>
        <w:ind w:left="660" w:right="420" w:hanging="4"/>
        <w:spacing w:after="0"/>
        <w:tabs>
          <w:tab w:leader="none" w:pos="146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hold and administer any accessory Collateral (akzessorische Sicherheit) governed by the laws of the Federal Republic of Germany as direct representative (direkter Stellvertreter) in the name and on behalf of the Holders and beneficial owners of an interest in the Notes;</w:t>
      </w:r>
    </w:p>
    <w:p>
      <w:pPr>
        <w:spacing w:after="0" w:line="186" w:lineRule="exact"/>
        <w:rPr>
          <w:rFonts w:ascii="Arial" w:cs="Arial" w:eastAsia="Arial" w:hAnsi="Arial"/>
          <w:sz w:val="22"/>
          <w:szCs w:val="22"/>
          <w:color w:val="auto"/>
        </w:rPr>
      </w:pPr>
    </w:p>
    <w:p>
      <w:pPr>
        <w:ind w:left="660" w:right="120" w:hanging="4"/>
        <w:spacing w:after="0" w:line="235" w:lineRule="auto"/>
        <w:tabs>
          <w:tab w:leader="none" w:pos="1038"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accept, enter into and execute, as its direct representative (direkter Stellvertreter) any pledge or other creation of any accessory security right (akzessorische Sicherheit) granted in favor of any Holder under German law in connection with the Notes and to agree to and execute in its name and on its behalf as its direct representative (direkter Stellvertreter) any amendments, confirmations and/or alterations to any Collateral Document governed by German law which creates a pledge or any other accessory security right (akzessorische Sicherheit) including the release or confirmation of release of such Collateral.</w:t>
      </w:r>
    </w:p>
    <w:p>
      <w:pPr>
        <w:spacing w:after="0" w:line="188" w:lineRule="exact"/>
        <w:rPr>
          <w:sz w:val="20"/>
          <w:szCs w:val="20"/>
          <w:color w:val="auto"/>
        </w:rPr>
      </w:pPr>
    </w:p>
    <w:p>
      <w:pPr>
        <w:ind w:right="60" w:firstLine="656"/>
        <w:spacing w:after="0" w:line="277" w:lineRule="auto"/>
        <w:tabs>
          <w:tab w:leader="none" w:pos="1436"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Collateral Agent may perform any of its duties under this Indenture, the First Lien Intercreditor Agreement or the other Collateral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Arial" w:cs="Arial" w:eastAsia="Arial" w:hAnsi="Arial"/>
          <w:sz w:val="19"/>
          <w:szCs w:val="19"/>
          <w:i w:val="1"/>
          <w:iCs w:val="1"/>
          <w:color w:val="auto"/>
        </w:rPr>
        <w:t>Related Person</w:t>
      </w:r>
      <w:r>
        <w:rPr>
          <w:rFonts w:ascii="Arial" w:cs="Arial" w:eastAsia="Arial" w:hAnsi="Arial"/>
          <w:sz w:val="19"/>
          <w:szCs w:val="19"/>
          <w:color w:val="auto"/>
        </w:rPr>
        <w:t>”) and shall be entitled to advice of counsel concerning all matters pertaining to such duties, and shall be entitled to act upon, and shall be fully protected in taking action in reliance upon any advice or opinion given by legal counsel. The Collateral Agent shall not be responsible for the negligence or willful misconduct of any receiver, agent, employee, attorney-in-fact or Related Person that it selects as long as such selection was made in good faith.</w:t>
      </w:r>
    </w:p>
    <w:p>
      <w:pPr>
        <w:spacing w:after="0" w:line="151" w:lineRule="exact"/>
        <w:rPr>
          <w:rFonts w:ascii="Arial" w:cs="Arial" w:eastAsia="Arial" w:hAnsi="Arial"/>
          <w:sz w:val="19"/>
          <w:szCs w:val="19"/>
          <w:color w:val="auto"/>
        </w:rPr>
      </w:pPr>
    </w:p>
    <w:p>
      <w:pPr>
        <w:ind w:right="20" w:firstLine="656"/>
        <w:spacing w:after="0" w:line="270" w:lineRule="auto"/>
        <w:tabs>
          <w:tab w:leader="none" w:pos="1428" w:val="left"/>
        </w:tabs>
        <w:numPr>
          <w:ilvl w:val="1"/>
          <w:numId w:val="171"/>
        </w:numPr>
        <w:rPr>
          <w:rFonts w:ascii="Arial" w:cs="Arial" w:eastAsia="Arial" w:hAnsi="Arial"/>
          <w:sz w:val="19"/>
          <w:szCs w:val="19"/>
          <w:color w:val="auto"/>
        </w:rPr>
      </w:pPr>
      <w:r>
        <w:rPr>
          <w:rFonts w:ascii="Arial" w:cs="Arial" w:eastAsia="Arial" w:hAnsi="Arial"/>
          <w:sz w:val="19"/>
          <w:szCs w:val="19"/>
          <w:color w:val="auto"/>
        </w:rPr>
        <w:t>Neither the Collateral Agent nor any of its Related Persons shall (i) be liable for any action taken or omitted to be taken by any of them under or in connection with this Indenture, the First Lien Intercreditor Agreement or the other transactions contemplated hereby (except for its own gross negligence or willful misconduct as determined by a final order of a court of competent jurisdiction) or under or in connection with any Collateral Document or the transactions contemplated thereby (except for its own gross negligence or willful misconduct as determined by a final order of a court of competent jurisdiction), or</w:t>
      </w:r>
    </w:p>
    <w:p>
      <w:pPr>
        <w:spacing w:after="0" w:line="4" w:lineRule="exact"/>
        <w:rPr>
          <w:rFonts w:ascii="Arial" w:cs="Arial" w:eastAsia="Arial" w:hAnsi="Arial"/>
          <w:sz w:val="19"/>
          <w:szCs w:val="19"/>
          <w:color w:val="auto"/>
        </w:rPr>
      </w:pPr>
    </w:p>
    <w:p>
      <w:pPr>
        <w:ind w:firstLine="8"/>
        <w:spacing w:after="0" w:line="234" w:lineRule="auto"/>
        <w:tabs>
          <w:tab w:leader="none" w:pos="31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be responsible in any manner to any of the Trustee or any Holder for any recital, statement, representation, warranty, covenant or agreement made by the Issuer or any other Grantor or Affiliate of any Grantor, or any Officer or Related Person thereof, contained in this Indenture, or any other Notes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6" w:name="page147"/>
    <w:bookmarkEnd w:id="146"/>
    <w:p>
      <w:pPr>
        <w:ind w:right="20"/>
        <w:spacing w:after="0" w:line="275" w:lineRule="auto"/>
        <w:rPr>
          <w:sz w:val="20"/>
          <w:szCs w:val="20"/>
          <w:color w:val="auto"/>
        </w:rPr>
      </w:pPr>
      <w:r>
        <w:rPr>
          <w:rFonts w:ascii="Arial" w:cs="Arial" w:eastAsia="Arial" w:hAnsi="Arial"/>
          <w:sz w:val="19"/>
          <w:szCs w:val="19"/>
          <w:color w:val="auto"/>
        </w:rPr>
        <w:t>Documents, or in any certificate, report, statement or other document referred to or provided for in, or received by the Collateral Agent under or in connection with, this Indenture, the First Lien Intercreditor Agreement or the other Collateral Documents, or the validity, effectiveness, genuineness, enforceability or sufficiency of this Indenture, the First Lien Intercreditor Agreement or the other Collateral Documents, or for any failure of any Grantor or any other party to this Indenture or the Collateral Documents to perform its obligations hereunder or thereunder. Neither the Collateral Agent nor any of its Related Persons shall be under any obligation to the Trustee or any Holder to ascertain or to inquire as to the observance or performance of any of the agreements contained in, or conditions of, this Indenture, the First Lien Intercreditor Agreement or the other Collateral Documents or to inspect the properties, books, or records of any Grantor or any Grantor’s Affiliates.</w:t>
      </w:r>
    </w:p>
    <w:p>
      <w:pPr>
        <w:spacing w:after="0" w:line="158" w:lineRule="exact"/>
        <w:rPr>
          <w:sz w:val="20"/>
          <w:szCs w:val="20"/>
          <w:color w:val="auto"/>
        </w:rPr>
      </w:pPr>
    </w:p>
    <w:p>
      <w:pPr>
        <w:ind w:firstLine="656"/>
        <w:spacing w:after="0" w:line="270" w:lineRule="auto"/>
        <w:tabs>
          <w:tab w:leader="none" w:pos="143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Collateral Agent shall be entitled (in the absence of bad faith)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other Grantor), independent accountants and/or other experts and advisors selected by the Collateral Agent. The Collateral Agent shall not be bound to make any investigation into the facts or matters stated in any resolution, certificate, statement, instrument, opinion, report, notice, request, direction, consent, order, bond, debenture, or other paper or document. Unless otherwise expressly required hereunder or pursuant to any Collateral Document, the Collateral Agent shall be fully justified in failing or refusing to take any action under this Indenture, the First Lien Intercreditor Agreement or the other Collateral Documents unless it shall first receive such written advice or concurrence of the Trustee or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The Collateral Agent shall in all cases be fully protected from claims by any Holders in acting, or in refraining from acting, under this Indenture, the First Lien Intercreditor Agreement or the other Collateral Documents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0" w:firstLine="656"/>
        <w:spacing w:after="0" w:line="235" w:lineRule="auto"/>
        <w:tabs>
          <w:tab w:leader="none" w:pos="142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Collateral Agent shall not be deemed to have knowledge or notice of the occurrence of any Default or Event of Default, unless a Responsible Officer of the Collateral Agent shall have received written notice from the Holders or the Issuer referring to this Indenture, describing such Default or Event of Default and stating that such notice is a “notice of default.” The Collateral Agent shall take such action with respect to such Default or Event of Default as may be requested by the Trustee in accordance with Article Six or the Holders of a majority in aggregate principal amount of the Notes (subject to this Section 1508).</w:t>
      </w:r>
    </w:p>
    <w:p>
      <w:pPr>
        <w:spacing w:after="0" w:line="187" w:lineRule="exact"/>
        <w:rPr>
          <w:rFonts w:ascii="Arial" w:cs="Arial" w:eastAsia="Arial" w:hAnsi="Arial"/>
          <w:sz w:val="22"/>
          <w:szCs w:val="22"/>
          <w:color w:val="auto"/>
        </w:rPr>
      </w:pPr>
    </w:p>
    <w:p>
      <w:pPr>
        <w:ind w:right="240" w:firstLine="656"/>
        <w:spacing w:after="0"/>
        <w:tabs>
          <w:tab w:leader="none" w:pos="14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Collateral Agent may resign at any time by notice to the Trustee and the Issuer, such resignation to be effective upon the acceptance of a successor agent to its appointment as Collateral Agent. If the Collateral Agent resigns under this Indenture, the Issuer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7" w:name="page148"/>
    <w:bookmarkEnd w:id="147"/>
    <w:p>
      <w:pPr>
        <w:ind w:right="20"/>
        <w:spacing w:after="0" w:line="272" w:lineRule="auto"/>
        <w:rPr>
          <w:sz w:val="20"/>
          <w:szCs w:val="20"/>
          <w:color w:val="auto"/>
        </w:rPr>
      </w:pPr>
      <w:r>
        <w:rPr>
          <w:rFonts w:ascii="Arial" w:cs="Arial" w:eastAsia="Arial" w:hAnsi="Arial"/>
          <w:sz w:val="19"/>
          <w:szCs w:val="19"/>
          <w:color w:val="auto"/>
        </w:rPr>
        <w:t>shall appoint a successor collateral agent. If no successor collateral agent is appointed prior to the intended effective date of the resignation of the Collateral Agent (as stated in the notice of resignation), the Issuer shall appoint a successor collateral agent. If no successor collateral agent is appointed by the Issuer pursuant to the preceding sentence within thirty (30) days after the intended effective date of resignation (as stated in the notice of resignation) the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Collateral Agent, and the term “Collateral Agent” shall mean such successor collateral agent, and the retiring Collateral Agent’s appointment, powers and duties as the Collateral Agent shall be terminated. After the retiring Collateral Agent’s resignation hereunder, the provisions of this Section 1508 (and Section 607) shall continue to inure to its benefit and the retiring Collateral Agent shall not by reason of such resignation be deemed to be released from liability as to any actions taken or omitted to be taken by it while it was the Collateral Agent under this Indenture. If the Collateral Agent consolidates, merges or converts into, or transfers all or substantially all of its corporate trust business to, another corporation, the successor corporation without any further act will be the successor Collateral Agent.</w:t>
      </w:r>
    </w:p>
    <w:p>
      <w:pPr>
        <w:spacing w:after="0" w:line="200" w:lineRule="exact"/>
        <w:rPr>
          <w:sz w:val="20"/>
          <w:szCs w:val="20"/>
          <w:color w:val="auto"/>
        </w:rPr>
      </w:pPr>
    </w:p>
    <w:p>
      <w:pPr>
        <w:spacing w:after="0" w:line="204" w:lineRule="exact"/>
        <w:rPr>
          <w:sz w:val="20"/>
          <w:szCs w:val="20"/>
          <w:color w:val="auto"/>
        </w:rPr>
      </w:pPr>
    </w:p>
    <w:p>
      <w:pPr>
        <w:ind w:right="140" w:firstLine="656"/>
        <w:spacing w:after="0" w:line="273" w:lineRule="auto"/>
        <w:tabs>
          <w:tab w:leader="none" w:pos="143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Issuer and each of the Holders by its acceptance of the Notes, and each beneficial owner of an interest in a Note, hereby authorizes the Trustee and the Collateral Agent, respectively, to appoint co-Collateral Agents, sub-agents and other additional Collateral Agents (and, in each case, appointment of such person shall be reflected in documentation, which the Trustee and the Collateral Agent are hereby authorized to enter into). Except as otherwise explicitly provided herein or in the Collateral Documents,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their respective officers, directors, employees or agents shall be responsible for any act or failure to act hereunder, except for its own gross negligence or willful misconduct as determined by a final order of a court of competent jurisdiction.</w:t>
      </w:r>
    </w:p>
    <w:p>
      <w:pPr>
        <w:spacing w:after="0" w:line="155" w:lineRule="exact"/>
        <w:rPr>
          <w:rFonts w:ascii="Arial" w:cs="Arial" w:eastAsia="Arial" w:hAnsi="Arial"/>
          <w:sz w:val="19"/>
          <w:szCs w:val="19"/>
          <w:color w:val="auto"/>
        </w:rPr>
      </w:pPr>
    </w:p>
    <w:p>
      <w:pPr>
        <w:ind w:right="140" w:firstLine="656"/>
        <w:spacing w:after="0" w:line="282" w:lineRule="auto"/>
        <w:tabs>
          <w:tab w:leader="none" w:pos="143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Collateral Agent is authorized and directed to (i) enter into the Collateral Documents to which it is party, whether executed on or after the Initial Issuance Date, (ii) to enter into and the First Lien Intercreditor Agreement, (iii) make the representations of the Holders set forth in the First Lien Intercreditor Agreement and the other Collateral Documents, (iv) bind the Holders on the terms as set forth in the First Lien Intercreditor Agreement and the other Collateral Documents and (v) perform and observe its obligations under the First Lien Intercreditor Agreement and the other Collateral Documents.</w:t>
      </w:r>
    </w:p>
    <w:p>
      <w:pPr>
        <w:spacing w:after="0" w:line="147" w:lineRule="exact"/>
        <w:rPr>
          <w:rFonts w:ascii="Arial" w:cs="Arial" w:eastAsia="Arial" w:hAnsi="Arial"/>
          <w:sz w:val="19"/>
          <w:szCs w:val="19"/>
          <w:color w:val="auto"/>
        </w:rPr>
      </w:pPr>
    </w:p>
    <w:p>
      <w:pPr>
        <w:ind w:firstLine="656"/>
        <w:spacing w:after="0" w:line="297" w:lineRule="auto"/>
        <w:tabs>
          <w:tab w:leader="none" w:pos="144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If applicable, the Collateral Agent is each Holder’s agent for the purpose of perfecting the Holders’ security interest in assets which, in accordance with Article 9 of the Code can be perfected only by possession. Should the Trustee obtain possession of any such Collateral, upon request from the Issuer, the Trustee shall notify the Collateral Agent thereof and promptly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ind w:right="520"/>
        <w:spacing w:after="0" w:line="251" w:lineRule="auto"/>
        <w:rPr>
          <w:sz w:val="20"/>
          <w:szCs w:val="20"/>
          <w:color w:val="auto"/>
        </w:rPr>
      </w:pPr>
      <w:r>
        <w:rPr>
          <w:rFonts w:ascii="Arial" w:cs="Arial" w:eastAsia="Arial" w:hAnsi="Arial"/>
          <w:sz w:val="22"/>
          <w:szCs w:val="22"/>
          <w:color w:val="auto"/>
        </w:rPr>
        <w:t>shall deliver such Collateral to the Collateral Agent or otherwise deal with such Collateral in accordance with the Collateral Agent’s instructions.</w:t>
      </w:r>
    </w:p>
    <w:p>
      <w:pPr>
        <w:spacing w:after="0" w:line="173" w:lineRule="exact"/>
        <w:rPr>
          <w:sz w:val="20"/>
          <w:szCs w:val="20"/>
          <w:color w:val="auto"/>
        </w:rPr>
      </w:pPr>
    </w:p>
    <w:p>
      <w:pPr>
        <w:ind w:firstLine="656"/>
        <w:spacing w:after="0" w:line="272" w:lineRule="auto"/>
        <w:tabs>
          <w:tab w:leader="none" w:pos="138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Collateral Agent shall not have any obligation whatsoever to the Trustee or any of the Holders to assure that the Collateral exists or is owned by any Grantor or is cared for, protected, or insured or has been encumbered, or that the Collateral Agent’s Liens have been properly or sufficiently or lawfully created, perfected, protected, maintained or enforced or are entitled to any particular priority, or to determine whether all or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the First Lien Intercreditor Agreement or any other Collateral Document other than pursuant to the instructions of the Trustee or the Holders of a majority in aggregate principal amount of the Notes accompanied by, if requested, indemnity satisfactory to it or as otherwise provided in the First Lien Intercreditor Agreement or the other Collateral Documents, it being understood and agreed that in respect of the Collateral, or any act, omission, or event related thereto, the Collateral Agent shall not have any other duty or liability whatsoever to the Trustee or any Holder or any other Collateral Agent as to any of the foregoing.</w:t>
      </w:r>
    </w:p>
    <w:p>
      <w:pPr>
        <w:spacing w:after="0" w:line="155" w:lineRule="exact"/>
        <w:rPr>
          <w:rFonts w:ascii="Arial" w:cs="Arial" w:eastAsia="Arial" w:hAnsi="Arial"/>
          <w:sz w:val="19"/>
          <w:szCs w:val="19"/>
          <w:color w:val="auto"/>
        </w:rPr>
      </w:pPr>
    </w:p>
    <w:p>
      <w:pPr>
        <w:ind w:right="20" w:firstLine="656"/>
        <w:spacing w:after="0" w:line="271" w:lineRule="auto"/>
        <w:tabs>
          <w:tab w:leader="none" w:pos="14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No provision of this Indenture, the First Lien Intercreditor Agreement or any other Collateral Document shall require the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Collateral Agent) unless it shall have first received indemnity satisfactory to the Collateral Agent against potential costs and liabilities incurred by the Collateral Agent relating thereto. Notwithstanding anything to the contrary contained in this Indenture, the First Lien Intercreditor Agreement or the other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unless the Collateral Agent has received security or indemnity from the Holders in an amount and in a form all satisfactory to the Collateral Agent in its sole discretion, protecting the Collateral Agent from all such liability. The Collateral Agent shall at any time be entitled to cease taking any action described in this paragraph (k) if it no longer reasonably deems any indemnity, security or undertaking from the Issuer or the Holders to be sufficient.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right="320" w:firstLine="656"/>
        <w:spacing w:after="0" w:line="287" w:lineRule="auto"/>
        <w:tabs>
          <w:tab w:leader="none" w:pos="138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Collateral Agent (i) shall not be liable for any action taken or omitted to be taken by it in connection with this Indenture, the First Lien Intercreditor Agreement and the other Collateral Documents or instrument referred to herein or therein, except to the extent that any of the foregoing are found by a final, non-appealable judgment of a court of competent jurisdiction to have resulted from its own gross negligence or willful misconduct, (ii) shall not be liable for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9" w:name="page150"/>
    <w:bookmarkEnd w:id="149"/>
    <w:p>
      <w:pPr>
        <w:jc w:val="both"/>
        <w:ind w:right="100"/>
        <w:spacing w:after="0" w:line="273" w:lineRule="auto"/>
        <w:rPr>
          <w:sz w:val="20"/>
          <w:szCs w:val="20"/>
          <w:color w:val="auto"/>
        </w:rPr>
      </w:pPr>
      <w:r>
        <w:rPr>
          <w:rFonts w:ascii="Arial" w:cs="Arial" w:eastAsia="Arial" w:hAnsi="Arial"/>
          <w:sz w:val="19"/>
          <w:szCs w:val="19"/>
          <w:color w:val="auto"/>
        </w:rPr>
        <w:t>interest on any money received by it except as the Collateral Agent may agree in writing with the Issuer (and money held in trust by the Collateral Agent (a) shall be held uninvested without liability for interest, unless otherwise agreed in writing, (b) shall be held in a non-interest bearing trust account and (c) not be segregated from other funds except to the extent required by law) and</w:t>
      </w:r>
    </w:p>
    <w:p>
      <w:pPr>
        <w:spacing w:after="0" w:line="2" w:lineRule="exact"/>
        <w:rPr>
          <w:sz w:val="20"/>
          <w:szCs w:val="20"/>
          <w:color w:val="auto"/>
        </w:rPr>
      </w:pPr>
    </w:p>
    <w:p>
      <w:pPr>
        <w:ind w:right="100" w:firstLine="8"/>
        <w:spacing w:after="0" w:line="233" w:lineRule="auto"/>
        <w:tabs>
          <w:tab w:leader="none" w:pos="37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Collateral Agent shall not be construed to impose duties to act.</w:t>
      </w:r>
    </w:p>
    <w:p>
      <w:pPr>
        <w:spacing w:after="0" w:line="187" w:lineRule="exact"/>
        <w:rPr>
          <w:rFonts w:ascii="Arial" w:cs="Arial" w:eastAsia="Arial" w:hAnsi="Arial"/>
          <w:sz w:val="22"/>
          <w:szCs w:val="22"/>
          <w:color w:val="auto"/>
        </w:rPr>
      </w:pPr>
    </w:p>
    <w:p>
      <w:pPr>
        <w:ind w:right="180" w:firstLine="656"/>
        <w:spacing w:after="0" w:line="248" w:lineRule="auto"/>
        <w:tabs>
          <w:tab w:leader="none" w:pos="1500" w:val="left"/>
        </w:tabs>
        <w:numPr>
          <w:ilvl w:val="1"/>
          <w:numId w:val="176"/>
        </w:numPr>
        <w:rPr>
          <w:rFonts w:ascii="Arial" w:cs="Arial" w:eastAsia="Arial" w:hAnsi="Arial"/>
          <w:sz w:val="21"/>
          <w:szCs w:val="21"/>
          <w:color w:val="auto"/>
        </w:rPr>
      </w:pPr>
      <w:r>
        <w:rPr>
          <w:rFonts w:ascii="Arial" w:cs="Arial" w:eastAsia="Arial" w:hAnsi="Arial"/>
          <w:sz w:val="21"/>
          <w:szCs w:val="21"/>
          <w:color w:val="auto"/>
        </w:rPr>
        <w:t>Neither the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176" w:lineRule="exact"/>
        <w:rPr>
          <w:rFonts w:ascii="Arial" w:cs="Arial" w:eastAsia="Arial" w:hAnsi="Arial"/>
          <w:sz w:val="21"/>
          <w:szCs w:val="21"/>
          <w:color w:val="auto"/>
        </w:rPr>
      </w:pPr>
    </w:p>
    <w:p>
      <w:pPr>
        <w:ind w:firstLine="656"/>
        <w:spacing w:after="0" w:line="270" w:lineRule="auto"/>
        <w:tabs>
          <w:tab w:leader="none" w:pos="1436"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Collateral Agent does not assume any responsibility for any failure or delay in performance or any breach by the Issuer or any other Grantor under this Indenture, the First Lien Intercreditor Agreement and the other Collateral Documents. The Collateral Agent shall not be responsible to the Holders or any other Person for any recitals, statements, information, representations or warranties contained in any Notes Documents or in any certificate, report, statement, or other document referred to or provided for in, or received by the Collateral Agent under or in connection with, this Indenture, the First Lien Intercreditor Agreement or any other Collateral Document; the execution, validity, genuineness, effectiveness or enforceability of the First Lien Intercreditor Agreement and any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Indenture Obligations; the assets, liabilities, financial condition, results of operations, business, creditworthiness or legal status of any obligor; or for any failure of any obligor to perform its Indenture Obligations under this Indenture, the First Lien Intercreditor Agreement and the Collateral Documents. The Collateral Agent shall not have any obligation to any Holder or any other Person to ascertain or inquire into the existence of any Default or Event of Default, the observance or performance by any obligor of any terms of this Indenture, the First Lien Intercreditor Agreement or the other Collateral Documents, or the satisfaction of any conditions precedent contained in this Indenture, the First Lien Intercreditor Agreement or any other Collateral Documents. No Collateral Agent shall be required to initiate or conduct any litigation or collection or other proceeding under this Indenture and the Collateral Documents unless expressly set forth hereunder or thereunder. Without limiting its obligations as expressly set forth herein, the Collateral Agent shall have the right at any time to seek instructions from the Holders with respect to the administration of the Notes Documents.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120" w:firstLine="656"/>
        <w:spacing w:after="0" w:line="250" w:lineRule="auto"/>
        <w:tabs>
          <w:tab w:leader="none" w:pos="1436"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parties hereto and the Holders hereby agree and acknowledge that the Collateral Agent shall not assume, be responsible for or otherwise be obligated for any liabilities,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ind w:right="80"/>
        <w:spacing w:after="0" w:line="271" w:lineRule="auto"/>
        <w:rPr>
          <w:sz w:val="20"/>
          <w:szCs w:val="20"/>
          <w:color w:val="auto"/>
        </w:rPr>
      </w:pPr>
      <w:r>
        <w:rPr>
          <w:rFonts w:ascii="Arial" w:cs="Arial" w:eastAsia="Arial" w:hAnsi="Arial"/>
          <w:sz w:val="19"/>
          <w:szCs w:val="19"/>
          <w:color w:val="auto"/>
        </w:rPr>
        <w:t>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First Lien Intercreditor Agreement, the other Collateral Documents or any actions taken pursuant hereto or thereto. Further, the parties hereto and the Holders hereby agree and acknowledge that in the exercise of its rights under this Indenture, the First Lien Intercreditor Agreement and the other Collateral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 However, if the Collateral Agent is required to acquire title to an asset pursuant to this Indenture which in the Collateral Agent’s reasonable discretion may cause the Collateral Agent to be considered an “owner or operator” under the provisions of the Comprehensive Environmental Response, Compensation and Liability Act (“</w:t>
      </w:r>
      <w:r>
        <w:rPr>
          <w:rFonts w:ascii="Arial" w:cs="Arial" w:eastAsia="Arial" w:hAnsi="Arial"/>
          <w:sz w:val="19"/>
          <w:szCs w:val="19"/>
          <w:i w:val="1"/>
          <w:iCs w:val="1"/>
          <w:color w:val="auto"/>
        </w:rPr>
        <w:t>CERCLA</w:t>
      </w:r>
      <w:r>
        <w:rPr>
          <w:rFonts w:ascii="Arial" w:cs="Arial" w:eastAsia="Arial" w:hAnsi="Arial"/>
          <w:sz w:val="19"/>
          <w:szCs w:val="19"/>
          <w:color w:val="auto"/>
        </w:rPr>
        <w:t>”), 42 U.S.C. §9601, et seq., or otherwise cause the Collateral Agent to incur liability under CERCLA or any equivalent federal, state or local law, the Collateral Agent reserves the right, instead of taking such action, to either resign as the Collateral Agent or arrange for the transfer of the title or control of the asset to a court-appointed receiver.</w:t>
      </w:r>
    </w:p>
    <w:p>
      <w:pPr>
        <w:spacing w:after="0" w:line="200" w:lineRule="exact"/>
        <w:rPr>
          <w:sz w:val="20"/>
          <w:szCs w:val="20"/>
          <w:color w:val="auto"/>
        </w:rPr>
      </w:pPr>
    </w:p>
    <w:p>
      <w:pPr>
        <w:spacing w:after="0" w:line="208" w:lineRule="exact"/>
        <w:rPr>
          <w:sz w:val="20"/>
          <w:szCs w:val="20"/>
          <w:color w:val="auto"/>
        </w:rPr>
      </w:pPr>
    </w:p>
    <w:p>
      <w:pPr>
        <w:ind w:right="140" w:firstLine="656"/>
        <w:spacing w:after="0" w:line="245" w:lineRule="auto"/>
        <w:tabs>
          <w:tab w:leader="none" w:pos="1440" w:val="left"/>
        </w:tabs>
        <w:numPr>
          <w:ilvl w:val="0"/>
          <w:numId w:val="177"/>
        </w:numPr>
        <w:rPr>
          <w:rFonts w:ascii="Arial" w:cs="Arial" w:eastAsia="Arial" w:hAnsi="Arial"/>
          <w:sz w:val="21"/>
          <w:szCs w:val="21"/>
          <w:color w:val="auto"/>
        </w:rPr>
      </w:pPr>
      <w:r>
        <w:rPr>
          <w:rFonts w:ascii="Arial" w:cs="Arial" w:eastAsia="Arial" w:hAnsi="Arial"/>
          <w:sz w:val="21"/>
          <w:szCs w:val="21"/>
          <w:color w:val="auto"/>
        </w:rPr>
        <w:t>Upon the receipt by the Collateral Agent of an Officers’ Certificate and an Opinion of Counsel, the Collateral Agent is hereby authorized to execute and enter into, and shall execute and enter into, without the further consent of any Holder or the Trustee, any Collateral Document to be executed after the Initial Issuance Date. Such Officers’ Certificate and an Opinion of Counsel shall (i) state that it is being delivered to the Collateral Agent pursuant to this Section 1508(p), and (ii) instruct the Collateral Agent to execute and enter into such Collateral Document. Any such execution of a Collateral Document shall be at the direction and expense of the Issuer, upon delivery to the Collateral Agent of an Officers’ Certificate and an Opinion of Counsel stating that all conditions precedent (if any) to the execution and delivery of the Collateral Document have been satisfied. The Holders, by their acceptance of the Notes, hereby authorize and direct the Collateral Agent to execute such Collateral Documents.</w:t>
      </w:r>
    </w:p>
    <w:p>
      <w:pPr>
        <w:spacing w:after="0" w:line="184" w:lineRule="exact"/>
        <w:rPr>
          <w:rFonts w:ascii="Arial" w:cs="Arial" w:eastAsia="Arial" w:hAnsi="Arial"/>
          <w:sz w:val="21"/>
          <w:szCs w:val="21"/>
          <w:color w:val="auto"/>
        </w:rPr>
      </w:pPr>
    </w:p>
    <w:p>
      <w:pPr>
        <w:ind w:firstLine="656"/>
        <w:spacing w:after="0" w:line="275" w:lineRule="auto"/>
        <w:tabs>
          <w:tab w:leader="none" w:pos="14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Subject to the provisions of the First Lien Intercreditor Agreement and the other Collateral Documents, each Holder, by acceptance of the Notes, agrees that the Collateral Agent shall execute and deliver the First Lien Intercreditor Agreement and the other Collateral Documents to which it is a party and all agreements, documents and instruments incidental thereto (including any releases permitted hereunder), and act in accordance with the terms thereof. For the avoidance of doubt, the Collateral Agent shall not be required to exercise discretion under this Indenture, the First Lien Intercreditor Agreement or the other Collateral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Collateral Document.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ind w:right="200" w:firstLine="656"/>
        <w:spacing w:after="0" w:line="328" w:lineRule="auto"/>
        <w:tabs>
          <w:tab w:leader="none" w:pos="139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After the occurrence of an Event of Default, the Trustee may direct the Collateral Agent in connection with any action required or permitted by this Indenture, the First Lien Intercreditor Agreement or the other Collateral Documents.</w:t>
      </w:r>
    </w:p>
    <w:p>
      <w:pPr>
        <w:spacing w:after="0" w:line="105" w:lineRule="exact"/>
        <w:rPr>
          <w:rFonts w:ascii="Arial" w:cs="Arial" w:eastAsia="Arial" w:hAnsi="Arial"/>
          <w:sz w:val="19"/>
          <w:szCs w:val="19"/>
          <w:color w:val="auto"/>
        </w:rPr>
      </w:pPr>
    </w:p>
    <w:p>
      <w:pPr>
        <w:ind w:right="40" w:firstLine="656"/>
        <w:spacing w:after="0" w:line="238" w:lineRule="auto"/>
        <w:tabs>
          <w:tab w:leader="none" w:pos="141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Collateral Agent is authorized to receive any funds for the benefit of itself, the Trustee and the Holders distributed under the First Lien Intercreditor Agreement and other Collateral Documents or and to the extent not prohibited under the First Lien Intercreditor Agreement, for turnover to the Trustee to make further distributions of such funds to itself, the Trustee and the Holders in accordance with the provisions of this Indenture.</w:t>
      </w:r>
    </w:p>
    <w:p>
      <w:pPr>
        <w:spacing w:after="0" w:line="184" w:lineRule="exact"/>
        <w:rPr>
          <w:rFonts w:ascii="Arial" w:cs="Arial" w:eastAsia="Arial" w:hAnsi="Arial"/>
          <w:sz w:val="22"/>
          <w:szCs w:val="22"/>
          <w:color w:val="auto"/>
        </w:rPr>
      </w:pPr>
    </w:p>
    <w:p>
      <w:pPr>
        <w:ind w:right="120" w:firstLine="656"/>
        <w:spacing w:after="0" w:line="244" w:lineRule="auto"/>
        <w:tabs>
          <w:tab w:leader="none" w:pos="1392" w:val="left"/>
        </w:tabs>
        <w:numPr>
          <w:ilvl w:val="0"/>
          <w:numId w:val="178"/>
        </w:numPr>
        <w:rPr>
          <w:rFonts w:ascii="Arial" w:cs="Arial" w:eastAsia="Arial" w:hAnsi="Arial"/>
          <w:sz w:val="21"/>
          <w:szCs w:val="21"/>
          <w:color w:val="auto"/>
        </w:rPr>
      </w:pPr>
      <w:r>
        <w:rPr>
          <w:rFonts w:ascii="Arial" w:cs="Arial" w:eastAsia="Arial" w:hAnsi="Arial"/>
          <w:sz w:val="21"/>
          <w:szCs w:val="21"/>
          <w:color w:val="auto"/>
        </w:rPr>
        <w:t>Subject to the terms of the Collateral Documents, in each case that the Collateral Agent may or is required hereunder or under any other Notes Document to take any action (an “</w:t>
      </w:r>
      <w:r>
        <w:rPr>
          <w:rFonts w:ascii="Arial" w:cs="Arial" w:eastAsia="Arial" w:hAnsi="Arial"/>
          <w:sz w:val="21"/>
          <w:szCs w:val="21"/>
          <w:i w:val="1"/>
          <w:iCs w:val="1"/>
          <w:color w:val="auto"/>
        </w:rPr>
        <w:t>Action</w:t>
      </w:r>
      <w:r>
        <w:rPr>
          <w:rFonts w:ascii="Arial" w:cs="Arial" w:eastAsia="Arial" w:hAnsi="Arial"/>
          <w:sz w:val="21"/>
          <w:szCs w:val="21"/>
          <w:color w:val="auto"/>
        </w:rPr>
        <w:t>”), including without limitation to make any determination, to give consents, to exercise rights, powers or remedies, to release or sell Collateral or otherwise to act hereunder or under any other Notes Document, the Collateral Agent may seek direction from the Holders of a majority in aggregate principal amount of the then outstanding Notes. The Collateral Agent shall not be liable with respect to any Action taken or omitted to be taken by it in accordance with the direction from the Holders of a majority in aggregate principal amount of the then outstanding Notes. Subject to the terms of the Collateral Documents, if the Collateral Agent shall request direction from the Holders of a majority in aggregate principal amount of the then outstanding Notes with respect to any Action, the Collateral Agent shall be entitled to refrain from such Action unless and until the Collateral Agent shall have received direction from the Holders of a majority in aggregate principal amount of the then outstanding Notes, and the Collateral Agent shall not incur liability to any Person by reason of so refraining.</w:t>
      </w:r>
    </w:p>
    <w:p>
      <w:pPr>
        <w:spacing w:after="0" w:line="188" w:lineRule="exact"/>
        <w:rPr>
          <w:rFonts w:ascii="Arial" w:cs="Arial" w:eastAsia="Arial" w:hAnsi="Arial"/>
          <w:sz w:val="21"/>
          <w:szCs w:val="21"/>
          <w:color w:val="auto"/>
        </w:rPr>
      </w:pPr>
    </w:p>
    <w:p>
      <w:pPr>
        <w:ind w:firstLine="656"/>
        <w:spacing w:after="0" w:line="246" w:lineRule="auto"/>
        <w:tabs>
          <w:tab w:leader="none" w:pos="144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Notwithstanding anything to the contrary in this Indenture or any other Notes Document, in no event shall the Collateral Agent or the Trustee be responsible for, or have any duty or obligation with respect to, the recording, filing, registering, perfection, protection or maintenance of the security interests or Liens intended to be created by this Indenture or the other Notes Documents (including without limitation the filing or continuation of any UCC or PPSA financing or continuation statements or similar documents or instruments (or analogous procedures under the applicable laws in the relevant Covered Jurisdiction)), nor shall the Collateral Agent or the Trustee be responsible for, and neither the Collateral Agent nor the Trustee makes any representation regarding, the validity, effectiveness or priority of any of the Collateral Documents or the security interests or Liens intended to be created thereby.</w:t>
      </w:r>
    </w:p>
    <w:p>
      <w:pPr>
        <w:spacing w:after="0" w:line="179" w:lineRule="exact"/>
        <w:rPr>
          <w:rFonts w:ascii="Arial" w:cs="Arial" w:eastAsia="Arial" w:hAnsi="Arial"/>
          <w:sz w:val="21"/>
          <w:szCs w:val="21"/>
          <w:color w:val="auto"/>
        </w:rPr>
      </w:pPr>
    </w:p>
    <w:p>
      <w:pPr>
        <w:ind w:right="120" w:firstLine="656"/>
        <w:spacing w:after="0" w:line="297" w:lineRule="auto"/>
        <w:tabs>
          <w:tab w:leader="none" w:pos="14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Before the Collateral Agent acts or refrains from acting in each case at the request or direction of the Issuer, the Guarantors, or the Trustee, it may require an Officers’ Certificate and an Opinion of Counsel to its reasonable satisfaction. The Collateral Agent shall not be liable for any action it takes or omits to take in good faith in reliance on such certificate or opinion.</w:t>
      </w:r>
    </w:p>
    <w:p>
      <w:pPr>
        <w:spacing w:after="0" w:line="133" w:lineRule="exact"/>
        <w:rPr>
          <w:rFonts w:ascii="Arial" w:cs="Arial" w:eastAsia="Arial" w:hAnsi="Arial"/>
          <w:sz w:val="19"/>
          <w:szCs w:val="19"/>
          <w:color w:val="auto"/>
        </w:rPr>
      </w:pPr>
    </w:p>
    <w:p>
      <w:pPr>
        <w:ind w:right="720" w:firstLine="656"/>
        <w:spacing w:after="0" w:line="328" w:lineRule="auto"/>
        <w:tabs>
          <w:tab w:leader="none" w:pos="148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the Collateral Agent shall act pursuant to the instructions of the Holders and/or the Trustee solely with respect to the Collateral Documents and the Collateral.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ind w:right="180" w:firstLine="656"/>
        <w:spacing w:after="0" w:line="241" w:lineRule="auto"/>
        <w:tabs>
          <w:tab w:leader="none" w:pos="143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Issuer shall pay compensation to, reimburse expenses of and indemnify the Collateral Agent in accordance with Section 607 hereof, with the references to the “Trustee” in Section 607 hereof deemed to include a reference to the Collateral Agent.</w:t>
      </w:r>
    </w:p>
    <w:p>
      <w:pPr>
        <w:spacing w:after="0" w:line="183" w:lineRule="exact"/>
        <w:rPr>
          <w:rFonts w:ascii="Arial" w:cs="Arial" w:eastAsia="Arial" w:hAnsi="Arial"/>
          <w:sz w:val="22"/>
          <w:szCs w:val="22"/>
          <w:color w:val="auto"/>
        </w:rPr>
      </w:pPr>
    </w:p>
    <w:p>
      <w:pPr>
        <w:ind w:right="640" w:firstLine="656"/>
        <w:spacing w:after="0"/>
        <w:tabs>
          <w:tab w:leader="none" w:pos="143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Issuer and each of the Holders by acceptance of the Notes acknowledges and directs that the benefits, indemnities, privileges, protections, and rights of Collateral Agent shall extend to (and may be claimed directly or by the Collateral Agent on behalf of) each sub-agent, as the case may be.</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1509.</w:t>
      </w:r>
      <w:r>
        <w:rPr>
          <w:sz w:val="20"/>
          <w:szCs w:val="20"/>
          <w:color w:val="auto"/>
        </w:rPr>
        <w:tab/>
      </w:r>
      <w:r>
        <w:rPr>
          <w:rFonts w:ascii="Arial" w:cs="Arial" w:eastAsia="Arial" w:hAnsi="Arial"/>
          <w:sz w:val="16"/>
          <w:szCs w:val="16"/>
          <w:u w:val="single" w:color="auto"/>
          <w:color w:val="auto"/>
        </w:rPr>
        <w:t>Quebec Law Matters</w:t>
      </w:r>
      <w:r>
        <w:rPr>
          <w:rFonts w:ascii="Arial" w:cs="Arial" w:eastAsia="Arial" w:hAnsi="Arial"/>
          <w:sz w:val="16"/>
          <w:szCs w:val="16"/>
          <w:color w:val="auto"/>
        </w:rPr>
        <w:t>.</w:t>
      </w:r>
    </w:p>
    <w:p>
      <w:pPr>
        <w:spacing w:after="0" w:line="218"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For the purposes of any grant of security under the laws of the Province of Quebec which may in the future be required to be provided by any Note Party, the Collateral Agent is hereby irrevocably authorized and appointed by each of the Holders to act as hypothecary representative (within the meaning of Article 2692 of the Civil Code of Quebec) for all present and future Holders (in such capacity, the “</w:t>
      </w:r>
      <w:r>
        <w:rPr>
          <w:rFonts w:ascii="Arial" w:cs="Arial" w:eastAsia="Arial" w:hAnsi="Arial"/>
          <w:sz w:val="19"/>
          <w:szCs w:val="19"/>
          <w:u w:val="single" w:color="auto"/>
          <w:color w:val="auto"/>
        </w:rPr>
        <w:t>Hypothecary Representative</w:t>
      </w:r>
      <w:r>
        <w:rPr>
          <w:rFonts w:ascii="Arial" w:cs="Arial" w:eastAsia="Arial" w:hAnsi="Arial"/>
          <w:sz w:val="19"/>
          <w:szCs w:val="19"/>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Holder or successor Collateral Agent shall be deemed to have consented to and ratified the foregoing appointment of the Collateral Agent as the Hypothecary Representative on behalf of all Holders, including such Person and any Affiliate of such Person designated above as a Holder. For greater certainty, the Collateral Agent, acting as the Hypothecary Representative, shall have the same rights, powers, immunities, indemnities and exclusions from liability as are prescribed in favor of the Collateral Agent in this Indenture, which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In the event of the resignation of the Collateral Agent (which shall include its resignation as the Hypothecary Representative) and appointment of a successor Collateral Agent, such successor Collateral Agent shall also act as the Hypothecary Representative, as contemplated above.</w:t>
      </w:r>
    </w:p>
    <w:p>
      <w:pPr>
        <w:spacing w:after="0" w:line="16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1510.</w:t>
      </w:r>
      <w:r>
        <w:rPr>
          <w:sz w:val="20"/>
          <w:szCs w:val="20"/>
          <w:color w:val="auto"/>
        </w:rPr>
        <w:tab/>
      </w:r>
      <w:r>
        <w:rPr>
          <w:rFonts w:ascii="Arial" w:cs="Arial" w:eastAsia="Arial" w:hAnsi="Arial"/>
          <w:sz w:val="16"/>
          <w:szCs w:val="16"/>
          <w:u w:val="single" w:color="auto"/>
          <w:color w:val="auto"/>
        </w:rPr>
        <w:t>Scottish Appointment Matters</w:t>
      </w:r>
    </w:p>
    <w:p>
      <w:pPr>
        <w:spacing w:after="0" w:line="21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Collateral Agent declares that it holds in trust for the First Lien Notes Secured Parties, on the terms contained in this Article Fifteen: (A) the Collateral expressed to be subject to the Liens created in favor of the Collateral Agent as trustee for the First Lien Notes Secured Parties by or pursuant to each Collateral Document which is governed by or subject to the laws of Scotland, and all proceeds of that Collateral; (B) all obligations expressed to be undertaken by any Note Party to pay amounts in respect of the Obligations to the Collateral Agent as trustee for the First Lien Notes Secured Parties and secured by any Collateral Document which is governed by or subject to the laws of Scotland together with all representations and warranties expressed to be given by any Note Party or any other Person in favor of the Collateral Agent as trustee for the First Lien Notes Secured Parties; and (C) any other amounts or property, whether rights, entitlements, choses in action or otherwise, actual or contingent, which the Collateral Agent is required by the terms of the Notes Documents to hold as trustee in trust for the First Lien Notes Secured Parties.</w:t>
      </w:r>
    </w:p>
    <w:p>
      <w:pPr>
        <w:spacing w:after="0" w:line="18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Without prejudice to the other provisions of this Article Fifteen, each of the Holders, and by their acceptance of the benefits of the Notes Documents and the other holders of Indenture Obligations hereby irrevocably authorizes the Collateral Agent to perform the duties, obligations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spacing w:after="0" w:line="247" w:lineRule="auto"/>
        <w:rPr>
          <w:sz w:val="20"/>
          <w:szCs w:val="20"/>
          <w:color w:val="auto"/>
        </w:rPr>
      </w:pPr>
      <w:r>
        <w:rPr>
          <w:rFonts w:ascii="Arial" w:cs="Arial" w:eastAsia="Arial" w:hAnsi="Arial"/>
          <w:sz w:val="21"/>
          <w:szCs w:val="21"/>
          <w:color w:val="auto"/>
        </w:rPr>
        <w:t xml:space="preserve">and responsibilities and to exercise the rights, powers, authorities and discretion specifically given to the Collateral Agent as trustee for the First Lien Notes Secured Parties under or in connection with the Notes Documents together with any other incidental rights, powers, authorities and discretions. For the avoidance of doubt, the Collateral Agent in its capacity as trustee for the First Lien Notes Secured Parties shall have the same rights, powers, immunities, indemnities and exclusions from liability as are prescribed in favor of the Collateral Agent in this Indenture, which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and the use of the term “trustee” in this section is a matter of Scottish custom and does not impose any obligations on the Collateral Agent to act as a “trustee” under New York law.</w:t>
      </w:r>
    </w:p>
    <w:p>
      <w:pPr>
        <w:spacing w:after="0" w:line="18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1511.</w:t>
      </w:r>
      <w:r>
        <w:rPr>
          <w:sz w:val="20"/>
          <w:szCs w:val="20"/>
          <w:color w:val="auto"/>
        </w:rPr>
        <w:tab/>
      </w:r>
      <w:r>
        <w:rPr>
          <w:rFonts w:ascii="Arial" w:cs="Arial" w:eastAsia="Arial" w:hAnsi="Arial"/>
          <w:sz w:val="16"/>
          <w:szCs w:val="16"/>
          <w:u w:val="single" w:color="auto"/>
          <w:color w:val="auto"/>
        </w:rPr>
        <w:t>Swiss Appointment Matters</w:t>
      </w:r>
      <w:r>
        <w:rPr>
          <w:rFonts w:ascii="Arial" w:cs="Arial" w:eastAsia="Arial" w:hAnsi="Arial"/>
          <w:sz w:val="16"/>
          <w:szCs w:val="16"/>
          <w:color w:val="auto"/>
        </w:rPr>
        <w:t>.</w:t>
      </w: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relation to the Collateral Documents governed by the laws of Switzerland which provide for a non-accessory security interest (</w:t>
      </w:r>
      <w:r>
        <w:rPr>
          <w:rFonts w:ascii="Arial" w:cs="Arial" w:eastAsia="Arial" w:hAnsi="Arial"/>
          <w:sz w:val="22"/>
          <w:szCs w:val="22"/>
          <w:i w:val="1"/>
          <w:iCs w:val="1"/>
          <w:color w:val="auto"/>
        </w:rPr>
        <w:t>nicht-akzessorische Sicherheiten</w:t>
      </w:r>
      <w:r>
        <w:rPr>
          <w:rFonts w:ascii="Arial" w:cs="Arial" w:eastAsia="Arial" w:hAnsi="Arial"/>
          <w:sz w:val="22"/>
          <w:szCs w:val="22"/>
          <w:color w:val="auto"/>
        </w:rPr>
        <w:t>), the Collateral Agent shall hold and administer and, as the case may be, release and (subject to it having become enforceable) realize any such Collateral (including any and all benefits in connection with such Collateral Documents and any and all proceeds of such Collateral) on a fiduciary basis (</w:t>
      </w:r>
      <w:r>
        <w:rPr>
          <w:rFonts w:ascii="Arial" w:cs="Arial" w:eastAsia="Arial" w:hAnsi="Arial"/>
          <w:sz w:val="22"/>
          <w:szCs w:val="22"/>
          <w:i w:val="1"/>
          <w:iCs w:val="1"/>
          <w:color w:val="auto"/>
        </w:rPr>
        <w:t>treuhänderisch</w:t>
      </w:r>
      <w:r>
        <w:rPr>
          <w:rFonts w:ascii="Arial" w:cs="Arial" w:eastAsia="Arial" w:hAnsi="Arial"/>
          <w:sz w:val="22"/>
          <w:szCs w:val="22"/>
          <w:color w:val="auto"/>
        </w:rPr>
        <w:t>) for itself and for the benefit of all other First Lien Notes Secured Parties.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In relation to the Collateral Documents governed by the laws of Switzerland which provide for an accessory security interest (</w:t>
      </w:r>
      <w:r>
        <w:rPr>
          <w:rFonts w:ascii="Arial" w:cs="Arial" w:eastAsia="Arial" w:hAnsi="Arial"/>
          <w:sz w:val="19"/>
          <w:szCs w:val="19"/>
          <w:i w:val="1"/>
          <w:iCs w:val="1"/>
          <w:color w:val="auto"/>
        </w:rPr>
        <w:t>akzessorische Sicherheiten</w:t>
      </w:r>
      <w:r>
        <w:rPr>
          <w:rFonts w:ascii="Arial" w:cs="Arial" w:eastAsia="Arial" w:hAnsi="Arial"/>
          <w:sz w:val="19"/>
          <w:szCs w:val="19"/>
          <w:color w:val="auto"/>
        </w:rPr>
        <w:t>), the Collateral Agent shall hold and administer and, as the case may be, release and (subject to it having become enforceable) realize any such Collateral (including any and all benefits in connection with such Collateral Documents and any and all proceeds of such Collateral) for itself (including as creditor of the Parallel Debt) and as direct representative (</w:t>
      </w:r>
      <w:r>
        <w:rPr>
          <w:rFonts w:ascii="Arial" w:cs="Arial" w:eastAsia="Arial" w:hAnsi="Arial"/>
          <w:sz w:val="19"/>
          <w:szCs w:val="19"/>
          <w:i w:val="1"/>
          <w:iCs w:val="1"/>
          <w:color w:val="auto"/>
        </w:rPr>
        <w:t>direkter Stellvertreter</w:t>
      </w:r>
      <w:r>
        <w:rPr>
          <w:rFonts w:ascii="Arial" w:cs="Arial" w:eastAsia="Arial" w:hAnsi="Arial"/>
          <w:sz w:val="19"/>
          <w:szCs w:val="19"/>
          <w:color w:val="auto"/>
        </w:rPr>
        <w:t>) in the name and on behalf of each other First Lien Secured Party and each present and future First Lien Secured Party authorizes the Collateral Agent to act as its direct representative (</w:t>
      </w:r>
      <w:r>
        <w:rPr>
          <w:rFonts w:ascii="Arial" w:cs="Arial" w:eastAsia="Arial" w:hAnsi="Arial"/>
          <w:sz w:val="19"/>
          <w:szCs w:val="19"/>
          <w:i w:val="1"/>
          <w:iCs w:val="1"/>
          <w:color w:val="auto"/>
        </w:rPr>
        <w:t>direkter Stellvertreter</w:t>
      </w:r>
      <w:r>
        <w:rPr>
          <w:rFonts w:ascii="Arial" w:cs="Arial" w:eastAsia="Arial" w:hAnsi="Arial"/>
          <w:sz w:val="19"/>
          <w:szCs w:val="19"/>
          <w:color w:val="auto"/>
        </w:rPr>
        <w:t>) in relation to any and all matters in connection with such Collateral Documents.</w:t>
      </w:r>
    </w:p>
    <w:p>
      <w:pPr>
        <w:spacing w:after="0" w:line="15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1512.</w:t>
      </w:r>
      <w:r>
        <w:rPr>
          <w:sz w:val="20"/>
          <w:szCs w:val="20"/>
          <w:color w:val="auto"/>
        </w:rPr>
        <w:tab/>
      </w:r>
      <w:r>
        <w:rPr>
          <w:rFonts w:ascii="Arial" w:cs="Arial" w:eastAsia="Arial" w:hAnsi="Arial"/>
          <w:sz w:val="16"/>
          <w:szCs w:val="16"/>
          <w:u w:val="single" w:color="auto"/>
          <w:color w:val="auto"/>
        </w:rPr>
        <w:t>Parallel Debt Collateral Matters</w:t>
      </w:r>
      <w:r>
        <w:rPr>
          <w:rFonts w:ascii="Arial" w:cs="Arial" w:eastAsia="Arial" w:hAnsi="Arial"/>
          <w:sz w:val="16"/>
          <w:szCs w:val="16"/>
          <w:color w:val="auto"/>
        </w:rPr>
        <w:t>.</w:t>
      </w: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Collateral Agent is hereby authorized to execute and deliver any Collateral Document expressed to be governed by the laws of the Netherlands or by the laws of the Federal Republic of Germany or by the laws of Switzerland and agree with the creation of Parallel Debt obligations as provided for in Section 1411. The Collateral Agent may resign at any time by notifying the Holders and the Note Parties, provided that the parties hereto acknowledge and agree that, for purposes of any Collateral Document expressed to be governed by the laws of the Netherlands or by the laws of the Federal Republic of Germany or by the laws of Switzerland, any resignation by the Collateral Agent is not effective with respect to its rights and obligations under the Parallel Debts until such rights and obligations are assigned to the successor agent. The resigning Collateral Agent will reasonably cooperate in assigning its rights under the Parallel Debts to any such successor agent and will reasonably cooperate in transferring all rights under any Collateral Document expressed to be governed by the laws of the Netherlands or by the laws of the Federal Republic of Germany or by the laws of Switzerland to such successor agent.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ind w:firstLine="648"/>
        <w:spacing w:after="0" w:line="25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the Indenture to be duly executed as of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0" w:lineRule="exact"/>
        <w:rPr>
          <w:sz w:val="20"/>
          <w:szCs w:val="20"/>
          <w:color w:val="auto"/>
        </w:rPr>
      </w:pP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Mohammed Dadhiwala</w:t>
      </w:r>
    </w:p>
    <w:p>
      <w:pPr>
        <w:spacing w:after="0" w:line="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Christine M. Morrison</w:t>
      </w:r>
    </w:p>
    <w:p>
      <w:pPr>
        <w:spacing w:after="0" w:line="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Stuart Fraser</w:t>
      </w:r>
    </w:p>
    <w:p>
      <w:pPr>
        <w:spacing w:after="0" w:line="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Jane Y. Schweiger</w:t>
      </w:r>
    </w:p>
    <w:p>
      <w:pPr>
        <w:spacing w:after="0" w:line="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as Collateral Agent</w:t>
      </w:r>
    </w:p>
    <w:p>
      <w:pPr>
        <w:spacing w:after="0" w:line="211"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Jane Y. Schweiger</w:t>
      </w:r>
    </w:p>
    <w:p>
      <w:pPr>
        <w:spacing w:after="0" w:line="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155" w:name="page156"/>
    <w:bookmarkEnd w:id="155"/>
    <w:p>
      <w:pPr>
        <w:ind w:left="3960"/>
        <w:spacing w:after="0"/>
        <w:rPr>
          <w:sz w:val="20"/>
          <w:szCs w:val="20"/>
          <w:color w:val="auto"/>
        </w:rPr>
      </w:pPr>
      <w:r>
        <w:rPr>
          <w:rFonts w:ascii="Arial" w:cs="Arial" w:eastAsia="Arial" w:hAnsi="Arial"/>
          <w:sz w:val="18"/>
          <w:szCs w:val="18"/>
          <w:color w:val="auto"/>
        </w:rPr>
        <w:t>Advantage R&amp;D, Inc.</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Benmore In-Depth Corp.</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Case Services,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Colombia Petroleum Services Corp.</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Columbia Oilfield supply,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Datalog Acquisition,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Discovery Logging,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Edinburgh Petroleum Services Americas Incorporated</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eProduction Solutions,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High Pressure Integrity,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In-Depth Systems,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International Logging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International Logging S.A.,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Precision Drilling GP,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Stealth Oil &amp; Gas,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Tooke Rockies,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Visean Information Services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Visual Systems,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Warrior Well Services,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(PTWI),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DISC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Global Services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Latin America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Management,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Technology Holdings,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URS Holdings,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WUS Holding, L.L.C.</w:t>
      </w:r>
    </w:p>
    <w:p>
      <w:pPr>
        <w:spacing w:after="0" w:line="200" w:lineRule="exact"/>
        <w:rPr>
          <w:sz w:val="20"/>
          <w:szCs w:val="20"/>
          <w:color w:val="auto"/>
        </w:rPr>
      </w:pPr>
    </w:p>
    <w:p>
      <w:pPr>
        <w:spacing w:after="0" w:line="254"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Sabre drilling Ltd.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Bermuda Holdings Ltd.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Colombia Limited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Weatherford Drilling International Holdings (BVI) Ltd.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56" w:name="page157"/>
    <w:bookmarkEnd w:id="156"/>
    <w:p>
      <w:pPr>
        <w:ind w:left="3960"/>
        <w:spacing w:after="0"/>
        <w:rPr>
          <w:sz w:val="20"/>
          <w:szCs w:val="20"/>
          <w:color w:val="auto"/>
        </w:rPr>
      </w:pPr>
      <w:r>
        <w:rPr>
          <w:rFonts w:ascii="Arial" w:cs="Arial" w:eastAsia="Arial" w:hAnsi="Arial"/>
          <w:sz w:val="18"/>
          <w:szCs w:val="18"/>
          <w:color w:val="auto"/>
        </w:rPr>
        <w:t>Weatherford Holdings (Bermuda) Ltd.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Weatherford International Holding (Bermuda) Ltd.</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Pangaea Holdings Ltd.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Services, Ltd.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WOFS Assurance Limited</w:t>
      </w:r>
    </w:p>
    <w:p>
      <w:pPr>
        <w:spacing w:after="0" w:line="23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Vice President</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Holdings (BVI) Ltd.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Oil Tool Middle East Limited</w:t>
      </w:r>
    </w:p>
    <w:p>
      <w:pPr>
        <w:spacing w:after="0" w:line="23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5" w:lineRule="exact"/>
        <w:rPr>
          <w:sz w:val="20"/>
          <w:szCs w:val="20"/>
          <w:color w:val="auto"/>
        </w:rPr>
      </w:pPr>
    </w:p>
    <w:p>
      <w:pPr>
        <w:jc w:val="center"/>
        <w:ind w:left="2700"/>
        <w:spacing w:after="0"/>
        <w:tabs>
          <w:tab w:leader="none" w:pos="160" w:val="left"/>
        </w:tabs>
        <w:rPr>
          <w:sz w:val="20"/>
          <w:szCs w:val="20"/>
          <w:color w:val="auto"/>
        </w:rPr>
      </w:pPr>
      <w:r>
        <w:rPr>
          <w:rFonts w:ascii="Arial" w:cs="Arial" w:eastAsia="Arial" w:hAnsi="Arial"/>
          <w:sz w:val="18"/>
          <w:szCs w:val="18"/>
          <w:color w:val="auto"/>
        </w:rPr>
        <w:t>Title:</w:t>
        <w:tab/>
        <w:t>Senior Vice President</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Key International Drilling Company Limited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Drilling International (BVI) Ltd.</w:t>
      </w:r>
    </w:p>
    <w:p>
      <w:pPr>
        <w:spacing w:after="0" w:line="23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David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Andrew David Gold</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President</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Precision Energy International Ltd.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Precision Energy Services Colombia Ltd.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Precision Energy Services ULC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(Nova Scotia) ULC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Canada Ltd.</w:t>
      </w:r>
    </w:p>
    <w:p>
      <w:pPr>
        <w:spacing w:after="0" w:line="23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Charles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Raymond Charles Smith</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Holdings (Switzerland) GmbH</w:t>
      </w:r>
    </w:p>
    <w:p>
      <w:pPr>
        <w:spacing w:after="0" w:line="252"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Valentin Mueller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Weatherford Management Company Switzerland Sàrl</w:t>
      </w:r>
    </w:p>
    <w:p>
      <w:pPr>
        <w:spacing w:after="0" w:line="27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Valentin Mueller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7" w:name="page158"/>
    <w:bookmarkEnd w:id="157"/>
    <w:p>
      <w:pPr>
        <w:ind w:left="39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G</w:t>
      </w:r>
      <w:r>
        <w:rPr>
          <w:rFonts w:ascii="Arial" w:cs="Arial" w:eastAsia="Arial" w:hAnsi="Arial"/>
          <w:sz w:val="12"/>
          <w:szCs w:val="12"/>
          <w:color w:val="auto"/>
        </w:rPr>
        <w:t>MB</w:t>
      </w:r>
      <w:r>
        <w:rPr>
          <w:rFonts w:ascii="Arial" w:cs="Arial" w:eastAsia="Arial" w:hAnsi="Arial"/>
          <w:sz w:val="18"/>
          <w:szCs w:val="18"/>
          <w:color w:val="auto"/>
        </w:rPr>
        <w:t>H</w:t>
      </w:r>
    </w:p>
    <w:p>
      <w:pPr>
        <w:spacing w:after="0" w:line="266"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Valentin Mueller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Products GmbH</w:t>
      </w:r>
    </w:p>
    <w:p>
      <w:pPr>
        <w:spacing w:after="0" w:line="252"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Weatherford Switzerland Trading and Development GmbH</w:t>
      </w:r>
    </w:p>
    <w:p>
      <w:pPr>
        <w:spacing w:after="0" w:line="27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WOFS International Finance GmbH</w:t>
      </w:r>
    </w:p>
    <w:p>
      <w:pPr>
        <w:spacing w:after="0" w:line="252"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spacing w:after="0" w:line="200" w:lineRule="exact"/>
        <w:rPr>
          <w:sz w:val="20"/>
          <w:szCs w:val="20"/>
          <w:color w:val="auto"/>
        </w:rPr>
      </w:pP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Services S. de R.L.</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Officer</w:t>
      </w:r>
    </w:p>
    <w:p>
      <w:pPr>
        <w:ind w:left="5080"/>
        <w:spacing w:after="0"/>
        <w:rPr>
          <w:sz w:val="20"/>
          <w:szCs w:val="20"/>
          <w:color w:val="auto"/>
        </w:rPr>
      </w:pPr>
      <w:r>
        <w:rPr>
          <w:rFonts w:ascii="Arial" w:cs="Arial" w:eastAsia="Arial" w:hAnsi="Arial"/>
          <w:sz w:val="16"/>
          <w:szCs w:val="16"/>
          <w:color w:val="auto"/>
        </w:rPr>
        <w:t>Weatherford Worldwide Holdings GmbH, as</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shareholder</w:t>
      </w:r>
    </w:p>
    <w:p>
      <w:pPr>
        <w:spacing w:after="0" w:line="2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European Holdings (Luxembourg) S.à r.l.</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société à responsabilité limitée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RCS Luxembourg: B150.992</w:t>
      </w:r>
    </w:p>
    <w:p>
      <w:pPr>
        <w:spacing w:after="0" w:line="23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Manager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58" w:name="page159"/>
    <w:bookmarkEnd w:id="158"/>
    <w:p>
      <w:pPr>
        <w:ind w:left="3960"/>
        <w:spacing w:after="0"/>
        <w:rPr>
          <w:sz w:val="20"/>
          <w:szCs w:val="20"/>
          <w:color w:val="auto"/>
        </w:rPr>
      </w:pPr>
      <w:r>
        <w:rPr>
          <w:rFonts w:ascii="Arial" w:cs="Arial" w:eastAsia="Arial" w:hAnsi="Arial"/>
          <w:sz w:val="16"/>
          <w:szCs w:val="16"/>
          <w:color w:val="auto"/>
        </w:rPr>
        <w:t>Weatherford International (Luxembourg) Holdings S.à r.l.</w:t>
      </w:r>
    </w:p>
    <w:p>
      <w:pPr>
        <w:spacing w:after="0" w:line="4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société à responsabilité limitée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RCS Luxembourg: B150.992</w:t>
      </w:r>
    </w:p>
    <w:p>
      <w:pPr>
        <w:spacing w:after="0" w:line="23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Manager A</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Eurasia Limited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Irish Holdings Limited</w:t>
      </w:r>
    </w:p>
    <w:p>
      <w:pPr>
        <w:spacing w:after="0" w:line="23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Alexander MacLeod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Neil Alexander MacLeod</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Director</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U.K. Limited</w:t>
      </w:r>
    </w:p>
    <w:p>
      <w:pPr>
        <w:spacing w:after="0" w:line="252"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Richard Strachan</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Director</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Netherlands B.V.</w:t>
      </w:r>
    </w:p>
    <w:p>
      <w:pPr>
        <w:spacing w:after="0" w:line="252"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August Willem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August Willem Versteeg</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Director</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Weatherford Norge AS</w:t>
      </w:r>
    </w:p>
    <w:p>
      <w:pPr>
        <w:spacing w:after="0" w:line="252"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Geir Egil Moller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Geir Egil Moller Olsen</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Chairman of the Board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Weatherford Australia Pty Limited</w:t>
      </w:r>
    </w:p>
    <w:p>
      <w:pPr>
        <w:spacing w:after="0" w:line="236"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WEATHERFORD AUSTRALIA PTY LIMITED ACN 008 947 395 </w:t>
      </w:r>
      <w:r>
        <w:rPr>
          <w:rFonts w:ascii="Arial" w:cs="Arial" w:eastAsia="Arial" w:hAnsi="Arial"/>
          <w:sz w:val="18"/>
          <w:szCs w:val="18"/>
          <w:color w:val="auto"/>
        </w:rPr>
        <w:t>in accordance with section 127 of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 2001 (Cth):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Bruno Teixeira Bezerra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Bruno Teixeira Bezerra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3604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Full name of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159"/>
        <w:spacing w:after="0" w:line="342" w:lineRule="auto"/>
        <w:rPr>
          <w:sz w:val="20"/>
          <w:szCs w:val="20"/>
          <w:color w:val="auto"/>
        </w:rPr>
      </w:pPr>
      <w:r>
        <w:rPr>
          <w:rFonts w:ascii="Arial" w:cs="Arial" w:eastAsia="Arial" w:hAnsi="Arial"/>
          <w:sz w:val="16"/>
          <w:szCs w:val="16"/>
          <w:color w:val="auto"/>
        </w:rPr>
        <w:t>/s/ Robert Antonio De Gasperis Signature of company secretary/director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-846455</wp:posOffset>
            </wp:positionV>
            <wp:extent cx="3522980" cy="668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22980" cy="6686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Antonio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26580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6580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Full name of company secretary/director</w:t>
      </w:r>
    </w:p>
    <w:p>
      <w:pPr>
        <w:spacing w:after="0" w:line="222" w:lineRule="exact"/>
        <w:rPr>
          <w:sz w:val="20"/>
          <w:szCs w:val="20"/>
          <w:color w:val="auto"/>
        </w:rPr>
      </w:pPr>
    </w:p>
    <w:p>
      <w:pPr>
        <w:sectPr>
          <w:pgSz w:w="11900" w:h="16838" w:orient="portrait"/>
          <w:cols w:equalWidth="0" w:num="2">
            <w:col w:w="5380" w:space="720"/>
            <w:col w:w="4039"/>
          </w:cols>
          <w:pgMar w:left="320" w:top="3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160" w:name="page161"/>
    <w:bookmarkEnd w:id="160"/>
    <w:p>
      <w:pPr>
        <w:ind w:left="3960"/>
        <w:spacing w:after="0"/>
        <w:rPr>
          <w:sz w:val="20"/>
          <w:szCs w:val="20"/>
          <w:color w:val="auto"/>
        </w:rPr>
      </w:pPr>
      <w:r>
        <w:rPr>
          <w:rFonts w:ascii="Arial" w:cs="Arial" w:eastAsia="Arial" w:hAnsi="Arial"/>
          <w:sz w:val="18"/>
          <w:szCs w:val="18"/>
          <w:color w:val="auto"/>
        </w:rPr>
        <w:t>Weatherford Oil Tool GmbH</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Kerstin Hartmann-Miß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0891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Name: Kerstin Hartmann-Miß</w:t>
      </w:r>
    </w:p>
    <w:p>
      <w:pPr>
        <w:spacing w:after="0" w:line="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ANNEX A</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CUSIP</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ISIN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Note]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Restricted Notes Legend, if applicable.</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 a Global Note, insert the Global Note Legend.</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 a Note issued with “Original Issue Discount,” insert the OID Legend.</w:t>
      </w:r>
      <w:r>
        <w:rPr>
          <w:rFonts w:ascii="Arial" w:cs="Arial" w:eastAsia="Arial" w:hAnsi="Arial"/>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8.75% Senior Secured First Lien Note due 2024</w:t>
      </w:r>
    </w:p>
    <w:p>
      <w:pPr>
        <w:spacing w:after="0" w:line="200" w:lineRule="exact"/>
        <w:rPr>
          <w:sz w:val="20"/>
          <w:szCs w:val="20"/>
          <w:color w:val="auto"/>
        </w:rPr>
      </w:pPr>
    </w:p>
    <w:p>
      <w:pPr>
        <w:spacing w:after="0" w:line="270" w:lineRule="exact"/>
        <w:rPr>
          <w:sz w:val="20"/>
          <w:szCs w:val="20"/>
          <w:color w:val="auto"/>
        </w:rPr>
      </w:pPr>
    </w:p>
    <w:p>
      <w:pPr>
        <w:ind w:left="160"/>
        <w:spacing w:after="0"/>
        <w:tabs>
          <w:tab w:leader="none" w:pos="101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wp:posOffset>
            </wp:positionV>
            <wp:extent cx="36004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52" w:lineRule="exact"/>
        <w:rPr>
          <w:sz w:val="20"/>
          <w:szCs w:val="20"/>
          <w:color w:val="auto"/>
        </w:rPr>
      </w:pPr>
    </w:p>
    <w:p>
      <w:pPr>
        <w:ind w:right="620" w:firstLine="648"/>
        <w:spacing w:after="0" w:line="276" w:lineRule="auto"/>
        <w:rPr>
          <w:sz w:val="20"/>
          <w:szCs w:val="20"/>
          <w:color w:val="auto"/>
        </w:rPr>
      </w:pPr>
      <w:r>
        <w:rPr>
          <w:rFonts w:ascii="Arial" w:cs="Arial" w:eastAsia="Arial" w:hAnsi="Arial"/>
          <w:sz w:val="19"/>
          <w:szCs w:val="19"/>
          <w:color w:val="auto"/>
        </w:rPr>
        <w:t>Weatherford International Ltd., a Bermuda exempted company (herein called the “Issuer,” which term includes any successor Person under the Indenture hereinafter referred to), for value received, hereby promises to pay to Cede &amp; Co., or</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registered assigns, the principal sum of U.S. dollars on September 1, 2024, or such greater or lesser amount as may be indicated on the Schedule of Exchanges of Interests in the Global Note attached hereto, and to pay interest thereon from August 28, 2020 or from the most recent Interest Payment Date to which interest has been paid or duly provided for, semi-annually on March 1 and September 1 in each year, commencing March 1, 2021, at the rate of 8.75% per annum, until the principal hereof is paid or made available for payment.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February 15 or August 15 (whether or not a Business Day), as the case may be, next preceding such Interest Payment Date. The Issuer shall pay (i) Defaulted Interest (including post-petition interest in any proceeding under any Bankruptcy Law) on overdue principal and premium, if any, from time to time on demand at a rate that is 2% higher than the applicable interest rate on the Notes to the extent lawful and (ii) Defaulted Interest (including post-petition interest in any proceeding under any Bankruptcy Law) on overdue installments of interest (without regard to any applicable grace periods) from time to time on demand at the rate that is 2% higher than the applicable interest rate on the Notes to the extent lawful. Interest on the Notes shall be computed on the basis of a 360-day year of twelve 30-day months.</w:t>
      </w:r>
    </w:p>
    <w:p>
      <w:pPr>
        <w:spacing w:after="0" w:line="200" w:lineRule="exact"/>
        <w:rPr>
          <w:sz w:val="20"/>
          <w:szCs w:val="20"/>
          <w:color w:val="auto"/>
        </w:rPr>
      </w:pPr>
    </w:p>
    <w:p>
      <w:pPr>
        <w:spacing w:after="0" w:line="205"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If the Holder of this Note has given wire transfer instructions to the Trustee at least ten Business Days prior to the applicable payment date, the Issuer will make all payments on this Note by wire transfer of immediately available funds to the account in the United States of America specified in those instructions. Otherwise, payment of the principal of (and premium, if any) and any such interest on this Note will be made at the office or agency of the Issuer maintained for that purpose in the United States of America in such coin or currency of the United States of America as at the time of payment is legal tender for payment of public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ind w:right="420"/>
        <w:spacing w:after="0" w:line="274" w:lineRule="auto"/>
        <w:rPr>
          <w:sz w:val="20"/>
          <w:szCs w:val="20"/>
          <w:color w:val="auto"/>
        </w:rPr>
      </w:pPr>
      <w:r>
        <w:rPr>
          <w:rFonts w:ascii="Arial" w:cs="Arial" w:eastAsia="Arial" w:hAnsi="Arial"/>
          <w:sz w:val="21"/>
          <w:szCs w:val="21"/>
          <w:color w:val="auto"/>
        </w:rPr>
        <w:t xml:space="preserve">private debts;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the option of the Issuer, payment of interest may be made by check mailed to the address of the Person entitled thereto as such address shall appear in the Security Register.</w:t>
      </w:r>
    </w:p>
    <w:p>
      <w:pPr>
        <w:spacing w:after="0" w:line="15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Reference is hereby made to the further provisions of this Note set forth on the reverse hereof, which further provisions shall for all purposes have the same effect as if set forth at this place.</w:t>
      </w:r>
    </w:p>
    <w:p>
      <w:pPr>
        <w:spacing w:after="0" w:line="175"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8" w:right="599" w:bottom="1440" w:gutter="0" w:footer="0" w:header="0"/>
        </w:sectPr>
      </w:pPr>
    </w:p>
    <w:bookmarkStart w:id="163" w:name="page164"/>
    <w:bookmarkEnd w:id="163"/>
    <w:p>
      <w:pPr>
        <w:jc w:val="center"/>
        <w:ind w:right="40"/>
        <w:spacing w:after="0"/>
        <w:rPr>
          <w:sz w:val="20"/>
          <w:szCs w:val="20"/>
          <w:color w:val="auto"/>
        </w:rPr>
      </w:pPr>
      <w:r>
        <w:rPr>
          <w:rFonts w:ascii="Arial" w:cs="Arial" w:eastAsia="Arial" w:hAnsi="Arial"/>
          <w:sz w:val="22"/>
          <w:szCs w:val="22"/>
          <w:color w:val="auto"/>
        </w:rPr>
        <w:t>IN WITNESS WHEREOF, the Issuer has caused this Note to be duly executed by its undersigned officer.</w:t>
      </w:r>
    </w:p>
    <w:p>
      <w:pPr>
        <w:spacing w:after="0" w:line="250"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WEATHERFORD INTERNATIONAL LTD.,</w:t>
      </w:r>
    </w:p>
    <w:p>
      <w:pPr>
        <w:spacing w:after="0" w:line="4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Bermuda exempted company</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Trustee’s Certificate of Authentication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is one of the 8.75% Senior Secured First Lien Notes due 2024 referred to in the within-mentioned Indenture.</w:t>
      </w:r>
    </w:p>
    <w:p>
      <w:pPr>
        <w:spacing w:after="0" w:line="25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ILMINGTON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8"/>
          <w:szCs w:val="18"/>
          <w:b w:val="1"/>
          <w:bCs w:val="1"/>
          <w:color w:val="auto"/>
        </w:rPr>
        <w:t>,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SSOCIATION</w:t>
      </w:r>
      <w:r>
        <w:rPr>
          <w:rFonts w:ascii="Arial" w:cs="Arial" w:eastAsia="Arial" w:hAnsi="Arial"/>
          <w:sz w:val="18"/>
          <w:szCs w:val="18"/>
          <w:color w:val="auto"/>
        </w:rPr>
        <w:t>,</w:t>
      </w:r>
    </w:p>
    <w:p>
      <w:pPr>
        <w:spacing w:after="0" w:line="40"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as Trustee</w:t>
      </w:r>
    </w:p>
    <w:p>
      <w:pPr>
        <w:spacing w:after="0" w:line="26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3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Authorized Signatory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18" w:right="111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2"/>
          <w:szCs w:val="22"/>
          <w:color w:val="auto"/>
        </w:rPr>
        <w:t>[Form of Reverse of Note]</w:t>
      </w:r>
    </w:p>
    <w:p>
      <w:pPr>
        <w:spacing w:after="0" w:line="207"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This Note is one of a duly authorized series of securities of the Issuer (herein called the “Notes”), issued under an Indenture, dated as of August 28, 2020 (the “Indenture”) among the Issuer, the Guarantors named therein, Wilmington Trust, National Association, as Trustee (herein called the “Trustee,” which term includes any successor trustee under the Indenture) and Wilmington Trust, National Association, as Collateral Agent, and reference is hereby made to the Indenture for a statement of the respective rights, limitations of rights, duties and immunities thereunder of the Issuer, the Guarantors, the Trustee, the Collateral Agent and the Holders of the Notes and of the terms upon which the Notes are, and are to be, authenticated and delivered. In the event of any conflict between the provisions of this Note and the provisions of the Indenture, the provisions of the Indenture shall control.</w:t>
      </w:r>
    </w:p>
    <w:p>
      <w:pPr>
        <w:spacing w:after="0" w:line="180"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Except as set forth below and in the Indenture, the Issuer shall not have the option to redeem the Notes prior to August 28, 2021. On or after August 28,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but excluding, the applicable redemption date (subject to the right of Holders of record on the relevant record date to receive interest due on an interest payment date that is on or prior to the redemption date), if redeemed during the twelve-month period beginning on August 28 of the years indicated below:</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auto"/>
              </w:rPr>
              <w:t>YEAR</w:t>
            </w:r>
          </w:p>
        </w:tc>
        <w:tc>
          <w:tcPr>
            <w:tcW w:w="1160" w:type="dxa"/>
            <w:vAlign w:val="bottom"/>
          </w:tcPr>
          <w:p>
            <w:pPr>
              <w:spacing w:after="0"/>
              <w:rPr>
                <w:sz w:val="20"/>
                <w:szCs w:val="20"/>
                <w:color w:val="auto"/>
              </w:rPr>
            </w:pPr>
            <w:r>
              <w:rPr>
                <w:rFonts w:ascii="Arial" w:cs="Arial" w:eastAsia="Arial" w:hAnsi="Arial"/>
                <w:sz w:val="18"/>
                <w:szCs w:val="18"/>
                <w:color w:val="auto"/>
                <w:w w:val="91"/>
              </w:rPr>
              <w:t>PERCENTAGE</w:t>
            </w:r>
          </w:p>
        </w:tc>
      </w:tr>
      <w:tr>
        <w:trPr>
          <w:trHeight w:val="264"/>
        </w:trPr>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220" w:type="dxa"/>
            <w:vAlign w:val="bottom"/>
          </w:tcPr>
          <w:p>
            <w:pPr>
              <w:spacing w:after="0"/>
              <w:rPr>
                <w:sz w:val="22"/>
                <w:szCs w:val="22"/>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104.375%</w:t>
            </w:r>
          </w:p>
        </w:tc>
      </w:tr>
      <w:tr>
        <w:trPr>
          <w:trHeight w:val="243"/>
        </w:trPr>
        <w:tc>
          <w:tcPr>
            <w:tcW w:w="480" w:type="dxa"/>
            <w:vAlign w:val="bottom"/>
          </w:tcPr>
          <w:p>
            <w:pPr>
              <w:spacing w:after="0"/>
              <w:rPr>
                <w:sz w:val="20"/>
                <w:szCs w:val="20"/>
                <w:color w:val="auto"/>
              </w:rPr>
            </w:pPr>
            <w:r>
              <w:rPr>
                <w:rFonts w:ascii="Arial" w:cs="Arial" w:eastAsia="Arial" w:hAnsi="Arial"/>
                <w:sz w:val="18"/>
                <w:szCs w:val="18"/>
                <w:color w:val="auto"/>
              </w:rPr>
              <w:t>2022</w:t>
            </w:r>
          </w:p>
        </w:tc>
        <w:tc>
          <w:tcPr>
            <w:tcW w:w="422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102.188%</w:t>
            </w: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60" w:type="dxa"/>
            <w:vAlign w:val="bottom"/>
          </w:tcPr>
          <w:p>
            <w:pPr>
              <w:spacing w:after="0"/>
              <w:rPr>
                <w:sz w:val="20"/>
                <w:szCs w:val="20"/>
                <w:color w:val="auto"/>
              </w:rPr>
            </w:pPr>
            <w:r>
              <w:rPr>
                <w:rFonts w:ascii="Arial" w:cs="Arial" w:eastAsia="Arial" w:hAnsi="Arial"/>
                <w:sz w:val="18"/>
                <w:szCs w:val="18"/>
                <w:color w:val="auto"/>
              </w:rPr>
              <w:t>100.000%</w:t>
            </w:r>
          </w:p>
        </w:tc>
      </w:tr>
    </w:tbl>
    <w:p>
      <w:pPr>
        <w:spacing w:after="0" w:line="235"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Prior to August 28, 2021, the Issuer may redeem on one or more occasions all or part of the Notes at a redemption price equal to the sum of:</w:t>
      </w:r>
    </w:p>
    <w:p>
      <w:pPr>
        <w:spacing w:after="0" w:line="175" w:lineRule="exact"/>
        <w:rPr>
          <w:sz w:val="20"/>
          <w:szCs w:val="20"/>
          <w:color w:val="auto"/>
        </w:rPr>
      </w:pPr>
    </w:p>
    <w:p>
      <w:pPr>
        <w:ind w:left="1500" w:hanging="844"/>
        <w:spacing w:after="0"/>
        <w:tabs>
          <w:tab w:leader="none" w:pos="1500"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the principal amount thereof, plus</w:t>
      </w:r>
    </w:p>
    <w:p>
      <w:pPr>
        <w:spacing w:after="0" w:line="206" w:lineRule="exact"/>
        <w:rPr>
          <w:rFonts w:ascii="Arial" w:cs="Arial" w:eastAsia="Arial" w:hAnsi="Arial"/>
          <w:sz w:val="22"/>
          <w:szCs w:val="22"/>
          <w:color w:val="010000"/>
        </w:rPr>
      </w:pPr>
    </w:p>
    <w:p>
      <w:pPr>
        <w:ind w:left="1480" w:hanging="824"/>
        <w:spacing w:after="0"/>
        <w:tabs>
          <w:tab w:leader="none" w:pos="1480"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the Make Whole Premium at the redemption date, plus</w:t>
      </w:r>
    </w:p>
    <w:p>
      <w:pPr>
        <w:spacing w:after="0" w:line="206" w:lineRule="exact"/>
        <w:rPr>
          <w:rFonts w:ascii="Arial" w:cs="Arial" w:eastAsia="Arial" w:hAnsi="Arial"/>
          <w:sz w:val="22"/>
          <w:szCs w:val="22"/>
          <w:color w:val="010000"/>
        </w:rPr>
      </w:pPr>
    </w:p>
    <w:p>
      <w:pPr>
        <w:ind w:right="260" w:firstLine="656"/>
        <w:spacing w:after="0" w:line="328" w:lineRule="auto"/>
        <w:tabs>
          <w:tab w:leader="none" w:pos="1476" w:val="left"/>
        </w:tabs>
        <w:numPr>
          <w:ilvl w:val="0"/>
          <w:numId w:val="180"/>
        </w:numPr>
        <w:rPr>
          <w:rFonts w:ascii="Arial" w:cs="Arial" w:eastAsia="Arial" w:hAnsi="Arial"/>
          <w:sz w:val="19"/>
          <w:szCs w:val="19"/>
          <w:color w:val="010000"/>
        </w:rPr>
      </w:pPr>
      <w:r>
        <w:rPr>
          <w:rFonts w:ascii="Arial" w:cs="Arial" w:eastAsia="Arial" w:hAnsi="Arial"/>
          <w:sz w:val="19"/>
          <w:szCs w:val="19"/>
          <w:color w:val="auto"/>
        </w:rPr>
        <w:t>accrued and unpaid interest, if any, to, but excluding, the redemption date (subject to the right of Holders of record on the relevant record date to receive interest due on an interest payment date that is on or prior to the redemption date).</w:t>
      </w:r>
    </w:p>
    <w:p>
      <w:pPr>
        <w:spacing w:after="0" w:line="105" w:lineRule="exact"/>
        <w:rPr>
          <w:sz w:val="20"/>
          <w:szCs w:val="20"/>
          <w:color w:val="auto"/>
        </w:rPr>
      </w:pPr>
    </w:p>
    <w:p>
      <w:pPr>
        <w:ind w:right="60" w:firstLine="648"/>
        <w:spacing w:after="0" w:line="328" w:lineRule="auto"/>
        <w:rPr>
          <w:sz w:val="20"/>
          <w:szCs w:val="20"/>
          <w:color w:val="auto"/>
        </w:rPr>
      </w:pPr>
      <w:r>
        <w:rPr>
          <w:rFonts w:ascii="Arial" w:cs="Arial" w:eastAsia="Arial" w:hAnsi="Arial"/>
          <w:sz w:val="19"/>
          <w:szCs w:val="19"/>
          <w:color w:val="auto"/>
        </w:rPr>
        <w:t>The Notes may also be redeemed, as a whole, at the Issuer’s option, following Change of Control Offers, at the respective Redemption Prices and subject to the conditions set forth in Sections 1103(d) and 1007 of the Indenture, respectively.</w:t>
      </w:r>
    </w:p>
    <w:p>
      <w:pPr>
        <w:spacing w:after="0" w:line="105" w:lineRule="exact"/>
        <w:rPr>
          <w:sz w:val="20"/>
          <w:szCs w:val="20"/>
          <w:color w:val="auto"/>
        </w:rPr>
      </w:pPr>
    </w:p>
    <w:p>
      <w:pPr>
        <w:ind w:right="640" w:firstLine="648"/>
        <w:spacing w:after="0" w:line="250" w:lineRule="auto"/>
        <w:rPr>
          <w:sz w:val="20"/>
          <w:szCs w:val="20"/>
          <w:color w:val="auto"/>
        </w:rPr>
      </w:pPr>
      <w:r>
        <w:rPr>
          <w:rFonts w:ascii="Arial" w:cs="Arial" w:eastAsia="Arial" w:hAnsi="Arial"/>
          <w:sz w:val="22"/>
          <w:szCs w:val="22"/>
          <w:color w:val="auto"/>
        </w:rPr>
        <w:t>Notice of any redemption upon any corporate transaction or other event (including any offering of Equity Interests, incurrence of Indebtedness, Change of Control or other transaction)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spacing w:after="0" w:line="273" w:lineRule="auto"/>
        <w:rPr>
          <w:sz w:val="20"/>
          <w:szCs w:val="20"/>
          <w:color w:val="auto"/>
        </w:rPr>
      </w:pPr>
      <w:r>
        <w:rPr>
          <w:rFonts w:ascii="Arial" w:cs="Arial" w:eastAsia="Arial" w:hAnsi="Arial"/>
          <w:sz w:val="19"/>
          <w:szCs w:val="19"/>
          <w:color w:val="auto"/>
        </w:rPr>
        <w:t>may be given prior to the completion thereof. In addition, any redemption or notice thereof may, at the Issuer’s discretion, be subject to one or more conditions precedent, including, but not limited to, completion of a corporate transaction or other event. If any redemption is so subject to the satisfaction of one or more conditions precedent, the notice thereof shall describe each such condition and, if applicable, shall state that, in the Issuer’s discretion, the Redemption Date may be delayed until such time as any or all such conditions shall be satisfied (or waived by the Issuer in its sole discretion), and/or such redemption may not occur and such notice may be rescinded in the event that any or all such conditions shall not have been satisfied (or waived by the Issuer in its sole discretion) by the Redemption Date, or by the Redemption Date as so delayed, and/or that such notice may be rescinded at any time by the Issuer if the Issuer determines in its sole discretion that any or all of such conditions will not be satisfied (or waived). In addition, the Issuer may provide in such notice that payment of the redemption price and performance of the Issuer’s obligations with respect to such redemption may be performed by another Person.</w:t>
      </w:r>
    </w:p>
    <w:p>
      <w:pPr>
        <w:spacing w:after="0" w:line="161"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In the event of redemption of this Note in part only, a new Note or Notes of like tenor for the unredeemed portion hereof will be issued in the name of the Holder hereof upon the cancellation hereof.</w:t>
      </w:r>
    </w:p>
    <w:p>
      <w:pPr>
        <w:spacing w:after="0" w:line="175"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86"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the Trustee and the Collateral Agent, if applicable, with the consent of the Holders of a majority in aggregate principal amount of the then Outstanding Notes affected thereby (voting as a separate series). The Indenture also contains provisions permitting the Holders of specified percentages in aggregate principal amount of the Outstanding Notes, 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58"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Notes owned by Specified Holders (as defined in the Indenture) shall not be so disregarded.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6" w:name="page167"/>
    <w:bookmarkEnd w:id="166"/>
    <w:p>
      <w:pPr>
        <w:ind w:right="120" w:firstLine="648"/>
        <w:spacing w:after="0" w:line="251" w:lineRule="auto"/>
        <w:rPr>
          <w:sz w:val="20"/>
          <w:szCs w:val="20"/>
          <w:color w:val="auto"/>
        </w:rPr>
      </w:pPr>
      <w:r>
        <w:rPr>
          <w:rFonts w:ascii="Arial" w:cs="Arial" w:eastAsia="Arial" w:hAnsi="Arial"/>
          <w:sz w:val="22"/>
          <w:szCs w:val="22"/>
          <w:color w:val="auto"/>
        </w:rPr>
        <w:t>If an Event of Default shall occur and be continuing, the Notes may be declared (or shall automatically become) due and payable in the manner and with the effect provided in the Indenture.</w:t>
      </w:r>
    </w:p>
    <w:p>
      <w:pPr>
        <w:spacing w:after="0" w:line="174"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and, if requested, provide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58"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86"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47"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Notes are issuable only in registered form without coupons in minimum denominations of $1.00 and any integral multiple of $1.00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85"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05"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Prior to due presentment of this Note for registration of transfer, the Issuer, the Guarantors, the Trustee, the Collateral Agent and any agent of the Issuer, the Guarantors, the Trustee or the Collateral Agent may treat the Person in whose name this Note is registered as the owner hereof for all purposes (except as required by applicable tax laws), whether or not this Note be overdue, and neither the Issuer, the Guarantors, the Trustee, the Collateral Agent nor any such agent shall be affected by notice to the contrary.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7" w:name="page168"/>
    <w:bookmarkEnd w:id="167"/>
    <w:p>
      <w:pPr>
        <w:ind w:right="20" w:firstLine="648"/>
        <w:spacing w:after="0" w:line="236" w:lineRule="auto"/>
        <w:rPr>
          <w:sz w:val="20"/>
          <w:szCs w:val="20"/>
          <w:color w:val="auto"/>
        </w:rPr>
      </w:pPr>
      <w:r>
        <w:rPr>
          <w:rFonts w:ascii="Arial" w:cs="Arial" w:eastAsia="Arial" w:hAnsi="Arial"/>
          <w:sz w:val="22"/>
          <w:szCs w:val="22"/>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88"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All terms used in this Note which are defined in the Indenture but not defined herein shall have the meanings assigned to them in the Indenture.</w:t>
      </w:r>
    </w:p>
    <w:p>
      <w:pPr>
        <w:spacing w:after="0" w:line="17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Notes, the Guarantees and the Indenture shall be governed by and construed in accordance with the laws of the State of New York.</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Issuer will furnish to any Holder upon written request and without charge a copy of the Indenture and the other Notes Documents. Requests may be made to the Issuer at the following address: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[insert Issuer’s contact point to receive the request]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b w:val="1"/>
          <w:bCs w:val="1"/>
          <w:color w:val="auto"/>
        </w:rPr>
        <w:t>ASSIGNMENT FORM</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7" w:lineRule="exact"/>
        <w:rPr>
          <w:sz w:val="20"/>
          <w:szCs w:val="20"/>
          <w:color w:val="auto"/>
        </w:rPr>
      </w:pPr>
    </w:p>
    <w:p>
      <w:pPr>
        <w:ind w:left="640" w:hanging="632"/>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52"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to transfer this Note on the books of the Issuer. The agent may substitute another to act for him.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108013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8013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433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943350" cy="17145"/>
                    </a:xfrm>
                    <a:prstGeom prst="rect">
                      <a:avLst/>
                    </a:prstGeom>
                    <a:noFill/>
                  </pic:spPr>
                </pic:pic>
              </a:graphicData>
            </a:graphic>
          </wp:anchor>
        </w:drawing>
      </w:r>
    </w:p>
    <w:p>
      <w:pPr>
        <w:spacing w:after="0" w:line="3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-58420</wp:posOffset>
            </wp:positionV>
            <wp:extent cx="143129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351" w:lineRule="exact"/>
        <w:rPr>
          <w:sz w:val="20"/>
          <w:szCs w:val="20"/>
          <w:color w:val="auto"/>
        </w:rPr>
      </w:pPr>
    </w:p>
    <w:p>
      <w:pPr>
        <w:ind w:firstLine="634"/>
        <w:spacing w:after="0" w:line="238" w:lineRule="auto"/>
        <w:rPr>
          <w:sz w:val="20"/>
          <w:szCs w:val="20"/>
          <w:color w:val="auto"/>
        </w:rPr>
      </w:pPr>
      <w:r>
        <w:rPr>
          <w:rFonts w:ascii="Arial" w:cs="Arial" w:eastAsia="Arial" w:hAnsi="Arial"/>
          <w:sz w:val="22"/>
          <w:szCs w:val="22"/>
          <w:color w:val="auto"/>
        </w:rPr>
        <w:t>In connection with any transfer or exchange of any of the Notes evidenced by this certificate occurring prior to the date that is one year (or 40 days in the case of any Notes issued pursuant to Regulation S) after the later of the date of original issuance of such Notes and the last date, if any, on which such Notes were owned by the Issuer or any Affiliate of the Issuer, the undersigned confirms that such Notes are being:</w:t>
      </w: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CHECK ONE BOX BELOW:</w:t>
      </w:r>
    </w:p>
    <w:p>
      <w:pPr>
        <w:spacing w:after="0" w:line="221" w:lineRule="exact"/>
        <w:rPr>
          <w:sz w:val="20"/>
          <w:szCs w:val="20"/>
          <w:color w:val="auto"/>
        </w:rPr>
      </w:pPr>
    </w:p>
    <w:p>
      <w:pPr>
        <w:ind w:left="740" w:hanging="246"/>
        <w:spacing w:after="0" w:line="207" w:lineRule="exact"/>
        <w:tabs>
          <w:tab w:leader="none" w:pos="740" w:val="left"/>
        </w:tabs>
        <w:numPr>
          <w:ilvl w:val="1"/>
          <w:numId w:val="18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acquired for the undersigned’s own account, without transfer; or</w:t>
      </w:r>
    </w:p>
    <w:p>
      <w:pPr>
        <w:spacing w:after="0" w:line="279" w:lineRule="exact"/>
        <w:rPr>
          <w:rFonts w:ascii="Arial" w:cs="Arial" w:eastAsia="Arial" w:hAnsi="Arial"/>
          <w:sz w:val="18"/>
          <w:szCs w:val="18"/>
          <w:color w:val="auto"/>
        </w:rPr>
      </w:pPr>
    </w:p>
    <w:p>
      <w:pPr>
        <w:ind w:left="740" w:hanging="246"/>
        <w:spacing w:after="0" w:line="207" w:lineRule="exact"/>
        <w:tabs>
          <w:tab w:leader="none" w:pos="740" w:val="left"/>
        </w:tabs>
        <w:numPr>
          <w:ilvl w:val="1"/>
          <w:numId w:val="18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to the Parent Guarantor or any Subsidiary thereof; or</w:t>
      </w:r>
    </w:p>
    <w:p>
      <w:pPr>
        <w:spacing w:after="0" w:line="279" w:lineRule="exact"/>
        <w:rPr>
          <w:rFonts w:ascii="Arial" w:cs="Arial" w:eastAsia="Arial" w:hAnsi="Arial"/>
          <w:sz w:val="18"/>
          <w:szCs w:val="18"/>
          <w:color w:val="auto"/>
        </w:rPr>
      </w:pPr>
    </w:p>
    <w:p>
      <w:pPr>
        <w:ind w:left="740" w:hanging="246"/>
        <w:spacing w:after="0" w:line="196" w:lineRule="exact"/>
        <w:tabs>
          <w:tab w:leader="none" w:pos="740" w:val="left"/>
        </w:tabs>
        <w:numPr>
          <w:ilvl w:val="1"/>
          <w:numId w:val="18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transferred pursuant to and in compliance with Rule 144A under the Securities Act of 1933, as amended (the “Securities Act”); or</w:t>
      </w:r>
    </w:p>
    <w:p>
      <w:pPr>
        <w:spacing w:after="0" w:line="200" w:lineRule="exact"/>
        <w:rPr>
          <w:rFonts w:ascii="Arial" w:cs="Arial" w:eastAsia="Arial" w:hAnsi="Arial"/>
          <w:sz w:val="17"/>
          <w:szCs w:val="17"/>
          <w:color w:val="auto"/>
        </w:rPr>
      </w:pPr>
    </w:p>
    <w:p>
      <w:pPr>
        <w:spacing w:after="0" w:line="379" w:lineRule="exact"/>
        <w:rPr>
          <w:rFonts w:ascii="Arial" w:cs="Arial" w:eastAsia="Arial" w:hAnsi="Arial"/>
          <w:sz w:val="17"/>
          <w:szCs w:val="17"/>
          <w:color w:val="auto"/>
        </w:rPr>
      </w:pPr>
    </w:p>
    <w:p>
      <w:pPr>
        <w:jc w:val="center"/>
        <w:ind w:left="5460" w:right="180" w:hanging="5448"/>
        <w:spacing w:after="0" w:line="537" w:lineRule="auto"/>
        <w:rPr>
          <w:rFonts w:ascii="Arial" w:cs="Arial" w:eastAsia="Arial" w:hAnsi="Arial"/>
          <w:sz w:val="17"/>
          <w:szCs w:val="17"/>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Participant in a recognized Signature Guarantee Medallion Program (or other signature guarantor acceptable to the Trustee).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-1024255</wp:posOffset>
            </wp:positionV>
            <wp:extent cx="10712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2" w:right="519" w:bottom="1440" w:gutter="0" w:footer="0" w:header="0"/>
        </w:sectPr>
      </w:pPr>
    </w:p>
    <w:bookmarkStart w:id="169" w:name="page170"/>
    <w:bookmarkEnd w:id="169"/>
    <w:p>
      <w:pPr>
        <w:ind w:left="740" w:hanging="246"/>
        <w:spacing w:after="0" w:line="207" w:lineRule="exact"/>
        <w:tabs>
          <w:tab w:leader="none" w:pos="740" w:val="left"/>
        </w:tabs>
        <w:numPr>
          <w:ilvl w:val="0"/>
          <w:numId w:val="1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pursuant to an effective registration statement under the Securities Act; or</w:t>
      </w:r>
    </w:p>
    <w:p>
      <w:pPr>
        <w:spacing w:after="0" w:line="279" w:lineRule="exact"/>
        <w:rPr>
          <w:rFonts w:ascii="Arial" w:cs="Arial" w:eastAsia="Arial" w:hAnsi="Arial"/>
          <w:sz w:val="18"/>
          <w:szCs w:val="18"/>
          <w:color w:val="auto"/>
        </w:rPr>
      </w:pPr>
    </w:p>
    <w:p>
      <w:pPr>
        <w:ind w:left="740" w:hanging="246"/>
        <w:spacing w:after="0" w:line="207" w:lineRule="exact"/>
        <w:tabs>
          <w:tab w:leader="none" w:pos="740" w:val="left"/>
        </w:tabs>
        <w:numPr>
          <w:ilvl w:val="0"/>
          <w:numId w:val="1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pursuant to and in compliance with Regulation S under the Securities Act; or</w:t>
      </w:r>
    </w:p>
    <w:p>
      <w:pPr>
        <w:spacing w:after="0" w:line="279" w:lineRule="exact"/>
        <w:rPr>
          <w:rFonts w:ascii="Arial" w:cs="Arial" w:eastAsia="Arial" w:hAnsi="Arial"/>
          <w:sz w:val="18"/>
          <w:szCs w:val="18"/>
          <w:color w:val="auto"/>
        </w:rPr>
      </w:pPr>
    </w:p>
    <w:p>
      <w:pPr>
        <w:ind w:left="1140" w:right="60" w:hanging="646"/>
        <w:spacing w:after="0" w:line="250" w:lineRule="exact"/>
        <w:tabs>
          <w:tab w:leader="none" w:pos="747" w:val="left"/>
        </w:tabs>
        <w:numPr>
          <w:ilvl w:val="0"/>
          <w:numId w:val="1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to an institutional “accredited investor” (as defined in Rule 501(a)(1), (2), (3) or (7) under the Securities Act), that has furnished to the Trustee a signed letter containing certain representations and agreements (the form of which letter appears as Annex C to the Indenture); or</w:t>
      </w:r>
    </w:p>
    <w:p>
      <w:pPr>
        <w:spacing w:after="0" w:line="224" w:lineRule="exact"/>
        <w:rPr>
          <w:rFonts w:ascii="Arial" w:cs="Arial" w:eastAsia="Arial" w:hAnsi="Arial"/>
          <w:sz w:val="18"/>
          <w:szCs w:val="18"/>
          <w:color w:val="auto"/>
        </w:rPr>
      </w:pPr>
    </w:p>
    <w:p>
      <w:pPr>
        <w:ind w:left="740" w:hanging="246"/>
        <w:spacing w:after="0" w:line="207" w:lineRule="exact"/>
        <w:tabs>
          <w:tab w:leader="none" w:pos="740" w:val="left"/>
        </w:tabs>
        <w:numPr>
          <w:ilvl w:val="0"/>
          <w:numId w:val="1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pursuant to another available exemption from the registration requirements of the Securities Act.</w:t>
      </w:r>
    </w:p>
    <w:p>
      <w:pPr>
        <w:spacing w:after="0" w:line="29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Unless one of the boxes is checked, the Trustee will refuse to register any of the Notes evidenced by this certificate in the name of any person other than the registered Holder thereof; provided, however,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372745</wp:posOffset>
            </wp:positionV>
            <wp:extent cx="308610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r>
        <w:rPr>
          <w:rFonts w:ascii="Arial" w:cs="Arial" w:eastAsia="Arial" w:hAnsi="Arial"/>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94894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4894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must be guaranteed)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TO BE COMPLETED BY PURCHASER IF BOX (3) ABOVE IS CHECKED.</w:t>
      </w:r>
    </w:p>
    <w:p>
      <w:pPr>
        <w:spacing w:after="0" w:line="20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572135</wp:posOffset>
            </wp:positionV>
            <wp:extent cx="308610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16459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hanging="152"/>
        <w:spacing w:after="0"/>
        <w:tabs>
          <w:tab w:leader="none" w:pos="160" w:val="left"/>
        </w:tabs>
        <w:numPr>
          <w:ilvl w:val="0"/>
          <w:numId w:val="184"/>
        </w:numPr>
        <w:rPr>
          <w:rFonts w:ascii="Arial" w:cs="Arial" w:eastAsia="Arial" w:hAnsi="Arial"/>
          <w:sz w:val="33"/>
          <w:szCs w:val="33"/>
          <w:color w:val="auto"/>
          <w:vertAlign w:val="superscript"/>
        </w:rPr>
      </w:pPr>
      <w:r>
        <w:rPr>
          <w:rFonts w:ascii="Arial" w:cs="Arial" w:eastAsia="Arial" w:hAnsi="Arial"/>
          <w:sz w:val="20"/>
          <w:szCs w:val="20"/>
          <w:color w:val="auto"/>
        </w:rPr>
        <w:t>Participant in a recognized Signature Guarantee Medallion Program (or other signature guarantor acceptable to the Trustee).</w:t>
      </w:r>
    </w:p>
    <w:p>
      <w:pPr>
        <w:spacing w:after="0" w:line="373" w:lineRule="exact"/>
        <w:rPr>
          <w:rFonts w:ascii="Arial" w:cs="Arial" w:eastAsia="Arial" w:hAnsi="Arial"/>
          <w:sz w:val="33"/>
          <w:szCs w:val="33"/>
          <w:color w:val="auto"/>
          <w:vertAlign w:val="superscript"/>
        </w:rPr>
      </w:pPr>
    </w:p>
    <w:p>
      <w:pPr>
        <w:ind w:left="5460"/>
        <w:spacing w:after="0"/>
        <w:rPr>
          <w:rFonts w:ascii="Arial" w:cs="Arial" w:eastAsia="Arial" w:hAnsi="Arial"/>
          <w:sz w:val="33"/>
          <w:szCs w:val="33"/>
          <w:color w:val="auto"/>
          <w:vertAlign w:val="superscript"/>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b w:val="1"/>
          <w:bCs w:val="1"/>
          <w:color w:val="auto"/>
        </w:rPr>
        <w:t>Option of Holder to Elect Purchase</w:t>
      </w:r>
    </w:p>
    <w:p>
      <w:pPr>
        <w:spacing w:after="0" w:line="21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If you want to elect to have this Note purchased by the Issuer pursuant to Section 1007 or Section 1012 of the Indenture, check the appropriate box below:</w:t>
      </w:r>
    </w:p>
    <w:p>
      <w:pPr>
        <w:spacing w:after="0" w:line="135" w:lineRule="exact"/>
        <w:rPr>
          <w:sz w:val="20"/>
          <w:szCs w:val="20"/>
          <w:color w:val="auto"/>
        </w:rPr>
      </w:pPr>
    </w:p>
    <w:p>
      <w:pPr>
        <w:spacing w:after="0" w:line="253" w:lineRule="exact"/>
        <w:tabs>
          <w:tab w:leader="none" w:pos="1900" w:val="left"/>
        </w:tabs>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Section 1007</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Section 1012</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Issuer pursuant to Section 1007 or Section 1012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6004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49720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7205" cy="17145"/>
                    </a:xfrm>
                    <a:prstGeom prst="rect">
                      <a:avLst/>
                    </a:prstGeom>
                    <a:noFill/>
                  </pic:spPr>
                </pic:pic>
              </a:graphicData>
            </a:graphic>
          </wp:anchor>
        </w:drawing>
      </w:r>
    </w:p>
    <w:p>
      <w:pPr>
        <w:spacing w:after="0" w:line="25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-58420</wp:posOffset>
            </wp:positionV>
            <wp:extent cx="17830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541020</wp:posOffset>
            </wp:positionV>
            <wp:extent cx="16459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hanging="152"/>
        <w:spacing w:after="0"/>
        <w:tabs>
          <w:tab w:leader="none" w:pos="160" w:val="left"/>
        </w:tabs>
        <w:numPr>
          <w:ilvl w:val="0"/>
          <w:numId w:val="185"/>
        </w:numPr>
        <w:rPr>
          <w:rFonts w:ascii="Arial" w:cs="Arial" w:eastAsia="Arial" w:hAnsi="Arial"/>
          <w:sz w:val="31"/>
          <w:szCs w:val="31"/>
          <w:color w:val="auto"/>
          <w:vertAlign w:val="superscript"/>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135" w:lineRule="exact"/>
        <w:rPr>
          <w:rFonts w:ascii="Arial" w:cs="Arial" w:eastAsia="Arial" w:hAnsi="Arial"/>
          <w:sz w:val="31"/>
          <w:szCs w:val="31"/>
          <w:color w:val="auto"/>
          <w:vertAlign w:val="superscript"/>
        </w:rPr>
      </w:pPr>
    </w:p>
    <w:p>
      <w:pPr>
        <w:ind w:left="5400"/>
        <w:spacing w:after="0"/>
        <w:rPr>
          <w:rFonts w:ascii="Arial" w:cs="Arial" w:eastAsia="Arial" w:hAnsi="Arial"/>
          <w:sz w:val="31"/>
          <w:szCs w:val="31"/>
          <w:color w:val="auto"/>
          <w:vertAlign w:val="superscript"/>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SCHEDULE OF EXCHANGES OF INTERESTS IN THE GLOBAL NOTE*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exchanges of a part of this Global Note for other Notes have been made: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Amount of decrease in</w:t>
            </w:r>
          </w:p>
        </w:tc>
      </w:tr>
      <w:tr>
        <w:trPr>
          <w:trHeight w:val="243"/>
        </w:trPr>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Principal Amount of this</w:t>
            </w:r>
          </w:p>
        </w:tc>
      </w:tr>
      <w:tr>
        <w:trPr>
          <w:trHeight w:val="263"/>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of Exchange</w:t>
            </w:r>
          </w:p>
        </w:tc>
        <w:tc>
          <w:tcPr>
            <w:tcW w:w="120" w:type="dxa"/>
            <w:vAlign w:val="bottom"/>
          </w:tcPr>
          <w:p>
            <w:pPr>
              <w:spacing w:after="0"/>
              <w:rPr>
                <w:sz w:val="22"/>
                <w:szCs w:val="22"/>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Amount of increase in Principal Amount 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4843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484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Principal Amount of this</w:t>
            </w:r>
          </w:p>
        </w:tc>
        <w:tc>
          <w:tcPr>
            <w:tcW w:w="1880" w:type="dxa"/>
            <w:vAlign w:val="bottom"/>
          </w:tcPr>
          <w:p>
            <w:pPr>
              <w:spacing w:after="0"/>
              <w:rPr>
                <w:sz w:val="20"/>
                <w:szCs w:val="20"/>
                <w:color w:val="auto"/>
              </w:rPr>
            </w:pP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Global Note following such</w:t>
            </w:r>
          </w:p>
        </w:tc>
        <w:tc>
          <w:tcPr>
            <w:tcW w:w="1880" w:type="dxa"/>
            <w:vAlign w:val="bottom"/>
          </w:tcPr>
          <w:p>
            <w:pPr>
              <w:spacing w:after="0"/>
              <w:rPr>
                <w:sz w:val="20"/>
                <w:szCs w:val="20"/>
                <w:color w:val="auto"/>
              </w:rPr>
            </w:pPr>
            <w:r>
              <w:rPr>
                <w:rFonts w:ascii="Arial" w:cs="Arial" w:eastAsia="Arial" w:hAnsi="Arial"/>
                <w:sz w:val="18"/>
                <w:szCs w:val="18"/>
                <w:color w:val="auto"/>
                <w:w w:val="99"/>
              </w:rPr>
              <w:t>Signature of authorized</w:t>
            </w: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decrease</w:t>
            </w:r>
          </w:p>
        </w:tc>
        <w:tc>
          <w:tcPr>
            <w:tcW w:w="1880" w:type="dxa"/>
            <w:vAlign w:val="bottom"/>
          </w:tcPr>
          <w:p>
            <w:pPr>
              <w:spacing w:after="0"/>
              <w:rPr>
                <w:sz w:val="20"/>
                <w:szCs w:val="20"/>
                <w:color w:val="auto"/>
              </w:rPr>
            </w:pPr>
            <w:r>
              <w:rPr>
                <w:rFonts w:ascii="Arial" w:cs="Arial" w:eastAsia="Arial" w:hAnsi="Arial"/>
                <w:sz w:val="18"/>
                <w:szCs w:val="18"/>
                <w:color w:val="auto"/>
              </w:rPr>
              <w:t>signatory of Trustee or</w:t>
            </w:r>
          </w:p>
        </w:tc>
      </w:tr>
      <w:tr>
        <w:trPr>
          <w:trHeight w:val="26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(or increase)</w:t>
            </w:r>
          </w:p>
        </w:tc>
        <w:tc>
          <w:tcPr>
            <w:tcW w:w="100" w:type="dxa"/>
            <w:vAlign w:val="bottom"/>
          </w:tcPr>
          <w:p>
            <w:pPr>
              <w:spacing w:after="0"/>
              <w:rPr>
                <w:sz w:val="22"/>
                <w:szCs w:val="22"/>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Custodian</w:t>
            </w:r>
          </w:p>
        </w:tc>
      </w:tr>
    </w:tbl>
    <w:p>
      <w:pPr>
        <w:spacing w:after="0" w:line="206" w:lineRule="exact"/>
        <w:rPr>
          <w:sz w:val="20"/>
          <w:szCs w:val="20"/>
          <w:color w:val="auto"/>
        </w:rPr>
      </w:pPr>
    </w:p>
    <w:p>
      <w:pPr>
        <w:sectPr>
          <w:pgSz w:w="11900" w:h="16838" w:orient="portrait"/>
          <w:cols w:equalWidth="0" w:num="3">
            <w:col w:w="4700" w:space="100"/>
            <w:col w:w="1780" w:space="600"/>
            <w:col w:w="4060"/>
          </w:cols>
          <w:pgMar w:left="320" w:top="118" w:right="339" w:bottom="1440" w:gutter="0" w:footer="0" w:header="0"/>
          <w:type w:val="continuous"/>
        </w:sectPr>
      </w:pPr>
    </w:p>
    <w:p>
      <w:pPr>
        <w:spacing w:after="0" w:line="9" w:lineRule="exact"/>
        <w:rPr>
          <w:sz w:val="20"/>
          <w:szCs w:val="20"/>
          <w:color w:val="auto"/>
        </w:rPr>
      </w:pPr>
    </w:p>
    <w:p>
      <w:pPr>
        <w:ind w:left="140" w:hanging="132"/>
        <w:spacing w:after="0"/>
        <w:tabs>
          <w:tab w:leader="none" w:pos="14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2" w:name="page173"/>
    <w:bookmarkEnd w:id="172"/>
    <w:p>
      <w:pPr>
        <w:ind w:left="5140"/>
        <w:spacing w:after="0"/>
        <w:rPr>
          <w:sz w:val="20"/>
          <w:szCs w:val="20"/>
          <w:color w:val="auto"/>
        </w:rPr>
      </w:pPr>
      <w:r>
        <w:rPr>
          <w:rFonts w:ascii="Arial" w:cs="Arial" w:eastAsia="Arial" w:hAnsi="Arial"/>
          <w:sz w:val="22"/>
          <w:szCs w:val="22"/>
          <w:b w:val="1"/>
          <w:bCs w:val="1"/>
          <w:color w:val="auto"/>
        </w:rPr>
        <w:t>ANNEX B</w:t>
      </w:r>
    </w:p>
    <w:p>
      <w:pPr>
        <w:spacing w:after="0" w:line="207"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FORM OF SUPPLEMENTAL INDENTURE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 BE DELIVERED BY FUTURE SUBSIDIARY GUARANTORS</w:t>
      </w:r>
    </w:p>
    <w:p>
      <w:pPr>
        <w:spacing w:after="0" w:line="18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HIS</w:t>
      </w:r>
      <w:r>
        <w:rPr>
          <w:rFonts w:ascii="Arial" w:cs="Arial" w:eastAsia="Arial" w:hAnsi="Arial"/>
          <w:sz w:val="20"/>
          <w:szCs w:val="20"/>
          <w:color w:val="auto"/>
        </w:rPr>
        <w:t xml:space="preserve"> S</w:t>
      </w:r>
      <w:r>
        <w:rPr>
          <w:rFonts w:ascii="Arial" w:cs="Arial" w:eastAsia="Arial" w:hAnsi="Arial"/>
          <w:sz w:val="13"/>
          <w:szCs w:val="13"/>
          <w:color w:val="auto"/>
        </w:rPr>
        <w:t>UPPLEMENTAL INDENTURE</w:t>
      </w:r>
      <w:r>
        <w:rPr>
          <w:rFonts w:ascii="Arial" w:cs="Arial" w:eastAsia="Arial" w:hAnsi="Arial"/>
          <w:sz w:val="20"/>
          <w:szCs w:val="20"/>
          <w:color w:val="auto"/>
        </w:rPr>
        <w:t xml:space="preserve"> (this “Supplemental Indenture”), dated as of , 20 , is among [Name of Future Subsidiary Guarantor] (the “New Subsidiary Guarantor”), a subsidiary of Weatherford International plc, an Irish public limited company [or its permitted successor] (the “Parent Guarantor”), Weatherford International, LLC, a Delaware limited liability company (“Weatherford Delaware”), each other existing Subsidiary Guarantor (as defined in the Indenture referred to herein), Weatherford International Ltd., a Bermuda exempted company (the “Issuer”), the Parent Guarantor and Wilmington Trust, National Association, as trustee under the Indenture referred to herein (in such capacity, the “Trustee”) and as Collateral Agent (in such capacity, the “Collateral Agent”). The New Subsidiary Guarantor and the existing Subsidiary Guarantors are sometimes referred to collectively herein as the “Subsidiary Guarantors,” or individually as a “Subsidiary Guarantor.”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WITNESSETH:</w:t>
      </w:r>
    </w:p>
    <w:p>
      <w:pPr>
        <w:spacing w:after="0" w:line="212"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WHEREAS, the Issuer, the Parent Guarantor, Weatherford Delaware, the Trustee and the Collateral Agent are parties to an Indenture, dated as of August 28, 2020 relating to the 8.75% Senior Secured First Lien Notes due 2024 (the “</w:t>
      </w:r>
      <w:r>
        <w:rPr>
          <w:rFonts w:ascii="Arial" w:cs="Arial" w:eastAsia="Arial" w:hAnsi="Arial"/>
          <w:sz w:val="22"/>
          <w:szCs w:val="22"/>
          <w:i w:val="1"/>
          <w:iCs w:val="1"/>
          <w:color w:val="auto"/>
        </w:rPr>
        <w:t>Notes</w:t>
      </w:r>
      <w:r>
        <w:rPr>
          <w:rFonts w:ascii="Arial" w:cs="Arial" w:eastAsia="Arial" w:hAnsi="Arial"/>
          <w:sz w:val="22"/>
          <w:szCs w:val="22"/>
          <w:color w:val="auto"/>
        </w:rPr>
        <w:t>”) of the Issuer;</w:t>
      </w:r>
    </w:p>
    <w:p>
      <w:pPr>
        <w:spacing w:after="0" w:line="186" w:lineRule="exact"/>
        <w:rPr>
          <w:sz w:val="20"/>
          <w:szCs w:val="20"/>
          <w:color w:val="auto"/>
        </w:rPr>
      </w:pPr>
    </w:p>
    <w:p>
      <w:pPr>
        <w:ind w:right="700" w:firstLine="648"/>
        <w:spacing w:after="0" w:line="274" w:lineRule="auto"/>
        <w:rPr>
          <w:sz w:val="20"/>
          <w:szCs w:val="20"/>
          <w:color w:val="auto"/>
        </w:rPr>
      </w:pPr>
      <w:r>
        <w:rPr>
          <w:rFonts w:ascii="Arial" w:cs="Arial" w:eastAsia="Arial" w:hAnsi="Arial"/>
          <w:sz w:val="21"/>
          <w:szCs w:val="21"/>
          <w:color w:val="auto"/>
        </w:rPr>
        <w:t>WHEREAS, Section 1014 of the Indenture obligates the Issuer to cause certain Restricted Subsidiaries to become Subsidiary Guarantors by executing a supplemental indenture as provided in such Section; and</w:t>
      </w:r>
    </w:p>
    <w:p>
      <w:pPr>
        <w:spacing w:after="0" w:line="151"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WHEREAS, pursuant to Section 901 of the Indenture, the Issuer, the Parent Guarantor, the Subsidiary Guarantors, the Trustee and the Collateral Agent are authorized to execute and deliver this Supplemental Indenture to amend or supplement the Indenture without the consent of any Holder;</w:t>
      </w:r>
    </w:p>
    <w:p>
      <w:pPr>
        <w:spacing w:after="0" w:line="18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NOW, THEREFORE, to comply with the provisions of the Indenture and in consideration of the foregoing and for other good and valuable consideration, the receipt of which is hereby acknowledged, the New Subsidiary Guarantor, the other Subsidiary Guarantors, the Issuer, the Parent Guarantor, the Trustee and the Collateral Agent mutually covenant and agree for the equal and ratable benefit of the Holders of the Notes as follows:</w:t>
      </w:r>
    </w:p>
    <w:p>
      <w:pPr>
        <w:spacing w:after="0" w:line="185" w:lineRule="exact"/>
        <w:rPr>
          <w:sz w:val="20"/>
          <w:szCs w:val="20"/>
          <w:color w:val="auto"/>
        </w:rPr>
      </w:pPr>
    </w:p>
    <w:p>
      <w:pPr>
        <w:ind w:right="180" w:firstLine="656"/>
        <w:spacing w:after="0" w:line="250" w:lineRule="auto"/>
        <w:tabs>
          <w:tab w:leader="none" w:pos="135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74" w:lineRule="exact"/>
        <w:rPr>
          <w:rFonts w:ascii="Arial" w:cs="Arial" w:eastAsia="Arial" w:hAnsi="Arial"/>
          <w:sz w:val="22"/>
          <w:szCs w:val="22"/>
          <w:color w:val="auto"/>
        </w:rPr>
      </w:pPr>
    </w:p>
    <w:p>
      <w:pPr>
        <w:ind w:firstLine="656"/>
        <w:spacing w:after="0" w:line="249" w:lineRule="auto"/>
        <w:tabs>
          <w:tab w:leader="none" w:pos="1338"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AGREEMENT TO GUARANTEE. The New Subsidiary Guarantor hereby agrees, jointly and severally, with the Parent Guarantor and all other Subsidiary Guarantors, to fully and unconditionally guarantee to each Holder, the Trustee and the Collateral Agent the Indenture Obligations, to the extent set forth in Article Fourteen of the Indenture and subject to the provisions thereof. The obligations of the Subsidiary Guarantors to the Holders of Notes, the Trustee and the Collateral Agent pursuant to the Subsidiary Guarantees are expressly set forth in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73" w:name="page174"/>
    <w:bookmarkEnd w:id="173"/>
    <w:p>
      <w:pPr>
        <w:ind w:right="1020"/>
        <w:spacing w:after="0" w:line="251" w:lineRule="auto"/>
        <w:rPr>
          <w:sz w:val="20"/>
          <w:szCs w:val="20"/>
          <w:color w:val="auto"/>
        </w:rPr>
      </w:pPr>
      <w:r>
        <w:rPr>
          <w:rFonts w:ascii="Arial" w:cs="Arial" w:eastAsia="Arial" w:hAnsi="Arial"/>
          <w:sz w:val="22"/>
          <w:szCs w:val="22"/>
          <w:color w:val="auto"/>
        </w:rPr>
        <w:t>Article Fourteen of the Indenture, and reference is hereby made to such Article for the precise terms of the Subsidiary Guarantees.</w:t>
      </w:r>
    </w:p>
    <w:p>
      <w:pPr>
        <w:spacing w:after="0" w:line="174" w:lineRule="exact"/>
        <w:rPr>
          <w:sz w:val="20"/>
          <w:szCs w:val="20"/>
          <w:color w:val="auto"/>
        </w:rPr>
      </w:pPr>
    </w:p>
    <w:p>
      <w:pPr>
        <w:ind w:right="40" w:firstLine="656"/>
        <w:spacing w:after="0" w:line="250" w:lineRule="auto"/>
        <w:tabs>
          <w:tab w:leader="none" w:pos="135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NEW YORK LAW TO GOVERN. THE LAWS OF THE STATE OF NEW YORK SHALL GOVERN AND BE USED TO CONSTRUE AND ENFORCE THIS SUPPLEMENTAL INDENTURE.</w:t>
      </w:r>
    </w:p>
    <w:p>
      <w:pPr>
        <w:spacing w:after="0" w:line="174" w:lineRule="exact"/>
        <w:rPr>
          <w:rFonts w:ascii="Arial" w:cs="Arial" w:eastAsia="Arial" w:hAnsi="Arial"/>
          <w:sz w:val="22"/>
          <w:szCs w:val="22"/>
          <w:color w:val="auto"/>
        </w:rPr>
      </w:pPr>
    </w:p>
    <w:p>
      <w:pPr>
        <w:ind w:right="140" w:firstLine="656"/>
        <w:spacing w:after="0"/>
        <w:tabs>
          <w:tab w:leader="none" w:pos="135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86" w:lineRule="exact"/>
        <w:rPr>
          <w:rFonts w:ascii="Arial" w:cs="Arial" w:eastAsia="Arial" w:hAnsi="Arial"/>
          <w:sz w:val="22"/>
          <w:szCs w:val="22"/>
          <w:color w:val="auto"/>
        </w:rPr>
      </w:pPr>
    </w:p>
    <w:p>
      <w:pPr>
        <w:ind w:right="740" w:firstLine="656"/>
        <w:spacing w:after="0" w:line="250" w:lineRule="auto"/>
        <w:tabs>
          <w:tab w:leader="none" w:pos="135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EFFECT OF HEADINGS. The Section headings herein are for convenience only and shall not affect the construction hereof.</w:t>
      </w:r>
    </w:p>
    <w:p>
      <w:pPr>
        <w:spacing w:after="0" w:line="174" w:lineRule="exact"/>
        <w:rPr>
          <w:rFonts w:ascii="Arial" w:cs="Arial" w:eastAsia="Arial" w:hAnsi="Arial"/>
          <w:sz w:val="22"/>
          <w:szCs w:val="22"/>
          <w:color w:val="auto"/>
        </w:rPr>
      </w:pPr>
    </w:p>
    <w:p>
      <w:pPr>
        <w:ind w:firstLine="656"/>
        <w:spacing w:after="0" w:line="282" w:lineRule="auto"/>
        <w:tabs>
          <w:tab w:leader="none" w:pos="134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TRUSTEE AND THE COLLATERAL AGENT. Except as otherwise expressly provided herein, no duties, responsibilities or liabilities are assumed, or shall be construed to be assumed, by the Trustee or the Collateral Agent by reason of this Supplemental Indenture. This Supplemental Indenture is executed and accepted by the Trustee and the Collateral Agent subject to all the terms and conditions set forth in the Indenture with the same force and effect as if those terms and conditions were repeated at length herein and made applicable to the Trustee and the Collateral Agent with respect hereto.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[Remainder of Page Intentionally Left Blank.</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4" w:name="page175"/>
    <w:bookmarkEnd w:id="174"/>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17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 20</w:t>
      </w:r>
      <w:r>
        <w:rPr>
          <w:rFonts w:ascii="Arial" w:cs="Arial" w:eastAsia="Arial" w:hAnsi="Arial"/>
          <w:sz w:val="22"/>
          <w:szCs w:val="22"/>
          <w:u w:val="single" w:color="auto"/>
          <w:color w:val="auto"/>
        </w:rPr>
        <w:t>__</w:t>
      </w:r>
    </w:p>
    <w:p>
      <w:pPr>
        <w:spacing w:after="0" w:line="200" w:lineRule="exact"/>
        <w:rPr>
          <w:sz w:val="20"/>
          <w:szCs w:val="20"/>
          <w:color w:val="auto"/>
        </w:rPr>
      </w:pPr>
    </w:p>
    <w:p>
      <w:pPr>
        <w:spacing w:after="0" w:line="29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SUBSIDIARY GUARANTOR]</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Weatherford International Ltd.</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 Bermuda exempted company</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[OTHER SUBSIDIARY GUARANTORS]</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Weatherford International, LLC</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 Delaware limited liability company</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Weatherford International plc</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an Irish public limited company</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Wilmington Trust, National Association,</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as Trustee</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Wilmington Trust, National Association,</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as Collateral Agent</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320" w:top="118"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type w:val="continuous"/>
        </w:sectPr>
      </w:pPr>
    </w:p>
    <w:bookmarkStart w:id="175" w:name="page176"/>
    <w:bookmarkEnd w:id="175"/>
    <w:p>
      <w:pPr>
        <w:ind w:left="5140"/>
        <w:spacing w:after="0"/>
        <w:rPr>
          <w:sz w:val="20"/>
          <w:szCs w:val="20"/>
          <w:color w:val="auto"/>
        </w:rPr>
      </w:pPr>
      <w:r>
        <w:rPr>
          <w:rFonts w:ascii="Arial" w:cs="Arial" w:eastAsia="Arial" w:hAnsi="Arial"/>
          <w:sz w:val="22"/>
          <w:szCs w:val="22"/>
          <w:b w:val="1"/>
          <w:bCs w:val="1"/>
          <w:color w:val="auto"/>
        </w:rPr>
        <w:t>ANNEX C</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FORM OF CERTIFICATE TO BE DELIVERED IN CONNECTION WITH TRANSFERS TO INSTITUTIONAL</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ACCREDITED INVESTORS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Ltd.</w:t>
      </w:r>
    </w:p>
    <w:p>
      <w:pPr>
        <w:spacing w:after="0" w:line="238" w:lineRule="auto"/>
        <w:rPr>
          <w:sz w:val="20"/>
          <w:szCs w:val="20"/>
          <w:color w:val="auto"/>
        </w:rPr>
      </w:pPr>
      <w:r>
        <w:rPr>
          <w:rFonts w:ascii="Arial" w:cs="Arial" w:eastAsia="Arial" w:hAnsi="Arial"/>
          <w:sz w:val="22"/>
          <w:szCs w:val="22"/>
          <w:color w:val="auto"/>
        </w:rPr>
        <w:t>c/o Weatherford International, LLC</w:t>
      </w:r>
    </w:p>
    <w:p>
      <w:pPr>
        <w:spacing w:after="0" w:line="230" w:lineRule="auto"/>
        <w:rPr>
          <w:sz w:val="20"/>
          <w:szCs w:val="20"/>
          <w:color w:val="auto"/>
        </w:rPr>
      </w:pPr>
      <w:r>
        <w:rPr>
          <w:rFonts w:ascii="Arial" w:cs="Arial" w:eastAsia="Arial" w:hAnsi="Arial"/>
          <w:sz w:val="22"/>
          <w:szCs w:val="22"/>
          <w:color w:val="auto"/>
        </w:rPr>
        <w:t>2000 St. James Place</w:t>
      </w:r>
    </w:p>
    <w:p>
      <w:pPr>
        <w:spacing w:after="0" w:line="231" w:lineRule="auto"/>
        <w:rPr>
          <w:sz w:val="20"/>
          <w:szCs w:val="20"/>
          <w:color w:val="auto"/>
        </w:rPr>
      </w:pPr>
      <w:r>
        <w:rPr>
          <w:rFonts w:ascii="Arial" w:cs="Arial" w:eastAsia="Arial" w:hAnsi="Arial"/>
          <w:sz w:val="22"/>
          <w:szCs w:val="22"/>
          <w:color w:val="auto"/>
        </w:rPr>
        <w:t>Houston, Texas 77056</w:t>
      </w:r>
    </w:p>
    <w:p>
      <w:pPr>
        <w:spacing w:after="0"/>
        <w:rPr>
          <w:sz w:val="20"/>
          <w:szCs w:val="20"/>
          <w:color w:val="auto"/>
        </w:rPr>
      </w:pPr>
      <w:r>
        <w:rPr>
          <w:rFonts w:ascii="Arial" w:cs="Arial" w:eastAsia="Arial" w:hAnsi="Arial"/>
          <w:sz w:val="22"/>
          <w:szCs w:val="22"/>
          <w:color w:val="auto"/>
        </w:rPr>
        <w:t>Attention: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Wilmington Trust, National Association</w:t>
      </w:r>
    </w:p>
    <w:p>
      <w:pPr>
        <w:spacing w:after="0" w:line="238" w:lineRule="auto"/>
        <w:rPr>
          <w:sz w:val="20"/>
          <w:szCs w:val="20"/>
          <w:color w:val="auto"/>
        </w:rPr>
      </w:pPr>
      <w:r>
        <w:rPr>
          <w:rFonts w:ascii="Arial" w:cs="Arial" w:eastAsia="Arial" w:hAnsi="Arial"/>
          <w:sz w:val="22"/>
          <w:szCs w:val="22"/>
          <w:color w:val="auto"/>
        </w:rPr>
        <w:t>Global Capital Markets</w:t>
      </w:r>
    </w:p>
    <w:p>
      <w:pPr>
        <w:spacing w:after="0" w:line="230" w:lineRule="auto"/>
        <w:rPr>
          <w:sz w:val="20"/>
          <w:szCs w:val="20"/>
          <w:color w:val="auto"/>
        </w:rPr>
      </w:pPr>
      <w:r>
        <w:rPr>
          <w:rFonts w:ascii="Arial" w:cs="Arial" w:eastAsia="Arial" w:hAnsi="Arial"/>
          <w:sz w:val="22"/>
          <w:szCs w:val="22"/>
          <w:color w:val="auto"/>
        </w:rPr>
        <w:t>50 South Sixth Street, Suite 1290</w:t>
      </w:r>
    </w:p>
    <w:p>
      <w:pPr>
        <w:spacing w:after="0" w:line="231" w:lineRule="auto"/>
        <w:rPr>
          <w:sz w:val="20"/>
          <w:szCs w:val="20"/>
          <w:color w:val="auto"/>
        </w:rPr>
      </w:pPr>
      <w:r>
        <w:rPr>
          <w:rFonts w:ascii="Arial" w:cs="Arial" w:eastAsia="Arial" w:hAnsi="Arial"/>
          <w:sz w:val="22"/>
          <w:szCs w:val="22"/>
          <w:color w:val="auto"/>
        </w:rPr>
        <w:t>Minneapolis, Minnesota 55402</w:t>
      </w:r>
    </w:p>
    <w:p>
      <w:pPr>
        <w:spacing w:after="0"/>
        <w:rPr>
          <w:sz w:val="20"/>
          <w:szCs w:val="20"/>
          <w:color w:val="auto"/>
        </w:rPr>
      </w:pPr>
      <w:r>
        <w:rPr>
          <w:rFonts w:ascii="Arial" w:cs="Arial" w:eastAsia="Arial" w:hAnsi="Arial"/>
          <w:sz w:val="22"/>
          <w:szCs w:val="22"/>
          <w:color w:val="auto"/>
        </w:rPr>
        <w:t>Attention: Weatherford International Ltd. Administrator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360" w:firstLine="648"/>
        <w:spacing w:after="0" w:line="328" w:lineRule="auto"/>
        <w:rPr>
          <w:sz w:val="20"/>
          <w:szCs w:val="20"/>
          <w:color w:val="auto"/>
        </w:rPr>
      </w:pPr>
      <w:r>
        <w:rPr>
          <w:rFonts w:ascii="Arial" w:cs="Arial" w:eastAsia="Arial" w:hAnsi="Arial"/>
          <w:sz w:val="19"/>
          <w:szCs w:val="19"/>
          <w:color w:val="auto"/>
        </w:rPr>
        <w:t>This certificate is delivered to request a transfer of $[ ] principal amount of the 8.75% Senior Secured First Lien Notes due 2024 (the “Securities”) of Weatherford International Ltd., a Bermuda exempted company (the “Company”).</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transfer, the Securities would be registered in the name of the new beneficial owner as follows:</w:t>
      </w:r>
    </w:p>
    <w:p>
      <w:pPr>
        <w:spacing w:after="0" w:line="2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14605</wp:posOffset>
            </wp:positionV>
            <wp:extent cx="178308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14605</wp:posOffset>
            </wp:positionV>
            <wp:extent cx="178308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Taxpayer ID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5715</wp:posOffset>
            </wp:positionV>
            <wp:extent cx="178308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represents and warrants to you that:</w:t>
      </w:r>
    </w:p>
    <w:p>
      <w:pPr>
        <w:spacing w:after="0" w:line="206" w:lineRule="exact"/>
        <w:rPr>
          <w:sz w:val="20"/>
          <w:szCs w:val="20"/>
          <w:color w:val="auto"/>
        </w:rPr>
      </w:pPr>
    </w:p>
    <w:p>
      <w:pPr>
        <w:ind w:right="40" w:firstLine="656"/>
        <w:spacing w:after="0" w:line="277" w:lineRule="auto"/>
        <w:tabs>
          <w:tab w:leader="none" w:pos="134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We are an institutional “accredited investor” (as defined in Rule 501(a)(1), (2), (3) or (7) under the Securities Act of 1933, as amended (the “Securities Act”)) purchasing for our own account or for the account of such an institutional “accredited investor” at least $250,000 principal amount of the Securities, and we are acquiring the Securities not with a view to, or for offer or sale in connection with, any distribution in violation of the Securities Act. We have such knowledge and experience in financial and business matters as to be capable of evaluating the merits and risk of our investment in the Securities and we invest in or purchase securities similar to the Securities in the normal course of our business. We and any accounts for which we are acting are each able to bear the economic risk of our or its investment.</w:t>
      </w:r>
    </w:p>
    <w:p>
      <w:pPr>
        <w:spacing w:after="0" w:line="151" w:lineRule="exact"/>
        <w:rPr>
          <w:rFonts w:ascii="Arial" w:cs="Arial" w:eastAsia="Arial" w:hAnsi="Arial"/>
          <w:sz w:val="19"/>
          <w:szCs w:val="19"/>
          <w:color w:val="auto"/>
        </w:rPr>
      </w:pPr>
    </w:p>
    <w:p>
      <w:pPr>
        <w:ind w:firstLine="656"/>
        <w:spacing w:after="0" w:line="250" w:lineRule="auto"/>
        <w:tabs>
          <w:tab w:leader="none" w:pos="134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We understand that the Securities have not been registered under the Securities Act and, unless so registered, may not be sold except as permitted in the following sentence. We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76" w:name="page177"/>
    <w:bookmarkEnd w:id="176"/>
    <w:p>
      <w:pPr>
        <w:ind w:right="140"/>
        <w:spacing w:after="0" w:line="269" w:lineRule="auto"/>
        <w:rPr>
          <w:sz w:val="20"/>
          <w:szCs w:val="20"/>
          <w:color w:val="auto"/>
        </w:rPr>
      </w:pPr>
      <w:r>
        <w:rPr>
          <w:rFonts w:ascii="Arial" w:cs="Arial" w:eastAsia="Arial" w:hAnsi="Arial"/>
          <w:sz w:val="19"/>
          <w:szCs w:val="19"/>
          <w:color w:val="auto"/>
        </w:rPr>
        <w:t>agree on our own behalf and on behalf of any investor account for which we are purchasing Securities to offer, sell or otherwise transfer such Securities prior to the date that is one year after the later of the date of original issue and the last date on which the Company or any affiliate of the Company was the owner of such Securities (or any predecessor thereto) (the “Resale Restriction Termination Date”) only (a) to the Company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w:t>
      </w:r>
    </w:p>
    <w:p>
      <w:pPr>
        <w:spacing w:after="0" w:line="5" w:lineRule="exact"/>
        <w:rPr>
          <w:sz w:val="20"/>
          <w:szCs w:val="20"/>
          <w:color w:val="auto"/>
        </w:rPr>
      </w:pPr>
    </w:p>
    <w:p>
      <w:pPr>
        <w:ind w:firstLine="8"/>
        <w:spacing w:after="0" w:line="269" w:lineRule="auto"/>
        <w:tabs>
          <w:tab w:leader="none" w:pos="30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Securities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Securities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Securities for investment purposes and not for distribution in violation of the Securities Act. Each purchaser acknowledges that the Company and the Trustee reserve the right prior to any offer, sale or other transfer prior to the Resale Termination Date of the Securities pursuant to clause (e) or (f) above to require the delivery of an Opinion of Counsel, certifications and/or other information satisfactory to the Company and the Trustee.</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360" w:hanging="704"/>
        <w:spacing w:after="0"/>
        <w:tabs>
          <w:tab w:leader="none" w:pos="136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We [are][are not] an Affiliate of the Company.</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7713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5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ind w:left="5140"/>
        <w:spacing w:after="0"/>
        <w:rPr>
          <w:sz w:val="20"/>
          <w:szCs w:val="20"/>
          <w:color w:val="auto"/>
        </w:rPr>
      </w:pPr>
      <w:r>
        <w:rPr>
          <w:rFonts w:ascii="Arial" w:cs="Arial" w:eastAsia="Arial" w:hAnsi="Arial"/>
          <w:sz w:val="22"/>
          <w:szCs w:val="22"/>
          <w:b w:val="1"/>
          <w:bCs w:val="1"/>
          <w:color w:val="auto"/>
        </w:rPr>
        <w:t>ANNEX D</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FORM OF CERTIFICATE TO BE DELIVERED IN CONNECTION WITH TRANSFERS PURSUANT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REGULATION 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Ltd.</w:t>
      </w:r>
    </w:p>
    <w:p>
      <w:pPr>
        <w:spacing w:after="0" w:line="238" w:lineRule="auto"/>
        <w:rPr>
          <w:sz w:val="20"/>
          <w:szCs w:val="20"/>
          <w:color w:val="auto"/>
        </w:rPr>
      </w:pPr>
      <w:r>
        <w:rPr>
          <w:rFonts w:ascii="Arial" w:cs="Arial" w:eastAsia="Arial" w:hAnsi="Arial"/>
          <w:sz w:val="22"/>
          <w:szCs w:val="22"/>
          <w:color w:val="auto"/>
        </w:rPr>
        <w:t>c/o Weatherford International, LLC</w:t>
      </w:r>
    </w:p>
    <w:p>
      <w:pPr>
        <w:spacing w:after="0" w:line="230" w:lineRule="auto"/>
        <w:rPr>
          <w:sz w:val="20"/>
          <w:szCs w:val="20"/>
          <w:color w:val="auto"/>
        </w:rPr>
      </w:pPr>
      <w:r>
        <w:rPr>
          <w:rFonts w:ascii="Arial" w:cs="Arial" w:eastAsia="Arial" w:hAnsi="Arial"/>
          <w:sz w:val="22"/>
          <w:szCs w:val="22"/>
          <w:color w:val="auto"/>
        </w:rPr>
        <w:t>2000 St. James Place</w:t>
      </w:r>
    </w:p>
    <w:p>
      <w:pPr>
        <w:spacing w:after="0" w:line="231" w:lineRule="auto"/>
        <w:rPr>
          <w:sz w:val="20"/>
          <w:szCs w:val="20"/>
          <w:color w:val="auto"/>
        </w:rPr>
      </w:pPr>
      <w:r>
        <w:rPr>
          <w:rFonts w:ascii="Arial" w:cs="Arial" w:eastAsia="Arial" w:hAnsi="Arial"/>
          <w:sz w:val="22"/>
          <w:szCs w:val="22"/>
          <w:color w:val="auto"/>
        </w:rPr>
        <w:t>Houston, Texas 77056</w:t>
      </w:r>
    </w:p>
    <w:p>
      <w:pPr>
        <w:spacing w:after="0"/>
        <w:rPr>
          <w:sz w:val="20"/>
          <w:szCs w:val="20"/>
          <w:color w:val="auto"/>
        </w:rPr>
      </w:pPr>
      <w:r>
        <w:rPr>
          <w:rFonts w:ascii="Arial" w:cs="Arial" w:eastAsia="Arial" w:hAnsi="Arial"/>
          <w:sz w:val="22"/>
          <w:szCs w:val="22"/>
          <w:color w:val="auto"/>
        </w:rPr>
        <w:t>Attention: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Wilmington Trust, National Association</w:t>
      </w:r>
    </w:p>
    <w:p>
      <w:pPr>
        <w:spacing w:after="0" w:line="238" w:lineRule="auto"/>
        <w:rPr>
          <w:sz w:val="20"/>
          <w:szCs w:val="20"/>
          <w:color w:val="auto"/>
        </w:rPr>
      </w:pPr>
      <w:r>
        <w:rPr>
          <w:rFonts w:ascii="Arial" w:cs="Arial" w:eastAsia="Arial" w:hAnsi="Arial"/>
          <w:sz w:val="22"/>
          <w:szCs w:val="22"/>
          <w:color w:val="auto"/>
        </w:rPr>
        <w:t>Global Capital Markets</w:t>
      </w:r>
    </w:p>
    <w:p>
      <w:pPr>
        <w:spacing w:after="0" w:line="230" w:lineRule="auto"/>
        <w:rPr>
          <w:sz w:val="20"/>
          <w:szCs w:val="20"/>
          <w:color w:val="auto"/>
        </w:rPr>
      </w:pPr>
      <w:r>
        <w:rPr>
          <w:rFonts w:ascii="Arial" w:cs="Arial" w:eastAsia="Arial" w:hAnsi="Arial"/>
          <w:sz w:val="22"/>
          <w:szCs w:val="22"/>
          <w:color w:val="auto"/>
        </w:rPr>
        <w:t>50 South Sixth Street, Suite 1290</w:t>
      </w:r>
    </w:p>
    <w:p>
      <w:pPr>
        <w:spacing w:after="0" w:line="231" w:lineRule="auto"/>
        <w:rPr>
          <w:sz w:val="20"/>
          <w:szCs w:val="20"/>
          <w:color w:val="auto"/>
        </w:rPr>
      </w:pPr>
      <w:r>
        <w:rPr>
          <w:rFonts w:ascii="Arial" w:cs="Arial" w:eastAsia="Arial" w:hAnsi="Arial"/>
          <w:sz w:val="22"/>
          <w:szCs w:val="22"/>
          <w:color w:val="auto"/>
        </w:rPr>
        <w:t>Minneapolis, Minnesota 55402</w:t>
      </w:r>
    </w:p>
    <w:p>
      <w:pPr>
        <w:spacing w:after="0"/>
        <w:rPr>
          <w:sz w:val="20"/>
          <w:szCs w:val="20"/>
          <w:color w:val="auto"/>
        </w:rPr>
      </w:pPr>
      <w:r>
        <w:rPr>
          <w:rFonts w:ascii="Arial" w:cs="Arial" w:eastAsia="Arial" w:hAnsi="Arial"/>
          <w:sz w:val="22"/>
          <w:szCs w:val="22"/>
          <w:color w:val="auto"/>
        </w:rPr>
        <w:t>Attention: Weatherford International Ltd. Administrator</w:t>
      </w:r>
    </w:p>
    <w:p>
      <w:pPr>
        <w:spacing w:after="0" w:line="1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Weatherford International ltd. (the “Company”) 8.75% Senior Secured First Lien Notes due 2024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In connection with our proposed sale of $[ ] aggregate principal amount of the Securities, we confirm that such sale has been effected pursuant to and in accordance with Regulation S under the United States Securities Act of 1933, as amended (the “Securities Act”), and, accordingly, we represent that:</w:t>
      </w:r>
    </w:p>
    <w:p>
      <w:pPr>
        <w:spacing w:after="0" w:line="186" w:lineRule="exact"/>
        <w:rPr>
          <w:sz w:val="20"/>
          <w:szCs w:val="20"/>
          <w:color w:val="auto"/>
        </w:rPr>
      </w:pPr>
    </w:p>
    <w:p>
      <w:pPr>
        <w:ind w:left="2080" w:hanging="776"/>
        <w:spacing w:after="0"/>
        <w:tabs>
          <w:tab w:leader="none" w:pos="20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offer of the Securities was not made to a person in the United States;</w:t>
      </w:r>
    </w:p>
    <w:p>
      <w:pPr>
        <w:spacing w:after="0" w:line="206" w:lineRule="exact"/>
        <w:rPr>
          <w:rFonts w:ascii="Arial" w:cs="Arial" w:eastAsia="Arial" w:hAnsi="Arial"/>
          <w:sz w:val="22"/>
          <w:szCs w:val="22"/>
          <w:color w:val="auto"/>
        </w:rPr>
      </w:pPr>
    </w:p>
    <w:p>
      <w:pPr>
        <w:ind w:left="660" w:firstLine="644"/>
        <w:spacing w:after="0" w:line="287" w:lineRule="auto"/>
        <w:tabs>
          <w:tab w:leader="none" w:pos="210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42" w:lineRule="exact"/>
        <w:rPr>
          <w:rFonts w:ascii="Arial" w:cs="Arial" w:eastAsia="Arial" w:hAnsi="Arial"/>
          <w:sz w:val="19"/>
          <w:szCs w:val="19"/>
          <w:color w:val="auto"/>
        </w:rPr>
      </w:pPr>
    </w:p>
    <w:p>
      <w:pPr>
        <w:ind w:left="660" w:right="320" w:firstLine="644"/>
        <w:spacing w:after="0" w:line="250" w:lineRule="auto"/>
        <w:tabs>
          <w:tab w:leader="none" w:pos="208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no directed selling efforts have been made in the United States in contravention of the requirements of Rule 903(a)(2) or Rule 904(a)(2) of Regulation S, as applicable; and</w:t>
      </w:r>
    </w:p>
    <w:p>
      <w:pPr>
        <w:spacing w:after="0" w:line="174" w:lineRule="exact"/>
        <w:rPr>
          <w:rFonts w:ascii="Arial" w:cs="Arial" w:eastAsia="Arial" w:hAnsi="Arial"/>
          <w:sz w:val="22"/>
          <w:szCs w:val="22"/>
          <w:color w:val="auto"/>
        </w:rPr>
      </w:pPr>
    </w:p>
    <w:p>
      <w:pPr>
        <w:ind w:left="2100" w:hanging="796"/>
        <w:spacing w:after="0"/>
        <w:tabs>
          <w:tab w:leader="none" w:pos="210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transaction is not part of a plan or scheme to evade the registration requirements of the Securities Act.</w:t>
      </w:r>
    </w:p>
    <w:p>
      <w:pPr>
        <w:spacing w:after="0" w:line="241"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In addition, if the sale is made during a restricted period and the provisions of Rule 903(b)(2), Rule 903(b)(3) or Rule 904(b)(1) of Regulation S are applicable thereto, we confirm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ind w:left="660" w:right="400"/>
        <w:spacing w:after="0" w:line="251" w:lineRule="auto"/>
        <w:rPr>
          <w:sz w:val="20"/>
          <w:szCs w:val="20"/>
          <w:color w:val="auto"/>
        </w:rPr>
      </w:pPr>
      <w:r>
        <w:rPr>
          <w:rFonts w:ascii="Arial" w:cs="Arial" w:eastAsia="Arial" w:hAnsi="Arial"/>
          <w:sz w:val="22"/>
          <w:szCs w:val="22"/>
          <w:color w:val="auto"/>
        </w:rPr>
        <w:t>that such sale has been made in accordance with the applicable provisions of Rule 903(b)(2), Rule 903(b)(3) or Rule 904(b)(1), as the case may be.</w:t>
      </w:r>
    </w:p>
    <w:p>
      <w:pPr>
        <w:spacing w:after="0" w:line="174"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We also hereby certify that we [are][are not] an Affiliate of the Company and, to our knowledge, the transferee of the Securities [is][is not] an Affiliate of the Company.</w:t>
      </w:r>
    </w:p>
    <w:p>
      <w:pPr>
        <w:spacing w:after="0" w:line="17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You are entitled to rely conclusively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Transferor]</w:t>
      </w:r>
    </w:p>
    <w:p>
      <w:pPr>
        <w:spacing w:after="0" w:line="23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49428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79" w:name="page180"/>
    <w:bookmarkEnd w:id="179"/>
    <w:p>
      <w:pPr>
        <w:ind w:left="5160"/>
        <w:spacing w:after="0"/>
        <w:rPr>
          <w:sz w:val="20"/>
          <w:szCs w:val="20"/>
          <w:color w:val="auto"/>
        </w:rPr>
      </w:pPr>
      <w:r>
        <w:rPr>
          <w:rFonts w:ascii="Arial" w:cs="Arial" w:eastAsia="Arial" w:hAnsi="Arial"/>
          <w:sz w:val="22"/>
          <w:szCs w:val="22"/>
          <w:color w:val="auto"/>
        </w:rPr>
        <w:t>ANNEX E</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COLLATERAL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 each case, subject to the Applicable Collateral Limitations: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Real Estate Deliverables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 later than sixty (60) days after the Initial Issuance Date (or such later date as agreed by the Majority Holders) the applicable Note Parties shall cause to be delivered to the Collateral Agent the following agreements and other instruments for the Initial Issuance Date Real Property:</w:t>
      </w:r>
    </w:p>
    <w:p>
      <w:pPr>
        <w:spacing w:after="0" w:line="207" w:lineRule="exact"/>
        <w:rPr>
          <w:sz w:val="20"/>
          <w:szCs w:val="20"/>
          <w:color w:val="auto"/>
        </w:rPr>
      </w:pPr>
    </w:p>
    <w:p>
      <w:pPr>
        <w:jc w:val="both"/>
        <w:ind w:left="980" w:hanging="648"/>
        <w:spacing w:after="0" w:line="304" w:lineRule="auto"/>
        <w:tabs>
          <w:tab w:leader="none" w:pos="98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Mortgages</w:t>
      </w:r>
      <w:r>
        <w:rPr>
          <w:rFonts w:ascii="Arial" w:cs="Arial" w:eastAsia="Arial" w:hAnsi="Arial"/>
          <w:sz w:val="17"/>
          <w:szCs w:val="17"/>
          <w:color w:val="auto"/>
        </w:rPr>
        <w:t>. a Mortgage encumbering real property constituting Initial Issuance Date Material Real Property, duly executed and acknowl-edged by each Note Party that is the owner of or holder of any interest in such Initial Issuance Date Material Real Property, and otherwise in form for recording in the recording office of each applicable political subdivision where such Initial Issuance Date Material Real Property is situated, together with such certificates, affidavits, questionnaires or returns as shall be required in connection with the recording or filing thereof to create a lien under applicable law, and such financing statements and any other instruments necessary to grant a mortgage lien under the laws of any applicable jurisdiction, all of which shall be in a form substantially similar to the mortgages, deeds of trust, financing statements and other instruments granted with respect to such Initial Issuance Date Material Real Property in favor of the LC Credit Agreement Agent in connection with the LC Credit Agreement; and</w:t>
      </w:r>
    </w:p>
    <w:p>
      <w:pPr>
        <w:spacing w:after="0" w:line="179" w:lineRule="exact"/>
        <w:rPr>
          <w:rFonts w:ascii="Arial" w:cs="Arial" w:eastAsia="Arial" w:hAnsi="Arial"/>
          <w:sz w:val="17"/>
          <w:szCs w:val="17"/>
          <w:color w:val="auto"/>
        </w:rPr>
      </w:pPr>
    </w:p>
    <w:p>
      <w:pPr>
        <w:jc w:val="both"/>
        <w:ind w:left="980" w:hanging="648"/>
        <w:spacing w:after="0" w:line="306" w:lineRule="auto"/>
        <w:tabs>
          <w:tab w:leader="none" w:pos="98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Opinions</w:t>
      </w:r>
      <w:r>
        <w:rPr>
          <w:rFonts w:ascii="Arial" w:cs="Arial" w:eastAsia="Arial" w:hAnsi="Arial"/>
          <w:sz w:val="17"/>
          <w:szCs w:val="17"/>
          <w:color w:val="auto"/>
        </w:rPr>
        <w:t>. Favorable written legal opinions, addressed to the Collateral Agent and the Holders, of local counsel to the Note Parties in each jurisdiction (i) where an Initial Issuance Date Material Real Property referenced in Section 1 above is located and (ii) where the applicable Note Party granting the Mortgage on said Initial Issuance Date Material Real Property is incorporated or organized, regarding the due authority, execution, de-livery, perfection and enforceability of each such Mortgage, and the corporate formation, existence and good standing (to the extent such concept is applicable) of the applicable Note Party, each in a form substantially similar to the corresponding legal opinions delivered to the LC Credit Agreement Agent in connection with the LC Credit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Domestic Deposit Account Control Agreements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Each Note Party that maintains any Deposit Account (to the extent not an Excluded Account) that is located in the United States shall cause to be delivered to the Collateral Agent a Deposit Account Control Agreement with respect to such Deposit Account within forty-five (45) days after the Initial Issuance Date (or such later date as agreed by the Majority Holders).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Foreign Guaranties, Collateral Grants and Perfection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applicable Note Parties shall cause to be delivered to the Collateral Agent the following agreements and other instruments: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0" w:name="page181"/>
    <w:bookmarkEnd w:id="180"/>
    <w:p>
      <w:pPr>
        <w:jc w:val="both"/>
        <w:ind w:left="650" w:hanging="650"/>
        <w:spacing w:after="0" w:line="303" w:lineRule="auto"/>
        <w:tabs>
          <w:tab w:leader="none" w:pos="65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Foreign Collateral Documents</w:t>
      </w:r>
      <w:r>
        <w:rPr>
          <w:rFonts w:ascii="Arial" w:cs="Arial" w:eastAsia="Arial" w:hAnsi="Arial"/>
          <w:sz w:val="17"/>
          <w:szCs w:val="17"/>
          <w:color w:val="auto"/>
        </w:rPr>
        <w:t xml:space="preserve">. not later than forty-five (45) days after the Initial Issuance Date (or such later date as agreed by the Majority Holders), (a) collateral documents (other than those described in Sections 2-5 below) in favor the Collateral Agent corresponding to the collateral documents, in each case disclosed in a collateral document list delivered to the Collateral Agent on behalf of the Note Parties prior to the Initial Issuance Date, that are governed by the laws of jurisdictions outside of the United States and granted by the Note Parties in favor of the LC Credit Agreement Agent in connection with the LC Credit Agreement on or prior to such date, and (b) legal opinions in form and substance reasonably satisfactory to the Majority Holders relating to the due authorization, execution and delivery of such agreements, enforceability thereof, and related grant and perfection matters as are customary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collateral documents and legal opinions delivered to the Collateral Agent pursuant to this Section 1 shall be in a form substantially similar to the corresponding collateral documents and legal opinions delivered in favor of the LC Credit Agreement Agent;</w:t>
      </w:r>
    </w:p>
    <w:p>
      <w:pPr>
        <w:spacing w:after="0" w:line="208" w:lineRule="exact"/>
        <w:rPr>
          <w:rFonts w:ascii="Arial" w:cs="Arial" w:eastAsia="Arial" w:hAnsi="Arial"/>
          <w:sz w:val="17"/>
          <w:szCs w:val="17"/>
          <w:color w:val="auto"/>
        </w:rPr>
      </w:pPr>
    </w:p>
    <w:p>
      <w:pPr>
        <w:jc w:val="both"/>
        <w:ind w:left="650" w:hanging="650"/>
        <w:spacing w:after="0" w:line="322" w:lineRule="auto"/>
        <w:tabs>
          <w:tab w:leader="none" w:pos="65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Joinder – BVI</w:t>
      </w:r>
      <w:r>
        <w:rPr>
          <w:rFonts w:ascii="Arial" w:cs="Arial" w:eastAsia="Arial" w:hAnsi="Arial"/>
          <w:sz w:val="16"/>
          <w:szCs w:val="16"/>
          <w:color w:val="auto"/>
        </w:rPr>
        <w:t xml:space="preserve">. not later than forty-five (45) days after the Initial Issuance Date (or such later date as agreed by the Majority Holders), (a) a supplemental indenture substantially in the form of Annex B pursuant to which Helix Equipment Leasing Limited shall become a Guarantor with respect to the Notes, upon the terms and subject to the release provisions and other limitations in Article Fourteen of this Indenture, (b) a joinder to the Intercreditor Agreement whereby such Subsidiary agrees to be bound by the applicable terms and provisions thereof, (c) a security agreement governed by the laws of the British Virgin Islands in favor the Collateral Agent granting a Lien on substantially all of the property of such Subsidiary (other than Excluded Assets) consistent with the Liens granted over similar property by Loan Parties in such jurisdiction, (d) organizational and authorization documents and an Officers’ Certificate, (e) a supplement to the Security Agreement (and authorization to file financing statements in accordance with the Security Agreement) whereby such Subsidiary agrees to be bound by the applicable terms and provisions thereof, and (f) legal opinions relating to the due authorization, execution and delivery of such agreements, enforceability thereof, and related grant and perfection matters as are customary in such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collateral documents, legal opinions and other documents delivered to the Collateral Agent pursuant to this Section 2 shall be in a form substantially similar to the corresponding collateral documents, legal opinions and other documents delivered in favor of the LC Credit Agreement Agent;</w:t>
      </w:r>
    </w:p>
    <w:p>
      <w:pPr>
        <w:spacing w:after="0" w:line="196" w:lineRule="exact"/>
        <w:rPr>
          <w:rFonts w:ascii="Arial" w:cs="Arial" w:eastAsia="Arial" w:hAnsi="Arial"/>
          <w:sz w:val="16"/>
          <w:szCs w:val="16"/>
          <w:color w:val="auto"/>
        </w:rPr>
      </w:pPr>
    </w:p>
    <w:p>
      <w:pPr>
        <w:jc w:val="both"/>
        <w:ind w:left="650" w:hanging="650"/>
        <w:spacing w:after="0" w:line="287" w:lineRule="auto"/>
        <w:tabs>
          <w:tab w:leader="none" w:pos="65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Joinders –Mexico</w:t>
      </w:r>
      <w:r>
        <w:rPr>
          <w:rFonts w:ascii="Arial" w:cs="Arial" w:eastAsia="Arial" w:hAnsi="Arial"/>
          <w:sz w:val="18"/>
          <w:szCs w:val="18"/>
          <w:color w:val="auto"/>
        </w:rPr>
        <w:t>. not later than sixty (60) days after the Initial Issuance Date (or such later date as agreed by the Majority Holders), (a) one or more supplemental indentures substantially in the form of Annex B pursuant to which Weatherford de Mexico, S. de R.L. de C.V., and Global Drilling Fluids de Mexico, S.A. de C.V. shall become Guarantors with respect to the Notes, upon the terms and subject to the release provisions and other limitations in Article Fourteen of this Indenture, (b) one or more joinders to the Intercreditor Agreement whereby such Subsidiaries agree to be bound by the applicable terms and provisions thereof, (c) a security agreement governed by the laws of each such Subsidiary’s jurisdiction of organization in favor the Collateral</w:t>
      </w:r>
    </w:p>
    <w:p>
      <w:pPr>
        <w:spacing w:after="0" w:line="128"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41275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139" w:right="339" w:bottom="1440" w:gutter="0" w:footer="0" w:header="0"/>
        </w:sectPr>
      </w:pPr>
    </w:p>
    <w:bookmarkStart w:id="181" w:name="page182"/>
    <w:bookmarkEnd w:id="181"/>
    <w:p>
      <w:pPr>
        <w:jc w:val="both"/>
        <w:ind w:left="650"/>
        <w:spacing w:after="0" w:line="274" w:lineRule="auto"/>
        <w:rPr>
          <w:sz w:val="20"/>
          <w:szCs w:val="20"/>
          <w:color w:val="auto"/>
        </w:rPr>
      </w:pPr>
      <w:r>
        <w:rPr>
          <w:rFonts w:ascii="Arial" w:cs="Arial" w:eastAsia="Arial" w:hAnsi="Arial"/>
          <w:sz w:val="19"/>
          <w:szCs w:val="19"/>
          <w:color w:val="auto"/>
        </w:rPr>
        <w:t>Agent granting a Lien on substantially all of the property of such Subsidiary (other than Excluded Assets) to the extent customary and reasonably achievable under applicable local law, (d) organizational and authorization documents and an Officers’ Certificate and such certificates, (e) one or more supplements to the Security Agreement (and authorization to file financing statements in accordance with the Security Agreement) whereby such Subsidiaries agree to be bound by the applicable terms and provisions thereof, and (f) legal opinions relating to the due authorization, execution and delivery of such agreements, enforceability thereof, and related grant and perfection matters as are customary in such jurisdiction; providedthat all such collateral documents, legal opinions and other documents delivered to the Collateral Agent pursuant to this Section 3 shall be in a form substantially similar to the corresponding collateral documents, legal opinions and other documents delivered in favor of the LC Credit Agreement Agent.</w:t>
      </w:r>
    </w:p>
    <w:p>
      <w:pPr>
        <w:spacing w:after="0" w:line="166" w:lineRule="exact"/>
        <w:rPr>
          <w:sz w:val="20"/>
          <w:szCs w:val="20"/>
          <w:color w:val="auto"/>
        </w:rPr>
      </w:pPr>
    </w:p>
    <w:p>
      <w:pPr>
        <w:ind w:left="650" w:right="60" w:hanging="650"/>
        <w:spacing w:after="0" w:line="286" w:lineRule="auto"/>
        <w:tabs>
          <w:tab w:leader="none" w:pos="65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Joinders – Brazil and Argentina</w:t>
      </w:r>
      <w:r>
        <w:rPr>
          <w:rFonts w:ascii="Arial" w:cs="Arial" w:eastAsia="Arial" w:hAnsi="Arial"/>
          <w:sz w:val="16"/>
          <w:szCs w:val="16"/>
          <w:color w:val="auto"/>
        </w:rPr>
        <w:t>. not later than ninety (90) days after the Initial Issuance Date (or such later date as agreed by the Majority Holders), (a) one or more supplemental indentures substantially in the form of Annex B pursuant to which Weatherford Industria e Comercio Ltda. and Weatherford International de Argentina S.A. shall become Guarantors with respect to the Notes, upon the terms and subject to the release provisions and other limitations in Article Fourteen of this Indenture, (b) one or more joinders to the Intercreditor Agreement whereby such Subsidiaries agree to be bound by the applicable terms and provisions thereof, (c) a security agreement governed by the laws of each such Subsidiary’s jurisdiction of organization in favor the Collateral Agent granting a Lien on substantially all of the property of such Subsidiary (other than Excluded Assets) to the extent customary and reasonably achievable under applicable local law, (d) organizational and authorization documents and an Officers’ Certificate and such certificates, (e) one or more supplements to the Security Agreement (and authorization to file financing statements in accordance with the Security Agreement) whereby such Subsidiaries agree to be bound by the applicable terms and provisions thereof, and (f) legal opinions relating to the due authorization, execution and delivery of such agreements, enforceability thereof, and related grant and perfection matters as are customary in such jurisdiction; provided that all such collateral documents, legal opinions and other documents delivered to the Collateral Agent pursuant to this Section 4 shall be in a form substantially similar to the corresponding collateral documents, legal opinions and other documents delivered in favor of the LC Credit Agreement Agent; and</w:t>
      </w:r>
    </w:p>
    <w:p>
      <w:pPr>
        <w:spacing w:after="0" w:line="214" w:lineRule="exact"/>
        <w:rPr>
          <w:rFonts w:ascii="Arial" w:cs="Arial" w:eastAsia="Arial" w:hAnsi="Arial"/>
          <w:sz w:val="16"/>
          <w:szCs w:val="16"/>
          <w:color w:val="auto"/>
        </w:rPr>
      </w:pPr>
    </w:p>
    <w:p>
      <w:pPr>
        <w:jc w:val="both"/>
        <w:ind w:left="650" w:hanging="650"/>
        <w:spacing w:after="0" w:line="325" w:lineRule="auto"/>
        <w:tabs>
          <w:tab w:leader="none" w:pos="65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Joinders – Security Agreement – Additional Foreign Guarantors</w:t>
      </w:r>
      <w:r>
        <w:rPr>
          <w:rFonts w:ascii="Arial" w:cs="Arial" w:eastAsia="Arial" w:hAnsi="Arial"/>
          <w:sz w:val="16"/>
          <w:szCs w:val="16"/>
          <w:color w:val="auto"/>
        </w:rPr>
        <w:t xml:space="preserve">. except as provided above, with respect to any Guarantor constituting a Foreign Subsidiary not a party to the Security Agreement, a supplement to the Security Agreement (and authorization to file financing statements in accordance with the Security Agreement), in the case of (x) Weatherford Australia Pty Limited, Weatherford Holdings (Bermuda) Ltd., Weatherford Oil Tool GmbH, Weatherford Irish Holdings Limited, Weatherford International (Luxembourg) Holdings S.à r.l., Weatherford European Holdings (Luxembourg) S.à r.l. and Weatherford Services S. de R.L., not later than forty-five (45) days after the Initial Issuance Date (or such later date as agreed by the Majority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legal opinion or resolutions shall be required in connection with any of the Guarantors set forth in this clause (x) becoming a party the Security Agreement or (y) any other such Guarantor, not later than forty-five (45) days after such Guarantor becoming a Guarantor (or such later date as agreed by the Majority Holders).</w:t>
      </w:r>
    </w:p>
    <w:p>
      <w:pPr>
        <w:spacing w:after="0" w:line="106"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41275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118" w:right="3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22"/>
          <w:szCs w:val="22"/>
          <w:color w:val="auto"/>
        </w:rPr>
        <w:t>ANNEX 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INITIAL ISSUANCE DATE REAL PROPERTY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ind w:left="9560"/>
        <w:spacing w:after="0"/>
        <w:rPr>
          <w:sz w:val="20"/>
          <w:szCs w:val="20"/>
          <w:color w:val="auto"/>
        </w:rPr>
      </w:pPr>
      <w:r>
        <w:rPr>
          <w:rFonts w:ascii="Arial" w:cs="Arial" w:eastAsia="Arial" w:hAnsi="Arial"/>
          <w:sz w:val="19"/>
          <w:szCs w:val="19"/>
          <w:b w:val="1"/>
          <w:bCs w:val="1"/>
          <w:color w:val="auto"/>
        </w:rPr>
        <w:t>Execution Version</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AMENDMENT NO. 1 TO LC CREDIT AGREEMENT AND AMENDMENT NO. 1 TO U.S. SECURITY AGREEMENT</w:t>
      </w:r>
    </w:p>
    <w:p>
      <w:pPr>
        <w:spacing w:after="0" w:line="2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THIS AMENDMENT NO. 1 TO LC CREDIT AGREEMENT AND AMENDMENT NO. 1 TO U.S. SECURITY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August 28, 2020 by and among Weatherford International Ltd., a Bermuda exempted company (“</w:t>
      </w:r>
      <w:r>
        <w:rPr>
          <w:rFonts w:ascii="Arial" w:cs="Arial" w:eastAsia="Arial" w:hAnsi="Arial"/>
          <w:sz w:val="21"/>
          <w:szCs w:val="21"/>
          <w:u w:val="single" w:color="auto"/>
          <w:color w:val="auto"/>
        </w:rPr>
        <w:t>WIL-Bermuda</w:t>
      </w:r>
      <w:r>
        <w:rPr>
          <w:rFonts w:ascii="Arial" w:cs="Arial" w:eastAsia="Arial" w:hAnsi="Arial"/>
          <w:sz w:val="21"/>
          <w:szCs w:val="21"/>
          <w:color w:val="auto"/>
        </w:rPr>
        <w:t>”), Weatherford International, LLC, a Delaware limited liability company (“</w:t>
      </w:r>
      <w:r>
        <w:rPr>
          <w:rFonts w:ascii="Arial" w:cs="Arial" w:eastAsia="Arial" w:hAnsi="Arial"/>
          <w:sz w:val="21"/>
          <w:szCs w:val="21"/>
          <w:u w:val="single" w:color="auto"/>
          <w:color w:val="auto"/>
        </w:rPr>
        <w:t>WIL-Delaware</w:t>
      </w:r>
      <w:r>
        <w:rPr>
          <w:rFonts w:ascii="Arial" w:cs="Arial" w:eastAsia="Arial" w:hAnsi="Arial"/>
          <w:sz w:val="21"/>
          <w:szCs w:val="21"/>
          <w:color w:val="auto"/>
        </w:rPr>
        <w:t>” and, together with WIL-Bermuda, the “</w:t>
      </w:r>
      <w:r>
        <w:rPr>
          <w:rFonts w:ascii="Arial" w:cs="Arial" w:eastAsia="Arial" w:hAnsi="Arial"/>
          <w:sz w:val="21"/>
          <w:szCs w:val="21"/>
          <w:u w:val="single" w:color="auto"/>
          <w:color w:val="auto"/>
        </w:rPr>
        <w:t>Borrowers</w:t>
      </w:r>
      <w:r>
        <w:rPr>
          <w:rFonts w:ascii="Arial" w:cs="Arial" w:eastAsia="Arial" w:hAnsi="Arial"/>
          <w:sz w:val="21"/>
          <w:szCs w:val="21"/>
          <w:color w:val="auto"/>
        </w:rPr>
        <w:t>”), Weatherford International plc (“</w:t>
      </w:r>
      <w:r>
        <w:rPr>
          <w:rFonts w:ascii="Arial" w:cs="Arial" w:eastAsia="Arial" w:hAnsi="Arial"/>
          <w:sz w:val="21"/>
          <w:szCs w:val="21"/>
          <w:u w:val="single" w:color="auto"/>
          <w:color w:val="auto"/>
        </w:rPr>
        <w:t>Parent</w:t>
      </w:r>
      <w:r>
        <w:rPr>
          <w:rFonts w:ascii="Arial" w:cs="Arial" w:eastAsia="Arial" w:hAnsi="Arial"/>
          <w:sz w:val="21"/>
          <w:szCs w:val="21"/>
          <w:color w:val="auto"/>
        </w:rPr>
        <w:t>” and, together with the Borrowers, each an “</w:t>
      </w:r>
      <w:r>
        <w:rPr>
          <w:rFonts w:ascii="Arial" w:cs="Arial" w:eastAsia="Arial" w:hAnsi="Arial"/>
          <w:sz w:val="21"/>
          <w:szCs w:val="21"/>
          <w:u w:val="single" w:color="auto"/>
          <w:color w:val="auto"/>
        </w:rPr>
        <w:t>Obligor Party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Obligor Parties</w:t>
      </w:r>
      <w:r>
        <w:rPr>
          <w:rFonts w:ascii="Arial" w:cs="Arial" w:eastAsia="Arial" w:hAnsi="Arial"/>
          <w:sz w:val="21"/>
          <w:szCs w:val="21"/>
          <w:color w:val="auto"/>
        </w:rPr>
        <w:t>”), the other Guarantors (together with the Obligor Parties, the “</w:t>
      </w:r>
      <w:r>
        <w:rPr>
          <w:rFonts w:ascii="Arial" w:cs="Arial" w:eastAsia="Arial" w:hAnsi="Arial"/>
          <w:sz w:val="21"/>
          <w:szCs w:val="21"/>
          <w:u w:val="single" w:color="auto"/>
          <w:color w:val="auto"/>
        </w:rPr>
        <w:t>Obligors</w:t>
      </w:r>
      <w:r>
        <w:rPr>
          <w:rFonts w:ascii="Arial" w:cs="Arial" w:eastAsia="Arial" w:hAnsi="Arial"/>
          <w:sz w:val="21"/>
          <w:szCs w:val="21"/>
          <w:color w:val="auto"/>
        </w:rPr>
        <w:t>”) the Lenders party hereto (constituting all the Lenders) and Deutsche Bank Trust Company Americas, as administrative agent for the Lenders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WHEREAS, reference is made to that certain LC Credit Agreement dated as of December 13, 2019, by and among the Obligor Parties, the Lenders named therein and the Administrative Agent (as heretofore amended, supplemented or otherwise modified, the “</w:t>
      </w:r>
      <w:r>
        <w:rPr>
          <w:rFonts w:ascii="Arial" w:cs="Arial" w:eastAsia="Arial" w:hAnsi="Arial"/>
          <w:sz w:val="22"/>
          <w:szCs w:val="22"/>
          <w:u w:val="single" w:color="auto"/>
          <w:color w:val="auto"/>
        </w:rPr>
        <w:t>LC Credit Agreement</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WHEREAS, reference is made to that certain U.S. Security Agreement dated as of December 13, 2019, by and among the Parent, WIL-Bermuda, WIL-Delaware and the other Grantors (as such term is defined therein) from time to time party thereto and the Administrative Agent (as heretofore amended, supplemented or otherwise modified, the “</w:t>
      </w:r>
      <w:r>
        <w:rPr>
          <w:rFonts w:ascii="Arial" w:cs="Arial" w:eastAsia="Arial" w:hAnsi="Arial"/>
          <w:sz w:val="19"/>
          <w:szCs w:val="19"/>
          <w:u w:val="single" w:color="auto"/>
          <w:color w:val="auto"/>
        </w:rPr>
        <w:t>U.S. Security Agreement</w:t>
      </w:r>
      <w:r>
        <w:rPr>
          <w:rFonts w:ascii="Arial" w:cs="Arial" w:eastAsia="Arial" w:hAnsi="Arial"/>
          <w:sz w:val="19"/>
          <w:szCs w:val="19"/>
          <w:color w:val="auto"/>
        </w:rPr>
        <w:t>”);</w:t>
      </w:r>
    </w:p>
    <w:p>
      <w:pPr>
        <w:spacing w:after="0" w:line="1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WIL-Bermuda intends to issue and sell up to $500 million aggregate principal amount of senior secured notes (the “</w:t>
      </w:r>
      <w:r>
        <w:rPr>
          <w:rFonts w:ascii="Arial" w:cs="Arial" w:eastAsia="Arial" w:hAnsi="Arial"/>
          <w:sz w:val="22"/>
          <w:szCs w:val="22"/>
          <w:u w:val="single" w:color="auto"/>
          <w:color w:val="auto"/>
        </w:rPr>
        <w:t>Senior Secured Notes</w:t>
      </w:r>
      <w:r>
        <w:rPr>
          <w:rFonts w:ascii="Arial" w:cs="Arial" w:eastAsia="Arial" w:hAnsi="Arial"/>
          <w:sz w:val="22"/>
          <w:szCs w:val="22"/>
          <w:color w:val="auto"/>
        </w:rPr>
        <w:t>”) on the Amendment No. 1 Effective Date (as defined below) pursuant to the terms of an Indenture (the “</w:t>
      </w:r>
      <w:r>
        <w:rPr>
          <w:rFonts w:ascii="Arial" w:cs="Arial" w:eastAsia="Arial" w:hAnsi="Arial"/>
          <w:sz w:val="22"/>
          <w:szCs w:val="22"/>
          <w:u w:val="single" w:color="auto"/>
          <w:color w:val="auto"/>
        </w:rPr>
        <w:t>Senior Secured Notes Indenture</w:t>
      </w:r>
      <w:r>
        <w:rPr>
          <w:rFonts w:ascii="Arial" w:cs="Arial" w:eastAsia="Arial" w:hAnsi="Arial"/>
          <w:sz w:val="22"/>
          <w:szCs w:val="22"/>
          <w:color w:val="auto"/>
        </w:rPr>
        <w:t>”), dated as of the Amendment No. 1 Effective Date, among Wilmington Trust, National Association, as trustee, WIL-Bermuda and the guarantors party thereto;</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a portion of the proceeds of the Senior Secured Notes will be applied by the Obligor Parties to repay or otherwise satisfy and discharge all indebtedness, and cash collateralize outstanding letters of credit, under the ABL Credit Agreement, with all commitments thereunder terminated and all security and guarantees in respect thereof discharged and released (collectively, the “</w:t>
      </w:r>
      <w:r>
        <w:rPr>
          <w:rFonts w:ascii="Arial" w:cs="Arial" w:eastAsia="Arial" w:hAnsi="Arial"/>
          <w:sz w:val="22"/>
          <w:szCs w:val="22"/>
          <w:u w:val="single" w:color="auto"/>
          <w:color w:val="auto"/>
        </w:rPr>
        <w:t>ABL Termination</w:t>
      </w:r>
      <w:r>
        <w:rPr>
          <w:rFonts w:ascii="Arial" w:cs="Arial" w:eastAsia="Arial" w:hAnsi="Arial"/>
          <w:sz w:val="22"/>
          <w:szCs w:val="22"/>
          <w:color w:val="auto"/>
        </w:rPr>
        <w:t>”);</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WHEREAS, the Obligor Parties have requested that the Lenders agree to amend certain provisions of the LC Credit Agreement, and the Lenders have agreed to amend the LC Credit Agreement as hereinafter set forth;</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WHEREAS, the Obligor Parties have requested that the Lenders agree to amend certain provisions of the U.S. Security Agreement, and the Lenders have agreed to amend the U.S. Security Agreement as hereinafter set forth;</w:t>
      </w:r>
    </w:p>
    <w:p>
      <w:pPr>
        <w:spacing w:after="0" w:line="1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WHEREAS, the Obligor Parties have requested that the Lenders agree to provide additional Commitments under the LC Credit Agreement (“the </w:t>
      </w:r>
      <w:r>
        <w:rPr>
          <w:rFonts w:ascii="Arial" w:cs="Arial" w:eastAsia="Arial" w:hAnsi="Arial"/>
          <w:sz w:val="22"/>
          <w:szCs w:val="22"/>
          <w:u w:val="single" w:color="auto"/>
          <w:color w:val="auto"/>
        </w:rPr>
        <w:t>LC Facility Increase</w:t>
      </w:r>
      <w:r>
        <w:rPr>
          <w:rFonts w:ascii="Arial" w:cs="Arial" w:eastAsia="Arial" w:hAnsi="Arial"/>
          <w:sz w:val="22"/>
          <w:szCs w:val="22"/>
          <w:color w:val="auto"/>
        </w:rPr>
        <w:t>”, and together with the other transactions described in these recitals, including the issuance of the Senior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4" w:name="page185"/>
    <w:bookmarkEnd w:id="184"/>
    <w:p>
      <w:pPr>
        <w:jc w:val="both"/>
        <w:spacing w:after="0" w:line="266" w:lineRule="auto"/>
        <w:rPr>
          <w:sz w:val="20"/>
          <w:szCs w:val="20"/>
          <w:color w:val="auto"/>
        </w:rPr>
      </w:pPr>
      <w:r>
        <w:rPr>
          <w:rFonts w:ascii="Arial" w:cs="Arial" w:eastAsia="Arial" w:hAnsi="Arial"/>
          <w:sz w:val="22"/>
          <w:szCs w:val="22"/>
          <w:color w:val="auto"/>
        </w:rPr>
        <w:t>Notes, the ABL Termination, and any amendments made to the LC Credit Agreement and U.S. Security Agreement, collectively the “</w:t>
      </w:r>
      <w:r>
        <w:rPr>
          <w:rFonts w:ascii="Arial" w:cs="Arial" w:eastAsia="Arial" w:hAnsi="Arial"/>
          <w:sz w:val="22"/>
          <w:szCs w:val="22"/>
          <w:u w:val="single" w:color="auto"/>
          <w:color w:val="auto"/>
        </w:rPr>
        <w:t>2020 Transactions</w:t>
      </w:r>
      <w:r>
        <w:rPr>
          <w:rFonts w:ascii="Arial" w:cs="Arial" w:eastAsia="Arial" w:hAnsi="Arial"/>
          <w:sz w:val="22"/>
          <w:szCs w:val="22"/>
          <w:color w:val="auto"/>
        </w:rPr>
        <w:t>”), and the Lenders have agreed to provide additional Commitments under the LC Credit Agreement as hereinafter set forth;</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 Capitalized terms used but not otherwise defined herein shall have the meanings assigned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to them in the LC Credit Agreement.</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 Subject to the occurrence of the Amendment No. 1 Effective Date, as of the 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No. 1 Effective Date:</w:t>
      </w:r>
    </w:p>
    <w:p>
      <w:pPr>
        <w:spacing w:after="0" w:line="174" w:lineRule="exact"/>
        <w:rPr>
          <w:sz w:val="20"/>
          <w:szCs w:val="20"/>
          <w:color w:val="auto"/>
        </w:rPr>
      </w:pPr>
    </w:p>
    <w:p>
      <w:pPr>
        <w:jc w:val="both"/>
        <w:ind w:firstLine="656"/>
        <w:spacing w:after="0" w:line="266" w:lineRule="auto"/>
        <w:tabs>
          <w:tab w:leader="none" w:pos="142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the LC Credit Agreement is hereby amended to delete the stricken text (indicated textually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auto"/>
        </w:rPr>
        <w:t xml:space="preserve">) and to add the underlined text (indicated textually in the same manner as the following example: </w:t>
      </w:r>
      <w:r>
        <w:rPr>
          <w:rFonts w:ascii="Arial" w:cs="Arial" w:eastAsia="Arial" w:hAnsi="Arial"/>
          <w:sz w:val="22"/>
          <w:szCs w:val="22"/>
          <w:u w:val="single" w:color="auto"/>
          <w:color w:val="0000FF"/>
        </w:rPr>
        <w:t>underlined text</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84" w:lineRule="exact"/>
        <w:rPr>
          <w:rFonts w:ascii="Arial" w:cs="Arial" w:eastAsia="Arial" w:hAnsi="Arial"/>
          <w:sz w:val="22"/>
          <w:szCs w:val="22"/>
          <w:color w:val="auto"/>
        </w:rPr>
      </w:pPr>
    </w:p>
    <w:p>
      <w:pPr>
        <w:ind w:left="1440" w:hanging="784"/>
        <w:spacing w:after="0"/>
        <w:tabs>
          <w:tab w:leader="none" w:pos="144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Schedule 2.01 to the LC Credit Agreement is hereby amended and restated in its entirety as set forth in </w:t>
      </w:r>
      <w:r>
        <w:rPr>
          <w:rFonts w:ascii="Arial" w:cs="Arial" w:eastAsia="Arial" w:hAnsi="Arial"/>
          <w:sz w:val="19"/>
          <w:szCs w:val="19"/>
          <w:u w:val="single" w:color="auto"/>
          <w:color w:val="auto"/>
        </w:rPr>
        <w:t>Exhibit B</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228" w:lineRule="exact"/>
        <w:rPr>
          <w:rFonts w:ascii="Arial" w:cs="Arial" w:eastAsia="Arial" w:hAnsi="Arial"/>
          <w:sz w:val="19"/>
          <w:szCs w:val="19"/>
          <w:color w:val="auto"/>
        </w:rPr>
      </w:pPr>
    </w:p>
    <w:p>
      <w:pPr>
        <w:ind w:firstLine="656"/>
        <w:spacing w:after="0" w:line="276" w:lineRule="auto"/>
        <w:tabs>
          <w:tab w:leader="none" w:pos="161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the Exhibits to the LC Credit Agreement are hereby amended to incorporate a new Exhibit P as set forth in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and</w:t>
      </w:r>
    </w:p>
    <w:p>
      <w:pPr>
        <w:spacing w:after="0" w:line="174" w:lineRule="exact"/>
        <w:rPr>
          <w:rFonts w:ascii="Arial" w:cs="Arial" w:eastAsia="Arial" w:hAnsi="Arial"/>
          <w:sz w:val="22"/>
          <w:szCs w:val="22"/>
          <w:color w:val="auto"/>
        </w:rPr>
      </w:pPr>
    </w:p>
    <w:p>
      <w:pPr>
        <w:jc w:val="both"/>
        <w:ind w:firstLine="656"/>
        <w:spacing w:after="0" w:line="266" w:lineRule="auto"/>
        <w:tabs>
          <w:tab w:leader="none" w:pos="1683"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the U.S. Security Agreement is hereby amended to delete the stricken text (indicated textually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auto"/>
        </w:rPr>
        <w:t xml:space="preserve">) and to add the underlined text (indicated textually in the same manner as the following example: </w:t>
      </w:r>
      <w:r>
        <w:rPr>
          <w:rFonts w:ascii="Arial" w:cs="Arial" w:eastAsia="Arial" w:hAnsi="Arial"/>
          <w:sz w:val="22"/>
          <w:szCs w:val="22"/>
          <w:u w:val="single" w:color="auto"/>
          <w:color w:val="0000FF"/>
        </w:rPr>
        <w:t>underlined text</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hereto.</w:t>
      </w:r>
    </w:p>
    <w:p>
      <w:pPr>
        <w:spacing w:after="0" w:line="18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Amendment No. 1 Effective Date; Conditions Precedent. This Amendment shall become effective on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 (the “Amendment No. 1 Effective Date”) on which the following conditions have been satisfied:</w:t>
      </w:r>
    </w:p>
    <w:p>
      <w:pPr>
        <w:spacing w:after="0" w:line="174" w:lineRule="exact"/>
        <w:rPr>
          <w:sz w:val="20"/>
          <w:szCs w:val="20"/>
          <w:color w:val="auto"/>
        </w:rPr>
      </w:pPr>
    </w:p>
    <w:p>
      <w:pPr>
        <w:jc w:val="both"/>
        <w:ind w:firstLine="656"/>
        <w:spacing w:after="0" w:line="327" w:lineRule="auto"/>
        <w:tabs>
          <w:tab w:leader="none" w:pos="195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in form and substance reasonably satisfactory to the Administrative Agent, (i) a counterpart of this Amendment executed by the Obligors and the Lenders and (ii) the Intercreditor Agreement (as such term is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executed by each Person listed on the signature pages thereof;</w:t>
      </w:r>
    </w:p>
    <w:p>
      <w:pPr>
        <w:spacing w:after="0" w:line="132" w:lineRule="exact"/>
        <w:rPr>
          <w:rFonts w:ascii="Arial" w:cs="Arial" w:eastAsia="Arial" w:hAnsi="Arial"/>
          <w:sz w:val="19"/>
          <w:szCs w:val="19"/>
          <w:color w:val="auto"/>
        </w:rPr>
      </w:pPr>
    </w:p>
    <w:p>
      <w:pPr>
        <w:jc w:val="both"/>
        <w:ind w:firstLine="656"/>
        <w:spacing w:after="0" w:line="327" w:lineRule="auto"/>
        <w:tabs>
          <w:tab w:leader="none" w:pos="145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representations and warranties set forth in Section 5 hereof shall be true and correct; and no Default or Event of Default shall exist before or after giving effect to the 2020 Transactions (and the Administrative Agent shall have received a certification by a Responsible Officer of Parent that the condition specified in this clause (b) have been satisfied);</w:t>
      </w:r>
    </w:p>
    <w:p>
      <w:pPr>
        <w:spacing w:after="0" w:line="132" w:lineRule="exact"/>
        <w:rPr>
          <w:rFonts w:ascii="Arial" w:cs="Arial" w:eastAsia="Arial" w:hAnsi="Arial"/>
          <w:sz w:val="19"/>
          <w:szCs w:val="19"/>
          <w:color w:val="auto"/>
        </w:rPr>
      </w:pPr>
    </w:p>
    <w:p>
      <w:pPr>
        <w:jc w:val="both"/>
        <w:ind w:firstLine="656"/>
        <w:spacing w:after="0" w:line="262" w:lineRule="auto"/>
        <w:tabs>
          <w:tab w:leader="none" w:pos="180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customary certificates of resolutions or other action, incumbency certificates and/or other certificates of Responsible Officers of each Obligor as the Administrative Agent may reasonably require evidencing the identity, authority and capacity of each Responsible Officer thereof authorized to act as a Responsible Officer in connection with this Amendment;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5" w:name="page186"/>
    <w:bookmarkEnd w:id="185"/>
    <w:p>
      <w:pPr>
        <w:jc w:val="both"/>
        <w:ind w:firstLine="656"/>
        <w:spacing w:after="0" w:line="261" w:lineRule="auto"/>
        <w:tabs>
          <w:tab w:leader="none" w:pos="1534"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documents and certifications required to be delivered under Sections 5.01(a)(v), 5.01(a)(vi) and 5.01(a)(ix) (or, where applicable, certifications of a Responsible Officer that there have been no changes to such documents as previously delivered to the Administrative Agent since the Effective Date) and, to the extent available under applicable local law, good standing certificates, as the Administrative Agent may reasonably require with respect to each Obligor;</w:t>
      </w:r>
    </w:p>
    <w:p>
      <w:pPr>
        <w:spacing w:after="0" w:line="244" w:lineRule="exact"/>
        <w:rPr>
          <w:rFonts w:ascii="Arial" w:cs="Arial" w:eastAsia="Arial" w:hAnsi="Arial"/>
          <w:sz w:val="22"/>
          <w:szCs w:val="22"/>
          <w:color w:val="auto"/>
        </w:rPr>
      </w:pPr>
    </w:p>
    <w:p>
      <w:pPr>
        <w:jc w:val="both"/>
        <w:ind w:firstLine="656"/>
        <w:spacing w:after="0" w:line="274" w:lineRule="auto"/>
        <w:tabs>
          <w:tab w:leader="none" w:pos="1657" w:val="left"/>
        </w:tabs>
        <w:numPr>
          <w:ilvl w:val="1"/>
          <w:numId w:val="197"/>
        </w:numPr>
        <w:rPr>
          <w:rFonts w:ascii="Arial" w:cs="Arial" w:eastAsia="Arial" w:hAnsi="Arial"/>
          <w:sz w:val="21"/>
          <w:szCs w:val="21"/>
          <w:color w:val="auto"/>
        </w:rPr>
      </w:pPr>
      <w:r>
        <w:rPr>
          <w:rFonts w:ascii="Arial" w:cs="Arial" w:eastAsia="Arial" w:hAnsi="Arial"/>
          <w:sz w:val="21"/>
          <w:szCs w:val="21"/>
          <w:color w:val="auto"/>
        </w:rPr>
        <w:t>the Administrative Agent shall have received a completed “Life-of-Loan” Federal Emergency Management Agency standard flood hazard determination with respect to each improved Material Real Property located in the United States (together with a notice about special flood hazard area status and flood disaster assistance duly executed by the applicable Obligor Party relating thereto) and, with respect to any Material Real Property located in the United States on which any “building” (as defined in the Flood Laws) is located in a special flood hazard area, evidence of flood insurance as and to the extent required under Section 7.03 of the LC Credit Agreement;</w:t>
      </w:r>
    </w:p>
    <w:p>
      <w:pPr>
        <w:spacing w:after="0" w:line="181" w:lineRule="exact"/>
        <w:rPr>
          <w:rFonts w:ascii="Arial" w:cs="Arial" w:eastAsia="Arial" w:hAnsi="Arial"/>
          <w:sz w:val="21"/>
          <w:szCs w:val="21"/>
          <w:color w:val="auto"/>
        </w:rPr>
      </w:pPr>
    </w:p>
    <w:p>
      <w:pPr>
        <w:jc w:val="both"/>
        <w:ind w:firstLine="656"/>
        <w:spacing w:after="0" w:line="311" w:lineRule="auto"/>
        <w:tabs>
          <w:tab w:leader="none" w:pos="1552" w:val="left"/>
        </w:tabs>
        <w:numPr>
          <w:ilvl w:val="1"/>
          <w:numId w:val="197"/>
        </w:numPr>
        <w:rPr>
          <w:rFonts w:ascii="Arial" w:cs="Arial" w:eastAsia="Arial" w:hAnsi="Arial"/>
          <w:sz w:val="19"/>
          <w:szCs w:val="19"/>
          <w:color w:val="auto"/>
        </w:rPr>
      </w:pPr>
      <w:r>
        <w:rPr>
          <w:rFonts w:ascii="Arial" w:cs="Arial" w:eastAsia="Arial" w:hAnsi="Arial"/>
          <w:sz w:val="19"/>
          <w:szCs w:val="19"/>
          <w:color w:val="auto"/>
        </w:rPr>
        <w:t>subject to Section 4 of this Amendment, all actions or documents reasonably requested by the Administrative Agent that are necessary to establish or re-affirm that the Lenders will have a perfected first priority security interest (subject to Liens permitted under Section 8.04 of the LC Credit Agreement (as amended hereby)) in the LC Priority Collateral (as defined in the Intercreditor Agreement) securing the Secured Obligations, shall have been taken or executed and delivered (including, if so requested, deeds of confirmation, amendments and/or supplements to Collateral Documents);</w:t>
      </w:r>
    </w:p>
    <w:p>
      <w:pPr>
        <w:spacing w:after="0" w:line="150" w:lineRule="exact"/>
        <w:rPr>
          <w:rFonts w:ascii="Arial" w:cs="Arial" w:eastAsia="Arial" w:hAnsi="Arial"/>
          <w:sz w:val="19"/>
          <w:szCs w:val="19"/>
          <w:color w:val="auto"/>
        </w:rPr>
      </w:pPr>
    </w:p>
    <w:p>
      <w:pPr>
        <w:jc w:val="both"/>
        <w:ind w:firstLine="656"/>
        <w:spacing w:after="0" w:line="266" w:lineRule="auto"/>
        <w:tabs>
          <w:tab w:leader="none" w:pos="1993"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Administrative Agent shall have received, in form and substance reasonably satisfactory to the Administrative Agent, evidence that all other local law requirements in connection with the 2020 Transactions have been satisfied;</w:t>
      </w:r>
    </w:p>
    <w:p>
      <w:pPr>
        <w:spacing w:after="0" w:line="184" w:lineRule="exact"/>
        <w:rPr>
          <w:rFonts w:ascii="Arial" w:cs="Arial" w:eastAsia="Arial" w:hAnsi="Arial"/>
          <w:sz w:val="22"/>
          <w:szCs w:val="22"/>
          <w:color w:val="auto"/>
        </w:rPr>
      </w:pPr>
    </w:p>
    <w:p>
      <w:pPr>
        <w:jc w:val="both"/>
        <w:ind w:firstLine="656"/>
        <w:spacing w:after="0" w:line="261" w:lineRule="auto"/>
        <w:tabs>
          <w:tab w:leader="none" w:pos="1507" w:val="left"/>
        </w:tabs>
        <w:numPr>
          <w:ilvl w:val="1"/>
          <w:numId w:val="197"/>
        </w:numPr>
        <w:rPr>
          <w:rFonts w:ascii="Arial" w:cs="Arial" w:eastAsia="Arial" w:hAnsi="Arial"/>
          <w:sz w:val="22"/>
          <w:szCs w:val="22"/>
          <w:color w:val="auto"/>
        </w:rPr>
      </w:pPr>
      <w:r>
        <w:rPr>
          <w:rFonts w:ascii="Arial" w:cs="Arial" w:eastAsia="Arial" w:hAnsi="Arial"/>
          <w:sz w:val="22"/>
          <w:szCs w:val="22"/>
          <w:color w:val="auto"/>
        </w:rPr>
        <w:t xml:space="preserve">favorable, signed opinions addressed to the Administrative Agent and the Lenders dated the Amendment No. 1 Effective Date, each in form and substance, including due authorization, execution and delivery of this Amendment, enforceability, and continued grant and perfection with regard to U.S. security matters, reasonably satisfactory to the Administrative Agent, from the law firms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in each case, given upon the express instruction of the applicable Obligor(s), as applicable;</w:t>
      </w:r>
    </w:p>
    <w:p>
      <w:pPr>
        <w:spacing w:after="0" w:line="190" w:lineRule="exact"/>
        <w:rPr>
          <w:rFonts w:ascii="Arial" w:cs="Arial" w:eastAsia="Arial" w:hAnsi="Arial"/>
          <w:sz w:val="22"/>
          <w:szCs w:val="22"/>
          <w:color w:val="auto"/>
        </w:rPr>
      </w:pPr>
    </w:p>
    <w:p>
      <w:pPr>
        <w:jc w:val="both"/>
        <w:ind w:firstLine="656"/>
        <w:spacing w:after="0" w:line="266" w:lineRule="auto"/>
        <w:tabs>
          <w:tab w:leader="none" w:pos="1486" w:val="left"/>
        </w:tabs>
        <w:numPr>
          <w:ilvl w:val="1"/>
          <w:numId w:val="197"/>
        </w:numPr>
        <w:rPr>
          <w:rFonts w:ascii="Arial" w:cs="Arial" w:eastAsia="Arial" w:hAnsi="Arial"/>
          <w:sz w:val="22"/>
          <w:szCs w:val="22"/>
          <w:color w:val="auto"/>
        </w:rPr>
      </w:pPr>
      <w:r>
        <w:rPr>
          <w:rFonts w:ascii="Arial" w:cs="Arial" w:eastAsia="Arial" w:hAnsi="Arial"/>
          <w:sz w:val="22"/>
          <w:szCs w:val="22"/>
          <w:color w:val="auto"/>
        </w:rPr>
        <w:t>a certificate of a Principal Financial Officer of Parent certifying that, after giving effect to the Amendment and the 2020 Transactions, the Parent and its Subsidiaries, on a consolidated basis, are Solvent as of the Amendment No. 1 Effective Date;</w:t>
      </w:r>
    </w:p>
    <w:p>
      <w:pPr>
        <w:spacing w:after="0" w:line="184" w:lineRule="exact"/>
        <w:rPr>
          <w:rFonts w:ascii="Arial" w:cs="Arial" w:eastAsia="Arial" w:hAnsi="Arial"/>
          <w:sz w:val="22"/>
          <w:szCs w:val="22"/>
          <w:color w:val="auto"/>
        </w:rPr>
      </w:pPr>
    </w:p>
    <w:p>
      <w:pPr>
        <w:jc w:val="both"/>
        <w:ind w:firstLine="656"/>
        <w:spacing w:after="0" w:line="297" w:lineRule="auto"/>
        <w:tabs>
          <w:tab w:leader="none" w:pos="177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to the extent available in the applicable jurisdiction(s), (I) 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Amendment No. 1 Effective Date or Liens permitted under the LC Credit Agreement (as amended hereby) and</w:t>
      </w:r>
    </w:p>
    <w:p>
      <w:pPr>
        <w:spacing w:after="0" w:line="2" w:lineRule="exact"/>
        <w:rPr>
          <w:rFonts w:ascii="Arial" w:cs="Arial" w:eastAsia="Arial" w:hAnsi="Arial"/>
          <w:sz w:val="19"/>
          <w:szCs w:val="19"/>
          <w:color w:val="auto"/>
        </w:rPr>
      </w:pPr>
    </w:p>
    <w:p>
      <w:pPr>
        <w:ind w:firstLine="8"/>
        <w:spacing w:after="0" w:line="272" w:lineRule="auto"/>
        <w:tabs>
          <w:tab w:leader="none" w:pos="36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clear searches against Parent in the Companies Registration Office, Dublin, the High Court Central Office and all other relevant registries;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6" w:name="page187"/>
    <w:bookmarkEnd w:id="186"/>
    <w:p>
      <w:pPr>
        <w:jc w:val="both"/>
        <w:ind w:firstLine="656"/>
        <w:spacing w:after="0" w:line="262" w:lineRule="auto"/>
        <w:tabs>
          <w:tab w:leader="none" w:pos="1507"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Administrative Agent shall have received evidence reasonably satisfactory to the Administrative Agent that the conditions precedent to the issuance of the Senior Secured Notes as set forth in Article VII of the Notes Purchase Agreement dated as of the Amendment No. 1 Effective Date, among the Obligors and the purchasers party thereto, have been satisfied or waived;</w:t>
      </w:r>
    </w:p>
    <w:p>
      <w:pPr>
        <w:spacing w:after="0" w:line="245" w:lineRule="exact"/>
        <w:rPr>
          <w:rFonts w:ascii="Arial" w:cs="Arial" w:eastAsia="Arial" w:hAnsi="Arial"/>
          <w:sz w:val="22"/>
          <w:szCs w:val="22"/>
          <w:color w:val="auto"/>
        </w:rPr>
      </w:pPr>
    </w:p>
    <w:p>
      <w:pPr>
        <w:jc w:val="both"/>
        <w:ind w:firstLine="656"/>
        <w:spacing w:after="0" w:line="306" w:lineRule="auto"/>
        <w:tabs>
          <w:tab w:leader="none" w:pos="150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all commitments and other obligations (other than contingent indemnification obligations as to which no claim has been received) with respect to the ABL Credit Documents, have been cancelled, and Indebtedness and letters of credit under such ABL Credit Documents have been satisfied in full (or, in the case of letters of credit, cash collateralized), and (ii) all existing Liens in favor of the ABL Collateral Agent and any other creditor with a Lien on the Collateral (except for Liens permitted by Section 8.04 of the LC Credit Agreement (as amended hereby)) (subject to arrangements reasonably satisfactory to the Administrative Agent having been made for the applicable filings of terminations) have terminated, in each case effective prior to or substantially concurrently with the effectiveness of this Amendment; and</w:t>
      </w:r>
    </w:p>
    <w:p>
      <w:pPr>
        <w:spacing w:after="0" w:line="156" w:lineRule="exact"/>
        <w:rPr>
          <w:rFonts w:ascii="Arial" w:cs="Arial" w:eastAsia="Arial" w:hAnsi="Arial"/>
          <w:sz w:val="19"/>
          <w:szCs w:val="19"/>
          <w:color w:val="auto"/>
        </w:rPr>
      </w:pPr>
    </w:p>
    <w:p>
      <w:pPr>
        <w:jc w:val="both"/>
        <w:ind w:firstLine="656"/>
        <w:spacing w:after="0" w:line="303" w:lineRule="auto"/>
        <w:tabs>
          <w:tab w:leader="none" w:pos="186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Borrowers shall have paid (i) as consideration for the agreements of the Lenders in respect of this Amendment to each applicable Lender (x) a fee equal to 0.50% of the aggregate principal amount of such Lender’s Commitments immediately prior to the Amendment No. 1 Effective Date and (y) a fee equal to 1.50% of the aggregate principal amount of such Lender’s Commitments in respect of the LC Facility Increase, if any, (ii) the fees set forth in the Administrative Agent fee letter (the “</w:t>
      </w:r>
      <w:r>
        <w:rPr>
          <w:rFonts w:ascii="Arial" w:cs="Arial" w:eastAsia="Arial" w:hAnsi="Arial"/>
          <w:sz w:val="19"/>
          <w:szCs w:val="19"/>
          <w:u w:val="single" w:color="auto"/>
          <w:color w:val="auto"/>
        </w:rPr>
        <w:t>Administrative Agent Fee Letter</w:t>
      </w:r>
      <w:r>
        <w:rPr>
          <w:rFonts w:ascii="Arial" w:cs="Arial" w:eastAsia="Arial" w:hAnsi="Arial"/>
          <w:sz w:val="19"/>
          <w:szCs w:val="19"/>
          <w:color w:val="auto"/>
        </w:rPr>
        <w:t>”), dated the date hereof, between the Obligors and the Administrative Agent, (iii) the fees set forth in the Deutsche Bank AG, New York Branch fee letter (the “</w:t>
      </w:r>
      <w:r>
        <w:rPr>
          <w:rFonts w:ascii="Arial" w:cs="Arial" w:eastAsia="Arial" w:hAnsi="Arial"/>
          <w:sz w:val="19"/>
          <w:szCs w:val="19"/>
          <w:u w:val="single" w:color="auto"/>
          <w:color w:val="auto"/>
        </w:rPr>
        <w:t>DBNY Fee Letter</w:t>
      </w:r>
      <w:r>
        <w:rPr>
          <w:rFonts w:ascii="Arial" w:cs="Arial" w:eastAsia="Arial" w:hAnsi="Arial"/>
          <w:sz w:val="19"/>
          <w:szCs w:val="19"/>
          <w:color w:val="auto"/>
        </w:rPr>
        <w:t>”), (iv) fees of legal counsel for the Administrative Agent, to the extent invoiced at or before 1:00 p.m., New York City time, on the Business Day immediately prior to the Amendment No. 1 Effective Date and (v) to the extent invoiced at or before 1:00 p.m., New York City time, on the Business Day immediately prior to the Amendment No. 1 Effective Date, all out-of-pocket expenses required to be reimbursed or paid by the Borrowers pursuant to Section 11.03 of the LC Credit Agreement or any other Loan Document.</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Real Estate</w:t>
      </w:r>
      <w:r>
        <w:rPr>
          <w:rFonts w:ascii="Arial" w:cs="Arial" w:eastAsia="Arial" w:hAnsi="Arial"/>
          <w:sz w:val="19"/>
          <w:szCs w:val="19"/>
          <w:color w:val="auto"/>
        </w:rPr>
        <w:t>. Within 90 days after the Amendment No. 1 Effective Date, the Administrative Agent shall have received with respect to each Material Real Property (other than Canadian Material Real Property, to the extent not subject to a Mortgage by the Amendment No. 1 Effective Date; provided that it is understood that the requirement to execute and deliver a Mortgage over such Canadian Real Property (together with a title insurance policy in form and substance satisfactory to the Collateral Agent) under the LC Credit Agreement as in effect immediately prior to the Amendment No. 1 Effective Date remains) either (i) a written confirmation (which may be via email) from local counsel in the jurisdiction in which each Material Real Property is located substantially to the effect that: (A) the recording of the existing Mortgage (and any related fixture filing), including without limitation the registration of the Mortgage with the relevant jurisdiction’s land registry (or similar) is the only filing or recording necessary to give constructive notice to third parties of the lien created by such Mortgage as security for the Secured Obligations, including the Secured Obligations evidenced by this Amendment and the other documents executed in connection herewith, for the benefit of the Secured Parties, and (B) no other documents, instruments, filings, recordings, re-recordings, re-filings, third party consents or approvals or other actions, including, without limitation, the payment of any mortgage recording taxes or similar taxes are necessary or appropriate under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7" w:name="page188"/>
    <w:bookmarkEnd w:id="187"/>
    <w:p>
      <w:pPr>
        <w:jc w:val="both"/>
        <w:spacing w:after="0" w:line="297" w:lineRule="auto"/>
        <w:rPr>
          <w:sz w:val="20"/>
          <w:szCs w:val="20"/>
          <w:color w:val="auto"/>
        </w:rPr>
      </w:pPr>
      <w:r>
        <w:rPr>
          <w:rFonts w:ascii="Arial" w:cs="Arial" w:eastAsia="Arial" w:hAnsi="Arial"/>
          <w:sz w:val="19"/>
          <w:szCs w:val="19"/>
          <w:color w:val="auto"/>
        </w:rPr>
        <w:t>applicable law in order to maintain the continued enforceability, validity or priority of the lien created by such Mortgage as security for the Secured Obligations, including the Secured Obligations evidenced by this Amendment and the other documents executed in connection herewith, for the benefit of the Secured Parties, unless any such mortgage recording taxes are payable in connection with the transactions contemplated by this Amendment, in which case such written confirmation shall so state, or (ii)</w:t>
      </w:r>
    </w:p>
    <w:p>
      <w:pPr>
        <w:spacing w:after="0" w:line="3" w:lineRule="exact"/>
        <w:rPr>
          <w:sz w:val="20"/>
          <w:szCs w:val="20"/>
          <w:color w:val="auto"/>
        </w:rPr>
      </w:pPr>
    </w:p>
    <w:p>
      <w:pPr>
        <w:jc w:val="both"/>
        <w:ind w:firstLine="8"/>
        <w:spacing w:after="0" w:line="296" w:lineRule="auto"/>
        <w:tabs>
          <w:tab w:leader="none" w:pos="369"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an amendment to each Mortgage (each, a “</w:t>
      </w:r>
      <w:r>
        <w:rPr>
          <w:rFonts w:ascii="Arial" w:cs="Arial" w:eastAsia="Arial" w:hAnsi="Arial"/>
          <w:sz w:val="19"/>
          <w:szCs w:val="19"/>
          <w:u w:val="single" w:color="auto"/>
          <w:color w:val="auto"/>
        </w:rPr>
        <w:t>Mortgage Amendment,</w:t>
      </w:r>
      <w:r>
        <w:rPr>
          <w:rFonts w:ascii="Arial" w:cs="Arial" w:eastAsia="Arial" w:hAnsi="Arial"/>
          <w:sz w:val="19"/>
          <w:szCs w:val="19"/>
          <w:color w:val="auto"/>
        </w:rPr>
        <w:t>” collectively the “</w:t>
      </w:r>
      <w:r>
        <w:rPr>
          <w:rFonts w:ascii="Arial" w:cs="Arial" w:eastAsia="Arial" w:hAnsi="Arial"/>
          <w:sz w:val="19"/>
          <w:szCs w:val="19"/>
          <w:u w:val="single" w:color="auto"/>
          <w:color w:val="auto"/>
        </w:rPr>
        <w:t>Mortgage Amendments</w:t>
      </w:r>
      <w:r>
        <w:rPr>
          <w:rFonts w:ascii="Arial" w:cs="Arial" w:eastAsia="Arial" w:hAnsi="Arial"/>
          <w:sz w:val="19"/>
          <w:szCs w:val="19"/>
          <w:color w:val="auto"/>
        </w:rPr>
        <w:t>”) to which an Obligor is then party duly executed and acknowledged by the applicable Obligor, and in form for recording in the recording office where the respective Mortgage was recorded, together with such certificates, affidavits, questionnaires or returns as shall be required in connection with the recording or filing thereof under applicable law, in each case in form and substance reasonably satisfactory to the Administrative Agent; (B) executed legal opinions from counsel to the Borrower or applicable Obligor as to the due authorization, execution, perfection and enforceability of each Mortgage Amendment, and otherwise in form and substance reasonably satisfactory to the Administrative Agent; (C) with respect to each amended Mortgage (i) a date-down, modification and/or modification title insurance endorsements to the policy or policies of title insurance (or if no such endorsements are available in the jurisdiction within which a Mortgaged Property is situated, a new title insurance policy) insuring the Lien of each Mortgage, issued by a nationally recognized title insurance company (each a “</w:t>
      </w:r>
      <w:r>
        <w:rPr>
          <w:rFonts w:ascii="Arial" w:cs="Arial" w:eastAsia="Arial" w:hAnsi="Arial"/>
          <w:sz w:val="19"/>
          <w:szCs w:val="19"/>
          <w:u w:val="single" w:color="auto"/>
          <w:color w:val="auto"/>
        </w:rPr>
        <w:t>Title Endorsement</w:t>
      </w:r>
      <w:r>
        <w:rPr>
          <w:rFonts w:ascii="Arial" w:cs="Arial" w:eastAsia="Arial" w:hAnsi="Arial"/>
          <w:sz w:val="19"/>
          <w:szCs w:val="19"/>
          <w:color w:val="auto"/>
        </w:rPr>
        <w:t>,” collectively, the “</w:t>
      </w:r>
      <w:r>
        <w:rPr>
          <w:rFonts w:ascii="Arial" w:cs="Arial" w:eastAsia="Arial" w:hAnsi="Arial"/>
          <w:sz w:val="19"/>
          <w:szCs w:val="19"/>
          <w:u w:val="single" w:color="auto"/>
          <w:color w:val="auto"/>
        </w:rPr>
        <w:t>Title Endorsements</w:t>
      </w:r>
      <w:r>
        <w:rPr>
          <w:rFonts w:ascii="Arial" w:cs="Arial" w:eastAsia="Arial" w:hAnsi="Arial"/>
          <w:sz w:val="19"/>
          <w:szCs w:val="19"/>
          <w:color w:val="auto"/>
        </w:rPr>
        <w:t>”) (x) insuring that such Mortgage, as amended by such Mortgage Amendment, is a valid and enforceable first priority lien on such Mortgaged Property in favor of the Administrative Agent for the benefit of the Secured Parties free and clear of all Liens except Permitted Liens, (y) otherwise in form and substance reasonably satisfactory to the Administrative Agent and (z) having the effect of a valid, issued and binding endorsement to the respective title insurance policy;</w:t>
      </w:r>
    </w:p>
    <w:p>
      <w:pPr>
        <w:spacing w:after="0" w:line="7" w:lineRule="exact"/>
        <w:rPr>
          <w:rFonts w:ascii="Arial" w:cs="Arial" w:eastAsia="Arial" w:hAnsi="Arial"/>
          <w:sz w:val="19"/>
          <w:szCs w:val="19"/>
          <w:color w:val="auto"/>
        </w:rPr>
      </w:pPr>
    </w:p>
    <w:p>
      <w:pPr>
        <w:jc w:val="both"/>
        <w:ind w:firstLine="8"/>
        <w:spacing w:after="0" w:line="260" w:lineRule="auto"/>
        <w:tabs>
          <w:tab w:leader="none" w:pos="37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evidence reasonably acceptable to the Collateral Agent of payment by Borrower of all premiums, search and examination charges, escrow charges and related charges, mortgage recording taxes, fees, charges, costs and expenses required for the recording of the Mortgages and issuance of the Title Endorsements; and (E) such affidavits, certificates, information (including financial data) and instruments of indemnification (including a so-called "gap" indemnification) as shall be required to induce the title insurer to issue the Title Endorsements.</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other parties hereto to enter into this Amendment, each of the Obligors represents and warrants that, on the date hereof and as of the Amendment No. 1 Effective Date (both before and after giving effect to the amendments set forth in this Amendment):</w:t>
      </w:r>
    </w:p>
    <w:p>
      <w:pPr>
        <w:spacing w:after="0" w:line="185" w:lineRule="exact"/>
        <w:rPr>
          <w:sz w:val="20"/>
          <w:szCs w:val="20"/>
          <w:color w:val="auto"/>
        </w:rPr>
      </w:pPr>
    </w:p>
    <w:p>
      <w:pPr>
        <w:jc w:val="both"/>
        <w:ind w:firstLine="656"/>
        <w:spacing w:after="0" w:line="306" w:lineRule="auto"/>
        <w:tabs>
          <w:tab w:leader="none" w:pos="161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representations and warranties set forth in Article VI of the LC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Amendment No. 1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8" w:name="page189"/>
    <w:bookmarkEnd w:id="188"/>
    <w:p>
      <w:pPr>
        <w:jc w:val="both"/>
        <w:ind w:firstLine="8"/>
        <w:spacing w:after="0" w:line="266" w:lineRule="auto"/>
        <w:tabs>
          <w:tab w:leader="none" w:pos="80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on the Amendment No. 1 Effective Date, after giving effect to all of the transactions contemplated hereby (including the LC Facility Increase and the consummation of the other 2020 Transactions), the Obligors and their Subsidiaries, on a consolidated basis, are Solvent;</w:t>
      </w:r>
    </w:p>
    <w:p>
      <w:pPr>
        <w:spacing w:after="0" w:line="238" w:lineRule="exact"/>
        <w:rPr>
          <w:rFonts w:ascii="Arial" w:cs="Arial" w:eastAsia="Arial" w:hAnsi="Arial"/>
          <w:sz w:val="22"/>
          <w:szCs w:val="22"/>
          <w:color w:val="auto"/>
        </w:rPr>
      </w:pPr>
    </w:p>
    <w:p>
      <w:pPr>
        <w:ind w:left="1440" w:hanging="784"/>
        <w:spacing w:after="0"/>
        <w:tabs>
          <w:tab w:leader="none" w:pos="144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Amendment No. 1 Effective Date; and</w:t>
      </w:r>
    </w:p>
    <w:p>
      <w:pPr>
        <w:spacing w:after="0" w:line="267" w:lineRule="exact"/>
        <w:rPr>
          <w:rFonts w:ascii="Arial" w:cs="Arial" w:eastAsia="Arial" w:hAnsi="Arial"/>
          <w:sz w:val="19"/>
          <w:szCs w:val="19"/>
          <w:color w:val="auto"/>
        </w:rPr>
      </w:pPr>
    </w:p>
    <w:p>
      <w:pPr>
        <w:jc w:val="both"/>
        <w:ind w:firstLine="656"/>
        <w:spacing w:after="0" w:line="327" w:lineRule="auto"/>
        <w:tabs>
          <w:tab w:leader="none" w:pos="1521" w:val="left"/>
        </w:tabs>
        <w:numPr>
          <w:ilvl w:val="1"/>
          <w:numId w:val="203"/>
        </w:numPr>
        <w:rPr>
          <w:rFonts w:ascii="Arial" w:cs="Arial" w:eastAsia="Arial" w:hAnsi="Arial"/>
          <w:sz w:val="19"/>
          <w:szCs w:val="19"/>
          <w:color w:val="auto"/>
        </w:rPr>
      </w:pPr>
      <w:r>
        <w:rPr>
          <w:rFonts w:ascii="Arial" w:cs="Arial" w:eastAsia="Arial" w:hAnsi="Arial"/>
          <w:sz w:val="19"/>
          <w:szCs w:val="19"/>
          <w:color w:val="auto"/>
        </w:rPr>
        <w:t>this Amendment constitutes the legal, valid and binding obligation of each of the Obligors, enforceable against each of the Obligors in accordance with its terms, except as enforceability may be limited by applicable bankruptcy, insolvency, or similar laws affecting the enforcement of creditors’ rights generally or by equitable principles of general applicability.</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Confirmation of Loan Documents</w:t>
      </w:r>
      <w:r>
        <w:rPr>
          <w:rFonts w:ascii="Arial" w:cs="Arial" w:eastAsia="Arial" w:hAnsi="Arial"/>
          <w:sz w:val="19"/>
          <w:szCs w:val="19"/>
          <w:color w:val="auto"/>
        </w:rPr>
        <w:t>. Except as expressly contemplated hereby, the terms, provisions, conditions and covenants of the LC Credit Agreement and the U.S. Security Agreement, as amended by this Amendment,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LC Credit Agreement or any other Loan Document; (b) to prejudice any right or remedy that the Administrative Agent or any Lender may now have or may have in the future under or in connection with the LC Credit Agreement or any other Loan Document; or (c) to constitute a waiver of compliance or consent to noncompliance by any Obligor with respect to the terms, provisions, conditions and covenants of the LC Credit Agreement and the other Loan Documents made the subject hereof. Each Obligor represents and acknowledges that it has no claims, counterclaims, offsets, credits or defenses to the Loan Documents or the performance of its obligations thereunder.</w:t>
      </w: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Ratification.</w:t>
      </w:r>
    </w:p>
    <w:p>
      <w:pPr>
        <w:spacing w:after="0" w:line="233" w:lineRule="exact"/>
        <w:rPr>
          <w:sz w:val="20"/>
          <w:szCs w:val="20"/>
          <w:color w:val="auto"/>
        </w:rPr>
      </w:pPr>
    </w:p>
    <w:p>
      <w:pPr>
        <w:jc w:val="both"/>
        <w:ind w:firstLine="656"/>
        <w:spacing w:after="0" w:line="271" w:lineRule="auto"/>
        <w:tabs>
          <w:tab w:leader="none" w:pos="1536"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Affiliate Guaranty</w:t>
      </w:r>
      <w:r>
        <w:rPr>
          <w:rFonts w:ascii="Arial" w:cs="Arial" w:eastAsia="Arial" w:hAnsi="Arial"/>
          <w:sz w:val="21"/>
          <w:szCs w:val="21"/>
          <w:color w:val="auto"/>
        </w:rPr>
        <w:t>. Each of the Obligor Parties hereby ratifies and confirms, on behalf of itself and each other Guarantor, the Guarantors’ obligations under the Affiliate Guaranty and hereby represents and acknowledges, on behalf of itself and each other Guarantor, that the Guarantors have no claims, counterclaims, offsets, credits or defenses to the Loan Documents or the performance of their obligations thereunder. Furthermore, each Obligor agrees, on behalf of itself and each other Guarantor, that nothing contained in this Amendment shall adversely affect any right or remedy of the Administrative Agent or the Lenders under the Affiliate Guaranty or any of the other Loan Documents. Each Obligor agrees, on behalf of itself and each other Guarantor, that all references in the Affiliate Guaranty to the “Guaranteed Obligations” shall include, without limitation, all of the obligations of WIL-Bermuda and WIL-Delaware to the Administrative Agent and the Lenders under the LC Credit Agreement, as amended by this Amendment. Finally, each Obligor hereby represents and warrants, on behalf of itself and each other Guarantor, that the execution and delivery of this Amendment and the other documents executed in connection herewith shall in no way change or modify its or any other Guarantor’s obligations as a guarantor, debtor, pledgor, assignor, obligor and/or grantor under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9" w:name="page190"/>
    <w:bookmarkEnd w:id="189"/>
    <w:p>
      <w:pPr>
        <w:spacing w:after="0" w:line="276" w:lineRule="auto"/>
        <w:rPr>
          <w:sz w:val="20"/>
          <w:szCs w:val="20"/>
          <w:color w:val="auto"/>
        </w:rPr>
      </w:pPr>
      <w:r>
        <w:rPr>
          <w:rFonts w:ascii="Arial" w:cs="Arial" w:eastAsia="Arial" w:hAnsi="Arial"/>
          <w:sz w:val="22"/>
          <w:szCs w:val="22"/>
          <w:color w:val="auto"/>
        </w:rPr>
        <w:t>Affiliate Guaranty and the other Loan Documents and shall not constitute a waiver by the Administrative Agent or the Lenders of any of their rights against any Guarantor.</w:t>
      </w:r>
    </w:p>
    <w:p>
      <w:pPr>
        <w:spacing w:after="0" w:line="228" w:lineRule="exact"/>
        <w:rPr>
          <w:sz w:val="20"/>
          <w:szCs w:val="20"/>
          <w:color w:val="auto"/>
        </w:rPr>
      </w:pPr>
    </w:p>
    <w:p>
      <w:pPr>
        <w:jc w:val="both"/>
        <w:ind w:firstLine="656"/>
        <w:spacing w:after="0" w:line="299" w:lineRule="auto"/>
        <w:tabs>
          <w:tab w:leader="none" w:pos="175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Collateral Documents</w:t>
      </w:r>
      <w:r>
        <w:rPr>
          <w:rFonts w:ascii="Arial" w:cs="Arial" w:eastAsia="Arial" w:hAnsi="Arial"/>
          <w:sz w:val="19"/>
          <w:szCs w:val="19"/>
          <w:color w:val="auto"/>
        </w:rPr>
        <w:t>. Each Obligor hereby acknowledges and ratifies, on behalf of itself and each other Obligor, the existence and priority of the Liens granted by the Obligors in and to the Collateral in favor of the Secured Parties and represents and warrants, on behalf of itself and each other Obligor, that such Liens and security interests are valid, existing and in full force and effect and with respect to all security interest purported to be created under the Loan Documents expressed to be governed by the laws of the Netherlands (the “</w:t>
      </w:r>
      <w:r>
        <w:rPr>
          <w:rFonts w:ascii="Arial" w:cs="Arial" w:eastAsia="Arial" w:hAnsi="Arial"/>
          <w:sz w:val="19"/>
          <w:szCs w:val="19"/>
          <w:u w:val="single" w:color="auto"/>
          <w:color w:val="auto"/>
        </w:rPr>
        <w:t>Dutch Security Documents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each Obligor party thereto reaffirms and confirms that it was such party's intent at the moment of entering into the relevant Dutch Security Document to secure the Secured Obligations as amended from time to time, including by the amendments as included in this Amendment. Each of the Obligor Parties hereby ratifies and confirms, on behalf of itself and each other Obligor, each Obligor’s obligations under the Collateral Documents to which such Obligor is a party and hereby represents and acknowledges, on behalf of itself and each other Obligor, that the Obligors have no claims, counterclaims, offsets, credits or defenses to the Loan Documents or the performance of their obligations thereunder. Furthermore, each Obligor agrees, on behalf of itself and each other Obligor, that nothing contained in this Amendment shall adversely affect any right or remedy of the Administrative Agent or the Lenders under the Collateral Documents or any of the other Loan Documents. Each Obligor declares and agrees, on behalf of itself and each other Obligor, that all references in any Collateral Document to the “Secured Obligations” shall extend to and include, without limitation, all of the obligations of WIL-Bermuda and WIL-Delaware to the Administrative Agent and the Lenders under the LC Credit Agreement, as amended by this Amendment. Finally, each Obligor hereby represents and warrants, on behalf of itself and each other Obligor, that the execution and delivery of this Amendment and the other documents executed in connection herewith shall in no way change or modify its or any other Obligor’s obligations as a debtor, pledgor, assignor, obligor, grantor, mortgagor and/or chargor under any Collateral Document and the other Loan Documents and shall not constitute a waiver by the Administrative Agent or the Lenders of any of their rights against any Obligor.</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firstLine="656"/>
        <w:spacing w:after="0" w:line="272" w:lineRule="auto"/>
        <w:tabs>
          <w:tab w:leader="none" w:pos="1711"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Increase of Maximum Aggregate Liability</w:t>
      </w:r>
      <w:r>
        <w:rPr>
          <w:rFonts w:ascii="Arial" w:cs="Arial" w:eastAsia="Arial" w:hAnsi="Arial"/>
          <w:sz w:val="21"/>
          <w:szCs w:val="21"/>
          <w:color w:val="auto"/>
        </w:rPr>
        <w:t>. Weatherford Norge AS hereby confirms and declares that the maximum aggregate liability under any Collateral Document entered into by it shall be increased from $240,000,000 to $294,000,000 (or, in each case, the equivalent in any other currency) plus any interest, default interest, commissions, charges, fees and expenses. Furthermore, each Obligor and the Administrative Agent (on behalf of itself and the other Secured Parties) hereby confirms that any Liens granted under any Collateral Document over patents registered with the Norwegian Industrial Property Office with the following GH numbers: GH 2020/08386, GH 2020/06955, GH 2020/06950, GH 2020/06944, GH 2020/06940, GH 2020/06942, GH 2020/06938 and GH 2020/08300, shall be amended to reflect that the aggregate maximum liability is increased by $54,000,000, from $240,000,000 to $294,000,000 (or, in each case, the equivalent in any other currency) plus any interest, default interest, commissions, charges, fees and expenses.</w:t>
      </w:r>
    </w:p>
    <w:p>
      <w:pPr>
        <w:spacing w:after="0" w:line="18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The Obligor Parties have advised us, and the Administrative Agent and Issuing Banks have agreed that, simultaneously with the ABL Termination and the Amendment No. 1 Effective Date, certain of the outstanding letters of credit (collectively, the “</w:t>
      </w: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under the ABL Credit Agreement, a description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0" w:name="page191"/>
    <w:bookmarkEnd w:id="190"/>
    <w:p>
      <w:pPr>
        <w:jc w:val="both"/>
        <w:spacing w:after="0" w:line="262" w:lineRule="auto"/>
        <w:rPr>
          <w:sz w:val="20"/>
          <w:szCs w:val="20"/>
          <w:color w:val="auto"/>
        </w:rPr>
      </w:pPr>
      <w:r>
        <w:rPr>
          <w:rFonts w:ascii="Arial" w:cs="Arial" w:eastAsia="Arial" w:hAnsi="Arial"/>
          <w:sz w:val="22"/>
          <w:szCs w:val="22"/>
          <w:color w:val="auto"/>
        </w:rPr>
        <w:t xml:space="preserve">which is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hereto, shall be a Letter of Credit as if originally issued under the LC Credit Agreement and governed by the terms, conditions and provisions of the LC Credit Agreement. Each Existing Letter of Credit shall be deemed to be issued and outstanding under the LC Credit Agreement on and after the Amendment No. 1 Effective Date, subject to the occurrence of the ABL Termination.</w:t>
      </w:r>
    </w:p>
    <w:p>
      <w:pPr>
        <w:spacing w:after="0" w:line="24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Effect of Amendment</w:t>
      </w:r>
      <w:r>
        <w:rPr>
          <w:rFonts w:ascii="Arial" w:cs="Arial" w:eastAsia="Arial" w:hAnsi="Arial"/>
          <w:sz w:val="19"/>
          <w:szCs w:val="19"/>
          <w:color w:val="auto"/>
        </w:rPr>
        <w:t>. From and after the Amendment No. 1 Effective Date hereof, each reference in the LC Credit Agreement to “this Agreement”, “hereof”, or “hereunder” or words of like import, and all references to the LC Credit Agreement in any and all agreements, instruments, documents, notes, certificates, guaranties and other writings of every kind and nature shall be deemed to mean the LC Credit Agreement as modified by this Amendment. This Amendment shall constitute a Loan Document for all purposes of the LC Credit Agreement and the other Loan Documents.</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Costs and Expenses</w:t>
      </w:r>
      <w:r>
        <w:rPr>
          <w:rFonts w:ascii="Arial" w:cs="Arial" w:eastAsia="Arial" w:hAnsi="Arial"/>
          <w:sz w:val="22"/>
          <w:szCs w:val="22"/>
          <w:color w:val="auto"/>
        </w:rPr>
        <w:t>. Pursuant to the terms of Section 11.03 of the LC Credit Agreement, the Borrowers agree to pay all reasonable and documented out-of-pocket expenses incurred by the Administrative Agent and its Affiliates including the reasonable and documented or invoiced fees, charges and disbursements of counsel for the Administrative Agent (or any sub-agent thereof) (including one local counsel in each applicable jurisdiction) in connection with the preparation, execution and enforcement of this Amendment.</w:t>
      </w:r>
    </w:p>
    <w:p>
      <w:pPr>
        <w:spacing w:after="0" w:line="19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Choice of Law.</w:t>
      </w:r>
    </w:p>
    <w:p>
      <w:pPr>
        <w:spacing w:after="0" w:line="233" w:lineRule="exact"/>
        <w:rPr>
          <w:sz w:val="20"/>
          <w:szCs w:val="20"/>
          <w:color w:val="auto"/>
        </w:rPr>
      </w:pPr>
    </w:p>
    <w:p>
      <w:pPr>
        <w:ind w:right="20" w:firstLine="656"/>
        <w:spacing w:after="0" w:line="358" w:lineRule="auto"/>
        <w:tabs>
          <w:tab w:leader="none" w:pos="1482"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This Amendment and all other documents executed in connection herewith and the rights and obligations of the parties hereto and thereto, shall be construed in accordance with and governed by the law of the State of New York.</w:t>
      </w:r>
    </w:p>
    <w:p>
      <w:pPr>
        <w:spacing w:after="0" w:line="10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Submission to Jurisdiction; Consent to Service of Process.</w:t>
      </w:r>
    </w:p>
    <w:p>
      <w:pPr>
        <w:spacing w:after="0" w:line="233" w:lineRule="exact"/>
        <w:rPr>
          <w:sz w:val="20"/>
          <w:szCs w:val="20"/>
          <w:color w:val="auto"/>
        </w:rPr>
      </w:pPr>
    </w:p>
    <w:p>
      <w:pPr>
        <w:jc w:val="both"/>
        <w:ind w:firstLine="656"/>
        <w:spacing w:after="0" w:line="271" w:lineRule="exact"/>
        <w:tabs>
          <w:tab w:leader="none" w:pos="1738" w:val="left"/>
        </w:tabs>
        <w:numPr>
          <w:ilvl w:val="0"/>
          <w:numId w:val="207"/>
        </w:numPr>
        <w:rPr>
          <w:rFonts w:ascii="Arial" w:cs="Arial" w:eastAsia="Arial" w:hAnsi="Arial"/>
          <w:sz w:val="19"/>
          <w:szCs w:val="19"/>
          <w:color w:val="auto"/>
        </w:rPr>
      </w:pPr>
      <w:r>
        <w:rPr>
          <w:rFonts w:ascii="Arial" w:cs="Arial" w:eastAsia="Arial" w:hAnsi="Arial"/>
          <w:sz w:val="19"/>
          <w:szCs w:val="19"/>
          <w:color w:val="auto"/>
        </w:rPr>
        <w:t>Each Obligor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in any such action or proceeding shall be conclusive and may be enforced in other jurisdictions by suit on the judgment or in any other manner provided by law. Nothing in this Amendment (including this Section 12)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211" w:lineRule="exact"/>
        <w:rPr>
          <w:rFonts w:ascii="Arial" w:cs="Arial" w:eastAsia="Arial" w:hAnsi="Arial"/>
          <w:sz w:val="19"/>
          <w:szCs w:val="19"/>
          <w:color w:val="auto"/>
        </w:rPr>
      </w:pPr>
    </w:p>
    <w:p>
      <w:pPr>
        <w:ind w:firstLine="656"/>
        <w:spacing w:after="0" w:line="276" w:lineRule="auto"/>
        <w:tabs>
          <w:tab w:leader="none" w:pos="1507" w:val="left"/>
        </w:tabs>
        <w:numPr>
          <w:ilvl w:val="0"/>
          <w:numId w:val="207"/>
        </w:numPr>
        <w:rPr>
          <w:rFonts w:ascii="Arial" w:cs="Arial" w:eastAsia="Arial" w:hAnsi="Arial"/>
          <w:sz w:val="22"/>
          <w:szCs w:val="22"/>
          <w:color w:val="auto"/>
        </w:rPr>
      </w:pPr>
      <w:r>
        <w:rPr>
          <w:rFonts w:ascii="Arial" w:cs="Arial" w:eastAsia="Arial" w:hAnsi="Arial"/>
          <w:sz w:val="22"/>
          <w:szCs w:val="22"/>
          <w:color w:val="auto"/>
        </w:rPr>
        <w:t>Each Obligor hereby irrevocably and unconditionally waives, to the fullest extent it may legally and effectively do so, any objection which it may now or hereafter have to the laying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1" w:name="page192"/>
    <w:bookmarkEnd w:id="191"/>
    <w:p>
      <w:pPr>
        <w:jc w:val="both"/>
        <w:spacing w:after="0" w:line="327" w:lineRule="auto"/>
        <w:rPr>
          <w:sz w:val="20"/>
          <w:szCs w:val="20"/>
          <w:color w:val="auto"/>
        </w:rPr>
      </w:pPr>
      <w:r>
        <w:rPr>
          <w:rFonts w:ascii="Arial" w:cs="Arial" w:eastAsia="Arial" w:hAnsi="Arial"/>
          <w:sz w:val="19"/>
          <w:szCs w:val="19"/>
          <w:color w:val="auto"/>
        </w:rPr>
        <w:t>of venue of any suit, action or proceeding arising out of or relating to this Amendment or any other Loan Document in any court referred to in paragraph (a) of this Section. Each Obligor hereby irrevocably waives, to the fullest extent permitted by law, the defense of an inconvenient forum to the maintenance of such action or proceeding in any such court.</w:t>
      </w:r>
    </w:p>
    <w:p>
      <w:pPr>
        <w:spacing w:after="0" w:line="187" w:lineRule="exact"/>
        <w:rPr>
          <w:sz w:val="20"/>
          <w:szCs w:val="20"/>
          <w:color w:val="auto"/>
        </w:rPr>
      </w:pPr>
    </w:p>
    <w:p>
      <w:pPr>
        <w:jc w:val="both"/>
        <w:ind w:firstLine="656"/>
        <w:spacing w:after="0" w:line="273" w:lineRule="auto"/>
        <w:tabs>
          <w:tab w:leader="none" w:pos="1509" w:val="left"/>
        </w:tabs>
        <w:numPr>
          <w:ilvl w:val="0"/>
          <w:numId w:val="208"/>
        </w:numPr>
        <w:rPr>
          <w:rFonts w:ascii="Arial" w:cs="Arial" w:eastAsia="Arial" w:hAnsi="Arial"/>
          <w:sz w:val="21"/>
          <w:szCs w:val="21"/>
          <w:color w:val="auto"/>
        </w:rPr>
      </w:pPr>
      <w:r>
        <w:rPr>
          <w:rFonts w:ascii="Arial" w:cs="Arial" w:eastAsia="Arial" w:hAnsi="Arial"/>
          <w:sz w:val="21"/>
          <w:szCs w:val="21"/>
          <w:color w:val="auto"/>
        </w:rPr>
        <w:t>Each party to this Amendment irrevocably consents to service of process in the manner provided for notices in Section 11.02 of the LC Credit Agreement other than by facsimile. Nothing in this Amendment or any other Loan Document will affect the right of any party to this Amendment or any other Loan Document to serve process in any other manner permitted by law. Notwithstanding any other provision of this Amendment, each foreign Obligor hereby irrevocably designates CT Corporation System, 111 8th Avenue, New York, New York 10011, as the designee, appointee and agent of such Obligor to receive, for and on behalf of such Obligor, service of process in the State of New York in any suit, action or proceeding arising out of or relating to this Amendment or any other Loan Document.</w:t>
      </w:r>
    </w:p>
    <w:p>
      <w:pPr>
        <w:spacing w:after="0" w:line="183" w:lineRule="exact"/>
        <w:rPr>
          <w:rFonts w:ascii="Arial" w:cs="Arial" w:eastAsia="Arial" w:hAnsi="Arial"/>
          <w:sz w:val="21"/>
          <w:szCs w:val="21"/>
          <w:color w:val="auto"/>
        </w:rPr>
      </w:pPr>
    </w:p>
    <w:p>
      <w:pPr>
        <w:jc w:val="both"/>
        <w:ind w:firstLine="656"/>
        <w:spacing w:after="0" w:line="311" w:lineRule="auto"/>
        <w:tabs>
          <w:tab w:leader="none" w:pos="171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Each Obligor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50" w:lineRule="exact"/>
        <w:rPr>
          <w:rFonts w:ascii="Arial" w:cs="Arial" w:eastAsia="Arial" w:hAnsi="Arial"/>
          <w:sz w:val="19"/>
          <w:szCs w:val="19"/>
          <w:color w:val="auto"/>
        </w:rPr>
      </w:pPr>
    </w:p>
    <w:p>
      <w:pPr>
        <w:jc w:val="both"/>
        <w:ind w:firstLine="656"/>
        <w:spacing w:after="0" w:line="272" w:lineRule="auto"/>
        <w:tabs>
          <w:tab w:leader="none" w:pos="1603"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Administrative Agent and each Lender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82" w:lineRule="exact"/>
        <w:rPr>
          <w:rFonts w:ascii="Arial" w:cs="Arial" w:eastAsia="Arial" w:hAnsi="Arial"/>
          <w:sz w:val="21"/>
          <w:szCs w:val="21"/>
          <w:color w:val="auto"/>
        </w:rPr>
      </w:pPr>
    </w:p>
    <w:p>
      <w:pPr>
        <w:jc w:val="both"/>
        <w:ind w:firstLine="656"/>
        <w:spacing w:after="0" w:line="260" w:lineRule="auto"/>
        <w:tabs>
          <w:tab w:leader="none" w:pos="1512"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Administrative Agent and each Lender party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(e) of this Section. Each of the Administrative Agent and each Lender party hereto hereby irrevocably waives, to the fullest extent permitted by law, the defense of an inconvenient forum to the maintenance of such action or proceeding in any such court.</w:t>
      </w:r>
    </w:p>
    <w:p>
      <w:pPr>
        <w:spacing w:after="0" w:line="191" w:lineRule="exact"/>
        <w:rPr>
          <w:rFonts w:ascii="Arial" w:cs="Arial" w:eastAsia="Arial" w:hAnsi="Arial"/>
          <w:sz w:val="22"/>
          <w:szCs w:val="22"/>
          <w:color w:val="auto"/>
        </w:rPr>
      </w:pPr>
    </w:p>
    <w:p>
      <w:pPr>
        <w:jc w:val="both"/>
        <w:ind w:firstLine="656"/>
        <w:spacing w:after="0" w:line="266" w:lineRule="auto"/>
        <w:tabs>
          <w:tab w:leader="none" w:pos="1467"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2" w:name="page193"/>
    <w:bookmarkEnd w:id="192"/>
    <w:p>
      <w:pPr>
        <w:jc w:val="both"/>
        <w:spacing w:after="0" w:line="276" w:lineRule="auto"/>
        <w:rPr>
          <w:sz w:val="20"/>
          <w:szCs w:val="20"/>
          <w:color w:val="auto"/>
        </w:rPr>
      </w:pPr>
      <w:r>
        <w:rPr>
          <w:rFonts w:ascii="Arial" w:cs="Arial" w:eastAsia="Arial" w:hAnsi="Arial"/>
          <w:sz w:val="22"/>
          <w:szCs w:val="22"/>
          <w:color w:val="auto"/>
        </w:rPr>
        <w:t>to itself or its property, such Obligor hereby irrevocably waives such immunity in respect of its obligations under the Loan Documents.</w:t>
      </w:r>
    </w:p>
    <w:p>
      <w:pPr>
        <w:spacing w:after="0" w:line="2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HERETO HEREBY WAIVES, TO THE FULLEST EXTENT PERMITTED BY APPLICABLE LAW, ANY RIGHT IT MAY HAVE TO A TRIAL BY JURY IN ANY LEGAL PROCEEDING DIRECTLY OR INDIRECTLY ARISING OUT OF OR RELATING TO THIS AMENDMENT,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jc w:val="both"/>
        <w:ind w:firstLine="8"/>
        <w:spacing w:after="0" w:line="264" w:lineRule="auto"/>
        <w:tabs>
          <w:tab w:leader="none" w:pos="355"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AMENDMENT AND THE OTHER LOAN DOCUMENTS BY, AMONG OTHER THINGS, THE MUTUAL WAIVERS AND CERTIFICATIONS IN THIS SECTION.</w:t>
      </w:r>
    </w:p>
    <w:p>
      <w:pPr>
        <w:spacing w:after="0" w:line="18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Release</w:t>
      </w:r>
      <w:r>
        <w:rPr>
          <w:rFonts w:ascii="Arial" w:cs="Arial" w:eastAsia="Arial" w:hAnsi="Arial"/>
          <w:sz w:val="19"/>
          <w:szCs w:val="19"/>
          <w:color w:val="auto"/>
        </w:rPr>
        <w:t>. On and as of the Amendment No. 1 Effective Date, each of the Obligors (on behalf of itself and its Affiliates) and its successors-in-title, legal representatives and assignees and, to the extent the same is claimed by right of, through or under any of the Obligors, for its past, present and future employees, agents, representatives, officers, directors, shareholders, and trustees (each, a “</w:t>
      </w:r>
      <w:r>
        <w:rPr>
          <w:rFonts w:ascii="Arial" w:cs="Arial" w:eastAsia="Arial" w:hAnsi="Arial"/>
          <w:sz w:val="19"/>
          <w:szCs w:val="19"/>
          <w:u w:val="single" w:color="auto"/>
          <w:color w:val="auto"/>
        </w:rPr>
        <w:t>Releasing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Releasing Parties</w:t>
      </w:r>
      <w:r>
        <w:rPr>
          <w:rFonts w:ascii="Arial" w:cs="Arial" w:eastAsia="Arial" w:hAnsi="Arial"/>
          <w:sz w:val="19"/>
          <w:szCs w:val="19"/>
          <w:color w:val="auto"/>
        </w:rPr>
        <w:t>”), does hereby release and discharge, and shall be deemed to have forever released and discharged, the Credit Parties, and the Credit Parties’ respective successors-in-title, legal representatives and assignees, past, present and future officers, directors, affiliates, shareholders, trustees, agents, employees, consultants, experts, advisors, attorneys and other professionals and all other persons and entities to whom any of the foregoing would be liable if such persons or entities were found to be liable to any Releasing Party, or any of them, in each case in their capacity as such (collectively hereinafter the “</w:t>
      </w:r>
      <w:r>
        <w:rPr>
          <w:rFonts w:ascii="Arial" w:cs="Arial" w:eastAsia="Arial" w:hAnsi="Arial"/>
          <w:sz w:val="19"/>
          <w:szCs w:val="19"/>
          <w:u w:val="single" w:color="auto"/>
          <w:color w:val="auto"/>
        </w:rPr>
        <w:t>Lender Parties</w:t>
      </w:r>
      <w:r>
        <w:rPr>
          <w:rFonts w:ascii="Arial" w:cs="Arial" w:eastAsia="Arial" w:hAnsi="Arial"/>
          <w:sz w:val="19"/>
          <w:szCs w:val="19"/>
          <w:color w:val="auto"/>
        </w:rPr>
        <w:t>”),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so called “lender liability” claims, interest or other carrying costs, penalties, legal, accounting and other professional fees and expenses and incidental, consequential and punitive damages payable to third parties, or any claims arising under 11 U.S.C. §§ 541-550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Lender Parties in their capacities as such under any of the Loan Documents, whether held in a personal or representative capacity, solely to the extent based on any act, fact, event or omission or other matter, cause or thing occurring at or from any time prior to and including (but not after) the date hereof in any way, directly or indirectly arising out of, connected with or relating to any of this Amendment, the Loan Documents and the transactions contemplated hereby or thereby, or any other agreements,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3" w:name="page194"/>
    <w:bookmarkEnd w:id="193"/>
    <w:p>
      <w:pPr>
        <w:jc w:val="both"/>
        <w:spacing w:after="0" w:line="261" w:lineRule="auto"/>
        <w:rPr>
          <w:sz w:val="20"/>
          <w:szCs w:val="20"/>
          <w:color w:val="auto"/>
        </w:rPr>
      </w:pPr>
      <w:r>
        <w:rPr>
          <w:rFonts w:ascii="Arial" w:cs="Arial" w:eastAsia="Arial" w:hAnsi="Arial"/>
          <w:sz w:val="22"/>
          <w:szCs w:val="22"/>
          <w:color w:val="auto"/>
        </w:rPr>
        <w:t>certificates, instruments and other documents and statements (whether written or oral) related to any of the foregoing (each, a “</w:t>
      </w:r>
      <w:r>
        <w:rPr>
          <w:rFonts w:ascii="Arial" w:cs="Arial" w:eastAsia="Arial" w:hAnsi="Arial"/>
          <w:sz w:val="22"/>
          <w:szCs w:val="22"/>
          <w:u w:val="single" w:color="auto"/>
          <w:color w:val="auto"/>
        </w:rPr>
        <w:t>Claim</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Claims</w:t>
      </w:r>
      <w:r>
        <w:rPr>
          <w:rFonts w:ascii="Arial" w:cs="Arial" w:eastAsia="Arial" w:hAnsi="Arial"/>
          <w:sz w:val="22"/>
          <w:szCs w:val="22"/>
          <w:color w:val="auto"/>
        </w:rPr>
        <w:t>”).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14.</w:t>
      </w:r>
    </w:p>
    <w:p>
      <w:pPr>
        <w:spacing w:after="0" w:line="24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Amendment may be executed in counterparts (and by different parties hereto on different counterparts), each of which shall constitute an original, but all of which when taken together shall constitute a single contract. This Amendment, the LC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No. 1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155" w:lineRule="exact"/>
        <w:rPr>
          <w:sz w:val="20"/>
          <w:szCs w:val="20"/>
          <w:color w:val="auto"/>
        </w:rPr>
      </w:pPr>
    </w:p>
    <w:p>
      <w:pPr>
        <w:ind w:right="200" w:firstLine="648"/>
        <w:spacing w:after="0" w:line="276"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Lender Authorization</w:t>
      </w:r>
      <w:r>
        <w:rPr>
          <w:rFonts w:ascii="Arial" w:cs="Arial" w:eastAsia="Arial" w:hAnsi="Arial"/>
          <w:sz w:val="22"/>
          <w:szCs w:val="22"/>
          <w:color w:val="auto"/>
        </w:rPr>
        <w:t>. The Lenders party hereto hereby authorize and direct the Administrative Agent to execute, deliver and perform this Amendment.</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Guarantor Signatures</w:t>
      </w:r>
      <w:r>
        <w:rPr>
          <w:rFonts w:ascii="Arial" w:cs="Arial" w:eastAsia="Arial" w:hAnsi="Arial"/>
          <w:sz w:val="22"/>
          <w:szCs w:val="22"/>
          <w:color w:val="auto"/>
        </w:rPr>
        <w:t>. Each Guarantor, in its capacity as such, agrees that it is executing this Amendment in order to, and hereby does, ratify and reaffirm its obligations under the Affiliate Guaranty.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4" w:name="page195"/>
    <w:bookmarkEnd w:id="194"/>
    <w:p>
      <w:pPr>
        <w:ind w:firstLine="648"/>
        <w:spacing w:after="0" w:line="276"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1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LTD., as a Borrower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 Rothleitner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Financial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LLC, as a Borrower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 Rothleitner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Financial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Fraser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5" w:name="page196"/>
    <w:bookmarkEnd w:id="195"/>
    <w:p>
      <w:pPr>
        <w:ind w:firstLine="648"/>
        <w:spacing w:after="0" w:line="276" w:lineRule="auto"/>
        <w:rPr>
          <w:sz w:val="20"/>
          <w:szCs w:val="20"/>
          <w:color w:val="auto"/>
        </w:rPr>
      </w:pPr>
      <w:r>
        <w:rPr>
          <w:rFonts w:ascii="Arial" w:cs="Arial" w:eastAsia="Arial" w:hAnsi="Arial"/>
          <w:sz w:val="22"/>
          <w:szCs w:val="22"/>
          <w:color w:val="auto"/>
        </w:rPr>
        <w:t>IN WITNESS WHEREOF, each of the Grantors and the Agent have caused this Amendment to be duly executed by their respective authorized officers as of the day and year first above written.</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GRANTORS: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VISUAL SYSTEMS,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INTERNATIONAL LOGGING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INTERNATIONAL LOGGING S.A.,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PD HOLDINGS (USA),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6" w:name="page197"/>
    <w:bookmarkEnd w:id="196"/>
    <w:p>
      <w:pPr>
        <w:ind w:left="4520"/>
        <w:spacing w:after="0"/>
        <w:rPr>
          <w:sz w:val="20"/>
          <w:szCs w:val="20"/>
          <w:color w:val="auto"/>
        </w:rPr>
      </w:pPr>
      <w:r>
        <w:rPr>
          <w:rFonts w:ascii="Arial" w:cs="Arial" w:eastAsia="Arial" w:hAnsi="Arial"/>
          <w:sz w:val="18"/>
          <w:szCs w:val="18"/>
          <w:color w:val="auto"/>
        </w:rPr>
        <w:t>PRECISION ENERGY SERVICES,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ARTIFICIAL LIFT SYSTEMS, LLC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INVESTMENT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WEATHERFORD/LAMB,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WEUS HOLDING, LLC</w:t>
      </w:r>
    </w:p>
    <w:p>
      <w:pPr>
        <w:sectPr>
          <w:pgSz w:w="11900" w:h="16838" w:orient="portrait"/>
          <w:cols w:equalWidth="0" w:num="1">
            <w:col w:w="9019"/>
          </w:cols>
          <w:pgMar w:left="1440" w:top="368" w:right="1440" w:bottom="1440" w:gutter="0" w:footer="0" w:header="0"/>
        </w:sect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Christine M. Morrison</w:t>
      </w:r>
    </w:p>
    <w:p>
      <w:pPr>
        <w:spacing w:after="0" w:line="59" w:lineRule="exact"/>
        <w:rPr>
          <w:sz w:val="20"/>
          <w:szCs w:val="20"/>
          <w:color w:val="auto"/>
        </w:rPr>
      </w:pPr>
    </w:p>
    <w:p>
      <w:pPr>
        <w:sectPr>
          <w:pgSz w:w="11900" w:h="16838" w:orient="portrait"/>
          <w:cols w:equalWidth="0" w:num="2">
            <w:col w:w="4780" w:space="300"/>
            <w:col w:w="3939"/>
          </w:cols>
          <w:pgMar w:left="1440" w:top="368" w:right="1440" w:bottom="1440" w:gutter="0" w:footer="0" w:header="0"/>
          <w:type w:val="continuous"/>
        </w:sect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COLUMBIA OILFIELD SUPPLY, INC.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type w:val="continuous"/>
        </w:sectPr>
      </w:pPr>
    </w:p>
    <w:bookmarkStart w:id="197" w:name="page198"/>
    <w:bookmarkEnd w:id="197"/>
    <w:p>
      <w:pPr>
        <w:ind w:left="4520"/>
        <w:spacing w:after="0"/>
        <w:rPr>
          <w:sz w:val="20"/>
          <w:szCs w:val="20"/>
          <w:color w:val="auto"/>
        </w:rPr>
      </w:pPr>
      <w:r>
        <w:rPr>
          <w:rFonts w:ascii="Arial" w:cs="Arial" w:eastAsia="Arial" w:hAnsi="Arial"/>
          <w:sz w:val="18"/>
          <w:szCs w:val="18"/>
          <w:color w:val="auto"/>
        </w:rPr>
        <w:t>ADVANTAGE R &amp; D,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DATALOG ACQUISITION,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TECHNOLOGY HOLDINGS, LLC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STEALTH OIL &amp; GAS,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(PTWI),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98" w:name="page199"/>
    <w:bookmarkEnd w:id="198"/>
    <w:p>
      <w:pPr>
        <w:ind w:left="4520"/>
        <w:spacing w:after="0"/>
        <w:rPr>
          <w:sz w:val="20"/>
          <w:szCs w:val="20"/>
          <w:color w:val="auto"/>
        </w:rPr>
      </w:pPr>
      <w:r>
        <w:rPr>
          <w:rFonts w:ascii="Arial" w:cs="Arial" w:eastAsia="Arial" w:hAnsi="Arial"/>
          <w:sz w:val="18"/>
          <w:szCs w:val="18"/>
          <w:color w:val="auto"/>
        </w:rPr>
        <w:t>WEATHERFORD LATIN AMERICA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WIHBV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WUS HOLDING,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COLOMBIA PETROLEUM SERVICES CORP.</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DRILLING GP,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URS HOLDINGS,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99" w:name="page200"/>
    <w:bookmarkEnd w:id="199"/>
    <w:p>
      <w:pPr>
        <w:ind w:left="4520"/>
        <w:spacing w:after="0"/>
        <w:rPr>
          <w:sz w:val="20"/>
          <w:szCs w:val="20"/>
          <w:color w:val="auto"/>
        </w:rPr>
      </w:pPr>
      <w:r>
        <w:rPr>
          <w:rFonts w:ascii="Arial" w:cs="Arial" w:eastAsia="Arial" w:hAnsi="Arial"/>
          <w:sz w:val="18"/>
          <w:szCs w:val="18"/>
          <w:color w:val="auto"/>
        </w:rPr>
        <w:t>WARRIOR WELL SERVICES,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U.S.,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GLOBAL SERVICES LLC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HIGH PRESSURE INTEGRITY,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DISC INC.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OILFIELD SERVICES, LLP</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00" w:name="page201"/>
    <w:bookmarkEnd w:id="200"/>
    <w:p>
      <w:pPr>
        <w:ind w:left="4520"/>
        <w:spacing w:after="0"/>
        <w:rPr>
          <w:sz w:val="20"/>
          <w:szCs w:val="20"/>
          <w:color w:val="auto"/>
        </w:rPr>
      </w:pPr>
      <w:r>
        <w:rPr>
          <w:rFonts w:ascii="Arial" w:cs="Arial" w:eastAsia="Arial" w:hAnsi="Arial"/>
          <w:sz w:val="18"/>
          <w:szCs w:val="18"/>
          <w:color w:val="auto"/>
        </w:rPr>
        <w:t>EPRODUCTION SOLUTIONS,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DISCOVERY LOGGING, INC.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CASE SERVICES, INC.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EDINBURGH PETROLEUM SERVICES AMERICAS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IN-DEPTH SYSTEMS, INC.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BENMORE IN-DEPTH CORP.</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01" w:name="page202"/>
    <w:bookmarkEnd w:id="201"/>
    <w:p>
      <w:pPr>
        <w:ind w:left="4520"/>
        <w:spacing w:after="0"/>
        <w:rPr>
          <w:sz w:val="20"/>
          <w:szCs w:val="20"/>
          <w:color w:val="auto"/>
        </w:rPr>
      </w:pPr>
      <w:r>
        <w:rPr>
          <w:rFonts w:ascii="Arial" w:cs="Arial" w:eastAsia="Arial" w:hAnsi="Arial"/>
          <w:sz w:val="18"/>
          <w:szCs w:val="18"/>
          <w:color w:val="auto"/>
        </w:rPr>
        <w:t>VISEAN INFORMATION SERVICES INC.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TOOKE ROCKIES, INC.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CANADA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(NOVA SCOTIA) ULC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ULC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PRECISION ENERGY INTERNATIONAL LTD.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02" w:name="page203"/>
    <w:bookmarkEnd w:id="202"/>
    <w:p>
      <w:pPr>
        <w:ind w:left="4520"/>
        <w:spacing w:after="0"/>
        <w:rPr>
          <w:sz w:val="20"/>
          <w:szCs w:val="20"/>
          <w:color w:val="auto"/>
        </w:rPr>
      </w:pPr>
      <w:r>
        <w:rPr>
          <w:rFonts w:ascii="Arial" w:cs="Arial" w:eastAsia="Arial" w:hAnsi="Arial"/>
          <w:sz w:val="18"/>
          <w:szCs w:val="18"/>
          <w:color w:val="auto"/>
        </w:rPr>
        <w:t>PRECISION ENERGY SERVICES COLOMBIA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KEY INTERNATIONAL DRILLING COMPANY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SABRE DRILLING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HOLDING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(BERMUDA) 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03" w:name="page204"/>
    <w:bookmarkEnd w:id="203"/>
    <w:p>
      <w:pPr>
        <w:ind w:left="4520"/>
        <w:spacing w:after="0"/>
        <w:rPr>
          <w:sz w:val="20"/>
          <w:szCs w:val="20"/>
          <w:color w:val="auto"/>
        </w:rPr>
      </w:pPr>
      <w:r>
        <w:rPr>
          <w:rFonts w:ascii="Arial" w:cs="Arial" w:eastAsia="Arial" w:hAnsi="Arial"/>
          <w:sz w:val="18"/>
          <w:szCs w:val="18"/>
          <w:color w:val="auto"/>
        </w:rPr>
        <w:t>WEATHERFORD PANGAEA HOLDINGS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(BVI)</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(BVI) 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04" w:name="page205"/>
    <w:bookmarkEnd w:id="204"/>
    <w:p>
      <w:pPr>
        <w:ind w:left="4520"/>
        <w:spacing w:after="0"/>
        <w:rPr>
          <w:sz w:val="20"/>
          <w:szCs w:val="20"/>
          <w:color w:val="auto"/>
        </w:rPr>
      </w:pPr>
      <w:r>
        <w:rPr>
          <w:rFonts w:ascii="Arial" w:cs="Arial" w:eastAsia="Arial" w:hAnsi="Arial"/>
          <w:sz w:val="17"/>
          <w:szCs w:val="17"/>
          <w:color w:val="auto"/>
        </w:rPr>
        <w:t>WEATHERFORD OIL TOOL MIDDLE EAST LIMITED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EURASIA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SWITZERLAND SÀRL</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Andrzej Puchala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SWITZERLAND TRADING AND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DEVELOPMENT GMBH</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05" w:name="page206"/>
    <w:bookmarkEnd w:id="205"/>
    <w:p>
      <w:pPr>
        <w:ind w:left="4520"/>
        <w:spacing w:after="0"/>
        <w:rPr>
          <w:sz w:val="20"/>
          <w:szCs w:val="20"/>
          <w:color w:val="auto"/>
        </w:rPr>
      </w:pPr>
      <w:r>
        <w:rPr>
          <w:rFonts w:ascii="Arial" w:cs="Arial" w:eastAsia="Arial" w:hAnsi="Arial"/>
          <w:sz w:val="18"/>
          <w:szCs w:val="18"/>
          <w:color w:val="auto"/>
        </w:rPr>
        <w:t>WEATHERFORD WORLDWIDE HOLDINGS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HOLDINGS (SWITZERLAND) GMBH</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(BERMUDA)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GMBH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Kerstin Hartmann-Miß</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Kerstin Hartmann-Miß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06" w:name="page207"/>
    <w:bookmarkEnd w:id="206"/>
    <w:p>
      <w:pPr>
        <w:ind w:left="4520"/>
        <w:spacing w:after="0"/>
        <w:rPr>
          <w:sz w:val="20"/>
          <w:szCs w:val="20"/>
          <w:color w:val="auto"/>
        </w:rPr>
      </w:pPr>
      <w:r>
        <w:rPr>
          <w:rFonts w:ascii="Arial" w:cs="Arial" w:eastAsia="Arial" w:hAnsi="Arial"/>
          <w:sz w:val="17"/>
          <w:szCs w:val="17"/>
          <w:color w:val="auto"/>
        </w:rPr>
        <w:t>WEATHERFORD NETHERLANDS B.V.</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August Willem Versteeg</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August Willem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Geir Egil Moller Olsen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Geir Egil Moller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Norway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WEATHERFORD SERVICES S. DE R.L.</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Administrator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07" w:name="page208"/>
    <w:bookmarkEnd w:id="207"/>
    <w:p>
      <w:pPr>
        <w:ind w:right="4579"/>
        <w:spacing w:after="0" w:line="258" w:lineRule="auto"/>
        <w:rPr>
          <w:sz w:val="20"/>
          <w:szCs w:val="20"/>
          <w:color w:val="auto"/>
        </w:rPr>
      </w:pPr>
      <w:r>
        <w:rPr>
          <w:rFonts w:ascii="Arial" w:cs="Arial" w:eastAsia="Arial" w:hAnsi="Arial"/>
          <w:sz w:val="18"/>
          <w:szCs w:val="18"/>
          <w:color w:val="auto"/>
        </w:rPr>
        <w:t>WEATHERFORD INTERNATIONAL (LUXEMBOURG) HOLDINGS S.À 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R.C.S. Luxembourg B146.622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Manager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EUROPEAN HOLDINGS (LUXEMBOURG)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R.C.S. Luxembourg B150.992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Manager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1879"/>
        <w:spacing w:after="0"/>
        <w:rPr>
          <w:sz w:val="20"/>
          <w:szCs w:val="20"/>
          <w:color w:val="auto"/>
        </w:rPr>
      </w:pPr>
      <w:r>
        <w:rPr>
          <w:rFonts w:ascii="Arial" w:cs="Arial" w:eastAsia="Arial" w:hAnsi="Arial"/>
          <w:sz w:val="22"/>
          <w:szCs w:val="22"/>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w:t>
      </w:r>
      <w:r>
        <w:rPr>
          <w:rFonts w:ascii="Arial" w:cs="Arial" w:eastAsia="Arial" w:hAnsi="Arial"/>
          <w:sz w:val="22"/>
          <w:szCs w:val="22"/>
          <w:b w:val="1"/>
          <w:bCs w:val="1"/>
          <w:color w:val="auto"/>
        </w:rPr>
        <w:t xml:space="preserve"> COMMON SEAL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of WEATHERFORD IRISH HOLDINGS LIMITED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and this Deed was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Fraser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Title: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00"/>
        <w:spacing w:after="0"/>
        <w:rPr>
          <w:sz w:val="20"/>
          <w:szCs w:val="20"/>
          <w:color w:val="auto"/>
        </w:rPr>
      </w:pPr>
      <w:r>
        <w:rPr>
          <w:rFonts w:ascii="Arial" w:cs="Arial" w:eastAsia="Arial" w:hAnsi="Arial"/>
          <w:sz w:val="22"/>
          <w:szCs w:val="22"/>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w:t>
      </w:r>
      <w:r>
        <w:rPr>
          <w:rFonts w:ascii="Arial" w:cs="Arial" w:eastAsia="Arial" w:hAnsi="Arial"/>
          <w:sz w:val="22"/>
          <w:szCs w:val="22"/>
          <w:b w:val="1"/>
          <w:bCs w:val="1"/>
          <w:color w:val="auto"/>
        </w:rPr>
        <w:t xml:space="preserve"> COMMON SEAL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of WEATHERFORD INTERNATIONAL PUBLIC LIMITED COMPANY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and this Deed was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Fraser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Title: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00"/>
        <w:spacing w:after="0"/>
        <w:rPr>
          <w:sz w:val="20"/>
          <w:szCs w:val="20"/>
          <w:color w:val="auto"/>
        </w:rPr>
      </w:pPr>
      <w:r>
        <w:rPr>
          <w:rFonts w:ascii="Arial" w:cs="Arial" w:eastAsia="Arial" w:hAnsi="Arial"/>
          <w:sz w:val="22"/>
          <w:szCs w:val="22"/>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8" w:right="1440" w:bottom="1440" w:gutter="0" w:footer="0" w:header="0"/>
        </w:sectPr>
      </w:pPr>
    </w:p>
    <w:bookmarkStart w:id="210" w:name="page211"/>
    <w:bookmarkEnd w:id="210"/>
    <w:p>
      <w:pPr>
        <w:ind w:left="3800"/>
        <w:spacing w:after="0"/>
        <w:rPr>
          <w:sz w:val="20"/>
          <w:szCs w:val="20"/>
          <w:color w:val="auto"/>
        </w:rPr>
      </w:pPr>
      <w:r>
        <w:rPr>
          <w:rFonts w:ascii="Arial" w:cs="Arial" w:eastAsia="Arial" w:hAnsi="Arial"/>
          <w:sz w:val="22"/>
          <w:szCs w:val="22"/>
          <w:b w:val="1"/>
          <w:bCs w:val="1"/>
          <w:color w:val="auto"/>
        </w:rPr>
        <w:t>AUSTRALIA INITIAL GUARANTOR</w:t>
      </w:r>
    </w:p>
    <w:p>
      <w:pPr>
        <w:sectPr>
          <w:pgSz w:w="11900" w:h="16838" w:orient="portrait"/>
          <w:cols w:equalWidth="0" w:num="1">
            <w:col w:w="10139"/>
          </w:cols>
          <w:pgMar w:left="320" w:top="126" w:right="1440" w:bottom="1440" w:gutter="0" w:footer="0" w:header="0"/>
        </w:sectPr>
      </w:pPr>
    </w:p>
    <w:p>
      <w:pPr>
        <w:spacing w:after="0" w:line="28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WEATHERFORD AUSTRALIA PTY LIMITED ACN 008 947 395 </w:t>
      </w:r>
      <w:r>
        <w:rPr>
          <w:rFonts w:ascii="Arial" w:cs="Arial" w:eastAsia="Arial" w:hAnsi="Arial"/>
          <w:sz w:val="18"/>
          <w:szCs w:val="18"/>
          <w:color w:val="auto"/>
        </w:rPr>
        <w:t>in accordance with section 127 of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 2001 (Cth):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Antonino Gullotti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Antonino Gullotti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Full name of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159"/>
        <w:spacing w:after="0" w:line="377" w:lineRule="auto"/>
        <w:rPr>
          <w:sz w:val="20"/>
          <w:szCs w:val="20"/>
          <w:color w:val="auto"/>
        </w:rPr>
      </w:pPr>
      <w:r>
        <w:rPr>
          <w:rFonts w:ascii="Arial" w:cs="Arial" w:eastAsia="Arial" w:hAnsi="Arial"/>
          <w:sz w:val="16"/>
          <w:szCs w:val="16"/>
          <w:color w:val="auto"/>
        </w:rPr>
        <w:t>/s/ Robert Antonio De Gasperis Signature of company secretary/director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-906145</wp:posOffset>
            </wp:positionV>
            <wp:extent cx="3522980" cy="7029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522980" cy="70294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Antonio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6580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6580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Full name of company secretary/director</w:t>
      </w:r>
    </w:p>
    <w:p>
      <w:pPr>
        <w:spacing w:after="0" w:line="222" w:lineRule="exact"/>
        <w:rPr>
          <w:sz w:val="20"/>
          <w:szCs w:val="20"/>
          <w:color w:val="auto"/>
        </w:rPr>
      </w:pPr>
    </w:p>
    <w:p>
      <w:pPr>
        <w:sectPr>
          <w:pgSz w:w="11900" w:h="16838" w:orient="portrait"/>
          <w:cols w:equalWidth="0" w:num="2">
            <w:col w:w="5380" w:space="720"/>
            <w:col w:w="4039"/>
          </w:cols>
          <w:pgMar w:left="32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00"/>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Peschler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Robert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Bridgette Casasnovas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22"/>
          <w:szCs w:val="22"/>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DEUTSCHE BANK AG NEW YORK BRANCH,</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Cedric Chahine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Cedric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Konni Geppert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Konni Geppert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22"/>
          <w:szCs w:val="22"/>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213" w:name="page214"/>
    <w:bookmarkEnd w:id="213"/>
    <w:p>
      <w:pPr>
        <w:ind w:left="4520"/>
        <w:spacing w:after="0"/>
        <w:rPr>
          <w:sz w:val="20"/>
          <w:szCs w:val="20"/>
          <w:color w:val="auto"/>
        </w:rPr>
      </w:pPr>
      <w:r>
        <w:rPr>
          <w:rFonts w:ascii="Arial" w:cs="Arial" w:eastAsia="Arial" w:hAnsi="Arial"/>
          <w:sz w:val="17"/>
          <w:szCs w:val="17"/>
          <w:color w:val="auto"/>
        </w:rPr>
        <w:t>WELLS FARGO BANK, NATIONAL ASSOCIATION,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national banking association, 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Janak</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14" w:name="page215"/>
    <w:bookmarkEnd w:id="214"/>
    <w:p>
      <w:pPr>
        <w:jc w:val="right"/>
        <w:ind w:right="1719"/>
        <w:spacing w:after="0"/>
        <w:rPr>
          <w:sz w:val="20"/>
          <w:szCs w:val="20"/>
          <w:color w:val="auto"/>
        </w:rPr>
      </w:pPr>
      <w:r>
        <w:rPr>
          <w:rFonts w:ascii="Arial" w:cs="Arial" w:eastAsia="Arial" w:hAnsi="Arial"/>
          <w:sz w:val="18"/>
          <w:szCs w:val="18"/>
          <w:color w:val="auto"/>
        </w:rPr>
        <w:t>BARCLAYS BANK PLC,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Louise Brechin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Louise Brechin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5" w:name="page216"/>
    <w:bookmarkEnd w:id="215"/>
    <w:p>
      <w:pPr>
        <w:ind w:left="4520"/>
        <w:spacing w:after="0"/>
        <w:rPr>
          <w:sz w:val="20"/>
          <w:szCs w:val="20"/>
          <w:color w:val="auto"/>
        </w:rPr>
      </w:pPr>
      <w:r>
        <w:rPr>
          <w:rFonts w:ascii="Arial" w:cs="Arial" w:eastAsia="Arial" w:hAnsi="Arial"/>
          <w:sz w:val="18"/>
          <w:szCs w:val="18"/>
          <w:color w:val="auto"/>
        </w:rPr>
        <w:t>CITIBANK, N.A.,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Ivan Davey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Ivan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6" w:name="page217"/>
    <w:bookmarkEnd w:id="216"/>
    <w:p>
      <w:pPr>
        <w:ind w:left="4520"/>
        <w:spacing w:after="0"/>
        <w:rPr>
          <w:sz w:val="20"/>
          <w:szCs w:val="20"/>
          <w:color w:val="auto"/>
        </w:rPr>
      </w:pPr>
      <w:r>
        <w:rPr>
          <w:rFonts w:ascii="Arial" w:cs="Arial" w:eastAsia="Arial" w:hAnsi="Arial"/>
          <w:sz w:val="17"/>
          <w:szCs w:val="17"/>
          <w:color w:val="auto"/>
        </w:rPr>
        <w:t>MORGAN STANLEY SENIOR FUNDING, INC., as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Marisa Moss</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Marisa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7" w:name="page218"/>
    <w:bookmarkEnd w:id="217"/>
    <w:p>
      <w:pPr>
        <w:jc w:val="right"/>
        <w:ind w:right="59"/>
        <w:spacing w:after="0"/>
        <w:rPr>
          <w:sz w:val="20"/>
          <w:szCs w:val="20"/>
          <w:color w:val="auto"/>
        </w:rPr>
      </w:pPr>
      <w:r>
        <w:rPr>
          <w:rFonts w:ascii="Arial" w:cs="Arial" w:eastAsia="Arial" w:hAnsi="Arial"/>
          <w:sz w:val="18"/>
          <w:szCs w:val="18"/>
          <w:color w:val="auto"/>
        </w:rPr>
        <w:t>NORDEA BANK ABP, NEW YORK BRANCH,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 Anderssen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Ola Anderssen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First Vice President</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Leena Parker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Leena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8" w:name="page219"/>
    <w:bookmarkEnd w:id="218"/>
    <w:p>
      <w:pPr>
        <w:jc w:val="right"/>
        <w:ind w:right="939"/>
        <w:spacing w:after="0"/>
        <w:rPr>
          <w:sz w:val="20"/>
          <w:szCs w:val="20"/>
          <w:color w:val="auto"/>
        </w:rPr>
      </w:pPr>
      <w:r>
        <w:rPr>
          <w:rFonts w:ascii="Arial" w:cs="Arial" w:eastAsia="Arial" w:hAnsi="Arial"/>
          <w:sz w:val="18"/>
          <w:szCs w:val="18"/>
          <w:color w:val="auto"/>
        </w:rPr>
        <w:t>STANDARD CHARTERED BANK,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Anita Gray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Anita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249428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19" w:name="page220"/>
    <w:bookmarkEnd w:id="219"/>
    <w:p>
      <w:pPr>
        <w:ind w:left="4628"/>
        <w:spacing w:after="0"/>
        <w:rPr>
          <w:sz w:val="20"/>
          <w:szCs w:val="20"/>
          <w:color w:val="auto"/>
        </w:rPr>
      </w:pPr>
      <w:r>
        <w:rPr>
          <w:rFonts w:ascii="Arial" w:cs="Arial" w:eastAsia="Arial" w:hAnsi="Arial"/>
          <w:sz w:val="22"/>
          <w:szCs w:val="22"/>
          <w:b w:val="1"/>
          <w:bCs w:val="1"/>
          <w:u w:val="single" w:color="auto"/>
          <w:color w:val="auto"/>
        </w:rPr>
        <w:t>SCHEDULE I</w:t>
      </w:r>
    </w:p>
    <w:p>
      <w:pPr>
        <w:spacing w:after="0" w:line="200" w:lineRule="exact"/>
        <w:rPr>
          <w:sz w:val="20"/>
          <w:szCs w:val="20"/>
          <w:color w:val="auto"/>
        </w:rPr>
      </w:pPr>
    </w:p>
    <w:p>
      <w:pPr>
        <w:spacing w:after="0" w:line="357" w:lineRule="exact"/>
        <w:rPr>
          <w:sz w:val="20"/>
          <w:szCs w:val="20"/>
          <w:color w:val="auto"/>
        </w:rPr>
      </w:pPr>
    </w:p>
    <w:p>
      <w:pPr>
        <w:ind w:left="328" w:hanging="328"/>
        <w:spacing w:after="0"/>
        <w:tabs>
          <w:tab w:leader="none" w:pos="32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Paul, Weiss, Rifkind, Wharton &amp; Garrison LLP, special New York and Delaware counsel to the Obligors;</w:t>
      </w:r>
    </w:p>
    <w:p>
      <w:pPr>
        <w:spacing w:after="0" w:line="290" w:lineRule="exact"/>
        <w:rPr>
          <w:rFonts w:ascii="Arial" w:cs="Arial" w:eastAsia="Arial" w:hAnsi="Arial"/>
          <w:sz w:val="17"/>
          <w:szCs w:val="17"/>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Latham &amp; Watkins, LLP, special Texas, California and Illinois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Conyers Dill &amp; Pearman Limited, special Bermuda counsel to WIL-Bermuda and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Baker McKenzie, Geneva, special Swiss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Matheson, special Irish counsel to Parent;</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Dentons Canada LLP, special British Columbia, Alberta and Ontario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Stewart McKelvey, special Nova Scotia and Newfoundland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Baker &amp; McKenzie LLP, special Luxembourg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Conyers Dill &amp; Pearman, special British Virgin Islands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Sidley Austin LLP, special English counsel to the Administrative Agent;</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Jones Walker LLP, special Louisiana counsel to Weatherford U.S., L.P.;</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Norton Rose Fulbright, special Australian counsel to the Administrative Agent;</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BAHR, special Norwegian counsel to the Administrative Agent;</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Baker &amp; McKenzie Amsterdam N.V., special Dutch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Holland &amp; Hart LLP, special Nevada and Wyoming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Baker &amp; McKenzie, special German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Arias, Fábrega &amp; Fábrega, special Panamanian counsel to certain of the Obligors;</w:t>
      </w:r>
    </w:p>
    <w:p>
      <w:pPr>
        <w:spacing w:after="0" w:line="279" w:lineRule="exact"/>
        <w:rPr>
          <w:rFonts w:ascii="Arial" w:cs="Arial" w:eastAsia="Arial" w:hAnsi="Arial"/>
          <w:sz w:val="18"/>
          <w:szCs w:val="18"/>
          <w:color w:val="auto"/>
        </w:rPr>
      </w:pPr>
    </w:p>
    <w:p>
      <w:pPr>
        <w:ind w:left="328" w:hanging="328"/>
        <w:spacing w:after="0"/>
        <w:tabs>
          <w:tab w:leader="none" w:pos="32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Burness Paull LLP, special Scottish counsel to certain of the Obligors (as regards authorization and 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312420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396" w:right="1440" w:bottom="1440" w:gutter="0" w:footer="0" w:header="0"/>
        </w:sectPr>
      </w:pPr>
    </w:p>
    <w:bookmarkStart w:id="220" w:name="page221"/>
    <w:bookmarkEnd w:id="220"/>
    <w:p>
      <w:pPr>
        <w:spacing w:after="0"/>
        <w:rPr>
          <w:sz w:val="20"/>
          <w:szCs w:val="20"/>
          <w:color w:val="auto"/>
        </w:rPr>
      </w:pPr>
      <w:r>
        <w:rPr>
          <w:rFonts w:ascii="Arial" w:cs="Arial" w:eastAsia="Arial" w:hAnsi="Arial"/>
          <w:sz w:val="16"/>
          <w:szCs w:val="16"/>
          <w:color w:val="auto"/>
        </w:rPr>
        <w:t>19. Shepherd and Wedderburn LLP, special Scottish counsel to the Administrative Agent (as regards continued security perfection and 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483870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660" w:top="125" w:right="399" w:bottom="1440" w:gutter="0" w:footer="0" w:header="0"/>
        </w:sectPr>
      </w:pPr>
    </w:p>
    <w:bookmarkStart w:id="221" w:name="page222"/>
    <w:bookmarkEnd w:id="221"/>
    <w:p>
      <w:pPr>
        <w:jc w:val="center"/>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Issuing Bank</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LC Reference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Obligor</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Type</w:t>
            </w:r>
          </w:p>
        </w:tc>
        <w:tc>
          <w:tcPr>
            <w:tcW w:w="13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Current Amount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Currency</w:t>
            </w:r>
          </w:p>
        </w:tc>
        <w:tc>
          <w:tcPr>
            <w:tcW w:w="1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Total USD Equiv.</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Effective</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Actual</w:t>
            </w:r>
          </w:p>
        </w:tc>
      </w:tr>
      <w:tr>
        <w:trPr>
          <w:trHeight w:val="230"/>
        </w:trPr>
        <w:tc>
          <w:tcPr>
            <w:tcW w:w="116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13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Expiry</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9"/>
        </w:trPr>
        <w:tc>
          <w:tcPr>
            <w:tcW w:w="116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Deutsche</w:t>
            </w:r>
          </w:p>
        </w:tc>
        <w:tc>
          <w:tcPr>
            <w:tcW w:w="16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6"/>
              </w:rPr>
              <w:t>LDCM-0073</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8"/>
              </w:rPr>
              <w:t>Weatherford</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Performance</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1"/>
              </w:rPr>
              <w:t>5,401,165.00</w:t>
            </w:r>
          </w:p>
        </w:tc>
        <w:tc>
          <w:tcPr>
            <w:tcW w:w="10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4"/>
              </w:rPr>
              <w:t>USD</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5,401,165.00</w:t>
            </w:r>
          </w:p>
        </w:tc>
        <w:tc>
          <w:tcPr>
            <w:tcW w:w="106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0"/>
              </w:rPr>
              <w:t>13-Dec-19</w:t>
            </w:r>
          </w:p>
        </w:tc>
        <w:tc>
          <w:tcPr>
            <w:tcW w:w="74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6"/>
              </w:rPr>
              <w:t>30-May-</w:t>
            </w:r>
          </w:p>
        </w:tc>
      </w:tr>
      <w:tr>
        <w:trPr>
          <w:trHeight w:val="269"/>
        </w:trPr>
        <w:tc>
          <w:tcPr>
            <w:tcW w:w="1160" w:type="dxa"/>
            <w:vAlign w:val="bottom"/>
            <w:tcBorders>
              <w:left w:val="single" w:sz="8" w:color="auto"/>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5"/>
              </w:rPr>
              <w:t>Bank NY</w:t>
            </w:r>
          </w:p>
        </w:tc>
        <w:tc>
          <w:tcPr>
            <w:tcW w:w="16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2"/>
              </w:rPr>
              <w:t>International Ltd</w:t>
            </w: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0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060" w:type="dxa"/>
            <w:vAlign w:val="bottom"/>
            <w:tcBorders>
              <w:bottom w:val="single" w:sz="8" w:color="C6F4F9"/>
              <w:right w:val="single" w:sz="8" w:color="auto"/>
            </w:tcBorders>
            <w:shd w:val="clear" w:color="auto" w:fill="C6F4F9"/>
          </w:tcPr>
          <w:p>
            <w:pPr>
              <w:spacing w:after="0"/>
              <w:rPr>
                <w:sz w:val="22"/>
                <w:szCs w:val="22"/>
                <w:color w:val="auto"/>
              </w:rPr>
            </w:pPr>
          </w:p>
        </w:tc>
        <w:tc>
          <w:tcPr>
            <w:tcW w:w="740" w:type="dxa"/>
            <w:vAlign w:val="bottom"/>
            <w:tcBorders>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21</w:t>
            </w:r>
          </w:p>
        </w:tc>
      </w:tr>
      <w:tr>
        <w:trPr>
          <w:trHeight w:val="229"/>
        </w:trPr>
        <w:tc>
          <w:tcPr>
            <w:tcW w:w="1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Deutsche</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DBS-22370</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Weatherford</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Performance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7,968,349.00</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7,968,349.00</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13-Dec-19</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13-Dec-</w:t>
            </w:r>
          </w:p>
        </w:tc>
      </w:tr>
      <w:tr>
        <w:trPr>
          <w:trHeight w:val="230"/>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Bank NY</w:t>
            </w:r>
          </w:p>
        </w:tc>
        <w:tc>
          <w:tcPr>
            <w:tcW w:w="16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International Ltd</w:t>
            </w:r>
          </w:p>
        </w:tc>
        <w:tc>
          <w:tcPr>
            <w:tcW w:w="13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9"/>
        </w:trPr>
        <w:tc>
          <w:tcPr>
            <w:tcW w:w="116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7"/>
              </w:rPr>
              <w:t>Standard</w:t>
            </w:r>
          </w:p>
        </w:tc>
        <w:tc>
          <w:tcPr>
            <w:tcW w:w="16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123020684496</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1"/>
              </w:rPr>
              <w:t>Weatherford Oil</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Performance</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1"/>
              </w:rPr>
              <w:t>2,300,000.00</w:t>
            </w:r>
          </w:p>
        </w:tc>
        <w:tc>
          <w:tcPr>
            <w:tcW w:w="10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4"/>
              </w:rPr>
              <w:t>USD</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2,300,000.00</w:t>
            </w:r>
          </w:p>
        </w:tc>
        <w:tc>
          <w:tcPr>
            <w:tcW w:w="106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0"/>
              </w:rPr>
              <w:t>13-Dec-19</w:t>
            </w:r>
          </w:p>
        </w:tc>
        <w:tc>
          <w:tcPr>
            <w:tcW w:w="74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3"/>
              </w:rPr>
              <w:t>11-May-</w:t>
            </w:r>
          </w:p>
        </w:tc>
      </w:tr>
      <w:tr>
        <w:trPr>
          <w:trHeight w:val="216"/>
        </w:trPr>
        <w:tc>
          <w:tcPr>
            <w:tcW w:w="116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Chartered</w:t>
            </w:r>
          </w:p>
        </w:tc>
        <w:tc>
          <w:tcPr>
            <w:tcW w:w="1680" w:type="dxa"/>
            <w:vAlign w:val="bottom"/>
            <w:tcBorders>
              <w:right w:val="single" w:sz="8" w:color="auto"/>
            </w:tcBorders>
            <w:shd w:val="clear" w:color="auto" w:fill="C6F4F9"/>
          </w:tcPr>
          <w:p>
            <w:pPr>
              <w:spacing w:after="0"/>
              <w:rPr>
                <w:sz w:val="18"/>
                <w:szCs w:val="18"/>
                <w:color w:val="auto"/>
              </w:rPr>
            </w:pP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2"/>
              </w:rPr>
              <w:t>Tool Middle East</w:t>
            </w:r>
          </w:p>
        </w:tc>
        <w:tc>
          <w:tcPr>
            <w:tcW w:w="1380" w:type="dxa"/>
            <w:vAlign w:val="bottom"/>
            <w:tcBorders>
              <w:right w:val="single" w:sz="8" w:color="auto"/>
            </w:tcBorders>
            <w:shd w:val="clear" w:color="auto" w:fill="C6F4F9"/>
          </w:tcPr>
          <w:p>
            <w:pPr>
              <w:spacing w:after="0"/>
              <w:rPr>
                <w:sz w:val="18"/>
                <w:szCs w:val="18"/>
                <w:color w:val="auto"/>
              </w:rPr>
            </w:pPr>
          </w:p>
        </w:tc>
        <w:tc>
          <w:tcPr>
            <w:tcW w:w="1380" w:type="dxa"/>
            <w:vAlign w:val="bottom"/>
            <w:tcBorders>
              <w:right w:val="single" w:sz="8" w:color="auto"/>
            </w:tcBorders>
            <w:shd w:val="clear" w:color="auto" w:fill="C6F4F9"/>
          </w:tcPr>
          <w:p>
            <w:pPr>
              <w:spacing w:after="0"/>
              <w:rPr>
                <w:sz w:val="18"/>
                <w:szCs w:val="18"/>
                <w:color w:val="auto"/>
              </w:rPr>
            </w:pPr>
          </w:p>
        </w:tc>
        <w:tc>
          <w:tcPr>
            <w:tcW w:w="1080" w:type="dxa"/>
            <w:vAlign w:val="bottom"/>
            <w:tcBorders>
              <w:right w:val="single" w:sz="8" w:color="auto"/>
            </w:tcBorders>
            <w:shd w:val="clear" w:color="auto" w:fill="C6F4F9"/>
          </w:tcPr>
          <w:p>
            <w:pPr>
              <w:spacing w:after="0"/>
              <w:rPr>
                <w:sz w:val="18"/>
                <w:szCs w:val="18"/>
                <w:color w:val="auto"/>
              </w:rPr>
            </w:pPr>
          </w:p>
        </w:tc>
        <w:tc>
          <w:tcPr>
            <w:tcW w:w="1380" w:type="dxa"/>
            <w:vAlign w:val="bottom"/>
            <w:tcBorders>
              <w:right w:val="single" w:sz="8" w:color="auto"/>
            </w:tcBorders>
            <w:shd w:val="clear" w:color="auto" w:fill="C6F4F9"/>
          </w:tcPr>
          <w:p>
            <w:pPr>
              <w:spacing w:after="0"/>
              <w:rPr>
                <w:sz w:val="18"/>
                <w:szCs w:val="18"/>
                <w:color w:val="auto"/>
              </w:rPr>
            </w:pPr>
          </w:p>
        </w:tc>
        <w:tc>
          <w:tcPr>
            <w:tcW w:w="1060" w:type="dxa"/>
            <w:vAlign w:val="bottom"/>
            <w:tcBorders>
              <w:right w:val="single" w:sz="8" w:color="auto"/>
            </w:tcBorders>
            <w:shd w:val="clear" w:color="auto" w:fill="C6F4F9"/>
          </w:tcPr>
          <w:p>
            <w:pPr>
              <w:spacing w:after="0"/>
              <w:rPr>
                <w:sz w:val="18"/>
                <w:szCs w:val="18"/>
                <w:color w:val="auto"/>
              </w:rPr>
            </w:pPr>
          </w:p>
        </w:tc>
        <w:tc>
          <w:tcPr>
            <w:tcW w:w="74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23</w:t>
            </w:r>
          </w:p>
        </w:tc>
      </w:tr>
      <w:tr>
        <w:trPr>
          <w:trHeight w:val="269"/>
        </w:trPr>
        <w:tc>
          <w:tcPr>
            <w:tcW w:w="1160" w:type="dxa"/>
            <w:vAlign w:val="bottom"/>
            <w:tcBorders>
              <w:left w:val="single" w:sz="8" w:color="auto"/>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2"/>
              </w:rPr>
              <w:t>Bank – Dubai</w:t>
            </w:r>
          </w:p>
        </w:tc>
        <w:tc>
          <w:tcPr>
            <w:tcW w:w="16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6"/>
              </w:rPr>
              <w:t>Limited</w:t>
            </w: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0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060" w:type="dxa"/>
            <w:vAlign w:val="bottom"/>
            <w:tcBorders>
              <w:bottom w:val="single" w:sz="8" w:color="C6F4F9"/>
              <w:right w:val="single" w:sz="8" w:color="auto"/>
            </w:tcBorders>
            <w:shd w:val="clear" w:color="auto" w:fill="C6F4F9"/>
          </w:tcPr>
          <w:p>
            <w:pPr>
              <w:spacing w:after="0"/>
              <w:rPr>
                <w:sz w:val="22"/>
                <w:szCs w:val="22"/>
                <w:color w:val="auto"/>
              </w:rPr>
            </w:pPr>
          </w:p>
        </w:tc>
        <w:tc>
          <w:tcPr>
            <w:tcW w:w="74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Standard</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777020092605</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Weatherford</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Performance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50,000.00</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AED</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13,612.29</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30-</w:t>
            </w: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Chartered</w:t>
            </w:r>
          </w:p>
        </w:tc>
        <w:tc>
          <w:tcPr>
            <w:tcW w:w="16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International Ltd</w:t>
            </w: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Dec-19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Sep-21</w:t>
            </w:r>
          </w:p>
        </w:tc>
      </w:tr>
      <w:tr>
        <w:trPr>
          <w:trHeight w:val="230"/>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Bank - NY</w:t>
            </w:r>
          </w:p>
        </w:tc>
        <w:tc>
          <w:tcPr>
            <w:tcW w:w="16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9"/>
        </w:trPr>
        <w:tc>
          <w:tcPr>
            <w:tcW w:w="116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7"/>
              </w:rPr>
              <w:t>Standard</w:t>
            </w:r>
          </w:p>
        </w:tc>
        <w:tc>
          <w:tcPr>
            <w:tcW w:w="16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777020136097</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8"/>
              </w:rPr>
              <w:t>Weatherford</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Performance</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8"/>
              </w:rPr>
              <w:t>225,000.00</w:t>
            </w:r>
          </w:p>
        </w:tc>
        <w:tc>
          <w:tcPr>
            <w:tcW w:w="10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6"/>
              </w:rPr>
              <w:t>INR</w:t>
            </w: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1"/>
              </w:rPr>
              <w:t>3,003.14</w:t>
            </w:r>
          </w:p>
        </w:tc>
        <w:tc>
          <w:tcPr>
            <w:tcW w:w="106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2"/>
              </w:rPr>
              <w:t>13-</w:t>
            </w:r>
          </w:p>
        </w:tc>
        <w:tc>
          <w:tcPr>
            <w:tcW w:w="74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2"/>
              </w:rPr>
              <w:t>28-</w:t>
            </w:r>
          </w:p>
        </w:tc>
      </w:tr>
      <w:tr>
        <w:trPr>
          <w:trHeight w:val="216"/>
        </w:trPr>
        <w:tc>
          <w:tcPr>
            <w:tcW w:w="116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Chartered</w:t>
            </w:r>
          </w:p>
        </w:tc>
        <w:tc>
          <w:tcPr>
            <w:tcW w:w="1680" w:type="dxa"/>
            <w:vAlign w:val="bottom"/>
            <w:tcBorders>
              <w:right w:val="single" w:sz="8" w:color="auto"/>
            </w:tcBorders>
            <w:shd w:val="clear" w:color="auto" w:fill="C6F4F9"/>
          </w:tcPr>
          <w:p>
            <w:pPr>
              <w:spacing w:after="0"/>
              <w:rPr>
                <w:sz w:val="18"/>
                <w:szCs w:val="18"/>
                <w:color w:val="auto"/>
              </w:rPr>
            </w:pPr>
          </w:p>
        </w:tc>
        <w:tc>
          <w:tcPr>
            <w:tcW w:w="138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2"/>
              </w:rPr>
              <w:t>International Ltd</w:t>
            </w:r>
          </w:p>
        </w:tc>
        <w:tc>
          <w:tcPr>
            <w:tcW w:w="1380" w:type="dxa"/>
            <w:vAlign w:val="bottom"/>
            <w:tcBorders>
              <w:right w:val="single" w:sz="8" w:color="auto"/>
            </w:tcBorders>
            <w:shd w:val="clear" w:color="auto" w:fill="C6F4F9"/>
          </w:tcPr>
          <w:p>
            <w:pPr>
              <w:spacing w:after="0"/>
              <w:rPr>
                <w:sz w:val="18"/>
                <w:szCs w:val="18"/>
                <w:color w:val="auto"/>
              </w:rPr>
            </w:pPr>
          </w:p>
        </w:tc>
        <w:tc>
          <w:tcPr>
            <w:tcW w:w="1380" w:type="dxa"/>
            <w:vAlign w:val="bottom"/>
            <w:tcBorders>
              <w:right w:val="single" w:sz="8" w:color="auto"/>
            </w:tcBorders>
            <w:shd w:val="clear" w:color="auto" w:fill="C6F4F9"/>
          </w:tcPr>
          <w:p>
            <w:pPr>
              <w:spacing w:after="0"/>
              <w:rPr>
                <w:sz w:val="18"/>
                <w:szCs w:val="18"/>
                <w:color w:val="auto"/>
              </w:rPr>
            </w:pPr>
          </w:p>
        </w:tc>
        <w:tc>
          <w:tcPr>
            <w:tcW w:w="1080" w:type="dxa"/>
            <w:vAlign w:val="bottom"/>
            <w:tcBorders>
              <w:right w:val="single" w:sz="8" w:color="auto"/>
            </w:tcBorders>
            <w:shd w:val="clear" w:color="auto" w:fill="C6F4F9"/>
          </w:tcPr>
          <w:p>
            <w:pPr>
              <w:spacing w:after="0"/>
              <w:rPr>
                <w:sz w:val="18"/>
                <w:szCs w:val="18"/>
                <w:color w:val="auto"/>
              </w:rPr>
            </w:pPr>
          </w:p>
        </w:tc>
        <w:tc>
          <w:tcPr>
            <w:tcW w:w="1380" w:type="dxa"/>
            <w:vAlign w:val="bottom"/>
            <w:tcBorders>
              <w:right w:val="single" w:sz="8" w:color="auto"/>
            </w:tcBorders>
            <w:shd w:val="clear" w:color="auto" w:fill="C6F4F9"/>
          </w:tcPr>
          <w:p>
            <w:pPr>
              <w:spacing w:after="0"/>
              <w:rPr>
                <w:sz w:val="18"/>
                <w:szCs w:val="18"/>
                <w:color w:val="auto"/>
              </w:rPr>
            </w:pPr>
          </w:p>
        </w:tc>
        <w:tc>
          <w:tcPr>
            <w:tcW w:w="106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Dec-19</w:t>
            </w:r>
          </w:p>
        </w:tc>
        <w:tc>
          <w:tcPr>
            <w:tcW w:w="740" w:type="dxa"/>
            <w:vAlign w:val="bottom"/>
            <w:tcBorders>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3"/>
              </w:rPr>
              <w:t>Oct - 21</w:t>
            </w:r>
          </w:p>
        </w:tc>
      </w:tr>
      <w:tr>
        <w:trPr>
          <w:trHeight w:val="269"/>
        </w:trPr>
        <w:tc>
          <w:tcPr>
            <w:tcW w:w="1160" w:type="dxa"/>
            <w:vAlign w:val="bottom"/>
            <w:tcBorders>
              <w:left w:val="single" w:sz="8" w:color="auto"/>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7"/>
              </w:rPr>
              <w:t>Bank - NY</w:t>
            </w:r>
          </w:p>
        </w:tc>
        <w:tc>
          <w:tcPr>
            <w:tcW w:w="16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080" w:type="dxa"/>
            <w:vAlign w:val="bottom"/>
            <w:tcBorders>
              <w:bottom w:val="single" w:sz="8" w:color="C6F4F9"/>
              <w:right w:val="single" w:sz="8" w:color="auto"/>
            </w:tcBorders>
            <w:shd w:val="clear" w:color="auto" w:fill="C6F4F9"/>
          </w:tcPr>
          <w:p>
            <w:pPr>
              <w:spacing w:after="0"/>
              <w:rPr>
                <w:sz w:val="22"/>
                <w:szCs w:val="22"/>
                <w:color w:val="auto"/>
              </w:rPr>
            </w:pPr>
          </w:p>
        </w:tc>
        <w:tc>
          <w:tcPr>
            <w:tcW w:w="1380" w:type="dxa"/>
            <w:vAlign w:val="bottom"/>
            <w:tcBorders>
              <w:bottom w:val="single" w:sz="8" w:color="C6F4F9"/>
              <w:right w:val="single" w:sz="8" w:color="auto"/>
            </w:tcBorders>
            <w:shd w:val="clear" w:color="auto" w:fill="C6F4F9"/>
          </w:tcPr>
          <w:p>
            <w:pPr>
              <w:spacing w:after="0"/>
              <w:rPr>
                <w:sz w:val="22"/>
                <w:szCs w:val="22"/>
                <w:color w:val="auto"/>
              </w:rPr>
            </w:pPr>
          </w:p>
        </w:tc>
        <w:tc>
          <w:tcPr>
            <w:tcW w:w="1060" w:type="dxa"/>
            <w:vAlign w:val="bottom"/>
            <w:tcBorders>
              <w:bottom w:val="single" w:sz="8" w:color="C6F4F9"/>
              <w:right w:val="single" w:sz="8" w:color="auto"/>
            </w:tcBorders>
            <w:shd w:val="clear" w:color="auto" w:fill="C6F4F9"/>
          </w:tcPr>
          <w:p>
            <w:pPr>
              <w:spacing w:after="0"/>
              <w:rPr>
                <w:sz w:val="22"/>
                <w:szCs w:val="22"/>
                <w:color w:val="auto"/>
              </w:rPr>
            </w:pPr>
          </w:p>
        </w:tc>
        <w:tc>
          <w:tcPr>
            <w:tcW w:w="74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723"/>
        </w:trPr>
        <w:tc>
          <w:tcPr>
            <w:tcW w:w="116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LC CREDIT AGREEMENT</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ATED AS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22"/>
          <w:szCs w:val="22"/>
          <w:b w:val="1"/>
          <w:bCs w:val="1"/>
          <w:color w:val="auto"/>
        </w:rPr>
        <w:t xml:space="preserve"> 13, 2019</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as amended by Amendment No. 1 to Credit Agreement, dated as of August 28, 2020</w:t>
      </w:r>
    </w:p>
    <w:p>
      <w:pPr>
        <w:spacing w:after="0" w:line="34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AMONG</w:t>
      </w:r>
    </w:p>
    <w:p>
      <w:pPr>
        <w:spacing w:after="0" w:line="16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EATHERFORD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21"/>
          <w:szCs w:val="21"/>
          <w:b w:val="1"/>
          <w:bCs w:val="1"/>
          <w:color w:val="auto"/>
        </w:rPr>
        <w:t>B</w:t>
      </w:r>
      <w:r>
        <w:rPr>
          <w:rFonts w:ascii="Arial" w:cs="Arial" w:eastAsia="Arial" w:hAnsi="Arial"/>
          <w:sz w:val="15"/>
          <w:szCs w:val="15"/>
          <w:b w:val="1"/>
          <w:bCs w:val="1"/>
          <w:color w:val="auto"/>
        </w:rPr>
        <w:t>ERMUDA EXEMPTED COMPANY</w:t>
      </w:r>
    </w:p>
    <w:p>
      <w:pPr>
        <w:spacing w:after="0" w:line="23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AND</w:t>
      </w:r>
    </w:p>
    <w:p>
      <w:pPr>
        <w:spacing w:after="0" w:line="178"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EATHERFORD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LLC,</w:t>
      </w:r>
    </w:p>
    <w:p>
      <w:pPr>
        <w:spacing w:after="0" w:line="27" w:lineRule="exact"/>
        <w:rPr>
          <w:sz w:val="20"/>
          <w:szCs w:val="20"/>
          <w:color w:val="auto"/>
        </w:rPr>
      </w:pPr>
    </w:p>
    <w:p>
      <w:pPr>
        <w:ind w:left="3840" w:right="3880" w:hanging="1074"/>
        <w:spacing w:after="0" w:line="285" w:lineRule="auto"/>
        <w:tabs>
          <w:tab w:leader="none" w:pos="2926" w:val="left"/>
        </w:tabs>
        <w:numPr>
          <w:ilvl w:val="0"/>
          <w:numId w:val="211"/>
        </w:numPr>
        <w:rPr>
          <w:rFonts w:ascii="Arial" w:cs="Arial" w:eastAsia="Arial" w:hAnsi="Arial"/>
          <w:sz w:val="15"/>
          <w:szCs w:val="15"/>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ELAWARE LIMITED LIABILITY COMPANY</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 xml:space="preserve">AS </w:t>
      </w:r>
      <w:r>
        <w:rPr>
          <w:rFonts w:ascii="Arial" w:cs="Arial" w:eastAsia="Arial" w:hAnsi="Arial"/>
          <w:sz w:val="21"/>
          <w:szCs w:val="21"/>
          <w:b w:val="1"/>
          <w:bCs w:val="1"/>
          <w:color w:val="auto"/>
        </w:rPr>
        <w:t>B</w:t>
      </w:r>
      <w:r>
        <w:rPr>
          <w:rFonts w:ascii="Arial" w:cs="Arial" w:eastAsia="Arial" w:hAnsi="Arial"/>
          <w:sz w:val="14"/>
          <w:szCs w:val="14"/>
          <w:b w:val="1"/>
          <w:bCs w:val="1"/>
          <w:color w:val="auto"/>
        </w:rPr>
        <w:t>ORROWERS</w:t>
      </w:r>
      <w:r>
        <w:rPr>
          <w:rFonts w:ascii="Arial" w:cs="Arial" w:eastAsia="Arial" w:hAnsi="Arial"/>
          <w:sz w:val="21"/>
          <w:szCs w:val="21"/>
          <w:b w:val="1"/>
          <w:bCs w:val="1"/>
          <w:color w:val="auto"/>
        </w:rPr>
        <w:t>,</w:t>
      </w:r>
    </w:p>
    <w:p>
      <w:pPr>
        <w:spacing w:after="0" w:line="7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EATHERFORD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NTERNATIONAL PLC</w:t>
      </w:r>
      <w:r>
        <w:rPr>
          <w:rFonts w:ascii="Arial" w:cs="Arial" w:eastAsia="Arial" w:hAnsi="Arial"/>
          <w:sz w:val="22"/>
          <w:szCs w:val="22"/>
          <w:b w:val="1"/>
          <w:bCs w:val="1"/>
          <w:color w:val="auto"/>
        </w:rPr>
        <w:t>,</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 xml:space="preserve">AS </w:t>
      </w:r>
      <w:r>
        <w:rPr>
          <w:rFonts w:ascii="Arial" w:cs="Arial" w:eastAsia="Arial" w:hAnsi="Arial"/>
          <w:sz w:val="21"/>
          <w:szCs w:val="21"/>
          <w:b w:val="1"/>
          <w:bCs w:val="1"/>
          <w:color w:val="auto"/>
        </w:rPr>
        <w:t>P</w:t>
      </w:r>
      <w:r>
        <w:rPr>
          <w:rFonts w:ascii="Arial" w:cs="Arial" w:eastAsia="Arial" w:hAnsi="Arial"/>
          <w:sz w:val="15"/>
          <w:szCs w:val="15"/>
          <w:b w:val="1"/>
          <w:bCs w:val="1"/>
          <w:color w:val="auto"/>
        </w:rPr>
        <w:t>ARENT</w:t>
      </w:r>
      <w:r>
        <w:rPr>
          <w:rFonts w:ascii="Arial" w:cs="Arial" w:eastAsia="Arial" w:hAnsi="Arial"/>
          <w:sz w:val="21"/>
          <w:szCs w:val="21"/>
          <w:b w:val="1"/>
          <w:bCs w:val="1"/>
          <w:color w:val="auto"/>
        </w:rPr>
        <w:t>,</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ERETO</w:t>
      </w:r>
      <w:r>
        <w:rPr>
          <w:rFonts w:ascii="Arial" w:cs="Arial" w:eastAsia="Arial" w:hAnsi="Arial"/>
          <w:sz w:val="22"/>
          <w:szCs w:val="22"/>
          <w:b w:val="1"/>
          <w:bCs w:val="1"/>
          <w:color w:val="auto"/>
        </w:rPr>
        <w:t>,</w:t>
      </w:r>
    </w:p>
    <w:p>
      <w:pPr>
        <w:spacing w:after="0" w:line="15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SSUING</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ANKS</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EREIN</w:t>
      </w:r>
      <w:r>
        <w:rPr>
          <w:rFonts w:ascii="Arial" w:cs="Arial" w:eastAsia="Arial" w:hAnsi="Arial"/>
          <w:sz w:val="22"/>
          <w:szCs w:val="22"/>
          <w:b w:val="1"/>
          <w:bCs w:val="1"/>
          <w:color w:val="auto"/>
        </w:rPr>
        <w:t>,</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AND</w:t>
      </w:r>
    </w:p>
    <w:p>
      <w:pPr>
        <w:spacing w:after="0" w:line="17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EUTSCHE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ANK</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MERICAS</w:t>
      </w:r>
      <w:r>
        <w:rPr>
          <w:rFonts w:ascii="Arial" w:cs="Arial" w:eastAsia="Arial" w:hAnsi="Arial"/>
          <w:sz w:val="22"/>
          <w:szCs w:val="22"/>
          <w:b w:val="1"/>
          <w:bCs w:val="1"/>
          <w:color w:val="auto"/>
        </w:rPr>
        <w:t>,</w:t>
      </w:r>
    </w:p>
    <w:p>
      <w:pPr>
        <w:spacing w:after="0" w:line="152"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 xml:space="preserve">AS </w:t>
      </w:r>
      <w:r>
        <w:rPr>
          <w:rFonts w:ascii="Arial" w:cs="Arial" w:eastAsia="Arial" w:hAnsi="Arial"/>
          <w:sz w:val="21"/>
          <w:szCs w:val="21"/>
          <w:b w:val="1"/>
          <w:bCs w:val="1"/>
          <w:color w:val="auto"/>
        </w:rPr>
        <w:t>A</w:t>
      </w:r>
      <w:r>
        <w:rPr>
          <w:rFonts w:ascii="Arial" w:cs="Arial" w:eastAsia="Arial" w:hAnsi="Arial"/>
          <w:sz w:val="15"/>
          <w:szCs w:val="15"/>
          <w:b w:val="1"/>
          <w:bCs w:val="1"/>
          <w:color w:val="auto"/>
        </w:rPr>
        <w:t xml:space="preserve">DMINISTRATIVE </w:t>
      </w:r>
      <w:r>
        <w:rPr>
          <w:rFonts w:ascii="Arial" w:cs="Arial" w:eastAsia="Arial" w:hAnsi="Arial"/>
          <w:sz w:val="21"/>
          <w:szCs w:val="21"/>
          <w:b w:val="1"/>
          <w:bCs w:val="1"/>
          <w:color w:val="auto"/>
        </w:rPr>
        <w:t>A</w:t>
      </w:r>
      <w:r>
        <w:rPr>
          <w:rFonts w:ascii="Arial" w:cs="Arial" w:eastAsia="Arial" w:hAnsi="Arial"/>
          <w:sz w:val="15"/>
          <w:szCs w:val="15"/>
          <w:b w:val="1"/>
          <w:bCs w:val="1"/>
          <w:color w:val="auto"/>
        </w:rPr>
        <w:t>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EUTSCHE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ANK</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ELLS</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2"/>
          <w:szCs w:val="22"/>
          <w:b w:val="1"/>
          <w:bCs w:val="1"/>
          <w:color w:val="auto"/>
        </w:rPr>
        <w:t>, LLC</w:t>
      </w:r>
    </w:p>
    <w:p>
      <w:pPr>
        <w:spacing w:after="0" w:line="7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AND</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ARCLAYS</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ANK</w:t>
      </w:r>
      <w:r>
        <w:rPr>
          <w:rFonts w:ascii="Arial" w:cs="Arial" w:eastAsia="Arial" w:hAnsi="Arial"/>
          <w:sz w:val="22"/>
          <w:szCs w:val="22"/>
          <w:b w:val="1"/>
          <w:bCs w:val="1"/>
          <w:color w:val="auto"/>
        </w:rPr>
        <w:t xml:space="preserve">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 xml:space="preserve">AS </w:t>
      </w:r>
      <w:r>
        <w:rPr>
          <w:rFonts w:ascii="Arial" w:cs="Arial" w:eastAsia="Arial" w:hAnsi="Arial"/>
          <w:sz w:val="21"/>
          <w:szCs w:val="21"/>
          <w:b w:val="1"/>
          <w:bCs w:val="1"/>
          <w:color w:val="auto"/>
        </w:rPr>
        <w:t>J</w:t>
      </w:r>
      <w:r>
        <w:rPr>
          <w:rFonts w:ascii="Arial" w:cs="Arial" w:eastAsia="Arial" w:hAnsi="Arial"/>
          <w:sz w:val="15"/>
          <w:szCs w:val="15"/>
          <w:b w:val="1"/>
          <w:bCs w:val="1"/>
          <w:color w:val="auto"/>
        </w:rPr>
        <w:t xml:space="preserve">OINT </w:t>
      </w:r>
      <w:r>
        <w:rPr>
          <w:rFonts w:ascii="Arial" w:cs="Arial" w:eastAsia="Arial" w:hAnsi="Arial"/>
          <w:sz w:val="21"/>
          <w:szCs w:val="21"/>
          <w:b w:val="1"/>
          <w:bCs w:val="1"/>
          <w:color w:val="auto"/>
        </w:rPr>
        <w:t>L</w:t>
      </w:r>
      <w:r>
        <w:rPr>
          <w:rFonts w:ascii="Arial" w:cs="Arial" w:eastAsia="Arial" w:hAnsi="Arial"/>
          <w:sz w:val="15"/>
          <w:szCs w:val="15"/>
          <w:b w:val="1"/>
          <w:bCs w:val="1"/>
          <w:color w:val="auto"/>
        </w:rPr>
        <w:t xml:space="preserve">EAD </w:t>
      </w:r>
      <w:r>
        <w:rPr>
          <w:rFonts w:ascii="Arial" w:cs="Arial" w:eastAsia="Arial" w:hAnsi="Arial"/>
          <w:sz w:val="21"/>
          <w:szCs w:val="21"/>
          <w:b w:val="1"/>
          <w:bCs w:val="1"/>
          <w:color w:val="auto"/>
        </w:rPr>
        <w:t>A</w:t>
      </w:r>
      <w:r>
        <w:rPr>
          <w:rFonts w:ascii="Arial" w:cs="Arial" w:eastAsia="Arial" w:hAnsi="Arial"/>
          <w:sz w:val="15"/>
          <w:szCs w:val="15"/>
          <w:b w:val="1"/>
          <w:bCs w:val="1"/>
          <w:color w:val="auto"/>
        </w:rPr>
        <w:t xml:space="preserve">RRANGERS AND </w:t>
      </w:r>
      <w:r>
        <w:rPr>
          <w:rFonts w:ascii="Arial" w:cs="Arial" w:eastAsia="Arial" w:hAnsi="Arial"/>
          <w:sz w:val="21"/>
          <w:szCs w:val="21"/>
          <w:b w:val="1"/>
          <w:bCs w:val="1"/>
          <w:color w:val="auto"/>
        </w:rPr>
        <w:t>J</w:t>
      </w:r>
      <w:r>
        <w:rPr>
          <w:rFonts w:ascii="Arial" w:cs="Arial" w:eastAsia="Arial" w:hAnsi="Arial"/>
          <w:sz w:val="15"/>
          <w:szCs w:val="15"/>
          <w:b w:val="1"/>
          <w:bCs w:val="1"/>
          <w:color w:val="auto"/>
        </w:rPr>
        <w:t xml:space="preserve">OINT </w:t>
      </w:r>
      <w:r>
        <w:rPr>
          <w:rFonts w:ascii="Arial" w:cs="Arial" w:eastAsia="Arial" w:hAnsi="Arial"/>
          <w:sz w:val="21"/>
          <w:szCs w:val="21"/>
          <w:b w:val="1"/>
          <w:bCs w:val="1"/>
          <w:color w:val="auto"/>
        </w:rPr>
        <w:t>B</w:t>
      </w:r>
      <w:r>
        <w:rPr>
          <w:rFonts w:ascii="Arial" w:cs="Arial" w:eastAsia="Arial" w:hAnsi="Arial"/>
          <w:sz w:val="15"/>
          <w:szCs w:val="15"/>
          <w:b w:val="1"/>
          <w:bCs w:val="1"/>
          <w:color w:val="auto"/>
        </w:rPr>
        <w:t>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132080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12" w:right="3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53"/>
        </w:trPr>
        <w:tc>
          <w:tcPr>
            <w:tcW w:w="10800" w:type="dxa"/>
            <w:vAlign w:val="bottom"/>
            <w:gridSpan w:val="3"/>
          </w:tcPr>
          <w:p>
            <w:pPr>
              <w:ind w:left="4460"/>
              <w:spacing w:after="0"/>
              <w:rPr>
                <w:sz w:val="20"/>
                <w:szCs w:val="20"/>
                <w:color w:val="auto"/>
              </w:rPr>
            </w:pPr>
            <w:r>
              <w:rPr>
                <w:rFonts w:ascii="Arial" w:cs="Arial" w:eastAsia="Arial" w:hAnsi="Arial"/>
                <w:sz w:val="22"/>
                <w:szCs w:val="22"/>
                <w:b w:val="1"/>
                <w:bCs w:val="1"/>
                <w:color w:val="auto"/>
              </w:rPr>
              <w:t>TABLE OF CONTENTS</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44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22"/>
                <w:szCs w:val="22"/>
                <w:b w:val="1"/>
                <w:bCs w:val="1"/>
                <w:color w:val="auto"/>
                <w:w w:val="83"/>
              </w:rPr>
              <w:t>Page</w:t>
            </w:r>
          </w:p>
        </w:tc>
        <w:tc>
          <w:tcPr>
            <w:tcW w:w="0" w:type="dxa"/>
            <w:vAlign w:val="bottom"/>
          </w:tcPr>
          <w:p>
            <w:pPr>
              <w:spacing w:after="0"/>
              <w:rPr>
                <w:sz w:val="1"/>
                <w:szCs w:val="1"/>
                <w:color w:val="auto"/>
              </w:rPr>
            </w:pPr>
          </w:p>
        </w:tc>
      </w:tr>
      <w:tr>
        <w:trPr>
          <w:trHeight w:val="452"/>
        </w:trPr>
        <w:tc>
          <w:tcPr>
            <w:tcW w:w="4460" w:type="dxa"/>
            <w:vAlign w:val="bottom"/>
          </w:tcPr>
          <w:p>
            <w:pPr>
              <w:spacing w:after="0"/>
              <w:rPr>
                <w:sz w:val="24"/>
                <w:szCs w:val="24"/>
                <w:color w:val="auto"/>
              </w:rPr>
            </w:pPr>
          </w:p>
        </w:tc>
        <w:tc>
          <w:tcPr>
            <w:tcW w:w="6340" w:type="dxa"/>
            <w:vAlign w:val="bottom"/>
            <w:gridSpan w:val="2"/>
          </w:tcPr>
          <w:p>
            <w:pPr>
              <w:jc w:val="center"/>
              <w:ind w:right="5120"/>
              <w:spacing w:after="0"/>
              <w:rPr>
                <w:sz w:val="20"/>
                <w:szCs w:val="20"/>
                <w:color w:val="auto"/>
              </w:rPr>
            </w:pPr>
            <w:r>
              <w:rPr>
                <w:rFonts w:ascii="Arial" w:cs="Arial" w:eastAsia="Arial" w:hAnsi="Arial"/>
                <w:sz w:val="18"/>
                <w:szCs w:val="18"/>
                <w:color w:val="010000"/>
                <w:w w:val="99"/>
              </w:rPr>
              <w:t>ARTICLE I</w:t>
            </w: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0" w:type="dxa"/>
            <w:vAlign w:val="bottom"/>
            <w:gridSpan w:val="3"/>
          </w:tcPr>
          <w:p>
            <w:pPr>
              <w:jc w:val="center"/>
              <w:ind w:right="680"/>
              <w:spacing w:after="0"/>
              <w:rPr>
                <w:sz w:val="20"/>
                <w:szCs w:val="20"/>
                <w:color w:val="auto"/>
              </w:rPr>
            </w:pPr>
            <w:r>
              <w:rPr>
                <w:rFonts w:ascii="Arial" w:cs="Arial" w:eastAsia="Arial" w:hAnsi="Arial"/>
                <w:sz w:val="18"/>
                <w:szCs w:val="18"/>
                <w:color w:val="auto"/>
                <w:w w:val="96"/>
              </w:rPr>
              <w:t>DEFINITIONS; ACCOUNTING TERMS; INTERPRETATION</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1.01Definitions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1.02Accounting Terms; Changes in GAAP</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1.03Interpretation</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1.04LLC Divisions</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1.05Luxembourg Terms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1.06Dutch Terms</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1.07Centre of Main Interest</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1.08Quebec Terms</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6F4F9"/>
          </w:tcPr>
          <w:p>
            <w:pPr>
              <w:spacing w:after="0"/>
              <w:rPr>
                <w:sz w:val="18"/>
                <w:szCs w:val="18"/>
                <w:color w:val="auto"/>
              </w:rPr>
            </w:pPr>
          </w:p>
        </w:tc>
        <w:tc>
          <w:tcPr>
            <w:tcW w:w="2320" w:type="dxa"/>
            <w:vAlign w:val="bottom"/>
            <w:shd w:val="clear" w:color="auto" w:fill="C6F4F9"/>
          </w:tcPr>
          <w:p>
            <w:pPr>
              <w:spacing w:after="0"/>
              <w:rPr>
                <w:sz w:val="18"/>
                <w:szCs w:val="18"/>
                <w:color w:val="auto"/>
              </w:rPr>
            </w:pPr>
          </w:p>
        </w:tc>
        <w:tc>
          <w:tcPr>
            <w:tcW w:w="40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340" w:type="dxa"/>
            <w:vAlign w:val="bottom"/>
            <w:gridSpan w:val="2"/>
          </w:tcPr>
          <w:p>
            <w:pPr>
              <w:jc w:val="center"/>
              <w:ind w:right="5140"/>
              <w:spacing w:after="0"/>
              <w:rPr>
                <w:sz w:val="20"/>
                <w:szCs w:val="20"/>
                <w:color w:val="auto"/>
              </w:rPr>
            </w:pPr>
            <w:r>
              <w:rPr>
                <w:rFonts w:ascii="Arial" w:cs="Arial" w:eastAsia="Arial" w:hAnsi="Arial"/>
                <w:sz w:val="18"/>
                <w:szCs w:val="18"/>
                <w:color w:val="010000"/>
              </w:rPr>
              <w:t>ARTICLE II</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jc w:val="center"/>
              <w:ind w:right="680"/>
              <w:spacing w:after="0"/>
              <w:rPr>
                <w:sz w:val="20"/>
                <w:szCs w:val="20"/>
                <w:color w:val="auto"/>
              </w:rPr>
            </w:pPr>
            <w:r>
              <w:rPr>
                <w:rFonts w:ascii="Arial" w:cs="Arial" w:eastAsia="Arial" w:hAnsi="Arial"/>
                <w:sz w:val="18"/>
                <w:szCs w:val="18"/>
                <w:color w:val="auto"/>
                <w:w w:val="99"/>
              </w:rPr>
              <w:t>COMMITMENTS</w:t>
            </w:r>
          </w:p>
        </w:tc>
        <w:tc>
          <w:tcPr>
            <w:tcW w:w="4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2.01Termination and Reduction of Commitments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2.02Repayment of Obligations; Evidence of Debt</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2.03Prepayment of Obligations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2.04Fees</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2.05Interest</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2.06Alternate Rate of Fees</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2.07Increased Costs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2.08Several Liability; Agreement to Defer Exercise of Right of Contribution, Etc.</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2.09Determination of Exchange Rates; Cash Collateralization as a Result of Currency Fluctuations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2.10Defaulting Lenders</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2.11Increase in Commitments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2.12Activity Reports</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6F4F9"/>
          </w:tcPr>
          <w:p>
            <w:pPr>
              <w:spacing w:after="0"/>
              <w:rPr>
                <w:sz w:val="18"/>
                <w:szCs w:val="18"/>
                <w:color w:val="auto"/>
              </w:rPr>
            </w:pPr>
          </w:p>
        </w:tc>
        <w:tc>
          <w:tcPr>
            <w:tcW w:w="2320" w:type="dxa"/>
            <w:vAlign w:val="bottom"/>
            <w:shd w:val="clear" w:color="auto" w:fill="C6F4F9"/>
          </w:tcPr>
          <w:p>
            <w:pPr>
              <w:spacing w:after="0"/>
              <w:rPr>
                <w:sz w:val="18"/>
                <w:szCs w:val="18"/>
                <w:color w:val="auto"/>
              </w:rPr>
            </w:pPr>
          </w:p>
        </w:tc>
        <w:tc>
          <w:tcPr>
            <w:tcW w:w="40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340" w:type="dxa"/>
            <w:vAlign w:val="bottom"/>
            <w:gridSpan w:val="2"/>
          </w:tcPr>
          <w:p>
            <w:pPr>
              <w:jc w:val="center"/>
              <w:ind w:right="5120"/>
              <w:spacing w:after="0"/>
              <w:rPr>
                <w:sz w:val="20"/>
                <w:szCs w:val="20"/>
                <w:color w:val="auto"/>
              </w:rPr>
            </w:pPr>
            <w:r>
              <w:rPr>
                <w:rFonts w:ascii="Arial" w:cs="Arial" w:eastAsia="Arial" w:hAnsi="Arial"/>
                <w:sz w:val="18"/>
                <w:szCs w:val="18"/>
                <w:color w:val="010000"/>
              </w:rPr>
              <w:t>ARTICLE III</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jc w:val="center"/>
              <w:ind w:right="660"/>
              <w:spacing w:after="0"/>
              <w:rPr>
                <w:sz w:val="20"/>
                <w:szCs w:val="20"/>
                <w:color w:val="auto"/>
              </w:rPr>
            </w:pPr>
            <w:r>
              <w:rPr>
                <w:rFonts w:ascii="Arial" w:cs="Arial" w:eastAsia="Arial" w:hAnsi="Arial"/>
                <w:sz w:val="18"/>
                <w:szCs w:val="18"/>
                <w:color w:val="auto"/>
                <w:w w:val="95"/>
              </w:rPr>
              <w:t>LETTERS OF CREDIT</w:t>
            </w:r>
          </w:p>
        </w:tc>
        <w:tc>
          <w:tcPr>
            <w:tcW w:w="4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3.01Letters of Credit</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6F4F9"/>
          </w:tcPr>
          <w:p>
            <w:pPr>
              <w:spacing w:after="0"/>
              <w:rPr>
                <w:sz w:val="18"/>
                <w:szCs w:val="18"/>
                <w:color w:val="auto"/>
              </w:rPr>
            </w:pPr>
          </w:p>
        </w:tc>
        <w:tc>
          <w:tcPr>
            <w:tcW w:w="2320" w:type="dxa"/>
            <w:vAlign w:val="bottom"/>
            <w:shd w:val="clear" w:color="auto" w:fill="C6F4F9"/>
          </w:tcPr>
          <w:p>
            <w:pPr>
              <w:spacing w:after="0"/>
              <w:rPr>
                <w:sz w:val="18"/>
                <w:szCs w:val="18"/>
                <w:color w:val="auto"/>
              </w:rPr>
            </w:pPr>
          </w:p>
        </w:tc>
        <w:tc>
          <w:tcPr>
            <w:tcW w:w="40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340" w:type="dxa"/>
            <w:vAlign w:val="bottom"/>
            <w:gridSpan w:val="2"/>
          </w:tcPr>
          <w:p>
            <w:pPr>
              <w:jc w:val="center"/>
              <w:ind w:right="5120"/>
              <w:spacing w:after="0"/>
              <w:rPr>
                <w:sz w:val="20"/>
                <w:szCs w:val="20"/>
                <w:color w:val="auto"/>
              </w:rPr>
            </w:pPr>
            <w:r>
              <w:rPr>
                <w:rFonts w:ascii="Arial" w:cs="Arial" w:eastAsia="Arial" w:hAnsi="Arial"/>
                <w:sz w:val="18"/>
                <w:szCs w:val="18"/>
                <w:color w:val="010000"/>
                <w:w w:val="99"/>
              </w:rPr>
              <w:t>ARTICLE IV</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jc w:val="center"/>
              <w:ind w:right="680"/>
              <w:spacing w:after="0"/>
              <w:rPr>
                <w:sz w:val="20"/>
                <w:szCs w:val="20"/>
                <w:color w:val="auto"/>
              </w:rPr>
            </w:pPr>
            <w:r>
              <w:rPr>
                <w:rFonts w:ascii="Arial" w:cs="Arial" w:eastAsia="Arial" w:hAnsi="Arial"/>
                <w:sz w:val="18"/>
                <w:szCs w:val="18"/>
                <w:color w:val="auto"/>
                <w:w w:val="94"/>
              </w:rPr>
              <w:t>PAYMENTS; PRO RATA TREATMENT; TAXES</w:t>
            </w:r>
          </w:p>
        </w:tc>
        <w:tc>
          <w:tcPr>
            <w:tcW w:w="4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4.01Payments Generally; Pro Rata Treatment; Sharing of Set-offs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tcPr>
          <w:p>
            <w:pPr>
              <w:spacing w:after="0"/>
              <w:rPr>
                <w:sz w:val="20"/>
                <w:szCs w:val="20"/>
                <w:color w:val="auto"/>
              </w:rPr>
            </w:pPr>
            <w:r>
              <w:rPr>
                <w:rFonts w:ascii="Arial" w:cs="Arial" w:eastAsia="Arial" w:hAnsi="Arial"/>
                <w:sz w:val="18"/>
                <w:szCs w:val="18"/>
                <w:color w:val="auto"/>
              </w:rPr>
              <w:t>SECTION 4.02Taxes/Additional Payments</w:t>
            </w: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4.03Mitigation Obligations; Replacement of Lenders</w:t>
            </w:r>
          </w:p>
        </w:tc>
        <w:tc>
          <w:tcPr>
            <w:tcW w:w="4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0" w:type="dxa"/>
            <w:vAlign w:val="bottom"/>
            <w:gridSpan w:val="3"/>
          </w:tcPr>
          <w:p>
            <w:pPr>
              <w:spacing w:after="0"/>
              <w:rPr>
                <w:sz w:val="20"/>
                <w:szCs w:val="20"/>
                <w:color w:val="auto"/>
              </w:rPr>
            </w:pPr>
            <w:r>
              <w:rPr>
                <w:rFonts w:ascii="Arial" w:cs="Arial" w:eastAsia="Arial" w:hAnsi="Arial"/>
                <w:sz w:val="18"/>
                <w:szCs w:val="18"/>
                <w:color w:val="auto"/>
              </w:rPr>
              <w:t>SECTION 4.04Financial Assistance</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4.05UK Limitation</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jc w:val="center"/>
              <w:ind w:left="1150"/>
              <w:spacing w:after="0"/>
              <w:rPr>
                <w:sz w:val="20"/>
                <w:szCs w:val="20"/>
                <w:color w:val="auto"/>
              </w:rPr>
            </w:pPr>
            <w:r>
              <w:rPr>
                <w:rFonts w:ascii="Arial" w:cs="Arial" w:eastAsia="Arial" w:hAnsi="Arial"/>
                <w:sz w:val="18"/>
                <w:szCs w:val="18"/>
                <w:color w:val="010000"/>
                <w:w w:val="98"/>
              </w:rPr>
              <w:t>ARTICLE V</w:t>
            </w:r>
          </w:p>
        </w:tc>
        <w:tc>
          <w:tcPr>
            <w:tcW w:w="236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jc w:val="center"/>
              <w:ind w:left="1170"/>
              <w:spacing w:after="0"/>
              <w:rPr>
                <w:sz w:val="20"/>
                <w:szCs w:val="20"/>
                <w:color w:val="auto"/>
              </w:rPr>
            </w:pPr>
            <w:r>
              <w:rPr>
                <w:rFonts w:ascii="Arial" w:cs="Arial" w:eastAsia="Arial" w:hAnsi="Arial"/>
                <w:sz w:val="18"/>
                <w:szCs w:val="18"/>
                <w:color w:val="auto"/>
                <w:w w:val="95"/>
              </w:rPr>
              <w:t>CONDITIONS PRECEDENT</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18"/>
                <w:szCs w:val="18"/>
                <w:color w:val="auto"/>
              </w:rPr>
            </w:pPr>
          </w:p>
        </w:tc>
        <w:tc>
          <w:tcPr>
            <w:tcW w:w="236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5.01Conditions Precedent to the Effective Date</w:t>
            </w:r>
          </w:p>
        </w:tc>
        <w:tc>
          <w:tcPr>
            <w:tcW w:w="23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5.02Conditions Precedent to All Credit Events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jc w:val="center"/>
              <w:ind w:left="1170"/>
              <w:spacing w:after="0"/>
              <w:rPr>
                <w:sz w:val="20"/>
                <w:szCs w:val="20"/>
                <w:color w:val="auto"/>
              </w:rPr>
            </w:pPr>
            <w:r>
              <w:rPr>
                <w:rFonts w:ascii="Arial" w:cs="Arial" w:eastAsia="Arial" w:hAnsi="Arial"/>
                <w:sz w:val="18"/>
                <w:szCs w:val="18"/>
                <w:color w:val="010000"/>
                <w:w w:val="99"/>
              </w:rPr>
              <w:t>ARTICLE VI</w:t>
            </w:r>
          </w:p>
        </w:tc>
        <w:tc>
          <w:tcPr>
            <w:tcW w:w="236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jc w:val="center"/>
              <w:ind w:left="1150"/>
              <w:spacing w:after="0"/>
              <w:rPr>
                <w:sz w:val="20"/>
                <w:szCs w:val="20"/>
                <w:color w:val="auto"/>
              </w:rPr>
            </w:pPr>
            <w:r>
              <w:rPr>
                <w:rFonts w:ascii="Arial" w:cs="Arial" w:eastAsia="Arial" w:hAnsi="Arial"/>
                <w:sz w:val="18"/>
                <w:szCs w:val="18"/>
                <w:color w:val="auto"/>
                <w:w w:val="95"/>
              </w:rPr>
              <w:t>REPRESENTATIONS AND WARRANTIES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18"/>
                <w:szCs w:val="18"/>
                <w:color w:val="auto"/>
              </w:rPr>
            </w:pPr>
          </w:p>
        </w:tc>
        <w:tc>
          <w:tcPr>
            <w:tcW w:w="236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6.01Organization and Qualification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6.02Authorization, Validity, Etc.</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6.03Governmental Consents, Etc.</w:t>
            </w:r>
          </w:p>
        </w:tc>
        <w:tc>
          <w:tcPr>
            <w:tcW w:w="23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6.04No Breach or Violation of Law or Agreements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6.05Litigation</w:t>
            </w: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6.06Information; No Material Adverse Change</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6.07Investment Company Act; Margin Regulations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6.08ERISA; Canadian Defined Benefit Plans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6.09Tax Returns and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6.10Requirements of Law</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6.11No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6.12Anti-Corruption Laws and Sanctions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6.13Properties</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6.14No Restrictive Agreements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6.15Solvency</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6.16Insurance</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6.17Rank of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6.18Liens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6.19Security Interest in Collateral</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6.20Capital Stock</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6.21EEA Financial Institutions</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6.22Compliance with the Swiss Non-Bank Rules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6.23Dutch Fiscal Unity</w:t>
            </w:r>
          </w:p>
        </w:tc>
        <w:tc>
          <w:tcPr>
            <w:tcW w:w="236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6.24Tax Residency</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6.25Status as a Holding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18"/>
                <w:szCs w:val="18"/>
                <w:color w:val="auto"/>
              </w:rPr>
            </w:pPr>
          </w:p>
        </w:tc>
        <w:tc>
          <w:tcPr>
            <w:tcW w:w="236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jc w:val="center"/>
              <w:ind w:left="1150"/>
              <w:spacing w:after="0"/>
              <w:rPr>
                <w:sz w:val="20"/>
                <w:szCs w:val="20"/>
                <w:color w:val="auto"/>
              </w:rPr>
            </w:pPr>
            <w:r>
              <w:rPr>
                <w:rFonts w:ascii="Arial" w:cs="Arial" w:eastAsia="Arial" w:hAnsi="Arial"/>
                <w:sz w:val="18"/>
                <w:szCs w:val="18"/>
                <w:color w:val="010000"/>
              </w:rPr>
              <w:t>ARTICLE VII</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jc w:val="center"/>
              <w:ind w:left="1150"/>
              <w:spacing w:after="0"/>
              <w:rPr>
                <w:sz w:val="20"/>
                <w:szCs w:val="20"/>
                <w:color w:val="auto"/>
              </w:rPr>
            </w:pPr>
            <w:r>
              <w:rPr>
                <w:rFonts w:ascii="Arial" w:cs="Arial" w:eastAsia="Arial" w:hAnsi="Arial"/>
                <w:sz w:val="18"/>
                <w:szCs w:val="18"/>
                <w:color w:val="auto"/>
                <w:w w:val="98"/>
              </w:rPr>
              <w:t>AFFIRMATIVE COVENANTS</w:t>
            </w:r>
          </w:p>
        </w:tc>
        <w:tc>
          <w:tcPr>
            <w:tcW w:w="236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7.01Information Covenants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7.02Books, Records and Inspections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7.03Insurance</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7.04Payment of Taxes and other Claims</w:t>
            </w:r>
          </w:p>
        </w:tc>
        <w:tc>
          <w:tcPr>
            <w:tcW w:w="23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7.05Existence</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SECTION 7.06ERISA Compliance</w:t>
            </w:r>
          </w:p>
        </w:tc>
        <w:tc>
          <w:tcPr>
            <w:tcW w:w="23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6F4F9"/>
          </w:tcPr>
          <w:p>
            <w:pPr>
              <w:spacing w:after="0"/>
              <w:rPr>
                <w:sz w:val="20"/>
                <w:szCs w:val="20"/>
                <w:color w:val="auto"/>
              </w:rPr>
            </w:pPr>
            <w:r>
              <w:rPr>
                <w:rFonts w:ascii="Arial" w:cs="Arial" w:eastAsia="Arial" w:hAnsi="Arial"/>
                <w:sz w:val="18"/>
                <w:szCs w:val="18"/>
                <w:color w:val="auto"/>
              </w:rPr>
              <w:t>SECTION 7.07Compliance with Laws and Material Contractual Obligations</w:t>
            </w:r>
          </w:p>
        </w:tc>
        <w:tc>
          <w:tcPr>
            <w:tcW w:w="23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16"/>
        </w:trPr>
        <w:tc>
          <w:tcPr>
            <w:tcW w:w="1180" w:type="dxa"/>
            <w:vAlign w:val="bottom"/>
            <w:shd w:val="clear" w:color="auto" w:fill="C6F4F9"/>
          </w:tcPr>
          <w:p>
            <w:pPr>
              <w:spacing w:after="0"/>
              <w:rPr>
                <w:sz w:val="20"/>
                <w:szCs w:val="20"/>
                <w:color w:val="auto"/>
              </w:rPr>
            </w:pPr>
            <w:r>
              <w:rPr>
                <w:rFonts w:ascii="Arial" w:cs="Arial" w:eastAsia="Arial" w:hAnsi="Arial"/>
                <w:sz w:val="18"/>
                <w:szCs w:val="18"/>
                <w:color w:val="auto"/>
                <w:w w:val="96"/>
              </w:rPr>
              <w:t>SECTION 7.08</w:t>
            </w:r>
          </w:p>
        </w:tc>
        <w:tc>
          <w:tcPr>
            <w:tcW w:w="8920" w:type="dxa"/>
            <w:vAlign w:val="bottom"/>
            <w:shd w:val="clear" w:color="auto" w:fill="C6F4F9"/>
          </w:tcPr>
          <w:p>
            <w:pPr>
              <w:ind w:left="40"/>
              <w:spacing w:after="0"/>
              <w:rPr>
                <w:sz w:val="20"/>
                <w:szCs w:val="20"/>
                <w:color w:val="auto"/>
              </w:rPr>
            </w:pPr>
            <w:r>
              <w:rPr>
                <w:rFonts w:ascii="Arial" w:cs="Arial" w:eastAsia="Arial" w:hAnsi="Arial"/>
                <w:sz w:val="18"/>
                <w:szCs w:val="18"/>
                <w:color w:val="auto"/>
              </w:rPr>
              <w:t>Additional Guarantors; Additional Specified Jurisdictions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7.09</w:t>
            </w:r>
          </w:p>
        </w:tc>
        <w:tc>
          <w:tcPr>
            <w:tcW w:w="8920" w:type="dxa"/>
            <w:vAlign w:val="bottom"/>
          </w:tcPr>
          <w:p>
            <w:pPr>
              <w:ind w:left="40"/>
              <w:spacing w:after="0"/>
              <w:rPr>
                <w:sz w:val="20"/>
                <w:szCs w:val="20"/>
                <w:color w:val="auto"/>
              </w:rPr>
            </w:pPr>
            <w:r>
              <w:rPr>
                <w:rFonts w:ascii="Arial" w:cs="Arial" w:eastAsia="Arial" w:hAnsi="Arial"/>
                <w:sz w:val="18"/>
                <w:szCs w:val="18"/>
                <w:color w:val="auto"/>
              </w:rPr>
              <w:t>Designation of Unrestricted Subsidiaries; Redesignation of Unrestricted Subsidiaries as Restricted Subsidiaries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7.10 Compliance with the Swiss Non-Bank Rules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7.11 Post-Closing Grant and Perfection Requirements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7.12 Status as a Holding Company</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7.13 Lender Meeting</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20"/>
                <w:szCs w:val="20"/>
                <w:color w:val="auto"/>
              </w:rPr>
            </w:pPr>
            <w:r>
              <w:rPr>
                <w:rFonts w:ascii="Arial" w:cs="Arial" w:eastAsia="Arial" w:hAnsi="Arial"/>
                <w:sz w:val="18"/>
                <w:szCs w:val="18"/>
                <w:color w:val="auto"/>
                <w:w w:val="96"/>
              </w:rPr>
              <w:t>SECTION 7.14</w:t>
            </w:r>
          </w:p>
        </w:tc>
        <w:tc>
          <w:tcPr>
            <w:tcW w:w="8920" w:type="dxa"/>
            <w:vAlign w:val="bottom"/>
            <w:shd w:val="clear" w:color="auto" w:fill="C6F4F9"/>
          </w:tcPr>
          <w:p>
            <w:pPr>
              <w:ind w:left="40"/>
              <w:spacing w:after="0"/>
              <w:rPr>
                <w:sz w:val="20"/>
                <w:szCs w:val="20"/>
                <w:color w:val="auto"/>
              </w:rPr>
            </w:pPr>
            <w:r>
              <w:rPr>
                <w:rFonts w:ascii="Arial" w:cs="Arial" w:eastAsia="Arial" w:hAnsi="Arial"/>
                <w:sz w:val="18"/>
                <w:szCs w:val="18"/>
                <w:color w:val="auto"/>
              </w:rPr>
              <w:t>Maintenance of Properties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7.15</w:t>
            </w:r>
          </w:p>
        </w:tc>
        <w:tc>
          <w:tcPr>
            <w:tcW w:w="8920" w:type="dxa"/>
            <w:vAlign w:val="bottom"/>
          </w:tcPr>
          <w:p>
            <w:pPr>
              <w:ind w:left="40"/>
              <w:spacing w:after="0"/>
              <w:rPr>
                <w:sz w:val="20"/>
                <w:szCs w:val="20"/>
                <w:color w:val="auto"/>
              </w:rPr>
            </w:pPr>
            <w:r>
              <w:rPr>
                <w:rFonts w:ascii="Arial" w:cs="Arial" w:eastAsia="Arial" w:hAnsi="Arial"/>
                <w:sz w:val="18"/>
                <w:szCs w:val="18"/>
                <w:color w:val="auto"/>
              </w:rPr>
              <w:t>Morgan Stanley Letters of Credit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18"/>
                <w:szCs w:val="18"/>
                <w:color w:val="auto"/>
              </w:rPr>
            </w:pPr>
          </w:p>
        </w:tc>
        <w:tc>
          <w:tcPr>
            <w:tcW w:w="8920" w:type="dxa"/>
            <w:vAlign w:val="bottom"/>
            <w:shd w:val="clear" w:color="auto" w:fill="C6F4F9"/>
          </w:tcPr>
          <w:p>
            <w:pPr>
              <w:spacing w:after="0"/>
              <w:rPr>
                <w:sz w:val="18"/>
                <w:szCs w:val="18"/>
                <w:color w:val="auto"/>
              </w:rPr>
            </w:pPr>
          </w:p>
        </w:tc>
        <w:tc>
          <w:tcPr>
            <w:tcW w:w="11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920" w:type="dxa"/>
            <w:vAlign w:val="bottom"/>
          </w:tcPr>
          <w:p>
            <w:pPr>
              <w:jc w:val="center"/>
              <w:ind w:right="1050"/>
              <w:spacing w:after="0"/>
              <w:rPr>
                <w:sz w:val="20"/>
                <w:szCs w:val="20"/>
                <w:color w:val="auto"/>
              </w:rPr>
            </w:pPr>
            <w:r>
              <w:rPr>
                <w:rFonts w:ascii="Arial" w:cs="Arial" w:eastAsia="Arial" w:hAnsi="Arial"/>
                <w:sz w:val="18"/>
                <w:szCs w:val="18"/>
                <w:color w:val="010000"/>
              </w:rPr>
              <w:t>ARTICLE VIII</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18"/>
                <w:szCs w:val="18"/>
                <w:color w:val="auto"/>
              </w:rPr>
            </w:pPr>
          </w:p>
        </w:tc>
        <w:tc>
          <w:tcPr>
            <w:tcW w:w="8920" w:type="dxa"/>
            <w:vAlign w:val="bottom"/>
            <w:shd w:val="clear" w:color="auto" w:fill="C6F4F9"/>
          </w:tcPr>
          <w:p>
            <w:pPr>
              <w:jc w:val="center"/>
              <w:ind w:right="1050"/>
              <w:spacing w:after="0"/>
              <w:rPr>
                <w:sz w:val="20"/>
                <w:szCs w:val="20"/>
                <w:color w:val="auto"/>
              </w:rPr>
            </w:pPr>
            <w:r>
              <w:rPr>
                <w:rFonts w:ascii="Arial" w:cs="Arial" w:eastAsia="Arial" w:hAnsi="Arial"/>
                <w:sz w:val="18"/>
                <w:szCs w:val="18"/>
                <w:color w:val="auto"/>
                <w:w w:val="97"/>
              </w:rPr>
              <w:t>NEGATIVE COVENANTS</w:t>
            </w:r>
          </w:p>
        </w:tc>
        <w:tc>
          <w:tcPr>
            <w:tcW w:w="11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8.01 Indebtedness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8.02 Fundamental Changes</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20"/>
                <w:szCs w:val="20"/>
                <w:color w:val="auto"/>
              </w:rPr>
            </w:pPr>
            <w:r>
              <w:rPr>
                <w:rFonts w:ascii="Arial" w:cs="Arial" w:eastAsia="Arial" w:hAnsi="Arial"/>
                <w:sz w:val="18"/>
                <w:szCs w:val="18"/>
                <w:color w:val="auto"/>
                <w:w w:val="96"/>
              </w:rPr>
              <w:t>SECTION 8.03</w:t>
            </w:r>
          </w:p>
        </w:tc>
        <w:tc>
          <w:tcPr>
            <w:tcW w:w="8920" w:type="dxa"/>
            <w:vAlign w:val="bottom"/>
            <w:shd w:val="clear" w:color="auto" w:fill="C6F4F9"/>
          </w:tcPr>
          <w:p>
            <w:pPr>
              <w:ind w:left="40"/>
              <w:spacing w:after="0"/>
              <w:rPr>
                <w:sz w:val="20"/>
                <w:szCs w:val="20"/>
                <w:color w:val="auto"/>
              </w:rPr>
            </w:pPr>
            <w:r>
              <w:rPr>
                <w:rFonts w:ascii="Arial" w:cs="Arial" w:eastAsia="Arial" w:hAnsi="Arial"/>
                <w:sz w:val="18"/>
                <w:szCs w:val="18"/>
                <w:color w:val="auto"/>
              </w:rPr>
              <w:t>Material Change in Business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8.04 Liens</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20"/>
                <w:szCs w:val="20"/>
                <w:color w:val="auto"/>
              </w:rPr>
            </w:pPr>
            <w:r>
              <w:rPr>
                <w:rFonts w:ascii="Arial" w:cs="Arial" w:eastAsia="Arial" w:hAnsi="Arial"/>
                <w:sz w:val="18"/>
                <w:szCs w:val="18"/>
                <w:color w:val="auto"/>
                <w:w w:val="96"/>
              </w:rPr>
              <w:t>SECTION 8.05</w:t>
            </w:r>
          </w:p>
        </w:tc>
        <w:tc>
          <w:tcPr>
            <w:tcW w:w="8920" w:type="dxa"/>
            <w:vAlign w:val="bottom"/>
            <w:shd w:val="clear" w:color="auto" w:fill="C6F4F9"/>
          </w:tcPr>
          <w:p>
            <w:pPr>
              <w:ind w:left="40"/>
              <w:spacing w:after="0"/>
              <w:rPr>
                <w:sz w:val="20"/>
                <w:szCs w:val="20"/>
                <w:color w:val="auto"/>
              </w:rPr>
            </w:pPr>
            <w:r>
              <w:rPr>
                <w:rFonts w:ascii="Arial" w:cs="Arial" w:eastAsia="Arial" w:hAnsi="Arial"/>
                <w:sz w:val="18"/>
                <w:szCs w:val="18"/>
                <w:color w:val="auto"/>
              </w:rPr>
              <w:t>Asset Dispositions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8.06 Investments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8.07 Swap Agreements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8.08</w:t>
            </w:r>
          </w:p>
        </w:tc>
        <w:tc>
          <w:tcPr>
            <w:tcW w:w="8920" w:type="dxa"/>
            <w:vAlign w:val="bottom"/>
          </w:tcPr>
          <w:p>
            <w:pPr>
              <w:ind w:left="40"/>
              <w:spacing w:after="0"/>
              <w:rPr>
                <w:sz w:val="20"/>
                <w:szCs w:val="20"/>
                <w:color w:val="auto"/>
              </w:rPr>
            </w:pPr>
            <w:r>
              <w:rPr>
                <w:rFonts w:ascii="Arial" w:cs="Arial" w:eastAsia="Arial" w:hAnsi="Arial"/>
                <w:sz w:val="18"/>
                <w:szCs w:val="18"/>
                <w:color w:val="auto"/>
              </w:rPr>
              <w:t>Restricted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8.09 Minimum Liquidity</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8.10</w:t>
            </w:r>
          </w:p>
        </w:tc>
        <w:tc>
          <w:tcPr>
            <w:tcW w:w="8920" w:type="dxa"/>
            <w:vAlign w:val="bottom"/>
          </w:tcPr>
          <w:p>
            <w:pPr>
              <w:ind w:left="40"/>
              <w:spacing w:after="0"/>
              <w:rPr>
                <w:sz w:val="20"/>
                <w:szCs w:val="20"/>
                <w:color w:val="auto"/>
              </w:rPr>
            </w:pPr>
            <w:r>
              <w:rPr>
                <w:rFonts w:ascii="Arial" w:cs="Arial" w:eastAsia="Arial" w:hAnsi="Arial"/>
                <w:sz w:val="18"/>
                <w:szCs w:val="18"/>
                <w:color w:val="auto"/>
              </w:rPr>
              <w:t>Limitation on Transactions with Affiliates</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20"/>
                <w:szCs w:val="20"/>
                <w:color w:val="auto"/>
              </w:rPr>
            </w:pPr>
            <w:r>
              <w:rPr>
                <w:rFonts w:ascii="Arial" w:cs="Arial" w:eastAsia="Arial" w:hAnsi="Arial"/>
                <w:sz w:val="18"/>
                <w:szCs w:val="18"/>
                <w:color w:val="auto"/>
                <w:w w:val="96"/>
              </w:rPr>
              <w:t>SECTION 8.11</w:t>
            </w:r>
          </w:p>
        </w:tc>
        <w:tc>
          <w:tcPr>
            <w:tcW w:w="8920" w:type="dxa"/>
            <w:vAlign w:val="bottom"/>
            <w:shd w:val="clear" w:color="auto" w:fill="C6F4F9"/>
          </w:tcPr>
          <w:p>
            <w:pPr>
              <w:ind w:left="40"/>
              <w:spacing w:after="0"/>
              <w:rPr>
                <w:sz w:val="20"/>
                <w:szCs w:val="20"/>
                <w:color w:val="auto"/>
              </w:rPr>
            </w:pPr>
            <w:r>
              <w:rPr>
                <w:rFonts w:ascii="Arial" w:cs="Arial" w:eastAsia="Arial" w:hAnsi="Arial"/>
                <w:sz w:val="18"/>
                <w:szCs w:val="18"/>
                <w:color w:val="auto"/>
              </w:rPr>
              <w:t>Restrictive Agreements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8.12 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20"/>
                <w:szCs w:val="20"/>
                <w:color w:val="auto"/>
              </w:rPr>
            </w:pPr>
            <w:r>
              <w:rPr>
                <w:rFonts w:ascii="Arial" w:cs="Arial" w:eastAsia="Arial" w:hAnsi="Arial"/>
                <w:sz w:val="18"/>
                <w:szCs w:val="18"/>
                <w:color w:val="auto"/>
                <w:w w:val="96"/>
              </w:rPr>
              <w:t>SECTION 8.13</w:t>
            </w:r>
          </w:p>
        </w:tc>
        <w:tc>
          <w:tcPr>
            <w:tcW w:w="8920" w:type="dxa"/>
            <w:vAlign w:val="bottom"/>
            <w:shd w:val="clear" w:color="auto" w:fill="C6F4F9"/>
          </w:tcPr>
          <w:p>
            <w:pPr>
              <w:ind w:left="40"/>
              <w:spacing w:after="0"/>
              <w:rPr>
                <w:sz w:val="20"/>
                <w:szCs w:val="20"/>
                <w:color w:val="auto"/>
              </w:rPr>
            </w:pPr>
            <w:r>
              <w:rPr>
                <w:rFonts w:ascii="Arial" w:cs="Arial" w:eastAsia="Arial" w:hAnsi="Arial"/>
                <w:sz w:val="18"/>
                <w:szCs w:val="18"/>
                <w:color w:val="auto"/>
              </w:rPr>
              <w:t>Changes to Fiscal Year</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8.14 Amendments to Documents Governing Certain Indebtedness</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20"/>
                <w:szCs w:val="20"/>
                <w:color w:val="auto"/>
              </w:rPr>
            </w:pPr>
            <w:r>
              <w:rPr>
                <w:rFonts w:ascii="Arial" w:cs="Arial" w:eastAsia="Arial" w:hAnsi="Arial"/>
                <w:sz w:val="18"/>
                <w:szCs w:val="18"/>
                <w:color w:val="auto"/>
                <w:w w:val="96"/>
              </w:rPr>
              <w:t>SECTION 8.15</w:t>
            </w:r>
          </w:p>
        </w:tc>
        <w:tc>
          <w:tcPr>
            <w:tcW w:w="8920" w:type="dxa"/>
            <w:vAlign w:val="bottom"/>
            <w:shd w:val="clear" w:color="auto" w:fill="C6F4F9"/>
          </w:tcPr>
          <w:p>
            <w:pPr>
              <w:ind w:left="40"/>
              <w:spacing w:after="0"/>
              <w:rPr>
                <w:sz w:val="20"/>
                <w:szCs w:val="20"/>
                <w:color w:val="auto"/>
              </w:rPr>
            </w:pPr>
            <w:r>
              <w:rPr>
                <w:rFonts w:ascii="Arial" w:cs="Arial" w:eastAsia="Arial" w:hAnsi="Arial"/>
                <w:sz w:val="18"/>
                <w:szCs w:val="18"/>
                <w:color w:val="auto"/>
              </w:rPr>
              <w:t>Limitation on Equity Issuances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8.16 Book Value of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18"/>
                <w:szCs w:val="18"/>
                <w:color w:val="auto"/>
              </w:rPr>
            </w:pPr>
          </w:p>
        </w:tc>
        <w:tc>
          <w:tcPr>
            <w:tcW w:w="8920" w:type="dxa"/>
            <w:vAlign w:val="bottom"/>
            <w:shd w:val="clear" w:color="auto" w:fill="C6F4F9"/>
          </w:tcPr>
          <w:p>
            <w:pPr>
              <w:spacing w:after="0"/>
              <w:rPr>
                <w:sz w:val="18"/>
                <w:szCs w:val="18"/>
                <w:color w:val="auto"/>
              </w:rPr>
            </w:pPr>
          </w:p>
        </w:tc>
        <w:tc>
          <w:tcPr>
            <w:tcW w:w="11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920" w:type="dxa"/>
            <w:vAlign w:val="bottom"/>
          </w:tcPr>
          <w:p>
            <w:pPr>
              <w:jc w:val="center"/>
              <w:ind w:right="1050"/>
              <w:spacing w:after="0"/>
              <w:rPr>
                <w:sz w:val="20"/>
                <w:szCs w:val="20"/>
                <w:color w:val="auto"/>
              </w:rPr>
            </w:pPr>
            <w:r>
              <w:rPr>
                <w:rFonts w:ascii="Arial" w:cs="Arial" w:eastAsia="Arial" w:hAnsi="Arial"/>
                <w:sz w:val="18"/>
                <w:szCs w:val="18"/>
                <w:color w:val="010000"/>
                <w:w w:val="99"/>
              </w:rPr>
              <w:t>ARTICLE IX</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18"/>
                <w:szCs w:val="18"/>
                <w:color w:val="auto"/>
              </w:rPr>
            </w:pPr>
          </w:p>
        </w:tc>
        <w:tc>
          <w:tcPr>
            <w:tcW w:w="8920" w:type="dxa"/>
            <w:vAlign w:val="bottom"/>
            <w:shd w:val="clear" w:color="auto" w:fill="C6F4F9"/>
          </w:tcPr>
          <w:p>
            <w:pPr>
              <w:jc w:val="center"/>
              <w:ind w:right="1050"/>
              <w:spacing w:after="0"/>
              <w:rPr>
                <w:sz w:val="20"/>
                <w:szCs w:val="20"/>
                <w:color w:val="auto"/>
              </w:rPr>
            </w:pPr>
            <w:r>
              <w:rPr>
                <w:rFonts w:ascii="Arial" w:cs="Arial" w:eastAsia="Arial" w:hAnsi="Arial"/>
                <w:sz w:val="18"/>
                <w:szCs w:val="18"/>
                <w:color w:val="auto"/>
                <w:w w:val="96"/>
              </w:rPr>
              <w:t>EVENTS OF DEFAULT AND REMEDIES</w:t>
            </w:r>
          </w:p>
        </w:tc>
        <w:tc>
          <w:tcPr>
            <w:tcW w:w="11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9.01 Events of Default and Remedies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9.02</w:t>
            </w:r>
          </w:p>
        </w:tc>
        <w:tc>
          <w:tcPr>
            <w:tcW w:w="892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9.03 Other Remedies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9.04</w:t>
            </w:r>
          </w:p>
        </w:tc>
        <w:tc>
          <w:tcPr>
            <w:tcW w:w="8920" w:type="dxa"/>
            <w:vAlign w:val="bottom"/>
          </w:tcPr>
          <w:p>
            <w:pPr>
              <w:ind w:left="40"/>
              <w:spacing w:after="0"/>
              <w:rPr>
                <w:sz w:val="20"/>
                <w:szCs w:val="20"/>
                <w:color w:val="auto"/>
              </w:rPr>
            </w:pPr>
            <w:r>
              <w:rPr>
                <w:rFonts w:ascii="Arial" w:cs="Arial" w:eastAsia="Arial" w:hAnsi="Arial"/>
                <w:sz w:val="18"/>
                <w:szCs w:val="18"/>
                <w:color w:val="auto"/>
              </w:rPr>
              <w:t>Application of Moneys During Continuation of Event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18"/>
                <w:szCs w:val="18"/>
                <w:color w:val="auto"/>
              </w:rPr>
            </w:pPr>
          </w:p>
        </w:tc>
        <w:tc>
          <w:tcPr>
            <w:tcW w:w="8920" w:type="dxa"/>
            <w:vAlign w:val="bottom"/>
            <w:shd w:val="clear" w:color="auto" w:fill="C6F4F9"/>
          </w:tcPr>
          <w:p>
            <w:pPr>
              <w:spacing w:after="0"/>
              <w:rPr>
                <w:sz w:val="18"/>
                <w:szCs w:val="18"/>
                <w:color w:val="auto"/>
              </w:rPr>
            </w:pPr>
          </w:p>
        </w:tc>
        <w:tc>
          <w:tcPr>
            <w:tcW w:w="11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920" w:type="dxa"/>
            <w:vAlign w:val="bottom"/>
          </w:tcPr>
          <w:p>
            <w:pPr>
              <w:jc w:val="center"/>
              <w:ind w:right="1070"/>
              <w:spacing w:after="0"/>
              <w:rPr>
                <w:sz w:val="20"/>
                <w:szCs w:val="20"/>
                <w:color w:val="auto"/>
              </w:rPr>
            </w:pPr>
            <w:r>
              <w:rPr>
                <w:rFonts w:ascii="Arial" w:cs="Arial" w:eastAsia="Arial" w:hAnsi="Arial"/>
                <w:sz w:val="18"/>
                <w:szCs w:val="18"/>
                <w:color w:val="010000"/>
                <w:w w:val="98"/>
              </w:rPr>
              <w:t>ARTICLE X</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6F4F9"/>
          </w:tcPr>
          <w:p>
            <w:pPr>
              <w:spacing w:after="0"/>
              <w:rPr>
                <w:sz w:val="18"/>
                <w:szCs w:val="18"/>
                <w:color w:val="auto"/>
              </w:rPr>
            </w:pPr>
          </w:p>
        </w:tc>
        <w:tc>
          <w:tcPr>
            <w:tcW w:w="8920" w:type="dxa"/>
            <w:vAlign w:val="bottom"/>
            <w:shd w:val="clear" w:color="auto" w:fill="C6F4F9"/>
          </w:tcPr>
          <w:p>
            <w:pPr>
              <w:jc w:val="center"/>
              <w:ind w:right="1050"/>
              <w:spacing w:after="0"/>
              <w:rPr>
                <w:sz w:val="20"/>
                <w:szCs w:val="20"/>
                <w:color w:val="auto"/>
              </w:rPr>
            </w:pPr>
            <w:r>
              <w:rPr>
                <w:rFonts w:ascii="Arial" w:cs="Arial" w:eastAsia="Arial" w:hAnsi="Arial"/>
                <w:sz w:val="18"/>
                <w:szCs w:val="18"/>
                <w:color w:val="auto"/>
                <w:w w:val="99"/>
              </w:rPr>
              <w:t>ADMINISTRATIVE AGENT</w:t>
            </w:r>
          </w:p>
        </w:tc>
        <w:tc>
          <w:tcPr>
            <w:tcW w:w="114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10.01Authorization and Action.</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10.02Liability of Agents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10.03Reliance by Agents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10.04Delegation of Duties</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10.05Successor Agents</w:t>
            </w:r>
          </w:p>
        </w:tc>
        <w:tc>
          <w:tcPr>
            <w:tcW w:w="11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SECTION 10.06Credit Decision</w:t>
            </w: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10.07Other Agents; Joint Lead Arrangers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10.08No Joint Venture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10.09Secured Party</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10.10Administrative Agent May File Proofs of Claim</w:t>
            </w:r>
          </w:p>
        </w:tc>
        <w:tc>
          <w:tcPr>
            <w:tcW w:w="24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10.11Foreign Collateral Matters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10.12Credit Bid</w:t>
            </w:r>
          </w:p>
        </w:tc>
        <w:tc>
          <w:tcPr>
            <w:tcW w:w="240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10.13Certain ERISA Matters; Lender Representations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10.14Intercreditor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10.15Filings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10.16Force Majeure</w:t>
            </w:r>
          </w:p>
        </w:tc>
        <w:tc>
          <w:tcPr>
            <w:tcW w:w="24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10.17No Risk of Funds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10.18No Discretion</w:t>
            </w:r>
          </w:p>
        </w:tc>
        <w:tc>
          <w:tcPr>
            <w:tcW w:w="24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10.19Special, Consequential and Indirect Damages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10.20No Environmental Liability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18"/>
                <w:szCs w:val="18"/>
                <w:color w:val="auto"/>
              </w:rPr>
            </w:pPr>
          </w:p>
        </w:tc>
        <w:tc>
          <w:tcPr>
            <w:tcW w:w="240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4580"/>
              <w:spacing w:after="0"/>
              <w:rPr>
                <w:sz w:val="20"/>
                <w:szCs w:val="20"/>
                <w:color w:val="auto"/>
              </w:rPr>
            </w:pPr>
            <w:r>
              <w:rPr>
                <w:rFonts w:ascii="Arial" w:cs="Arial" w:eastAsia="Arial" w:hAnsi="Arial"/>
                <w:sz w:val="18"/>
                <w:szCs w:val="18"/>
                <w:color w:val="010000"/>
              </w:rPr>
              <w:t>ARTICLE XI</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ind w:left="4320"/>
              <w:spacing w:after="0"/>
              <w:rPr>
                <w:sz w:val="20"/>
                <w:szCs w:val="20"/>
                <w:color w:val="auto"/>
              </w:rPr>
            </w:pPr>
            <w:r>
              <w:rPr>
                <w:rFonts w:ascii="Arial" w:cs="Arial" w:eastAsia="Arial" w:hAnsi="Arial"/>
                <w:sz w:val="18"/>
                <w:szCs w:val="18"/>
                <w:color w:val="auto"/>
              </w:rPr>
              <w:t>MISCELLANEOUS</w:t>
            </w:r>
          </w:p>
        </w:tc>
        <w:tc>
          <w:tcPr>
            <w:tcW w:w="240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11.01Waiver; Amendments; Joinder; Release of Guarantors; Release of Collateral</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11.02Notices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11.03Expenses, Etc.</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11.04Indemnity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11.05Successors and Assigns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11.06Confidentiality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11.07Survival</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11.08Governing Law</w:t>
            </w:r>
          </w:p>
        </w:tc>
        <w:tc>
          <w:tcPr>
            <w:tcW w:w="24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11.09Independence of Covenants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11.10Counterparts; Integration; Effectiveness; Electronic Execution</w:t>
            </w:r>
          </w:p>
        </w:tc>
        <w:tc>
          <w:tcPr>
            <w:tcW w:w="24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11.11Severability</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11.12Conflicts Between This Agreement and the Other Loan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11.13Headings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11.14Limitation of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11.15Submission to Jurisdiction; Consent to Service of Process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11.16Waiver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11.17Judgment Currency</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11.18No Fiduciary Duty, etc.</w:t>
            </w:r>
          </w:p>
        </w:tc>
        <w:tc>
          <w:tcPr>
            <w:tcW w:w="240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11.19USA Patriot Act</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11.20Appointment for Perfection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11.21Payments Set Aside</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11.22No Fiduciary Duty</w:t>
            </w:r>
          </w:p>
        </w:tc>
        <w:tc>
          <w:tcPr>
            <w:tcW w:w="240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11.23Release of Guarantors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11.24Acknowledgement and Consent to Bail-In of EEA Financial Institutions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11.25Confirmation of Lender’s Status as a Swiss Qualifying Lender</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11.26Joint Lead Arrangers and Joint Book Runners</w:t>
            </w:r>
          </w:p>
        </w:tc>
        <w:tc>
          <w:tcPr>
            <w:tcW w:w="240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6F4F9"/>
          </w:tcPr>
          <w:p>
            <w:pPr>
              <w:spacing w:after="0"/>
              <w:rPr>
                <w:sz w:val="20"/>
                <w:szCs w:val="20"/>
                <w:color w:val="auto"/>
              </w:rPr>
            </w:pPr>
            <w:r>
              <w:rPr>
                <w:rFonts w:ascii="Arial" w:cs="Arial" w:eastAsia="Arial" w:hAnsi="Arial"/>
                <w:sz w:val="18"/>
                <w:szCs w:val="18"/>
                <w:color w:val="auto"/>
              </w:rPr>
              <w:t>SECTION 11.27Acknowledgement Regarding Any Supported QFCs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11.28Credit Reporting Act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36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438"/>
        </w:trPr>
        <w:tc>
          <w:tcPr>
            <w:tcW w:w="18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Letter of Credit Request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Assignee Certificate</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Increasing Lender Supplement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Additional Lender Supplement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Intercreditor Agreement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U.S. Security Agreement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Canadian Security Agreement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9360" w:type="dxa"/>
            <w:vAlign w:val="bottom"/>
          </w:tcPr>
          <w:p>
            <w:pPr>
              <w:ind w:left="380"/>
              <w:spacing w:after="0"/>
              <w:rPr>
                <w:sz w:val="20"/>
                <w:szCs w:val="20"/>
                <w:color w:val="auto"/>
              </w:rPr>
            </w:pPr>
            <w:r>
              <w:rPr>
                <w:rFonts w:ascii="Arial" w:cs="Arial" w:eastAsia="Arial" w:hAnsi="Arial"/>
                <w:sz w:val="18"/>
                <w:szCs w:val="18"/>
                <w:color w:val="auto"/>
              </w:rPr>
              <w:t>Forms of IP Short Forms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English Security Agreements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British Virgin Islands Security Agreements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M</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Intercompany Subordination Agreement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N</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Participant Certificate</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EXHIBIT O</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Activity Report</w:t>
            </w:r>
          </w:p>
        </w:tc>
      </w:t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EXHIBIT P</w:t>
            </w:r>
          </w:p>
        </w:tc>
        <w:tc>
          <w:tcPr>
            <w:tcW w:w="9360" w:type="dxa"/>
            <w:vAlign w:val="bottom"/>
          </w:tcPr>
          <w:p>
            <w:pPr>
              <w:ind w:left="380"/>
              <w:spacing w:after="0"/>
              <w:rPr>
                <w:sz w:val="20"/>
                <w:szCs w:val="20"/>
                <w:color w:val="auto"/>
              </w:rPr>
            </w:pPr>
            <w:r>
              <w:rPr>
                <w:rFonts w:ascii="Arial" w:cs="Arial" w:eastAsia="Arial" w:hAnsi="Arial"/>
                <w:sz w:val="18"/>
                <w:szCs w:val="18"/>
                <w:color w:val="auto"/>
              </w:rPr>
              <w:t>Form of Amendment No. 1 Intercreditor Agreement</w:t>
            </w:r>
          </w:p>
        </w:tc>
      </w:tr>
      <w:tr>
        <w:trPr>
          <w:trHeight w:val="392"/>
        </w:trPr>
        <w:tc>
          <w:tcPr>
            <w:tcW w:w="18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360" w:type="dxa"/>
            <w:vAlign w:val="bottom"/>
          </w:tcPr>
          <w:p>
            <w:pPr>
              <w:spacing w:after="0"/>
              <w:rPr>
                <w:sz w:val="24"/>
                <w:szCs w:val="24"/>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438"/>
        </w:trPr>
        <w:tc>
          <w:tcPr>
            <w:tcW w:w="188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9360" w:type="dxa"/>
            <w:vAlign w:val="bottom"/>
          </w:tcPr>
          <w:p>
            <w:pPr>
              <w:ind w:left="380"/>
              <w:spacing w:after="0"/>
              <w:rPr>
                <w:sz w:val="20"/>
                <w:szCs w:val="20"/>
                <w:color w:val="auto"/>
              </w:rPr>
            </w:pPr>
            <w:r>
              <w:rPr>
                <w:rFonts w:ascii="Arial" w:cs="Arial" w:eastAsia="Arial" w:hAnsi="Arial"/>
                <w:sz w:val="18"/>
                <w:szCs w:val="18"/>
                <w:color w:val="auto"/>
              </w:rPr>
              <w:t>Excluded Jurisdictions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1.01B</w:t>
            </w:r>
          </w:p>
        </w:tc>
        <w:tc>
          <w:tcPr>
            <w:tcW w:w="9360" w:type="dxa"/>
            <w:vAlign w:val="bottom"/>
          </w:tcPr>
          <w:p>
            <w:pPr>
              <w:ind w:left="380"/>
              <w:spacing w:after="0"/>
              <w:rPr>
                <w:sz w:val="20"/>
                <w:szCs w:val="20"/>
                <w:color w:val="auto"/>
              </w:rPr>
            </w:pPr>
            <w:r>
              <w:rPr>
                <w:rFonts w:ascii="Arial" w:cs="Arial" w:eastAsia="Arial" w:hAnsi="Arial"/>
                <w:sz w:val="18"/>
                <w:szCs w:val="18"/>
                <w:color w:val="auto"/>
              </w:rPr>
              <w:t>Guarantors on the Effective Date</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1.01C</w:t>
            </w:r>
          </w:p>
        </w:tc>
        <w:tc>
          <w:tcPr>
            <w:tcW w:w="9360" w:type="dxa"/>
            <w:vAlign w:val="bottom"/>
          </w:tcPr>
          <w:p>
            <w:pPr>
              <w:ind w:left="380"/>
              <w:spacing w:after="0"/>
              <w:rPr>
                <w:sz w:val="20"/>
                <w:szCs w:val="20"/>
                <w:color w:val="auto"/>
              </w:rPr>
            </w:pPr>
            <w:r>
              <w:rPr>
                <w:rFonts w:ascii="Arial" w:cs="Arial" w:eastAsia="Arial" w:hAnsi="Arial"/>
                <w:sz w:val="18"/>
                <w:szCs w:val="18"/>
                <w:color w:val="auto"/>
              </w:rPr>
              <w:t>Effective Date Security Agreements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1.01D</w:t>
            </w:r>
          </w:p>
        </w:tc>
        <w:tc>
          <w:tcPr>
            <w:tcW w:w="9360" w:type="dxa"/>
            <w:vAlign w:val="bottom"/>
          </w:tcPr>
          <w:p>
            <w:pPr>
              <w:ind w:left="380"/>
              <w:spacing w:after="0"/>
              <w:rPr>
                <w:sz w:val="20"/>
                <w:szCs w:val="20"/>
                <w:color w:val="auto"/>
              </w:rPr>
            </w:pPr>
            <w:r>
              <w:rPr>
                <w:rFonts w:ascii="Arial" w:cs="Arial" w:eastAsia="Arial" w:hAnsi="Arial"/>
                <w:sz w:val="18"/>
                <w:szCs w:val="18"/>
                <w:color w:val="auto"/>
              </w:rPr>
              <w:t>Effective Date Real Property</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1.01E</w:t>
            </w:r>
          </w:p>
        </w:tc>
        <w:tc>
          <w:tcPr>
            <w:tcW w:w="9360" w:type="dxa"/>
            <w:vAlign w:val="bottom"/>
          </w:tcPr>
          <w:p>
            <w:pPr>
              <w:ind w:left="380"/>
              <w:spacing w:after="0"/>
              <w:rPr>
                <w:sz w:val="20"/>
                <w:szCs w:val="20"/>
                <w:color w:val="auto"/>
              </w:rPr>
            </w:pPr>
            <w:r>
              <w:rPr>
                <w:rFonts w:ascii="Arial" w:cs="Arial" w:eastAsia="Arial" w:hAnsi="Arial"/>
                <w:sz w:val="18"/>
                <w:szCs w:val="18"/>
                <w:color w:val="auto"/>
              </w:rPr>
              <w:t>Effective Date Letters of Credit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9360" w:type="dxa"/>
            <w:vAlign w:val="bottom"/>
          </w:tcPr>
          <w:p>
            <w:pPr>
              <w:ind w:left="380"/>
              <w:spacing w:after="0"/>
              <w:rPr>
                <w:sz w:val="20"/>
                <w:szCs w:val="20"/>
                <w:color w:val="auto"/>
              </w:rPr>
            </w:pPr>
            <w:r>
              <w:rPr>
                <w:rFonts w:ascii="Arial" w:cs="Arial" w:eastAsia="Arial" w:hAnsi="Arial"/>
                <w:sz w:val="18"/>
                <w:szCs w:val="18"/>
                <w:color w:val="auto"/>
              </w:rPr>
              <w:t>Commitments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3.01</w:t>
            </w:r>
          </w:p>
        </w:tc>
        <w:tc>
          <w:tcPr>
            <w:tcW w:w="9360" w:type="dxa"/>
            <w:vAlign w:val="bottom"/>
          </w:tcPr>
          <w:p>
            <w:pPr>
              <w:ind w:left="38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9360" w:type="dxa"/>
            <w:vAlign w:val="bottom"/>
          </w:tcPr>
          <w:p>
            <w:pPr>
              <w:ind w:left="380"/>
              <w:spacing w:after="0"/>
              <w:rPr>
                <w:sz w:val="20"/>
                <w:szCs w:val="20"/>
                <w:color w:val="auto"/>
              </w:rPr>
            </w:pPr>
            <w:r>
              <w:rPr>
                <w:rFonts w:ascii="Arial" w:cs="Arial" w:eastAsia="Arial" w:hAnsi="Arial"/>
                <w:sz w:val="18"/>
                <w:szCs w:val="18"/>
                <w:color w:val="auto"/>
              </w:rPr>
              <w:t>Disclosed Litigation</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6.12</w:t>
            </w:r>
          </w:p>
        </w:tc>
        <w:tc>
          <w:tcPr>
            <w:tcW w:w="9360" w:type="dxa"/>
            <w:vAlign w:val="bottom"/>
          </w:tcPr>
          <w:p>
            <w:pPr>
              <w:ind w:left="380"/>
              <w:spacing w:after="0"/>
              <w:rPr>
                <w:sz w:val="20"/>
                <w:szCs w:val="20"/>
                <w:color w:val="auto"/>
              </w:rPr>
            </w:pPr>
            <w:r>
              <w:rPr>
                <w:rFonts w:ascii="Arial" w:cs="Arial" w:eastAsia="Arial" w:hAnsi="Arial"/>
                <w:sz w:val="18"/>
                <w:szCs w:val="18"/>
                <w:color w:val="auto"/>
              </w:rPr>
              <w:t>Sanctions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6.20(a)</w:t>
            </w:r>
          </w:p>
        </w:tc>
        <w:tc>
          <w:tcPr>
            <w:tcW w:w="9360" w:type="dxa"/>
            <w:vAlign w:val="bottom"/>
          </w:tcPr>
          <w:p>
            <w:pPr>
              <w:ind w:left="380"/>
              <w:spacing w:after="0"/>
              <w:rPr>
                <w:sz w:val="20"/>
                <w:szCs w:val="20"/>
                <w:color w:val="auto"/>
              </w:rPr>
            </w:pPr>
            <w:r>
              <w:rPr>
                <w:rFonts w:ascii="Arial" w:cs="Arial" w:eastAsia="Arial" w:hAnsi="Arial"/>
                <w:sz w:val="18"/>
                <w:szCs w:val="18"/>
                <w:color w:val="auto"/>
              </w:rPr>
              <w:t>Capitalization of Parent</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6.20(b)</w:t>
            </w:r>
          </w:p>
        </w:tc>
        <w:tc>
          <w:tcPr>
            <w:tcW w:w="9360" w:type="dxa"/>
            <w:vAlign w:val="bottom"/>
          </w:tcPr>
          <w:p>
            <w:pPr>
              <w:ind w:left="380"/>
              <w:spacing w:after="0"/>
              <w:rPr>
                <w:sz w:val="20"/>
                <w:szCs w:val="20"/>
                <w:color w:val="auto"/>
              </w:rPr>
            </w:pPr>
            <w:r>
              <w:rPr>
                <w:rFonts w:ascii="Arial" w:cs="Arial" w:eastAsia="Arial" w:hAnsi="Arial"/>
                <w:sz w:val="18"/>
                <w:szCs w:val="18"/>
                <w:color w:val="auto"/>
              </w:rPr>
              <w:t>Capitalization of Subsidiaries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7.11</w:t>
            </w:r>
          </w:p>
        </w:tc>
        <w:tc>
          <w:tcPr>
            <w:tcW w:w="9360" w:type="dxa"/>
            <w:vAlign w:val="bottom"/>
          </w:tcPr>
          <w:p>
            <w:pPr>
              <w:ind w:left="380"/>
              <w:spacing w:after="0"/>
              <w:rPr>
                <w:sz w:val="20"/>
                <w:szCs w:val="20"/>
                <w:color w:val="auto"/>
              </w:rPr>
            </w:pPr>
            <w:r>
              <w:rPr>
                <w:rFonts w:ascii="Arial" w:cs="Arial" w:eastAsia="Arial" w:hAnsi="Arial"/>
                <w:sz w:val="18"/>
                <w:szCs w:val="18"/>
                <w:color w:val="auto"/>
              </w:rPr>
              <w:t>Post-Closing Grant and Perfection Requirements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8.01</w:t>
            </w:r>
          </w:p>
        </w:tc>
        <w:tc>
          <w:tcPr>
            <w:tcW w:w="9360" w:type="dxa"/>
            <w:vAlign w:val="bottom"/>
          </w:tcPr>
          <w:p>
            <w:pPr>
              <w:ind w:left="380"/>
              <w:spacing w:after="0"/>
              <w:rPr>
                <w:sz w:val="20"/>
                <w:szCs w:val="20"/>
                <w:color w:val="auto"/>
              </w:rPr>
            </w:pPr>
            <w:r>
              <w:rPr>
                <w:rFonts w:ascii="Arial" w:cs="Arial" w:eastAsia="Arial" w:hAnsi="Arial"/>
                <w:sz w:val="18"/>
                <w:szCs w:val="18"/>
                <w:color w:val="auto"/>
              </w:rPr>
              <w:t>Existing Indebtedness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8.04</w:t>
            </w:r>
          </w:p>
        </w:tc>
        <w:tc>
          <w:tcPr>
            <w:tcW w:w="9360" w:type="dxa"/>
            <w:vAlign w:val="bottom"/>
          </w:tcPr>
          <w:p>
            <w:pPr>
              <w:ind w:left="380"/>
              <w:spacing w:after="0"/>
              <w:rPr>
                <w:sz w:val="20"/>
                <w:szCs w:val="20"/>
                <w:color w:val="auto"/>
              </w:rPr>
            </w:pPr>
            <w:r>
              <w:rPr>
                <w:rFonts w:ascii="Arial" w:cs="Arial" w:eastAsia="Arial" w:hAnsi="Arial"/>
                <w:sz w:val="18"/>
                <w:szCs w:val="18"/>
                <w:color w:val="auto"/>
              </w:rPr>
              <w:t>Existing Liens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8.05(d)</w:t>
            </w:r>
          </w:p>
        </w:tc>
        <w:tc>
          <w:tcPr>
            <w:tcW w:w="9360" w:type="dxa"/>
            <w:vAlign w:val="bottom"/>
          </w:tcPr>
          <w:p>
            <w:pPr>
              <w:ind w:left="380"/>
              <w:spacing w:after="0"/>
              <w:rPr>
                <w:sz w:val="20"/>
                <w:szCs w:val="20"/>
                <w:color w:val="auto"/>
              </w:rPr>
            </w:pPr>
            <w:r>
              <w:rPr>
                <w:rFonts w:ascii="Arial" w:cs="Arial" w:eastAsia="Arial" w:hAnsi="Arial"/>
                <w:sz w:val="18"/>
                <w:szCs w:val="18"/>
                <w:color w:val="auto"/>
              </w:rPr>
              <w:t>Specified Dispositions</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SCHEDULE 8.06</w:t>
            </w:r>
          </w:p>
        </w:tc>
        <w:tc>
          <w:tcPr>
            <w:tcW w:w="9360" w:type="dxa"/>
            <w:vAlign w:val="bottom"/>
          </w:tcPr>
          <w:p>
            <w:pPr>
              <w:ind w:left="380"/>
              <w:spacing w:after="0"/>
              <w:rPr>
                <w:sz w:val="20"/>
                <w:szCs w:val="20"/>
                <w:color w:val="auto"/>
              </w:rPr>
            </w:pPr>
            <w:r>
              <w:rPr>
                <w:rFonts w:ascii="Arial" w:cs="Arial" w:eastAsia="Arial" w:hAnsi="Arial"/>
                <w:sz w:val="18"/>
                <w:szCs w:val="18"/>
                <w:color w:val="auto"/>
              </w:rPr>
              <w:t>Existing Investments</w:t>
            </w:r>
          </w:p>
        </w:tc>
      </w:t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SCHEDULE 8.11</w:t>
            </w:r>
          </w:p>
        </w:tc>
        <w:tc>
          <w:tcPr>
            <w:tcW w:w="9360" w:type="dxa"/>
            <w:vAlign w:val="bottom"/>
          </w:tcPr>
          <w:p>
            <w:pPr>
              <w:ind w:left="380"/>
              <w:spacing w:after="0"/>
              <w:rPr>
                <w:sz w:val="20"/>
                <w:szCs w:val="20"/>
                <w:color w:val="auto"/>
              </w:rPr>
            </w:pPr>
            <w:r>
              <w:rPr>
                <w:rFonts w:ascii="Arial" w:cs="Arial" w:eastAsia="Arial" w:hAnsi="Arial"/>
                <w:sz w:val="18"/>
                <w:szCs w:val="18"/>
                <w:color w:val="auto"/>
              </w:rPr>
              <w:t>Existing Restrictive Agreements</w:t>
            </w:r>
          </w:p>
        </w:tc>
      </w:tr>
      <w:tr>
        <w:trPr>
          <w:trHeight w:val="69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60" w:type="dxa"/>
            <w:vAlign w:val="bottom"/>
          </w:tcPr>
          <w:p>
            <w:pPr>
              <w:ind w:left="3700"/>
              <w:spacing w:after="0"/>
              <w:rPr>
                <w:sz w:val="20"/>
                <w:szCs w:val="20"/>
                <w:color w:val="auto"/>
              </w:rPr>
            </w:pPr>
            <w:r>
              <w:rPr>
                <w:rFonts w:ascii="Arial" w:cs="Arial" w:eastAsia="Arial" w:hAnsi="Arial"/>
                <w:sz w:val="22"/>
                <w:szCs w:val="22"/>
                <w:color w:val="auto"/>
              </w:rPr>
              <w:t>v</w:t>
            </w:r>
          </w:p>
        </w:tc>
      </w:tr>
      <w:tr>
        <w:trPr>
          <w:trHeight w:val="51"/>
        </w:trPr>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08"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22"/>
          <w:szCs w:val="22"/>
          <w:b w:val="1"/>
          <w:bCs w:val="1"/>
          <w:color w:val="auto"/>
        </w:rPr>
        <w:t>LC C</w:t>
      </w:r>
      <w:r>
        <w:rPr>
          <w:rFonts w:ascii="Arial" w:cs="Arial" w:eastAsia="Arial" w:hAnsi="Arial"/>
          <w:sz w:val="14"/>
          <w:szCs w:val="14"/>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THIS LC CREDIT AGREEMENT, dated as of December 13, 2019, is among WEATHERFORD INTERNATIONAL LTD., a Bermuda exempted company (“</w:t>
      </w:r>
      <w:r>
        <w:rPr>
          <w:rFonts w:ascii="Arial" w:cs="Arial" w:eastAsia="Arial" w:hAnsi="Arial"/>
          <w:sz w:val="21"/>
          <w:szCs w:val="21"/>
          <w:u w:val="single" w:color="auto"/>
          <w:color w:val="auto"/>
        </w:rPr>
        <w:t>WIL-Bermuda</w:t>
      </w:r>
      <w:r>
        <w:rPr>
          <w:rFonts w:ascii="Arial" w:cs="Arial" w:eastAsia="Arial" w:hAnsi="Arial"/>
          <w:sz w:val="21"/>
          <w:szCs w:val="21"/>
          <w:color w:val="auto"/>
        </w:rPr>
        <w:t>”), WEATHERFORD INTERNATIONAL, LLC, a Delaware limited liability company (“</w:t>
      </w:r>
      <w:r>
        <w:rPr>
          <w:rFonts w:ascii="Arial" w:cs="Arial" w:eastAsia="Arial" w:hAnsi="Arial"/>
          <w:sz w:val="21"/>
          <w:szCs w:val="21"/>
          <w:u w:val="single" w:color="auto"/>
          <w:color w:val="auto"/>
        </w:rPr>
        <w:t>WIL</w:t>
      </w:r>
      <w:r>
        <w:rPr>
          <w:rFonts w:ascii="Arial" w:cs="Arial" w:eastAsia="Arial" w:hAnsi="Arial"/>
          <w:sz w:val="21"/>
          <w:szCs w:val="21"/>
          <w:b w:val="1"/>
          <w:bCs w:val="1"/>
          <w:u w:val="single" w:color="auto"/>
          <w:color w:val="auto"/>
        </w:rPr>
        <w:t>-</w:t>
      </w:r>
      <w:r>
        <w:rPr>
          <w:rFonts w:ascii="Arial" w:cs="Arial" w:eastAsia="Arial" w:hAnsi="Arial"/>
          <w:sz w:val="21"/>
          <w:szCs w:val="21"/>
          <w:u w:val="single" w:color="auto"/>
          <w:color w:val="auto"/>
        </w:rPr>
        <w:t>Delaware</w:t>
      </w:r>
      <w:r>
        <w:rPr>
          <w:rFonts w:ascii="Arial" w:cs="Arial" w:eastAsia="Arial" w:hAnsi="Arial"/>
          <w:sz w:val="21"/>
          <w:szCs w:val="21"/>
          <w:color w:val="auto"/>
        </w:rPr>
        <w:t>” and together with WIL-Bermuda, the “</w:t>
      </w:r>
      <w:r>
        <w:rPr>
          <w:rFonts w:ascii="Arial" w:cs="Arial" w:eastAsia="Arial" w:hAnsi="Arial"/>
          <w:sz w:val="21"/>
          <w:szCs w:val="21"/>
          <w:u w:val="single" w:color="auto"/>
          <w:color w:val="auto"/>
        </w:rPr>
        <w:t>Borrowers</w:t>
      </w:r>
      <w:r>
        <w:rPr>
          <w:rFonts w:ascii="Arial" w:cs="Arial" w:eastAsia="Arial" w:hAnsi="Arial"/>
          <w:sz w:val="21"/>
          <w:szCs w:val="21"/>
          <w:color w:val="auto"/>
        </w:rPr>
        <w:t>”), WEATHERFORD INTERNATIONAL PLC, as Parent, the Lenders from time to time party hereto, DEUTSCHE BANK TRUST COMPANY AMERICAS, as administrative agent for the Lenders (“</w:t>
      </w:r>
      <w:r>
        <w:rPr>
          <w:rFonts w:ascii="Arial" w:cs="Arial" w:eastAsia="Arial" w:hAnsi="Arial"/>
          <w:sz w:val="21"/>
          <w:szCs w:val="21"/>
          <w:u w:val="single" w:color="auto"/>
          <w:color w:val="auto"/>
        </w:rPr>
        <w:t>DBTCA</w:t>
      </w:r>
      <w:r>
        <w:rPr>
          <w:rFonts w:ascii="Arial" w:cs="Arial" w:eastAsia="Arial" w:hAnsi="Arial"/>
          <w:sz w:val="21"/>
          <w:szCs w:val="21"/>
          <w:color w:val="auto"/>
        </w:rPr>
        <w:t>”), and the Issuing Banks from time to time party hereto.</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on July 1, 2019, Parent (as defined below) and the Borrowers (together, the “</w:t>
      </w:r>
      <w:r>
        <w:rPr>
          <w:rFonts w:ascii="Arial" w:cs="Arial" w:eastAsia="Arial" w:hAnsi="Arial"/>
          <w:sz w:val="22"/>
          <w:szCs w:val="22"/>
          <w:u w:val="single" w:color="auto"/>
          <w:color w:val="auto"/>
        </w:rPr>
        <w:t>Debtors</w:t>
      </w:r>
      <w:r>
        <w:rPr>
          <w:rFonts w:ascii="Arial" w:cs="Arial" w:eastAsia="Arial" w:hAnsi="Arial"/>
          <w:sz w:val="22"/>
          <w:szCs w:val="22"/>
          <w:color w:val="auto"/>
        </w:rPr>
        <w:t>”) filed voluntary petitions with the United States Bankruptcy Court for the Southern District of Texas, Houston Division (the “</w:t>
      </w:r>
      <w:r>
        <w:rPr>
          <w:rFonts w:ascii="Arial" w:cs="Arial" w:eastAsia="Arial" w:hAnsi="Arial"/>
          <w:sz w:val="22"/>
          <w:szCs w:val="22"/>
          <w:u w:val="single" w:color="auto"/>
          <w:color w:val="auto"/>
        </w:rPr>
        <w:t>Bankruptcy Court</w:t>
      </w:r>
      <w:r>
        <w:rPr>
          <w:rFonts w:ascii="Arial" w:cs="Arial" w:eastAsia="Arial" w:hAnsi="Arial"/>
          <w:sz w:val="22"/>
          <w:szCs w:val="22"/>
          <w:color w:val="auto"/>
        </w:rPr>
        <w:t>”) for relief under Chapter 11 of Title 11 of the United States Code and commenced their Chapter 11 proceedings (the “</w:t>
      </w:r>
      <w:r>
        <w:rPr>
          <w:rFonts w:ascii="Arial" w:cs="Arial" w:eastAsia="Arial" w:hAnsi="Arial"/>
          <w:sz w:val="22"/>
          <w:szCs w:val="22"/>
          <w:u w:val="single" w:color="auto"/>
          <w:color w:val="auto"/>
        </w:rPr>
        <w:t>Chapter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Cases</w:t>
      </w:r>
      <w:r>
        <w:rPr>
          <w:rFonts w:ascii="Arial" w:cs="Arial" w:eastAsia="Arial" w:hAnsi="Arial"/>
          <w:sz w:val="22"/>
          <w:szCs w:val="22"/>
          <w:color w:val="auto"/>
        </w:rPr>
        <w:t>”);</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in connection with the Chapter 11 Cases, WIL-Bermuda has sought approval of, and to implement, a scheme of arrangement in Bermuda under Section 99 of the Companies Act 1981 (the “</w:t>
      </w:r>
      <w:r>
        <w:rPr>
          <w:rFonts w:ascii="Arial" w:cs="Arial" w:eastAsia="Arial" w:hAnsi="Arial"/>
          <w:sz w:val="22"/>
          <w:szCs w:val="22"/>
          <w:u w:val="single" w:color="auto"/>
          <w:color w:val="auto"/>
        </w:rPr>
        <w:t>Bermuda Scheme</w:t>
      </w:r>
      <w:r>
        <w:rPr>
          <w:rFonts w:ascii="Arial" w:cs="Arial" w:eastAsia="Arial" w:hAnsi="Arial"/>
          <w:sz w:val="22"/>
          <w:szCs w:val="22"/>
          <w:color w:val="auto"/>
        </w:rPr>
        <w:t>”) and the examiner of Parent has sought orders confirming and approving his proposals for a scheme of arrangement by the Irish High Court under section 541 of the Companies Act 2014 of Ireland (the “</w:t>
      </w:r>
      <w:r>
        <w:rPr>
          <w:rFonts w:ascii="Arial" w:cs="Arial" w:eastAsia="Arial" w:hAnsi="Arial"/>
          <w:sz w:val="22"/>
          <w:szCs w:val="22"/>
          <w:u w:val="single" w:color="auto"/>
          <w:color w:val="auto"/>
        </w:rPr>
        <w:t>Irish Scheme</w:t>
      </w:r>
      <w:r>
        <w:rPr>
          <w:rFonts w:ascii="Arial" w:cs="Arial" w:eastAsia="Arial" w:hAnsi="Arial"/>
          <w:sz w:val="22"/>
          <w:szCs w:val="22"/>
          <w:color w:val="auto"/>
        </w:rPr>
        <w:t>”);</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WHEREAS, on the Plan Effective Date (as defined below), the Debtors shall emerge from the Chapter 11 Cases upon the effectiveness of the Debtors’ Second Amended Joint Prepackaged Plan of Reorganization For Weatherford International PLC and its Affiliate Debtors Under Chapter 11 of the Bankruptcy Code (as amended, restated, amended and restated, supplemented or otherwise modified from time to time prior to the date hereof, the “</w:t>
      </w:r>
      <w:r>
        <w:rPr>
          <w:rFonts w:ascii="Arial" w:cs="Arial" w:eastAsia="Arial" w:hAnsi="Arial"/>
          <w:sz w:val="21"/>
          <w:szCs w:val="21"/>
          <w:u w:val="single" w:color="auto"/>
          <w:color w:val="auto"/>
        </w:rPr>
        <w:t>Plan of Reorganization</w:t>
      </w:r>
      <w:r>
        <w:rPr>
          <w:rFonts w:ascii="Arial" w:cs="Arial" w:eastAsia="Arial" w:hAnsi="Arial"/>
          <w:sz w:val="21"/>
          <w:szCs w:val="21"/>
          <w:color w:val="auto"/>
        </w:rPr>
        <w:t>”), which Plan of Reorganization was confirmed by the Bankruptcy Court on September 11, 2019; and</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in connection with the Debtors’ emergence from the Chapter 11 Cases and concurrently with entry into this Agreement, Parent and/or certain of its Subsidiaries shall issue the Exit Senior Notes, enter into the ABL Credit Agreement (each as defined below), and the Bermuda Scheme and the Irish Scheme (both of which shall become effective in accordance with their terms).</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NOW THEREFORE, in consideration of the mutual covenants and agreements contained in this Agreement, and for other good and valuable consideration, the receipt and sufficiency of which are hereby acknowledged, the parties hereto agree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ACCOUNTING TERMS; INTERPRETATION</w:t>
      </w:r>
    </w:p>
    <w:p>
      <w:pPr>
        <w:spacing w:after="0" w:line="17"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Definitions. As used in this Agreement, the following terms shall have the following meanings: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Administrative Agent</w:t>
      </w:r>
      <w:r>
        <w:rPr>
          <w:rFonts w:ascii="Arial" w:cs="Arial" w:eastAsia="Arial" w:hAnsi="Arial"/>
          <w:sz w:val="22"/>
          <w:szCs w:val="22"/>
          <w:color w:val="auto"/>
        </w:rPr>
        <w:t>” means Wells Fargo Bank, N.A., in its capacity as administrative agent under the ABL Credit Agreement or any successor or substitute administrative agent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9" w:name="page230"/>
    <w:bookmarkEnd w:id="229"/>
    <w:p>
      <w:pPr>
        <w:ind w:right="86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Collateral Agent</w:t>
      </w:r>
      <w:r>
        <w:rPr>
          <w:rFonts w:ascii="Arial" w:cs="Arial" w:eastAsia="Arial" w:hAnsi="Arial"/>
          <w:sz w:val="22"/>
          <w:szCs w:val="22"/>
          <w:color w:val="auto"/>
        </w:rPr>
        <w:t>” means Wells Fargo Bank, N.A., in its capacity as collateral agent under the ABL Credit Agreement or any successor or substitute collateral agent thereunder.</w:t>
      </w:r>
    </w:p>
    <w:p>
      <w:pPr>
        <w:spacing w:after="0" w:line="228"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Credit Agreement</w:t>
      </w:r>
      <w:r>
        <w:rPr>
          <w:rFonts w:ascii="Arial" w:cs="Arial" w:eastAsia="Arial" w:hAnsi="Arial"/>
          <w:sz w:val="19"/>
          <w:szCs w:val="19"/>
          <w:color w:val="auto"/>
        </w:rPr>
        <w:t>” means that certain ABL Credit Agreement, dated as of the date hereof, by and among Parent, WIL-Bermuda, WIL-Delaware, Weatherford Oil Tool Gmbh, Weatherford Products GmbH, the other borrowers from time to time party thereto, the lenders from time to time party thereto, the ABL Administrative Agent and the ABL Collateral Agent.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Credit Documents</w:t>
      </w:r>
      <w:r>
        <w:rPr>
          <w:rFonts w:ascii="Arial" w:cs="Arial" w:eastAsia="Arial" w:hAnsi="Arial"/>
          <w:sz w:val="22"/>
          <w:szCs w:val="22"/>
          <w:color w:val="auto"/>
        </w:rPr>
        <w:t>” means the Loan Documents (as defined in the ABL Credit Agreement).</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Credit Facility</w:t>
      </w:r>
      <w:r>
        <w:rPr>
          <w:rFonts w:ascii="Arial" w:cs="Arial" w:eastAsia="Arial" w:hAnsi="Arial"/>
          <w:sz w:val="22"/>
          <w:szCs w:val="22"/>
          <w:color w:val="auto"/>
        </w:rPr>
        <w:t>” means the senior secured revolving asset-based credit facility provided pursuant to the ABL Credit Agreement and the other ABL Credit Documents.</w:t>
      </w:r>
    </w:p>
    <w:p>
      <w:pPr>
        <w:spacing w:after="0" w:line="17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Added Guarantor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7.08(h)</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2.11(a)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 Supplement</w:t>
      </w:r>
      <w:r>
        <w:rPr>
          <w:rFonts w:ascii="Arial" w:cs="Arial" w:eastAsia="Arial" w:hAnsi="Arial"/>
          <w:sz w:val="22"/>
          <w:szCs w:val="22"/>
          <w:color w:val="auto"/>
        </w:rPr>
        <w:t xml:space="preserve">” means an additional lender supplement entered into by the Borrowers and any Additional Lender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any other form reasonably acceptable to the Administrative Agent.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fee for any LC Fee Period, an interest rate per annum (rounded upwards, if necessary, to the next 1/100 of 1%) equal to (a) the LIBO Rate for such LC Fee Period multiplied by (b) the Statutory Reserve Rate.</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DBTCA in its capacity as administrative agent for the Lenders and any successor in such capacity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6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who controls, is controlled by or is under common control with, such Person. For the purposes of this 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8.10</w:t>
      </w:r>
      <w:r>
        <w:rPr>
          <w:rFonts w:ascii="Arial" w:cs="Arial" w:eastAsia="Arial" w:hAnsi="Arial"/>
          <w:sz w:val="19"/>
          <w:szCs w:val="19"/>
          <w:color w:val="auto"/>
        </w:rPr>
        <w:t xml:space="preserve"> of this Agreement: (a) if any Person owns directly or indirectly 15% or more of the Capital Stock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 (b) each director (or comparable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0" w:name="page231"/>
    <w:bookmarkEnd w:id="230"/>
    <w:p>
      <w:pPr>
        <w:ind w:right="280"/>
        <w:spacing w:after="0" w:line="276" w:lineRule="auto"/>
        <w:rPr>
          <w:sz w:val="20"/>
          <w:szCs w:val="20"/>
          <w:color w:val="auto"/>
        </w:rPr>
      </w:pPr>
      <w:r>
        <w:rPr>
          <w:rFonts w:ascii="Arial" w:cs="Arial" w:eastAsia="Arial" w:hAnsi="Arial"/>
          <w:sz w:val="22"/>
          <w:szCs w:val="22"/>
          <w:color w:val="auto"/>
        </w:rPr>
        <w:t>manager) of a Person shall be deemed to be an Affiliate of such Person, and (c) each partnership in which a Person is a general partner shall be deemed an Affiliate of such Person.</w:t>
      </w:r>
    </w:p>
    <w:p>
      <w:pPr>
        <w:spacing w:after="0" w:line="228"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 Guaranty</w:t>
      </w:r>
      <w:r>
        <w:rPr>
          <w:rFonts w:ascii="Arial" w:cs="Arial" w:eastAsia="Arial" w:hAnsi="Arial"/>
          <w:sz w:val="19"/>
          <w:szCs w:val="19"/>
          <w:color w:val="auto"/>
        </w:rPr>
        <w:t>” means that certain Affiliate Guaranty, dated as of the Effective Date, by and among the Guarantors party thereto in favor of the Administrative Agent, for the benefit of itself and the other holders of the Secured Obligations.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11.02(e)(ii)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at any time, the sum of the Commitments of all Lenders at such time. The amount of the Aggregate Commitments as of the Amendment No. 1 Effective Date is $215,000,000.</w:t>
      </w:r>
    </w:p>
    <w:p>
      <w:pPr>
        <w:spacing w:after="0" w:line="17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u w:val="single" w:color="auto"/>
          <w:color w:val="auto"/>
        </w:rPr>
        <w:t>“Aggregate Liquidity</w:t>
      </w:r>
      <w:r>
        <w:rPr>
          <w:rFonts w:ascii="Arial" w:cs="Arial" w:eastAsia="Arial" w:hAnsi="Arial"/>
          <w:sz w:val="22"/>
          <w:szCs w:val="22"/>
          <w:color w:val="auto"/>
        </w:rPr>
        <w:t>” means, as of any date of determination, the aggregate amount of Unrestricted Cash and Cash Equivalents of the Obligors at such date.</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Currency</w:t>
      </w:r>
      <w:r>
        <w:rPr>
          <w:rFonts w:ascii="Arial" w:cs="Arial" w:eastAsia="Arial" w:hAnsi="Arial"/>
          <w:sz w:val="22"/>
          <w:szCs w:val="22"/>
          <w:color w:val="auto"/>
        </w:rPr>
        <w:t>” means any currency of a Specified State.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LC Credit Agreement.</w:t>
      </w:r>
    </w:p>
    <w:p>
      <w:pPr>
        <w:spacing w:after="0" w:line="23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Rate in effect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½ of 1% and (c) the Adjusted LIBO Rate on such day (or if such day is not a Business Day, the immediately preceding Business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LC Fee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5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means Australian dollar, British pound sterling, Euro dollars, Swiss francs, Japanese yen, or one or more alternate currencies as requested by any Borrower and agreed to by the applicable Issuing Bank, with prior written consent of the Administrative Agent (such approvals and consents not to be unreasonably withheld).</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w:t>
      </w:r>
      <w:r>
        <w:rPr>
          <w:rFonts w:ascii="Arial" w:cs="Arial" w:eastAsia="Arial" w:hAnsi="Arial"/>
          <w:sz w:val="22"/>
          <w:szCs w:val="22"/>
          <w:color w:val="auto"/>
        </w:rPr>
        <w:t>” means that certain Amendment No. 1 to LC Credit Agreement dated as of August 28, 2020, among the Obligor Parties, the Lenders and the Administrative Agent.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has the meaning given to such term in Amendment No. 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Intercreditor Agreement</w:t>
      </w:r>
      <w:r>
        <w:rPr>
          <w:rFonts w:ascii="Arial" w:cs="Arial" w:eastAsia="Arial" w:hAnsi="Arial"/>
          <w:sz w:val="22"/>
          <w:szCs w:val="22"/>
          <w:color w:val="auto"/>
        </w:rPr>
        <w:t>” has the meaning specified in “Intercreditor Agreement”.</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1" w:name="page232"/>
    <w:bookmarkEnd w:id="231"/>
    <w:p>
      <w:pPr>
        <w:ind w:right="24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Angolan Bond Investment</w:t>
      </w:r>
      <w:r>
        <w:rPr>
          <w:rFonts w:ascii="Arial" w:cs="Arial" w:eastAsia="Arial" w:hAnsi="Arial"/>
          <w:sz w:val="21"/>
          <w:szCs w:val="21"/>
          <w:color w:val="auto"/>
        </w:rPr>
        <w:t>” means the purchase of Dollar-linked or inflation-protected Angolan government sovereign bonds or similar instruments having a similar purpose by Parent or a Restricted Subsidiary.</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Parent or any of its Subsidiaries from time to time concerning or relating to bribery or corruption, including the FCPA, the U.K. Bribery Act of 2010, as amended, and the Canadian Anti-Money Laundering &amp; Anti-Terrorism Legislation and the Corruption of Foreign Public Officials Act (Canada).</w:t>
      </w:r>
    </w:p>
    <w:p>
      <w:pPr>
        <w:spacing w:after="0" w:line="19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means, for any day, for purposes of calculating the LC Participation Fee Rate, 3.50%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LC Participation Fee Rate is being calculated with reference to the Alternate Base Rate, 2.50% per annum.</w:t>
      </w:r>
    </w:p>
    <w:p>
      <w:pPr>
        <w:spacing w:after="0" w:line="10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the percentage (carried out to the twelfth decimal place) of the Aggregate Commitments represented by such Lender’s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of each Lender as of the date hereof is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u w:val="single" w:color="auto"/>
          <w:color w:val="auto"/>
        </w:rPr>
        <w:t>“Argentine Bond Investment</w:t>
      </w:r>
      <w:r>
        <w:rPr>
          <w:rFonts w:ascii="Arial" w:cs="Arial" w:eastAsia="Arial" w:hAnsi="Arial"/>
          <w:sz w:val="22"/>
          <w:szCs w:val="22"/>
          <w:color w:val="auto"/>
        </w:rPr>
        <w:t>” means the purchase of Argentine government sovereign bonds or similar instruments having a similar purpose by Parent or a Restricted Subsidiary.</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Article 55 BRRD</w:t>
      </w:r>
      <w:r>
        <w:rPr>
          <w:rFonts w:ascii="Arial" w:cs="Arial" w:eastAsia="Arial" w:hAnsi="Arial"/>
          <w:sz w:val="22"/>
          <w:szCs w:val="22"/>
          <w:color w:val="auto"/>
        </w:rPr>
        <w:t>” means Article 55 of Directive 2014/59/EU establishing a framework for the recovery and resolution of credit institutions and investment firms.</w:t>
      </w:r>
    </w:p>
    <w:p>
      <w:pPr>
        <w:spacing w:after="0" w:line="17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Certificate</w:t>
      </w:r>
      <w:r>
        <w:rPr>
          <w:rFonts w:ascii="Arial" w:cs="Arial" w:eastAsia="Arial" w:hAnsi="Arial"/>
          <w:sz w:val="22"/>
          <w:szCs w:val="22"/>
          <w:color w:val="auto"/>
        </w:rPr>
        <w:t xml:space="preserve">” means a certificate executed by an assignee under an Assignment and Assumption,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agreement entered into by a Lender and an assignee (with the consent of any party whose consent is required by </w:t>
      </w:r>
      <w:r>
        <w:rPr>
          <w:rFonts w:ascii="Arial" w:cs="Arial" w:eastAsia="Arial" w:hAnsi="Arial"/>
          <w:sz w:val="22"/>
          <w:szCs w:val="22"/>
          <w:u w:val="single" w:color="auto"/>
          <w:color w:val="auto"/>
        </w:rPr>
        <w:t>Section 11.05</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Receivables Amount</w:t>
      </w:r>
      <w:r>
        <w:rPr>
          <w:rFonts w:ascii="Arial" w:cs="Arial" w:eastAsia="Arial" w:hAnsi="Arial"/>
          <w:sz w:val="22"/>
          <w:szCs w:val="22"/>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2" w:name="page233"/>
    <w:bookmarkEnd w:id="232"/>
    <w:p>
      <w:pPr>
        <w:ind w:right="56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the Effective Date to the earlier of (a) Maturity Date and (b) the date of termination of all of the Commitments.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w:t>
      </w: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which has implemented, or which at any time implements, Article 55 BRRD, the relevant implementing law or regulation as described in the EU Bail-In Legislation Schedule from time to time, and (b) 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Banking Services</w:t>
      </w:r>
      <w:r>
        <w:rPr>
          <w:rFonts w:ascii="Arial" w:cs="Arial" w:eastAsia="Arial" w:hAnsi="Arial"/>
          <w:sz w:val="22"/>
          <w:szCs w:val="22"/>
          <w:color w:val="auto"/>
        </w:rPr>
        <w:t>” 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9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Banking Services Obligations</w:t>
      </w:r>
      <w:r>
        <w:rPr>
          <w:rFonts w:ascii="Arial" w:cs="Arial" w:eastAsia="Arial" w:hAnsi="Arial"/>
          <w:sz w:val="22"/>
          <w:szCs w:val="22"/>
          <w:color w:val="auto"/>
        </w:rPr>
        <w:t>” 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Court</w:t>
      </w:r>
      <w:r>
        <w:rPr>
          <w:rFonts w:ascii="Arial" w:cs="Arial" w:eastAsia="Arial" w:hAnsi="Arial"/>
          <w:sz w:val="22"/>
          <w:szCs w:val="22"/>
          <w:color w:val="auto"/>
        </w:rPr>
        <w:t>” has the meaning specified in the recitals.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(whether on a provisional, interim, permanent or other basis), or has had a receiver, receiver or manager, conservator, trustee, administrator, custodian, examiner, liquidator, assignee for the benefit of creditors or similar Person charged with the reorganization or liquidation of its business appointed for it (including in the case of any Defaulting Lender, the Federal Deposit Insurance Corporation or any other state or federal regulatory authority),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Barclays</w:t>
      </w:r>
      <w:r>
        <w:rPr>
          <w:rFonts w:ascii="Arial" w:cs="Arial" w:eastAsia="Arial" w:hAnsi="Arial"/>
          <w:sz w:val="22"/>
          <w:szCs w:val="22"/>
          <w:color w:val="auto"/>
        </w:rPr>
        <w:t>” means Barclays Bank PLC and its successors.</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3" w:name="page234"/>
    <w:bookmarkEnd w:id="23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Bermuda Scheme</w:t>
      </w:r>
      <w:r>
        <w:rPr>
          <w:rFonts w:ascii="Arial" w:cs="Arial" w:eastAsia="Arial" w:hAnsi="Arial"/>
          <w:sz w:val="22"/>
          <w:szCs w:val="22"/>
          <w:color w:val="auto"/>
        </w:rPr>
        <w:t>” has the meaning specified in the recitals.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United States of America (or any successor).</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of Directors</w:t>
      </w:r>
      <w:r>
        <w:rPr>
          <w:rFonts w:ascii="Arial" w:cs="Arial" w:eastAsia="Arial" w:hAnsi="Arial"/>
          <w:sz w:val="21"/>
          <w:szCs w:val="21"/>
          <w:color w:val="auto"/>
        </w:rPr>
        <w:t>” means, with respect to any Person, the board of directors (or comparable managers) of such Person, or any committee thereof duly authorized to act on behalf of such board of directors (or comparable managers).</w:t>
      </w:r>
    </w:p>
    <w:p>
      <w:pPr>
        <w:spacing w:after="0" w:line="12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Book Value of Assets</w:t>
      </w:r>
      <w:r>
        <w:rPr>
          <w:rFonts w:ascii="Arial" w:cs="Arial" w:eastAsia="Arial" w:hAnsi="Arial"/>
          <w:sz w:val="19"/>
          <w:szCs w:val="19"/>
          <w:color w:val="auto"/>
        </w:rPr>
        <w:t xml:space="preserve">” means, as of any date of determination, (I) with respect to Sections 8.16 and 7.01(h)(ii), the aggregate net book value of all LC Priority Collateral, and (II) with respect to any Collateral Transfer, the aggregate net book value of all LC Priority Collateral subject to such transfer, in each case (a) excluding the value of any such LC Priority Collateral consisting of (i) cash, (ii) Cash Equivalents (and similar short-term marketable securities), (iii) intangible assets and (iv) Capital Stock of any Person, (b) calculated on a consolidated basis for all Obligors (so as to exclude the value of any such LC Priority Collateral consisting of obligations owing by one Obligor to another Obligor) and (c) with such net book values as stated in the most recent consolidated financial statements of the Parent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7.01(b)</w:t>
      </w:r>
      <w:r>
        <w:rPr>
          <w:rFonts w:ascii="Arial" w:cs="Arial" w:eastAsia="Arial" w:hAnsi="Arial"/>
          <w:sz w:val="19"/>
          <w:szCs w:val="19"/>
          <w:color w:val="auto"/>
        </w:rPr>
        <w:t>.</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means, collectively, WIL-Bermuda and WIL-Delaware.</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British Virgin Islands Security Agreements</w:t>
      </w:r>
      <w:r>
        <w:rPr>
          <w:rFonts w:ascii="Arial" w:cs="Arial" w:eastAsia="Arial" w:hAnsi="Arial"/>
          <w:sz w:val="22"/>
          <w:szCs w:val="22"/>
          <w:color w:val="auto"/>
        </w:rPr>
        <w:t xml:space="preserve">” means the British Virgin Island law governed security agreements listed on </w:t>
      </w:r>
      <w:r>
        <w:rPr>
          <w:rFonts w:ascii="Arial" w:cs="Arial" w:eastAsia="Arial" w:hAnsi="Arial"/>
          <w:sz w:val="22"/>
          <w:szCs w:val="22"/>
          <w:u w:val="single" w:color="auto"/>
          <w:color w:val="auto"/>
        </w:rPr>
        <w:t>Schedule 1.01C</w:t>
      </w:r>
      <w:r>
        <w:rPr>
          <w:rFonts w:ascii="Arial" w:cs="Arial" w:eastAsia="Arial" w:hAnsi="Arial"/>
          <w:sz w:val="22"/>
          <w:szCs w:val="22"/>
          <w:color w:val="auto"/>
        </w:rPr>
        <w:t xml:space="preserve"> and in substantially the form attached hereto as </w:t>
      </w:r>
      <w:r>
        <w:rPr>
          <w:rFonts w:ascii="Arial" w:cs="Arial" w:eastAsia="Arial" w:hAnsi="Arial"/>
          <w:sz w:val="22"/>
          <w:szCs w:val="22"/>
          <w:u w:val="single" w:color="auto"/>
          <w:color w:val="auto"/>
        </w:rPr>
        <w:t>Exhibit L</w:t>
      </w:r>
      <w:r>
        <w:rPr>
          <w:rFonts w:ascii="Arial" w:cs="Arial" w:eastAsia="Arial" w:hAnsi="Arial"/>
          <w:sz w:val="22"/>
          <w:szCs w:val="22"/>
          <w:color w:val="auto"/>
        </w:rPr>
        <w:t>.</w:t>
      </w:r>
    </w:p>
    <w:p>
      <w:pPr>
        <w:spacing w:after="0" w:line="1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Sunday or other day on which banks are authorized or required to close in the state of New York, except that, if a determination of a Business Day shall relate to the determination of the LIBO Rate, the term “Business Day” also shall exclude any day on which banks are closed for dealings in Dollar deposits in the London interbank market.</w:t>
      </w:r>
    </w:p>
    <w:p>
      <w:pPr>
        <w:spacing w:after="0" w:line="15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Anti-Money Laundering &amp; Anti-Terrorism Legislation</w:t>
      </w:r>
      <w:r>
        <w:rPr>
          <w:rFonts w:ascii="Arial" w:cs="Arial" w:eastAsia="Arial" w:hAnsi="Arial"/>
          <w:sz w:val="19"/>
          <w:szCs w:val="19"/>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4" w:name="page235"/>
    <w:bookmarkEnd w:id="234"/>
    <w:p>
      <w:pPr>
        <w:ind w:right="400"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Defined Benefit Plan</w:t>
      </w:r>
      <w:r>
        <w:rPr>
          <w:rFonts w:ascii="Arial" w:cs="Arial" w:eastAsia="Arial" w:hAnsi="Arial"/>
          <w:sz w:val="22"/>
          <w:szCs w:val="22"/>
          <w:color w:val="auto"/>
        </w:rPr>
        <w:t xml:space="preserve">” means any pension plan registered under the Income Tax Act (Canada), the </w:t>
      </w:r>
      <w:r>
        <w:rPr>
          <w:rFonts w:ascii="Arial" w:cs="Arial" w:eastAsia="Arial" w:hAnsi="Arial"/>
          <w:sz w:val="22"/>
          <w:szCs w:val="22"/>
          <w:i w:val="1"/>
          <w:iCs w:val="1"/>
          <w:color w:val="auto"/>
        </w:rPr>
        <w:t>Pension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Benefits Act </w:t>
      </w:r>
      <w:r>
        <w:rPr>
          <w:rFonts w:ascii="Arial" w:cs="Arial" w:eastAsia="Arial" w:hAnsi="Arial"/>
          <w:sz w:val="22"/>
          <w:szCs w:val="22"/>
          <w:color w:val="auto"/>
        </w:rPr>
        <w:t>(Ontario) or any other applicable pension standards legislation which contains a “defined benefit provision”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subsection 147.1(1) of the Income Tax Act (Canada).</w:t>
      </w:r>
    </w:p>
    <w:p>
      <w:pPr>
        <w:spacing w:after="0" w:line="14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Security Agreement</w:t>
      </w:r>
      <w:r>
        <w:rPr>
          <w:rFonts w:ascii="Arial" w:cs="Arial" w:eastAsia="Arial" w:hAnsi="Arial"/>
          <w:sz w:val="19"/>
          <w:szCs w:val="19"/>
          <w:color w:val="auto"/>
        </w:rPr>
        <w:t xml:space="preserve">” means that certain Canadian security agreement governed by the laws of the Province of Alberta, dated as of the Effective Date, by and among the Obligors that are Canadian Subsidiaries from time to time party thereto and the Administrative Agent, listed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hereto and in substantially the form attached hereto as </w:t>
      </w:r>
      <w:r>
        <w:rPr>
          <w:rFonts w:ascii="Arial" w:cs="Arial" w:eastAsia="Arial" w:hAnsi="Arial"/>
          <w:sz w:val="19"/>
          <w:szCs w:val="19"/>
          <w:u w:val="single" w:color="auto"/>
          <w:color w:val="auto"/>
        </w:rPr>
        <w:t>Exhibit I</w:t>
      </w:r>
      <w:r>
        <w:rPr>
          <w:rFonts w:ascii="Arial" w:cs="Arial" w:eastAsia="Arial" w:hAnsi="Arial"/>
          <w:sz w:val="19"/>
          <w:szCs w:val="19"/>
          <w:color w:val="auto"/>
        </w:rPr>
        <w: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Subsidiaries</w:t>
      </w:r>
      <w:r>
        <w:rPr>
          <w:rFonts w:ascii="Arial" w:cs="Arial" w:eastAsia="Arial" w:hAnsi="Arial"/>
          <w:sz w:val="19"/>
          <w:szCs w:val="19"/>
          <w:color w:val="auto"/>
        </w:rPr>
        <w:t>” means a Subsidiary of Parent organized under the laws of a jurisdiction located in Canada.</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w:t>
      </w:r>
      <w:r>
        <w:rPr>
          <w:rFonts w:ascii="Arial" w:cs="Arial" w:eastAsia="Arial" w:hAnsi="Arial"/>
          <w:sz w:val="19"/>
          <w:szCs w:val="19"/>
          <w:color w:val="auto"/>
        </w:rPr>
        <w:t>” means a lease that is required to be capitalized for financial reporting purposes in accordance with GAAP.</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Stock</w:t>
      </w:r>
      <w:r>
        <w:rPr>
          <w:rFonts w:ascii="Arial" w:cs="Arial" w:eastAsia="Arial" w:hAnsi="Arial"/>
          <w:sz w:val="21"/>
          <w:szCs w:val="21"/>
          <w:color w:val="auto"/>
        </w:rPr>
        <w:t>” means, with respect to any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w:t>
      </w:r>
      <w:r>
        <w:rPr>
          <w:rFonts w:ascii="Arial" w:cs="Arial" w:eastAsia="Arial" w:hAnsi="Arial"/>
          <w:sz w:val="22"/>
          <w:szCs w:val="22"/>
          <w:color w:val="auto"/>
        </w:rPr>
        <w:t>” means that portion of the obligations under a Capital Lease that is required to be capitalized in accordance with GAAP.</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(a) Domestic Cash Equivalents, and (b) Foreign Cash Equivalents.</w:t>
      </w:r>
    </w:p>
    <w:p>
      <w:pPr>
        <w:spacing w:after="0" w:line="1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193" w:lineRule="exact"/>
        <w:rPr>
          <w:sz w:val="20"/>
          <w:szCs w:val="20"/>
          <w:color w:val="auto"/>
        </w:rPr>
      </w:pPr>
    </w:p>
    <w:p>
      <w:pPr>
        <w:jc w:val="both"/>
        <w:ind w:firstLine="1304"/>
        <w:spacing w:after="0" w:line="266" w:lineRule="auto"/>
        <w:tabs>
          <w:tab w:leader="none" w:pos="215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Person or two or more Persons acting in concert (other than Permitted Holders) shall have acquired beneficial ownership, directly or indirectly, of equity interests of Weatherford Parent Company (or other securities convertible into such equity interests)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5" w:name="page236"/>
    <w:bookmarkEnd w:id="235"/>
    <w:p>
      <w:pPr>
        <w:jc w:val="both"/>
        <w:spacing w:after="0" w:line="266" w:lineRule="auto"/>
        <w:rPr>
          <w:sz w:val="20"/>
          <w:szCs w:val="20"/>
          <w:color w:val="auto"/>
        </w:rPr>
      </w:pPr>
      <w:r>
        <w:rPr>
          <w:rFonts w:ascii="Arial" w:cs="Arial" w:eastAsia="Arial" w:hAnsi="Arial"/>
          <w:sz w:val="22"/>
          <w:szCs w:val="22"/>
          <w:color w:val="auto"/>
        </w:rPr>
        <w:t>representing 30%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144" w:lineRule="exact"/>
        <w:rPr>
          <w:sz w:val="20"/>
          <w:szCs w:val="20"/>
          <w:color w:val="auto"/>
        </w:rPr>
      </w:pPr>
    </w:p>
    <w:p>
      <w:pPr>
        <w:jc w:val="both"/>
        <w:ind w:firstLine="1304"/>
        <w:spacing w:after="0" w:line="266" w:lineRule="auto"/>
        <w:tabs>
          <w:tab w:leader="none" w:pos="2169" w:val="left"/>
        </w:tabs>
        <w:numPr>
          <w:ilvl w:val="0"/>
          <w:numId w:val="213"/>
        </w:numPr>
        <w:rPr>
          <w:rFonts w:ascii="Arial" w:cs="Arial" w:eastAsia="Arial" w:hAnsi="Arial"/>
          <w:sz w:val="22"/>
          <w:szCs w:val="22"/>
          <w:color w:val="auto"/>
        </w:rPr>
      </w:pPr>
      <w:r>
        <w:rPr>
          <w:rFonts w:ascii="Arial" w:cs="Arial" w:eastAsia="Arial" w:hAnsi="Arial"/>
          <w:sz w:val="22"/>
          <w:szCs w:val="22"/>
          <w:color w:val="auto"/>
        </w:rPr>
        <w:t>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spacing w:after="0" w:line="157" w:lineRule="exact"/>
        <w:rPr>
          <w:rFonts w:ascii="Arial" w:cs="Arial" w:eastAsia="Arial" w:hAnsi="Arial"/>
          <w:sz w:val="22"/>
          <w:szCs w:val="22"/>
          <w:color w:val="auto"/>
        </w:rPr>
      </w:pPr>
    </w:p>
    <w:p>
      <w:pPr>
        <w:ind w:left="2180" w:hanging="876"/>
        <w:spacing w:after="0"/>
        <w:tabs>
          <w:tab w:leader="none" w:pos="218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occurrence of any “Change of Control” or similar event under the Senior Secured Notes or the Exit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Senior Notes.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Chapter 11 Cases</w:t>
      </w:r>
      <w:r>
        <w:rPr>
          <w:rFonts w:ascii="Arial" w:cs="Arial" w:eastAsia="Arial" w:hAnsi="Arial"/>
          <w:sz w:val="22"/>
          <w:szCs w:val="22"/>
          <w:color w:val="auto"/>
        </w:rPr>
        <w:t>” has the meaning specified in the recitals.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 and the regulations promulgated thereunder.</w:t>
      </w:r>
    </w:p>
    <w:p>
      <w:pPr>
        <w:spacing w:after="0" w:line="13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any and all property owned, leased or operated by an Obligor covered by the Collateral Documents and any and all other property of any Obligor,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10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Transfer</w:t>
      </w:r>
      <w:r>
        <w:rPr>
          <w:rFonts w:ascii="Arial" w:cs="Arial" w:eastAsia="Arial" w:hAnsi="Arial"/>
          <w:sz w:val="22"/>
          <w:szCs w:val="22"/>
          <w:color w:val="auto"/>
        </w:rPr>
        <w:t>” means any Disposition, Investment or Restricted Payment involving any Collateral.</w:t>
      </w:r>
    </w:p>
    <w:p>
      <w:pPr>
        <w:spacing w:after="0" w:line="193"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Commercial Letter of Credit</w:t>
      </w:r>
      <w:r>
        <w:rPr>
          <w:rFonts w:ascii="Arial" w:cs="Arial" w:eastAsia="Arial" w:hAnsi="Arial"/>
          <w:sz w:val="21"/>
          <w:szCs w:val="21"/>
          <w:color w:val="auto"/>
        </w:rPr>
        <w:t>” means any letter of credit, bank guarantee or similar instrument issued for the purpose of providing the primary payment mechanism in connection with the purchase of materials, goods or services.</w:t>
      </w:r>
    </w:p>
    <w:p>
      <w:pPr>
        <w:spacing w:after="0" w:line="1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means, with respect to each Lender, the commitment of such Lender to acquire participations in Letters of Credit hereunder in an aggregate principal amount set forth opposite such Lender’s name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under the heading “Commitment”, as such amount may be (a) reduced from time to time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and (b) reduced or increased from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time to time pursuant to assignments by or to such Lender pursuant to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11.05</w:t>
      </w:r>
      <w:r>
        <w:rPr>
          <w:rFonts w:ascii="Arial" w:cs="Arial" w:eastAsia="Arial" w:hAnsi="Arial"/>
          <w:sz w:val="22"/>
          <w:szCs w:val="22"/>
          <w:color w:val="auto"/>
        </w:rPr>
        <w:t>.</w:t>
      </w:r>
    </w:p>
    <w:p>
      <w:pPr>
        <w:spacing w:after="0" w:line="1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11.02(e)(ii)</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with respect to any fiscal period, a certificate of a Principal Financial Officer of Parent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certifying as to (a) whether a Default has occurred and, if a Default has occurred, specifying the details thereof and any action taken or proposed to be taken with respect thereto, (b) setting forth reasonably detailed calculations demonstrating compliance with the covenant set forth in </w:t>
      </w:r>
      <w:r>
        <w:rPr>
          <w:rFonts w:ascii="Arial" w:cs="Arial" w:eastAsia="Arial" w:hAnsi="Arial"/>
          <w:sz w:val="19"/>
          <w:szCs w:val="19"/>
          <w:u w:val="single" w:color="auto"/>
          <w:color w:val="auto"/>
        </w:rPr>
        <w:t>Section 8.09</w:t>
      </w:r>
      <w:r>
        <w:rPr>
          <w:rFonts w:ascii="Arial" w:cs="Arial" w:eastAsia="Arial" w:hAnsi="Arial"/>
          <w:sz w:val="19"/>
          <w:szCs w:val="19"/>
          <w:color w:val="auto"/>
        </w:rPr>
        <w:t xml:space="preserve"> for such period, (c) 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and, if any such change has occurred, specifying the effect of such change on the financial statements accompanying such certificate, and (f) any changes to exhibits or schedules to any Collateral Document as required by such Collateral Document.</w:t>
      </w:r>
    </w:p>
    <w:p>
      <w:pPr>
        <w:spacing w:after="0" w:line="1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w:t>
      </w:r>
    </w:p>
    <w:p>
      <w:pPr>
        <w:spacing w:after="0" w:line="14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Adjusted EBITDA</w:t>
      </w:r>
      <w:r>
        <w:rPr>
          <w:rFonts w:ascii="Arial" w:cs="Arial" w:eastAsia="Arial" w:hAnsi="Arial"/>
          <w:sz w:val="19"/>
          <w:szCs w:val="19"/>
          <w:color w:val="auto"/>
        </w:rPr>
        <w:t xml:space="preserve">” means, for any period, consolidated net income of Parent and its Restricted Subsidiaries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(a) the following expenses or charges (without duplication) and to the extent deducted from revenues in determining consolidated net income for such period: (i) consolidated interest expense, (ii) expense for income taxes,</w:t>
      </w:r>
    </w:p>
    <w:p>
      <w:pPr>
        <w:spacing w:after="0" w:line="1" w:lineRule="exact"/>
        <w:rPr>
          <w:sz w:val="20"/>
          <w:szCs w:val="20"/>
          <w:color w:val="auto"/>
        </w:rPr>
      </w:pPr>
    </w:p>
    <w:p>
      <w:pPr>
        <w:jc w:val="both"/>
        <w:ind w:firstLine="8"/>
        <w:spacing w:after="0" w:line="296" w:lineRule="auto"/>
        <w:tabs>
          <w:tab w:leader="none" w:pos="38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depreciation, (iv) amortization, (v) professional fees incurred and exit bankruptcy fees incurred prior to the First Amendment Effective Date in an aggregate amount not to exceed $50,000,000, (vi) cash restructuring costs incurred and paid during the fourth quarter prior to the Effective Date associated with the transformation, severance and restructuring costs program in an aggregate amount not to exceed $30,000,000, (vii) cash restructuring costs incurred during the fourth Fiscal Quarter of 2019 (but not paid prior to the Effective Date) associated with the transformation, severance and restructuring costs program in an aggregate amount not to exceed $50,000,000, (viii) from and after the Testing Period ending on March 31, 2020, 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bankruptcy, reorganization, litigation, settlement and judgment costs and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addbacks made pursuant to this </w:t>
      </w:r>
      <w:r>
        <w:rPr>
          <w:rFonts w:ascii="Arial" w:cs="Arial" w:eastAsia="Arial" w:hAnsi="Arial"/>
          <w:sz w:val="19"/>
          <w:szCs w:val="19"/>
          <w:u w:val="single" w:color="auto"/>
          <w:color w:val="auto"/>
        </w:rPr>
        <w:t>clause (viii)</w:t>
      </w:r>
      <w:r>
        <w:rPr>
          <w:rFonts w:ascii="Arial" w:cs="Arial" w:eastAsia="Arial" w:hAnsi="Arial"/>
          <w:sz w:val="19"/>
          <w:szCs w:val="19"/>
          <w:color w:val="auto"/>
        </w:rPr>
        <w:t xml:space="preserve"> shall not exceed (x) $100,000,000 during any Testing Period ending on or prior to December 31, 2020 and (y) the greater of (1) $25,000,000 and (2) 10% of Consolidated Adjusted EBITDA for any Testing Period thereafter (calculated prior to giving effect to this </w:t>
      </w:r>
      <w:r>
        <w:rPr>
          <w:rFonts w:ascii="Arial" w:cs="Arial" w:eastAsia="Arial" w:hAnsi="Arial"/>
          <w:sz w:val="19"/>
          <w:szCs w:val="19"/>
          <w:u w:val="single" w:color="auto"/>
          <w:color w:val="auto"/>
        </w:rPr>
        <w:t>clause (viii)</w:t>
      </w:r>
      <w:r>
        <w:rPr>
          <w:rFonts w:ascii="Arial" w:cs="Arial" w:eastAsia="Arial" w:hAnsi="Arial"/>
          <w:sz w:val="19"/>
          <w:szCs w:val="19"/>
          <w:color w:val="auto"/>
        </w:rPr>
        <w:t>), it being understood that any such addback used in determining the EBITDA Plug Numbers (as defined below) shall be permitted and shall not count against such limitations, (ix) any non-cash losses or charges under Hedge Agreements resulting from the application of FASB ASC 815,</w:t>
      </w:r>
    </w:p>
    <w:p>
      <w:pPr>
        <w:spacing w:after="0" w:line="7" w:lineRule="exact"/>
        <w:rPr>
          <w:rFonts w:ascii="Arial" w:cs="Arial" w:eastAsia="Arial" w:hAnsi="Arial"/>
          <w:sz w:val="19"/>
          <w:szCs w:val="19"/>
          <w:color w:val="auto"/>
        </w:rPr>
      </w:pPr>
    </w:p>
    <w:p>
      <w:pPr>
        <w:ind w:left="320" w:hanging="312"/>
        <w:spacing w:after="0"/>
        <w:tabs>
          <w:tab w:leader="none" w:pos="3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non-cash compensation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7" w:name="page238"/>
    <w:bookmarkEnd w:id="237"/>
    <w:p>
      <w:pPr>
        <w:jc w:val="both"/>
        <w:spacing w:after="0" w:line="302" w:lineRule="auto"/>
        <w:rPr>
          <w:sz w:val="20"/>
          <w:szCs w:val="20"/>
          <w:color w:val="auto"/>
        </w:rPr>
      </w:pPr>
      <w:r>
        <w:rPr>
          <w:rFonts w:ascii="Arial" w:cs="Arial" w:eastAsia="Arial" w:hAnsi="Arial"/>
          <w:sz w:val="19"/>
          <w:szCs w:val="19"/>
          <w:color w:val="auto"/>
        </w:rPr>
        <w:t xml:space="preserve">expenses or costs related to any management equity plan or stock option plan or any other management or employee benefit plan or agreement, (xi) fees, expenses, premiums and similar charges incurred in connection with this Agreement and the Transactions, and (xii) all other non-cash charges, expenses or losses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following items of income or gains (without duplication) to the extent included in consolidated net income for such period, (i) interest income, (ii) income tax benefits (to the extent not netted from tax expense), (iii) any cash payments made during such period in respect of non-cash items described in </w:t>
      </w:r>
      <w:r>
        <w:rPr>
          <w:rFonts w:ascii="Arial" w:cs="Arial" w:eastAsia="Arial" w:hAnsi="Arial"/>
          <w:sz w:val="19"/>
          <w:szCs w:val="19"/>
          <w:u w:val="single" w:color="auto"/>
          <w:color w:val="auto"/>
        </w:rPr>
        <w:t>clause (ix)</w:t>
      </w:r>
      <w:r>
        <w:rPr>
          <w:rFonts w:ascii="Arial" w:cs="Arial" w:eastAsia="Arial" w:hAnsi="Arial"/>
          <w:sz w:val="19"/>
          <w:szCs w:val="19"/>
          <w:color w:val="auto"/>
        </w:rPr>
        <w:t xml:space="preserve"> above subsequent to the Fiscal Quarter in which such non-cash expenses or losses were incurred, (iv) any non-cash gains under Swap Agreements resulting from the application of FASB ASC 815 and (v) all other non-cash income or gains, all calculated in accordance with GAAP on a consolidated basis.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 xml:space="preserve">In addition, notwithstanding the above, (a) Consolidated Adjusted EBITDA for the Fiscal Quarter ended December 31, 2018, shall be deemed to be $210,000,000, (b) Consolidated Adjusted EBITDA for the Fiscal Quarter ended March 31, 2019, shall be deemed to be $120,000,000, (c) Consolidated Adjusted EBITDA for the Fiscal Quarter ended June 30, 2019, shall be deemed to be $124,000,000, (d) Consolidated Adjusted EBITDA for the Fiscal Quarter ended September 30, 2019, shall be deemed to be $172,000,000, and (e) Consolidated Adjusted EBITDA for the Fiscal Quarter ended December 31, 2019, shall be calculated in a manner consistent with the calculation methodology used in determining the amounts set forth in the preceding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(d)</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EBITDA Plug Numbers</w:t>
      </w:r>
      <w:r>
        <w:rPr>
          <w:rFonts w:ascii="Arial" w:cs="Arial" w:eastAsia="Arial" w:hAnsi="Arial"/>
          <w:sz w:val="21"/>
          <w:szCs w:val="21"/>
          <w:color w:val="auto"/>
        </w:rPr>
        <w:t>”).</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w:t>
      </w:r>
      <w:r>
        <w:rPr>
          <w:rFonts w:ascii="Arial" w:cs="Arial" w:eastAsia="Arial" w:hAnsi="Arial"/>
          <w:sz w:val="22"/>
          <w:szCs w:val="22"/>
          <w:color w:val="auto"/>
        </w:rPr>
        <w:t>” 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either the Permitted Holders or a majority of the Continuing Directors.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Administrative Agent, any Issuing Bank or any Lender.</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DBTCA</w:t>
      </w:r>
      <w:r>
        <w:rPr>
          <w:rFonts w:ascii="Arial" w:cs="Arial" w:eastAsia="Arial" w:hAnsi="Arial"/>
          <w:sz w:val="22"/>
          <w:szCs w:val="22"/>
          <w:color w:val="auto"/>
        </w:rPr>
        <w:t>” means Deutsche Bank Trust Company Americas and its successors.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Debtors</w:t>
      </w:r>
      <w:r>
        <w:rPr>
          <w:rFonts w:ascii="Arial" w:cs="Arial" w:eastAsia="Arial" w:hAnsi="Arial"/>
          <w:sz w:val="22"/>
          <w:szCs w:val="22"/>
          <w:color w:val="auto"/>
        </w:rPr>
        <w:t>” has the meaning specified in the recitals.</w:t>
      </w:r>
    </w:p>
    <w:p>
      <w:pPr>
        <w:spacing w:after="0" w:line="1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the occurrence of any event that with the giving of notice or the passage of time or both would become an Event of Default.</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Defaulting Lender</w:t>
      </w:r>
      <w:r>
        <w:rPr>
          <w:rFonts w:ascii="Arial" w:cs="Arial" w:eastAsia="Arial" w:hAnsi="Arial"/>
          <w:sz w:val="21"/>
          <w:szCs w:val="21"/>
          <w:color w:val="auto"/>
        </w:rPr>
        <w:t>” means any Lender that (a) has failed, within two (2) Business Days of the date required to be funded or paid, to (i) fund any portion of its participations in Letters of Credit or (ii) pay over to any Credit Party any other amount required to be paid by it hereunder, (b) has notified any Obligor Party or any Credit Party in writing, or has made a public statement to the effect, that it does not intend or expect to comply with any of its obligations under this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8" w:name="page239"/>
    <w:bookmarkEnd w:id="238"/>
    <w:p>
      <w:pPr>
        <w:jc w:val="both"/>
        <w:spacing w:after="0" w:line="304" w:lineRule="auto"/>
        <w:rPr>
          <w:sz w:val="20"/>
          <w:szCs w:val="20"/>
          <w:color w:val="auto"/>
        </w:rPr>
      </w:pPr>
      <w:r>
        <w:rPr>
          <w:rFonts w:ascii="Arial" w:cs="Arial" w:eastAsia="Arial" w:hAnsi="Arial"/>
          <w:sz w:val="19"/>
          <w:szCs w:val="19"/>
          <w:color w:val="auto"/>
        </w:rPr>
        <w:t xml:space="preserve">Agreement or generally under other agreements in which it commits to extend credit, (c) has failed, within three (3) Business Days after request by any Obligor Party or any Credit Party, acting in good faith, to provide a certification in writing from an authorized officer of such Lender that it will comply with its obligations to fund participations in then-outstanding Letters of Credit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Any determination by the Administrative Agent that a Lender is a Defaulting Lender shall be conclusive and binding absent manifest error, and such Lender shall be deemed to be a Defaulting Lender upon delivery of written notice of such determination to the Borrowers, Issuing Bank and each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Deutsche Bank</w:t>
      </w:r>
      <w:r>
        <w:rPr>
          <w:rFonts w:ascii="Arial" w:cs="Arial" w:eastAsia="Arial" w:hAnsi="Arial"/>
          <w:sz w:val="22"/>
          <w:szCs w:val="22"/>
          <w:color w:val="auto"/>
        </w:rPr>
        <w:t>” means Deutsche Bank AG New York Branch and its successors.</w:t>
      </w:r>
    </w:p>
    <w:p>
      <w:pPr>
        <w:spacing w:after="0" w:line="20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Dispose</w:t>
      </w:r>
      <w:r>
        <w:rPr>
          <w:rFonts w:ascii="Arial" w:cs="Arial" w:eastAsia="Arial" w:hAnsi="Arial"/>
          <w:sz w:val="21"/>
          <w:szCs w:val="21"/>
          <w:color w:val="auto"/>
        </w:rPr>
        <w:t>” means to sell, lease, assign, exchange, convey or otherwise transfer (excluding the granting of a Lien on) any property or license any Intellectual Property to another Person. “</w:t>
      </w:r>
      <w:r>
        <w:rPr>
          <w:rFonts w:ascii="Arial" w:cs="Arial" w:eastAsia="Arial" w:hAnsi="Arial"/>
          <w:sz w:val="21"/>
          <w:szCs w:val="21"/>
          <w:u w:val="single" w:color="auto"/>
          <w:color w:val="auto"/>
        </w:rPr>
        <w:t>Disposition</w:t>
      </w:r>
      <w:r>
        <w:rPr>
          <w:rFonts w:ascii="Arial" w:cs="Arial" w:eastAsia="Arial" w:hAnsi="Arial"/>
          <w:sz w:val="21"/>
          <w:szCs w:val="21"/>
          <w:color w:val="auto"/>
        </w:rPr>
        <w:t>” has a meaning correlative thereto.</w:t>
      </w:r>
    </w:p>
    <w:p>
      <w:pPr>
        <w:spacing w:after="0" w:line="1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Capital Stock</w:t>
      </w:r>
      <w:r>
        <w:rPr>
          <w:rFonts w:ascii="Arial" w:cs="Arial" w:eastAsia="Arial" w:hAnsi="Arial"/>
          <w:sz w:val="21"/>
          <w:szCs w:val="21"/>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Maturity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xml:space="preserve">” means, on any date of determination, (a) with respect to any amount denominated in Dollars, such amount and (b) with respect to any amount denominated in an Alternative Currency, the equivalent in Dollars of such amount determined by the Administrative Agent (or, in the case of reimbursement obligations required to be paid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the calculation of fronting fees, by the applicable Issuing Bank being reimbursed) in accordance with normal banking industry practice using the Exchange Rate on such date of determination. In making any determination of the Dollar Equivalent for any purpose, the Administrative Agent (or Issuing Bank, as the case may be) shall use the relevant Exchange Rate in effect on the date on which a Dollar Equivalent is required to be determined pursuant to the provisions of this Agreement. As appropriate, amounts specified in this Agreement as amounts in Dollars shall be or include any relevant Dollar Equivalent amount.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9" w:name="page240"/>
    <w:bookmarkEnd w:id="23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States of America.</w:t>
      </w:r>
    </w:p>
    <w:p>
      <w:pPr>
        <w:spacing w:after="0" w:line="19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Cash Equivalents</w:t>
      </w:r>
      <w:r>
        <w:rPr>
          <w:rFonts w:ascii="Arial" w:cs="Arial" w:eastAsia="Arial" w:hAnsi="Arial"/>
          <w:sz w:val="19"/>
          <w:szCs w:val="19"/>
          <w:color w:val="auto"/>
        </w:rPr>
        <w:t xml:space="preserve">”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definition or recognized securities dealer having combined capital and surplus and undivided profits of not less than $500,000,000, having a term of not more than 30 days, with respect to securities satisfying the criteria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(g) debt securities with maturities of six months or less from the date of acquisition backed by standby letters of credit issued by any commercial bank satisfying the criteria described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above, and (h) Investments in money market funds substantially all of whose assets are invested in the types of assets described in clauses (a) through (g) above.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of any Obligor that is organized under the laws of a jurisdiction located in the United States of America.</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each party hereto has executed and delivered this Agreement and the other conditions set forth in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are first satisfied (or waived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 Letters of Credit</w:t>
      </w:r>
      <w:r>
        <w:rPr>
          <w:rFonts w:ascii="Arial" w:cs="Arial" w:eastAsia="Arial" w:hAnsi="Arial"/>
          <w:sz w:val="22"/>
          <w:szCs w:val="22"/>
          <w:color w:val="auto"/>
        </w:rPr>
        <w:t xml:space="preserve">” means the Letters of Credit described on </w:t>
      </w:r>
      <w:r>
        <w:rPr>
          <w:rFonts w:ascii="Arial" w:cs="Arial" w:eastAsia="Arial" w:hAnsi="Arial"/>
          <w:sz w:val="22"/>
          <w:szCs w:val="22"/>
          <w:u w:val="single" w:color="auto"/>
          <w:color w:val="auto"/>
        </w:rPr>
        <w:t>Schedule 1.01E</w:t>
      </w:r>
      <w:r>
        <w:rPr>
          <w:rFonts w:ascii="Arial" w:cs="Arial" w:eastAsia="Arial" w:hAnsi="Arial"/>
          <w:sz w:val="22"/>
          <w:szCs w:val="22"/>
          <w:color w:val="auto"/>
        </w:rPr>
        <w:t xml:space="preserve"> and to be issued on the Effective Date by the applicable Issuing Banks referenced on such schedule.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 Real Property</w:t>
      </w:r>
      <w:r>
        <w:rPr>
          <w:rFonts w:ascii="Arial" w:cs="Arial" w:eastAsia="Arial" w:hAnsi="Arial"/>
          <w:sz w:val="22"/>
          <w:szCs w:val="22"/>
          <w:color w:val="auto"/>
        </w:rPr>
        <w:t xml:space="preserve">” means the real property listed on </w:t>
      </w:r>
      <w:r>
        <w:rPr>
          <w:rFonts w:ascii="Arial" w:cs="Arial" w:eastAsia="Arial" w:hAnsi="Arial"/>
          <w:sz w:val="22"/>
          <w:szCs w:val="22"/>
          <w:u w:val="single" w:color="auto"/>
          <w:color w:val="auto"/>
        </w:rPr>
        <w:t>Schedule 1.01D</w:t>
      </w:r>
      <w:r>
        <w:rPr>
          <w:rFonts w:ascii="Arial" w:cs="Arial" w:eastAsia="Arial" w:hAnsi="Arial"/>
          <w:sz w:val="22"/>
          <w:szCs w:val="22"/>
          <w:color w:val="auto"/>
        </w:rPr>
        <w:t>.</w:t>
      </w:r>
    </w:p>
    <w:p>
      <w:pPr>
        <w:spacing w:after="0" w:line="193"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System</w:t>
      </w:r>
      <w:r>
        <w:rPr>
          <w:rFonts w:ascii="Arial" w:cs="Arial" w:eastAsia="Arial" w:hAnsi="Arial"/>
          <w:sz w:val="22"/>
          <w:szCs w:val="22"/>
          <w:color w:val="auto"/>
        </w:rPr>
        <w:t>” means any electronic system, including e-mail, e-fax, Intralinks®, ClearPar®, Debt Domain, Syndtrak and any other Internet or extranet-based site, whether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0" w:name="page241"/>
    <w:bookmarkEnd w:id="240"/>
    <w:p>
      <w:pPr>
        <w:jc w:val="both"/>
        <w:spacing w:after="0" w:line="358" w:lineRule="auto"/>
        <w:rPr>
          <w:sz w:val="20"/>
          <w:szCs w:val="20"/>
          <w:color w:val="auto"/>
        </w:rPr>
      </w:pPr>
      <w:r>
        <w:rPr>
          <w:rFonts w:ascii="Arial" w:cs="Arial" w:eastAsia="Arial" w:hAnsi="Arial"/>
          <w:sz w:val="19"/>
          <w:szCs w:val="19"/>
          <w:color w:val="auto"/>
        </w:rPr>
        <w:t>electronic system is owned, operated or hosted by the Administrative Agent and the Issuing Bank and any of its respective Related Parties or any other Person, providing for access to data protected by passcodes or other security system.</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Jurisdiction</w:t>
      </w:r>
      <w:r>
        <w:rPr>
          <w:rFonts w:ascii="Arial" w:cs="Arial" w:eastAsia="Arial" w:hAnsi="Arial"/>
          <w:sz w:val="22"/>
          <w:szCs w:val="22"/>
          <w:color w:val="auto"/>
        </w:rPr>
        <w:t xml:space="preserve">” means (a) each Excluded Jurisdiction other than (i) any Excluded Jurisdiction that is an Ineligible Jurisdiction, and (ii) Iran, or any other country that is a Sanctioned Country or otherwise subject to Sanctions, and (b) the countries of Argentina, Brazil, Colombia and South Africa; </w:t>
      </w:r>
      <w:r>
        <w:rPr>
          <w:rFonts w:ascii="Arial" w:cs="Arial" w:eastAsia="Arial" w:hAnsi="Arial"/>
          <w:sz w:val="22"/>
          <w:szCs w:val="22"/>
          <w:u w:val="single" w:color="auto"/>
          <w:color w:val="auto"/>
        </w:rPr>
        <w:t>provided</w:t>
      </w:r>
      <w:r>
        <w:rPr>
          <w:rFonts w:ascii="Arial" w:cs="Arial" w:eastAsia="Arial" w:hAnsi="Arial"/>
          <w:sz w:val="22"/>
          <w:szCs w:val="22"/>
          <w:color w:val="auto"/>
        </w:rPr>
        <w:t>, that the Administrative Agent and the Borrowers, by mutual written agreement, may re-categorize any country between the definitions of “Eligible Jurisdiction” and “Ineligible Jurisdiction”.</w:t>
      </w:r>
    </w:p>
    <w:p>
      <w:pPr>
        <w:spacing w:after="0" w:line="1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English Security Documents</w:t>
      </w:r>
      <w:r>
        <w:rPr>
          <w:rFonts w:ascii="Arial" w:cs="Arial" w:eastAsia="Arial" w:hAnsi="Arial"/>
          <w:sz w:val="22"/>
          <w:szCs w:val="22"/>
          <w:color w:val="auto"/>
        </w:rPr>
        <w:t xml:space="preserve">” means the English-law-governed security agreements listed on </w:t>
      </w:r>
      <w:r>
        <w:rPr>
          <w:rFonts w:ascii="Arial" w:cs="Arial" w:eastAsia="Arial" w:hAnsi="Arial"/>
          <w:sz w:val="22"/>
          <w:szCs w:val="22"/>
          <w:u w:val="single" w:color="auto"/>
          <w:color w:val="auto"/>
        </w:rPr>
        <w:t>Schedule 1.01C</w:t>
      </w:r>
      <w:r>
        <w:rPr>
          <w:rFonts w:ascii="Arial" w:cs="Arial" w:eastAsia="Arial" w:hAnsi="Arial"/>
          <w:sz w:val="22"/>
          <w:szCs w:val="22"/>
          <w:color w:val="auto"/>
        </w:rPr>
        <w:t xml:space="preserve"> and in substantially the form as attached to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spacing w:after="0" w:line="1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United States Employee Retirement Income Security Act of 1974, as amended from time to time, and all rules, regulations, rulings and interpretations adopted by the U.S. Department of Labor thereunder.</w:t>
      </w:r>
    </w:p>
    <w:p>
      <w:pPr>
        <w:spacing w:after="0" w:line="13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spacing w:after="0" w:line="151"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 (f) the receipt by Parent, any Borrower or any ERISA Affiliate from the PBGC or a plan administrator of any notice relating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1" w:name="page242"/>
    <w:bookmarkEnd w:id="241"/>
    <w:p>
      <w:pPr>
        <w:jc w:val="both"/>
        <w:spacing w:after="0" w:line="272" w:lineRule="auto"/>
        <w:rPr>
          <w:sz w:val="20"/>
          <w:szCs w:val="20"/>
          <w:color w:val="auto"/>
        </w:rPr>
      </w:pPr>
      <w:r>
        <w:rPr>
          <w:rFonts w:ascii="Arial" w:cs="Arial" w:eastAsia="Arial" w:hAnsi="Arial"/>
          <w:sz w:val="21"/>
          <w:szCs w:val="21"/>
          <w:color w:val="auto"/>
        </w:rPr>
        <w:t>an intention to terminate any Plan or Multiemployer Plan or to appoint a trustee to administer any Plan; (g) 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 (i) the receipt by any Multiemployer Plan from Parent, any Borrower or any ERISA Affiliate of any 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spacing w:after="0" w:line="1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4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w:t>
      </w:r>
      <w:r>
        <w:rPr>
          <w:rFonts w:ascii="Arial" w:cs="Arial" w:eastAsia="Arial" w:hAnsi="Arial"/>
          <w:sz w:val="22"/>
          <w:szCs w:val="22"/>
          <w:color w:val="auto"/>
        </w:rPr>
        <w:t>”, when used in reference to any fee, refers to whether such fee is bearing interest at a rate determined by reference to the Adjusted LIBO Rate.</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Insolvency Regulation</w:t>
      </w:r>
      <w:r>
        <w:rPr>
          <w:rFonts w:ascii="Arial" w:cs="Arial" w:eastAsia="Arial" w:hAnsi="Arial"/>
          <w:sz w:val="22"/>
          <w:szCs w:val="22"/>
          <w:color w:val="auto"/>
        </w:rPr>
        <w:t>” means Regulation (EU) 2015/848 of the European Parliament and of the Council of 20 May 2015 on insolvency proceedings (recast).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 as amended.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Rate</w:t>
      </w:r>
      <w:r>
        <w:rPr>
          <w:rFonts w:ascii="Arial" w:cs="Arial" w:eastAsia="Arial" w:hAnsi="Arial"/>
          <w:sz w:val="21"/>
          <w:szCs w:val="21"/>
          <w:color w:val="auto"/>
        </w:rPr>
        <w:t xml:space="preserve">” shall mean, on any day, (a) with respect to any Alternative Currency on a particular date, the rate of exchange for the purchase of Dollars with such Alternative Currency in the London foreign exchange market at the end of the applicable Business Day as quoted by Bloomberg as the “ask price”, or as displayed on such other information service which publishes that rate of exchange from time to time in place of Bloomberg (or if such service ceases to be available, the equivalent of such amount in Dollars as determined by the Administrative Agent, in consultation with the Borrowers, using any method of determination it deems reasonably appropriate) and (b) if such amount is denominated in any other currency (other than Dollars), the equivalent of such amount in Dollars as determined by the Administrative Agent, in consultation with the Borrowers, using any method of determination it deems reasonably appropriate;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connection with any determination by the Administrative Agent of the equivalent of such amount in Dollars, as applicable, pursuant to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upon the written request of any Borrower, the Administrative Agent shall notify such Borrower of the sources used to determine such amount.</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Account</w:t>
      </w:r>
      <w:r>
        <w:rPr>
          <w:rFonts w:ascii="Arial" w:cs="Arial" w:eastAsia="Arial" w:hAnsi="Arial"/>
          <w:sz w:val="22"/>
          <w:szCs w:val="22"/>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(b) any deposit account of an Obligor, including the funds on deposit therein, that has been pledged to secure Indebtedness (other than Indebtedness in respect of the Senior Secured Notes and this Agreement) or other obligations, in each case, to the extent such cash collateral is expressly permitted by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and is exclusively used for such purpose, (c)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2" w:name="page243"/>
    <w:bookmarkEnd w:id="242"/>
    <w:p>
      <w:pPr>
        <w:spacing w:after="0" w:line="299" w:lineRule="auto"/>
        <w:rPr>
          <w:sz w:val="20"/>
          <w:szCs w:val="20"/>
          <w:color w:val="auto"/>
        </w:rPr>
      </w:pPr>
      <w:r>
        <w:rPr>
          <w:rFonts w:ascii="Arial" w:cs="Arial" w:eastAsia="Arial" w:hAnsi="Arial"/>
          <w:sz w:val="19"/>
          <w:szCs w:val="19"/>
          <w:color w:val="auto"/>
        </w:rPr>
        <w:t xml:space="preserve">any Specified Eligible Deposit Account, (d) any Specified Ineligible Deposit Account, and (e) other deposit accounts of the Obligors to the extent the aggregate cash or Cash Equivalent balance of all such other deposit accounts described in this </w:t>
      </w:r>
      <w:r>
        <w:rPr>
          <w:rFonts w:ascii="Arial" w:cs="Arial" w:eastAsia="Arial" w:hAnsi="Arial"/>
          <w:sz w:val="19"/>
          <w:szCs w:val="19"/>
          <w:u w:val="single" w:color="auto"/>
          <w:color w:val="auto"/>
        </w:rPr>
        <w:t>clause</w:t>
      </w:r>
    </w:p>
    <w:p>
      <w:pPr>
        <w:ind w:left="300" w:hanging="292"/>
        <w:spacing w:after="0"/>
        <w:tabs>
          <w:tab w:leader="none" w:pos="300" w:val="left"/>
        </w:tabs>
        <w:numPr>
          <w:ilvl w:val="0"/>
          <w:numId w:val="216"/>
        </w:numPr>
        <w:rPr>
          <w:rFonts w:ascii="Arial" w:cs="Arial" w:eastAsia="Arial" w:hAnsi="Arial"/>
          <w:sz w:val="22"/>
          <w:szCs w:val="22"/>
          <w:u w:val="single" w:color="auto"/>
          <w:color w:val="auto"/>
        </w:rPr>
      </w:pPr>
      <w:r>
        <w:rPr>
          <w:rFonts w:ascii="Arial" w:cs="Arial" w:eastAsia="Arial" w:hAnsi="Arial"/>
          <w:sz w:val="22"/>
          <w:szCs w:val="22"/>
          <w:color w:val="auto"/>
        </w:rPr>
        <w:t>does not at any time exceed $10,000,000.</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xml:space="preserve">” means, collectively, (a) any Capital Stock in any Foreign Subsidiary, joint venture or non-Wholly-Owned Subsidiary that is a Subsidiary of an Obligor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asset will only constitute an Excluded Asset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(c) any property, to the extent the granting of a Lien therein is prohibited by any applicable law (including laws and other governmental regulations governing insurance 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3" w:name="page244"/>
    <w:bookmarkEnd w:id="243"/>
    <w:p>
      <w:pPr>
        <w:jc w:val="both"/>
        <w:spacing w:after="0" w:line="297" w:lineRule="auto"/>
        <w:rPr>
          <w:sz w:val="20"/>
          <w:szCs w:val="20"/>
          <w:color w:val="auto"/>
        </w:rPr>
      </w:pPr>
      <w:r>
        <w:rPr>
          <w:rFonts w:ascii="Arial" w:cs="Arial" w:eastAsia="Arial" w:hAnsi="Arial"/>
          <w:sz w:val="19"/>
          <w:szCs w:val="19"/>
          <w:color w:val="auto"/>
        </w:rPr>
        <w:t xml:space="preserve">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w:t>
      </w:r>
    </w:p>
    <w:p>
      <w:pPr>
        <w:spacing w:after="0" w:line="2" w:lineRule="exact"/>
        <w:rPr>
          <w:sz w:val="20"/>
          <w:szCs w:val="20"/>
          <w:color w:val="auto"/>
        </w:rPr>
      </w:pPr>
    </w:p>
    <w:p>
      <w:pPr>
        <w:jc w:val="both"/>
        <w:ind w:firstLine="8"/>
        <w:spacing w:after="0" w:line="258" w:lineRule="auto"/>
        <w:tabs>
          <w:tab w:leader="none" w:pos="40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and (o) any real property other than the Effective Date Real Property that has a net book value of less than $10,000,000 as reflected in the most recent consolidated financial statements of Parent delivered pursuant to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7.01(b)</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the foregoing exclusions shall not apply to any asset or property of any Borrower and its Subsidiaries on which a Lien has been granted in favor of the Senior Secured Notes Trustee to secure the Senior Secured Notes.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Jurisdictions</w:t>
      </w:r>
      <w:r>
        <w:rPr>
          <w:rFonts w:ascii="Arial" w:cs="Arial" w:eastAsia="Arial" w:hAnsi="Arial"/>
          <w:sz w:val="22"/>
          <w:szCs w:val="22"/>
          <w:color w:val="auto"/>
        </w:rPr>
        <w:t xml:space="preserve">” means the countries or other jurisdictions identified on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hereto.</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Swap Obligation</w:t>
      </w:r>
      <w:r>
        <w:rPr>
          <w:rFonts w:ascii="Arial" w:cs="Arial" w:eastAsia="Arial" w:hAnsi="Arial"/>
          <w:sz w:val="22"/>
          <w:szCs w:val="22"/>
          <w:color w:val="auto"/>
        </w:rPr>
        <w:t>” 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 (c) in the case of a Lender (other than an assignee pursuant to an assignment requested by a Borrower under </w:t>
      </w:r>
      <w:r>
        <w:rPr>
          <w:rFonts w:ascii="Arial" w:cs="Arial" w:eastAsia="Arial" w:hAnsi="Arial"/>
          <w:sz w:val="19"/>
          <w:szCs w:val="19"/>
          <w:u w:val="single" w:color="auto"/>
          <w:color w:val="auto"/>
        </w:rPr>
        <w:t>Section 4.03(b)</w:t>
      </w:r>
      <w:r>
        <w:rPr>
          <w:rFonts w:ascii="Arial" w:cs="Arial" w:eastAsia="Arial" w:hAnsi="Arial"/>
          <w:sz w:val="19"/>
          <w:szCs w:val="19"/>
          <w:color w:val="auto"/>
        </w:rPr>
        <w:t>, or otherwise at the request of a Borrower or Guarantor), any United States, Irish, Swiss, German or Bermuda withholding tax that is imposed on amounts payable to such Lender at the time such Lender becomes a party to this Agreement (or designates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4" w:name="page245"/>
    <w:bookmarkEnd w:id="244"/>
    <w:p>
      <w:pPr>
        <w:jc w:val="both"/>
        <w:spacing w:after="0" w:line="300" w:lineRule="auto"/>
        <w:rPr>
          <w:sz w:val="20"/>
          <w:szCs w:val="20"/>
          <w:color w:val="auto"/>
        </w:rPr>
      </w:pPr>
      <w:r>
        <w:rPr>
          <w:rFonts w:ascii="Arial" w:cs="Arial" w:eastAsia="Arial" w:hAnsi="Arial"/>
          <w:sz w:val="19"/>
          <w:szCs w:val="19"/>
          <w:color w:val="auto"/>
        </w:rPr>
        <w:t xml:space="preserve">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4.02(e)</w:t>
      </w:r>
      <w:r>
        <w:rPr>
          <w:rFonts w:ascii="Arial" w:cs="Arial" w:eastAsia="Arial" w:hAnsi="Arial"/>
          <w:sz w:val="19"/>
          <w:szCs w:val="19"/>
          <w:color w:val="auto"/>
        </w:rPr>
        <w:t>, (f) any United States federal withholding Taxes imposed by FATCA, (g) any Taxes assessed on a Lender under the laws of Germany solely due to the fact that the Obligations are secured (directly or indirectly) by real estate located in Germany (</w:t>
      </w:r>
      <w:r>
        <w:rPr>
          <w:rFonts w:ascii="Arial" w:cs="Arial" w:eastAsia="Arial" w:hAnsi="Arial"/>
          <w:sz w:val="19"/>
          <w:szCs w:val="19"/>
          <w:i w:val="1"/>
          <w:iCs w:val="1"/>
          <w:color w:val="auto"/>
        </w:rPr>
        <w:t>inländischer Grundbesitz</w:t>
      </w:r>
      <w:r>
        <w:rPr>
          <w:rFonts w:ascii="Arial" w:cs="Arial" w:eastAsia="Arial" w:hAnsi="Arial"/>
          <w:sz w:val="19"/>
          <w:szCs w:val="19"/>
          <w:color w:val="auto"/>
        </w:rPr>
        <w:t>) or by German rights subject to the civil code provisions relating to real estate (</w:t>
      </w:r>
      <w:r>
        <w:rPr>
          <w:rFonts w:ascii="Arial" w:cs="Arial" w:eastAsia="Arial" w:hAnsi="Arial"/>
          <w:sz w:val="19"/>
          <w:szCs w:val="19"/>
          <w:i w:val="1"/>
          <w:iCs w:val="1"/>
          <w:color w:val="auto"/>
        </w:rPr>
        <w:t>inländische Rechte, die den Vorschriften des bürgerlichen Rechts über Grundstücke unterliegen</w:t>
      </w:r>
      <w:r>
        <w:rPr>
          <w:rFonts w:ascii="Arial" w:cs="Arial" w:eastAsia="Arial" w:hAnsi="Arial"/>
          <w:sz w:val="19"/>
          <w:szCs w:val="19"/>
          <w:color w:val="auto"/>
        </w:rPr>
        <w:t>) or ships which are registered in a German ship register and (h) any German withholding tax for which the relevant obligor is required by the relevant German tax office to make a Tax deduction on account of German Tax pursuant to Section 50a paragraph 7 of the German Income Tax Act (</w:t>
      </w:r>
      <w:r>
        <w:rPr>
          <w:rFonts w:ascii="Arial" w:cs="Arial" w:eastAsia="Arial" w:hAnsi="Arial"/>
          <w:sz w:val="19"/>
          <w:szCs w:val="19"/>
          <w:i w:val="1"/>
          <w:iCs w:val="1"/>
          <w:color w:val="auto"/>
        </w:rPr>
        <w:t>Einkommensteuergesetz</w:t>
      </w:r>
      <w:r>
        <w:rPr>
          <w:rFonts w:ascii="Arial" w:cs="Arial" w:eastAsia="Arial" w:hAnsi="Arial"/>
          <w:sz w:val="19"/>
          <w:szCs w:val="19"/>
          <w:color w:val="auto"/>
        </w:rPr>
        <w:t xml:space="preserve">) or a comparable replacement regulation; </w:t>
      </w:r>
      <w:r>
        <w:rPr>
          <w:rFonts w:ascii="Arial" w:cs="Arial" w:eastAsia="Arial" w:hAnsi="Arial"/>
          <w:sz w:val="19"/>
          <w:szCs w:val="19"/>
          <w:i w:val="1"/>
          <w:iCs w:val="1"/>
          <w:color w:val="auto"/>
        </w:rPr>
        <w:t>except that</w:t>
      </w:r>
      <w:r>
        <w:rPr>
          <w:rFonts w:ascii="Arial" w:cs="Arial" w:eastAsia="Arial" w:hAnsi="Arial"/>
          <w:sz w:val="19"/>
          <w:szCs w:val="19"/>
          <w:color w:val="auto"/>
        </w:rPr>
        <w:t xml:space="preserve">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the outstanding letters of credit and bank guarantees issued by the Issuing Banks and set forth on </w:t>
      </w:r>
      <w:r>
        <w:rPr>
          <w:rFonts w:ascii="Arial" w:cs="Arial" w:eastAsia="Arial" w:hAnsi="Arial"/>
          <w:sz w:val="22"/>
          <w:szCs w:val="22"/>
          <w:u w:val="single" w:color="auto"/>
          <w:color w:val="auto"/>
        </w:rPr>
        <w:t>Schedule 3.01</w:t>
      </w:r>
      <w:r>
        <w:rPr>
          <w:rFonts w:ascii="Arial" w:cs="Arial" w:eastAsia="Arial" w:hAnsi="Arial"/>
          <w:sz w:val="22"/>
          <w:szCs w:val="22"/>
          <w:color w:val="auto"/>
        </w:rPr>
        <w:t xml:space="preserve"> hereto.</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 Senior Notes</w:t>
      </w:r>
      <w:r>
        <w:rPr>
          <w:rFonts w:ascii="Arial" w:cs="Arial" w:eastAsia="Arial" w:hAnsi="Arial"/>
          <w:sz w:val="22"/>
          <w:szCs w:val="22"/>
          <w:color w:val="auto"/>
        </w:rPr>
        <w:t>” means the unsecured senior notes of WIL-Bermuda to be issued on the Effective Date pursuant to the Plan of Reorganization.</w:t>
      </w:r>
    </w:p>
    <w:p>
      <w:pPr>
        <w:spacing w:after="0" w:line="13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 Senior Notes Indenture</w:t>
      </w:r>
      <w:r>
        <w:rPr>
          <w:rFonts w:ascii="Arial" w:cs="Arial" w:eastAsia="Arial" w:hAnsi="Arial"/>
          <w:sz w:val="22"/>
          <w:szCs w:val="22"/>
          <w:color w:val="auto"/>
        </w:rPr>
        <w:t>” means the indenture, dated on or about the date hereof, governing the Exit Senior Notes, which is in substantially the form attached as an exhibit to the Parent’s Form T-3, as amended, filed with the Securities and Exchange Commission, and in form and substance reasonably satisfactory to the Joint Lead Arrangers to permit the Secured Obligations and the Transactions.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Expiration Letter of Credit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Fee Rate</w:t>
      </w:r>
      <w:r>
        <w:rPr>
          <w:rFonts w:ascii="Arial" w:cs="Arial" w:eastAsia="Arial" w:hAnsi="Arial"/>
          <w:sz w:val="22"/>
          <w:szCs w:val="22"/>
          <w:color w:val="auto"/>
        </w:rPr>
        <w:t>” means 0.500% per annum.</w:t>
      </w:r>
    </w:p>
    <w:p>
      <w:pPr>
        <w:spacing w:after="0" w:line="1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5" w:name="page246"/>
    <w:bookmarkEnd w:id="245"/>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FCPA</w:t>
      </w:r>
      <w:r>
        <w:rPr>
          <w:rFonts w:ascii="Arial" w:cs="Arial" w:eastAsia="Arial" w:hAnsi="Arial"/>
          <w:sz w:val="21"/>
          <w:szCs w:val="21"/>
          <w:color w:val="auto"/>
        </w:rPr>
        <w:t>” means the Foreign Corrupt Practices Act of 1977, as amended, and the rules and regulations thereunder.</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63" w:lineRule="exact"/>
        <w:rPr>
          <w:sz w:val="20"/>
          <w:szCs w:val="20"/>
          <w:color w:val="auto"/>
        </w:rPr>
      </w:pPr>
    </w:p>
    <w:p>
      <w:pPr>
        <w:jc w:val="both"/>
        <w:ind w:firstLine="702"/>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Standby Letter of Credit</w:t>
      </w:r>
      <w:r>
        <w:rPr>
          <w:rFonts w:ascii="Arial" w:cs="Arial" w:eastAsia="Arial" w:hAnsi="Arial"/>
          <w:sz w:val="19"/>
          <w:szCs w:val="19"/>
          <w:color w:val="auto"/>
        </w:rPr>
        <w:t>” means, as determined by an Issuing Bank, a standby Letter of Credit (including, for the avoidance of doubt bank guarantees) under which the beneficiary is entitled to draw thereon in the event that the account party (or the Person or Persons on whose behalf such Letter of Credit was issued) fails to perform a financial obligation.</w:t>
      </w:r>
    </w:p>
    <w:p>
      <w:pPr>
        <w:spacing w:after="0" w:line="9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Quarter</w:t>
      </w:r>
      <w:r>
        <w:rPr>
          <w:rFonts w:ascii="Arial" w:cs="Arial" w:eastAsia="Arial" w:hAnsi="Arial"/>
          <w:sz w:val="19"/>
          <w:szCs w:val="19"/>
          <w:color w:val="auto"/>
        </w:rPr>
        <w:t>” means a Fiscal Quarter of Parent, ending on the last day of each March, June, September and December.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Parent, ending on December 31 of each year.</w:t>
      </w:r>
    </w:p>
    <w:p>
      <w:pPr>
        <w:spacing w:after="0" w:line="2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Laws</w:t>
      </w:r>
      <w:r>
        <w:rPr>
          <w:rFonts w:ascii="Arial" w:cs="Arial" w:eastAsia="Arial" w:hAnsi="Arial"/>
          <w:sz w:val="22"/>
          <w:szCs w:val="22"/>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5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Cash Equivalents</w:t>
      </w:r>
      <w:r>
        <w:rPr>
          <w:rFonts w:ascii="Arial" w:cs="Arial" w:eastAsia="Arial" w:hAnsi="Arial"/>
          <w:sz w:val="19"/>
          <w:szCs w:val="19"/>
          <w:color w:val="auto"/>
        </w:rPr>
        <w:t xml:space="preserve">” means (a) certificates of deposit, banker’s acceptances, or time deposits maturing within one year from the date of acquisition thereof, in each case payable in an Agreed Currency and issued by any bank organized under the laws of any Specified State and having at the date of acquisition thereof combined capital and surplus and undivided profits of not less than $500,000,000 (calculated at the then-applicable Exchange Rate), (b) Deposit Accounts maintained with any bank that satisfies the criteria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(c) Investments in money market funds substantially all of whose assets are invested in the types of assets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Collateral Agent</w:t>
      </w:r>
      <w:r>
        <w:rPr>
          <w:rFonts w:ascii="Arial" w:cs="Arial" w:eastAsia="Arial" w:hAnsi="Arial"/>
          <w:sz w:val="22"/>
          <w:szCs w:val="22"/>
          <w:color w:val="auto"/>
        </w:rPr>
        <w:t>” means the foreign collateral agent as defined in the Amendment No. 1 Intercreditor Agreement.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or Participant that is organized under the laws of a jurisdiction other than the United States of America or any State thereof.</w:t>
      </w:r>
    </w:p>
    <w:p>
      <w:pPr>
        <w:spacing w:after="0" w:line="134" w:lineRule="exact"/>
        <w:rPr>
          <w:sz w:val="20"/>
          <w:szCs w:val="20"/>
          <w:color w:val="auto"/>
        </w:rPr>
      </w:pPr>
    </w:p>
    <w:p>
      <w:pPr>
        <w:jc w:val="both"/>
        <w:ind w:right="20"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Plan</w:t>
      </w:r>
      <w:r>
        <w:rPr>
          <w:rFonts w:ascii="Arial" w:cs="Arial" w:eastAsia="Arial" w:hAnsi="Arial"/>
          <w:sz w:val="19"/>
          <w:szCs w:val="19"/>
          <w:color w:val="auto"/>
        </w:rPr>
        <w:t>” 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6" w:name="page247"/>
    <w:bookmarkEnd w:id="246"/>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Plan Event</w:t>
      </w:r>
      <w:r>
        <w:rPr>
          <w:rFonts w:ascii="Arial" w:cs="Arial" w:eastAsia="Arial" w:hAnsi="Arial"/>
          <w:sz w:val="21"/>
          <w:szCs w:val="21"/>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direct or indirect subsidiary of any Obligor that is not a Domestic Subsidiary.</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Indebtedness</w:t>
      </w:r>
      <w:r>
        <w:rPr>
          <w:rFonts w:ascii="Arial" w:cs="Arial" w:eastAsia="Arial" w:hAnsi="Arial"/>
          <w:sz w:val="21"/>
          <w:szCs w:val="21"/>
          <w:color w:val="auto"/>
        </w:rPr>
        <w:t xml:space="preserve">” means, with respect to Parent and its Restricted Subsidiaries as of any date, the sum, without duplication, of (a) all Indebtedness of the type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(g)</w:t>
      </w:r>
      <w:r>
        <w:rPr>
          <w:rFonts w:ascii="Arial" w:cs="Arial" w:eastAsia="Arial" w:hAnsi="Arial"/>
          <w:sz w:val="21"/>
          <w:szCs w:val="21"/>
          <w:color w:val="auto"/>
        </w:rPr>
        <w:t xml:space="preserve">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spacing w:after="0" w:line="1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4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support letters delivered for audit purposes (to the extent consistent with past practices of Parent and its Restricted Subsidiaries) and performance guarantees shall not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7" w:name="page248"/>
    <w:bookmarkEnd w:id="247"/>
    <w:p>
      <w:pPr>
        <w:jc w:val="both"/>
        <w:spacing w:after="0" w:line="327" w:lineRule="auto"/>
        <w:rPr>
          <w:sz w:val="20"/>
          <w:szCs w:val="20"/>
          <w:color w:val="auto"/>
        </w:rPr>
      </w:pPr>
      <w:r>
        <w:rPr>
          <w:rFonts w:ascii="Arial" w:cs="Arial" w:eastAsia="Arial" w:hAnsi="Arial"/>
          <w:sz w:val="19"/>
          <w:szCs w:val="19"/>
          <w:color w:val="auto"/>
        </w:rPr>
        <w:t>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Guarantors</w:t>
      </w:r>
      <w:r>
        <w:rPr>
          <w:rFonts w:ascii="Arial" w:cs="Arial" w:eastAsia="Arial" w:hAnsi="Arial"/>
          <w:sz w:val="21"/>
          <w:szCs w:val="21"/>
          <w:color w:val="auto"/>
        </w:rPr>
        <w:t xml:space="preserve">” means Parent and each Restricted Subsidiary that enters into a Guaranty Agreement with respect to the Secured Obligations. The Guarantors as of the Effective Date are set forth on </w:t>
      </w:r>
      <w:r>
        <w:rPr>
          <w:rFonts w:ascii="Arial" w:cs="Arial" w:eastAsia="Arial" w:hAnsi="Arial"/>
          <w:sz w:val="21"/>
          <w:szCs w:val="21"/>
          <w:u w:val="single" w:color="auto"/>
          <w:color w:val="auto"/>
        </w:rPr>
        <w:t>Schedule 1.01B</w:t>
      </w:r>
      <w:r>
        <w:rPr>
          <w:rFonts w:ascii="Arial" w:cs="Arial" w:eastAsia="Arial" w:hAnsi="Arial"/>
          <w:sz w:val="21"/>
          <w:szCs w:val="21"/>
          <w:color w:val="auto"/>
        </w:rPr>
        <w:t xml:space="preserve"> hereto.</w:t>
      </w:r>
    </w:p>
    <w:p>
      <w:pPr>
        <w:spacing w:after="0" w:line="12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 Agreements</w:t>
      </w:r>
      <w:r>
        <w:rPr>
          <w:rFonts w:ascii="Arial" w:cs="Arial" w:eastAsia="Arial" w:hAnsi="Arial"/>
          <w:sz w:val="19"/>
          <w:szCs w:val="19"/>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9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spacing w:after="0" w:line="10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Hostile Acquisition</w:t>
      </w:r>
      <w:r>
        <w:rPr>
          <w:rFonts w:ascii="Arial" w:cs="Arial" w:eastAsia="Arial" w:hAnsi="Arial"/>
          <w:sz w:val="22"/>
          <w:szCs w:val="22"/>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Hypothecary Representative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assigned to such term in the definition of “LIBO Rate”.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2.11(a)</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 Supplement</w:t>
      </w:r>
      <w:r>
        <w:rPr>
          <w:rFonts w:ascii="Arial" w:cs="Arial" w:eastAsia="Arial" w:hAnsi="Arial"/>
          <w:sz w:val="22"/>
          <w:szCs w:val="22"/>
          <w:color w:val="auto"/>
        </w:rPr>
        <w:t xml:space="preserve">” means an increasing lender supplement entered into by the Borrowers and any Increasing Lender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or any other form reasonably acceptable to the Administrative Agent.</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8" w:name="page249"/>
    <w:bookmarkEnd w:id="248"/>
    <w:p>
      <w:pPr>
        <w:jc w:val="both"/>
        <w:spacing w:after="0" w:line="306" w:lineRule="auto"/>
        <w:rPr>
          <w:sz w:val="20"/>
          <w:szCs w:val="20"/>
          <w:color w:val="auto"/>
        </w:rPr>
      </w:pPr>
      <w:r>
        <w:rPr>
          <w:rFonts w:ascii="Arial" w:cs="Arial" w:eastAsia="Arial" w:hAnsi="Arial"/>
          <w:sz w:val="19"/>
          <w:szCs w:val="19"/>
          <w:color w:val="auto"/>
        </w:rPr>
        <w:t>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any Taxes imposed on or with respect to any payment made by or on account of any obligation of any Borrower or Guarantor under any Loan Document, other than Excluded Taxes and Other Taxes.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Ineligible Jurisdiction</w:t>
      </w:r>
      <w:r>
        <w:rPr>
          <w:rFonts w:ascii="Arial" w:cs="Arial" w:eastAsia="Arial" w:hAnsi="Arial"/>
          <w:sz w:val="22"/>
          <w:szCs w:val="22"/>
          <w:color w:val="auto"/>
        </w:rPr>
        <w:t xml:space="preserve">” means the countries of Albania, Angola, Congo, Egypt, Gabon, and Nigeria;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and the Borrowers, by mutual written agreement, may re-categorize any country between the definitions of “Ineligible Jurisdiction” and “Eligible Jurisdiction”.</w:t>
      </w:r>
    </w:p>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u w:val="single" w:color="auto"/>
          <w:color w:val="auto"/>
        </w:rPr>
        <w:t>“Insolvency Laws</w:t>
      </w:r>
      <w:r>
        <w:rPr>
          <w:rFonts w:ascii="Arial" w:cs="Arial" w:eastAsia="Arial" w:hAnsi="Arial"/>
          <w:sz w:val="19"/>
          <w:szCs w:val="19"/>
          <w:color w:val="auto"/>
        </w:rPr>
        <w:t xml:space="preserve">” means (a) the Bankruptcy Code, (b) the </w:t>
      </w:r>
      <w:r>
        <w:rPr>
          <w:rFonts w:ascii="Arial" w:cs="Arial" w:eastAsia="Arial" w:hAnsi="Arial"/>
          <w:sz w:val="19"/>
          <w:szCs w:val="19"/>
          <w:i w:val="1"/>
          <w:iCs w:val="1"/>
          <w:color w:val="auto"/>
        </w:rPr>
        <w:t>Bankruptcy and Insolvency Act</w:t>
      </w:r>
      <w:r>
        <w:rPr>
          <w:rFonts w:ascii="Arial" w:cs="Arial" w:eastAsia="Arial" w:hAnsi="Arial"/>
          <w:sz w:val="19"/>
          <w:szCs w:val="19"/>
          <w:color w:val="auto"/>
        </w:rPr>
        <w:t xml:space="preserve"> (Canada), (c) the </w:t>
      </w:r>
      <w:r>
        <w:rPr>
          <w:rFonts w:ascii="Arial" w:cs="Arial" w:eastAsia="Arial" w:hAnsi="Arial"/>
          <w:sz w:val="19"/>
          <w:szCs w:val="19"/>
          <w:i w:val="1"/>
          <w:iCs w:val="1"/>
          <w:color w:val="auto"/>
        </w:rPr>
        <w:t>Companies’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Creditors Arrangement Act </w:t>
      </w:r>
      <w:r>
        <w:rPr>
          <w:rFonts w:ascii="Arial" w:cs="Arial" w:eastAsia="Arial" w:hAnsi="Arial"/>
          <w:sz w:val="19"/>
          <w:szCs w:val="19"/>
          <w:color w:val="auto"/>
        </w:rPr>
        <w:t>(Canada), (d) the</w:t>
      </w:r>
      <w:r>
        <w:rPr>
          <w:rFonts w:ascii="Arial" w:cs="Arial" w:eastAsia="Arial" w:hAnsi="Arial"/>
          <w:sz w:val="19"/>
          <w:szCs w:val="19"/>
          <w:i w:val="1"/>
          <w:iCs w:val="1"/>
          <w:color w:val="auto"/>
        </w:rPr>
        <w:t xml:space="preserve"> Winding-Up and Restructuring Act </w:t>
      </w:r>
      <w:r>
        <w:rPr>
          <w:rFonts w:ascii="Arial" w:cs="Arial" w:eastAsia="Arial" w:hAnsi="Arial"/>
          <w:sz w:val="19"/>
          <w:szCs w:val="19"/>
          <w:color w:val="auto"/>
        </w:rPr>
        <w:t>(Canada), (e) the</w:t>
      </w:r>
      <w:r>
        <w:rPr>
          <w:rFonts w:ascii="Arial" w:cs="Arial" w:eastAsia="Arial" w:hAnsi="Arial"/>
          <w:sz w:val="19"/>
          <w:szCs w:val="19"/>
          <w:i w:val="1"/>
          <w:iCs w:val="1"/>
          <w:color w:val="auto"/>
        </w:rPr>
        <w:t xml:space="preserve"> Canada Business Corporations Act </w:t>
      </w:r>
      <w:r>
        <w:rPr>
          <w:rFonts w:ascii="Arial" w:cs="Arial" w:eastAsia="Arial" w:hAnsi="Arial"/>
          <w:sz w:val="19"/>
          <w:szCs w:val="19"/>
          <w:color w:val="auto"/>
        </w:rPr>
        <w:t>(Canada) where such statute is used by a Person to propose an arrangement, (f) the German Insolvency Act</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Insolvenzordnung</w:t>
      </w:r>
      <w:r>
        <w:rPr>
          <w:rFonts w:ascii="Arial" w:cs="Arial" w:eastAsia="Arial" w:hAnsi="Arial"/>
          <w:sz w:val="19"/>
          <w:szCs w:val="19"/>
          <w:color w:val="auto"/>
        </w:rPr>
        <w:t>), (g) the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w:t>
      </w:r>
      <w:r>
        <w:rPr>
          <w:rFonts w:ascii="Arial" w:cs="Arial" w:eastAsia="Arial" w:hAnsi="Arial"/>
          <w:sz w:val="19"/>
          <w:szCs w:val="19"/>
          <w:i w:val="1"/>
          <w:iCs w:val="1"/>
          <w:color w:val="auto"/>
        </w:rPr>
        <w:t>Anordnung von Sicherungsmaßnahmen</w:t>
      </w:r>
      <w:r>
        <w:rPr>
          <w:rFonts w:ascii="Arial" w:cs="Arial" w:eastAsia="Arial" w:hAnsi="Arial"/>
          <w:sz w:val="19"/>
          <w:szCs w:val="19"/>
          <w:color w:val="auto"/>
        </w:rPr>
        <w:t>)), and/or (h) any similar legislation in a relevant jurisdiction, in each case as applicable and as in effect from time to time.</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Proceeding</w:t>
      </w:r>
      <w:r>
        <w:rPr>
          <w:rFonts w:ascii="Arial" w:cs="Arial" w:eastAsia="Arial" w:hAnsi="Arial"/>
          <w:sz w:val="22"/>
          <w:szCs w:val="22"/>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and/or (b) a Person having filed a notice under Section 36 of the Tax Collection Act of the Netherlands (</w:t>
      </w:r>
      <w:r>
        <w:rPr>
          <w:rFonts w:ascii="Arial" w:cs="Arial" w:eastAsia="Arial" w:hAnsi="Arial"/>
          <w:sz w:val="22"/>
          <w:szCs w:val="22"/>
          <w:i w:val="1"/>
          <w:iCs w:val="1"/>
          <w:color w:val="auto"/>
        </w:rPr>
        <w:t>Invorderingswet 1990</w:t>
      </w:r>
      <w:r>
        <w:rPr>
          <w:rFonts w:ascii="Arial" w:cs="Arial" w:eastAsia="Arial" w:hAnsi="Arial"/>
          <w:sz w:val="22"/>
          <w:szCs w:val="22"/>
          <w:color w:val="auto"/>
        </w:rPr>
        <w:t>) or Section 60 of the Social Insurance Financing Act of the Netherlands (</w:t>
      </w:r>
      <w:r>
        <w:rPr>
          <w:rFonts w:ascii="Arial" w:cs="Arial" w:eastAsia="Arial" w:hAnsi="Arial"/>
          <w:sz w:val="22"/>
          <w:szCs w:val="22"/>
          <w:i w:val="1"/>
          <w:iCs w:val="1"/>
          <w:color w:val="auto"/>
        </w:rPr>
        <w:t>Wet</w:t>
      </w:r>
      <w:r>
        <w:rPr>
          <w:rFonts w:ascii="Arial" w:cs="Arial" w:eastAsia="Arial" w:hAnsi="Arial"/>
          <w:sz w:val="22"/>
          <w:szCs w:val="22"/>
          <w:color w:val="auto"/>
        </w:rPr>
        <w:t xml:space="preserve"> </w:t>
      </w:r>
      <w:r>
        <w:rPr>
          <w:rFonts w:ascii="Arial" w:cs="Arial" w:eastAsia="Arial" w:hAnsi="Arial"/>
          <w:sz w:val="22"/>
          <w:szCs w:val="22"/>
          <w:i w:val="1"/>
          <w:iCs w:val="1"/>
          <w:color w:val="auto"/>
        </w:rPr>
        <w:t>Financiering Sociale Verzekeringen</w:t>
      </w:r>
      <w:r>
        <w:rPr>
          <w:rFonts w:ascii="Arial" w:cs="Arial" w:eastAsia="Arial" w:hAnsi="Arial"/>
          <w:sz w:val="22"/>
          <w:szCs w:val="22"/>
          <w:color w:val="auto"/>
        </w:rPr>
        <w:t>) in conjunction with Section 36 of the Tax Collection Act of the Netherlands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Invorderingswet 1990</w:t>
      </w:r>
      <w:r>
        <w:rPr>
          <w:rFonts w:ascii="Arial" w:cs="Arial" w:eastAsia="Arial" w:hAnsi="Arial"/>
          <w:sz w:val="22"/>
          <w:szCs w:val="22"/>
          <w:color w:val="auto"/>
        </w:rPr>
        <w:t>).</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has the meaning set forth in the U.S. Security Agreement, and includes all Industrial Designs (as defined in the Canadian Security Agreement).</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Subordination Agreement</w:t>
      </w:r>
      <w:r>
        <w:rPr>
          <w:rFonts w:ascii="Arial" w:cs="Arial" w:eastAsia="Arial" w:hAnsi="Arial"/>
          <w:sz w:val="22"/>
          <w:szCs w:val="22"/>
          <w:color w:val="auto"/>
        </w:rPr>
        <w:t>” means an intercompany subordination agreement, dated as of the date hereof, executed and delivered by each Obligor and the Parent’s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9" w:name="page250"/>
    <w:bookmarkEnd w:id="249"/>
    <w:p>
      <w:pPr>
        <w:jc w:val="both"/>
        <w:spacing w:after="0" w:line="276" w:lineRule="auto"/>
        <w:rPr>
          <w:sz w:val="20"/>
          <w:szCs w:val="20"/>
          <w:color w:val="auto"/>
        </w:rPr>
      </w:pPr>
      <w:r>
        <w:rPr>
          <w:rFonts w:ascii="Arial" w:cs="Arial" w:eastAsia="Arial" w:hAnsi="Arial"/>
          <w:sz w:val="22"/>
          <w:szCs w:val="22"/>
          <w:color w:val="auto"/>
        </w:rPr>
        <w:t xml:space="preserve">Subsidiaries party thereto, and Agent, in substantially the form attached hereto as </w:t>
      </w:r>
      <w:r>
        <w:rPr>
          <w:rFonts w:ascii="Arial" w:cs="Arial" w:eastAsia="Arial" w:hAnsi="Arial"/>
          <w:sz w:val="22"/>
          <w:szCs w:val="22"/>
          <w:u w:val="single" w:color="auto"/>
          <w:color w:val="auto"/>
        </w:rPr>
        <w:t>Exhibit M</w:t>
      </w:r>
      <w:r>
        <w:rPr>
          <w:rFonts w:ascii="Arial" w:cs="Arial" w:eastAsia="Arial" w:hAnsi="Arial"/>
          <w:sz w:val="22"/>
          <w:szCs w:val="22"/>
          <w:color w:val="auto"/>
        </w:rPr>
        <w:t>, or as otherwise reasonably agreed by the Required Lenders.</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xml:space="preserve">” means, collectively, (a) that certain Intercreditor Agreement dated as of the Effective Date, substantially in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hereto, by and among the Administrative Agent, the ABL Collateral Agent, the Borrowers and the other Obligors from time to time party thereto, as replaced by the Intercreditor Agreement (the “</w:t>
      </w:r>
      <w:r>
        <w:rPr>
          <w:rFonts w:ascii="Arial" w:cs="Arial" w:eastAsia="Arial" w:hAnsi="Arial"/>
          <w:sz w:val="21"/>
          <w:szCs w:val="21"/>
          <w:u w:val="single" w:color="auto"/>
          <w:color w:val="auto"/>
        </w:rPr>
        <w:t>Amendment No. 1</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xml:space="preserve">”) dated as of the Amendment No. 1 Effective Date, substantially in the form of </w:t>
      </w:r>
      <w:r>
        <w:rPr>
          <w:rFonts w:ascii="Arial" w:cs="Arial" w:eastAsia="Arial" w:hAnsi="Arial"/>
          <w:sz w:val="21"/>
          <w:szCs w:val="21"/>
          <w:u w:val="single" w:color="auto"/>
          <w:color w:val="auto"/>
        </w:rPr>
        <w:t>Exhibit P</w:t>
      </w:r>
      <w:r>
        <w:rPr>
          <w:rFonts w:ascii="Arial" w:cs="Arial" w:eastAsia="Arial" w:hAnsi="Arial"/>
          <w:sz w:val="21"/>
          <w:szCs w:val="21"/>
          <w:color w:val="auto"/>
        </w:rPr>
        <w:t xml:space="preserve"> hereto, and (b) 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Senior Secured Notes Secured Parties or any other Person) under the laws of any Specified Jurisdiction in order for the Liens on the LC Priority Collateral securing the Senior Secured Notes to be subordinated to the Liens on the LC Priority Collateral securing the Secured Obligations to the reasonable satisfaction of 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LC Fee Period</w:t>
      </w:r>
      <w:r>
        <w:rPr>
          <w:rFonts w:ascii="Arial" w:cs="Arial" w:eastAsia="Arial" w:hAnsi="Arial"/>
          <w:sz w:val="22"/>
          <w:szCs w:val="22"/>
          <w:color w:val="auto"/>
        </w:rPr>
        <w:t>” means the period from December 12, 2019 until January 1, 2020.</w:t>
      </w:r>
    </w:p>
    <w:p>
      <w:pPr>
        <w:spacing w:after="0" w:line="19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Impacted Interest Period, the rate per annum (rounded down to the same number of decimal places as the LIBO Screen Rate) determined by the Administrative Agent (which determination shall be conclusive and binding absent manifest error) to be equal to the rate that results from interpolating on a linear basis between:</w:t>
      </w:r>
    </w:p>
    <w:p>
      <w:pPr>
        <w:spacing w:after="0" w:line="1" w:lineRule="exact"/>
        <w:rPr>
          <w:sz w:val="20"/>
          <w:szCs w:val="20"/>
          <w:color w:val="auto"/>
        </w:rPr>
      </w:pPr>
    </w:p>
    <w:p>
      <w:pPr>
        <w:jc w:val="both"/>
        <w:ind w:firstLine="8"/>
        <w:spacing w:after="0" w:line="315" w:lineRule="auto"/>
        <w:tabs>
          <w:tab w:leader="none" w:pos="3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the 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Interpolated Rate shall be less than zero, such rate shall be deemed to be zero for the purposes of this Agreement.</w:t>
      </w:r>
    </w:p>
    <w:p>
      <w:pPr>
        <w:spacing w:after="0" w:line="104" w:lineRule="exact"/>
        <w:rPr>
          <w:sz w:val="20"/>
          <w:szCs w:val="20"/>
          <w:color w:val="auto"/>
        </w:rPr>
      </w:pPr>
    </w:p>
    <w:p>
      <w:pPr>
        <w:jc w:val="both"/>
        <w:ind w:firstLine="702"/>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 (d) capital contribution or other investment by such Person in any other Person or (e) purchase or other acquisition (in one transaction or a series of transactions) of any assets of any other Person constituting a business unit.</w:t>
      </w:r>
    </w:p>
    <w:p>
      <w:pPr>
        <w:spacing w:after="0" w:line="15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 Short Forms</w:t>
      </w:r>
      <w:r>
        <w:rPr>
          <w:rFonts w:ascii="Arial" w:cs="Arial" w:eastAsia="Arial" w:hAnsi="Arial"/>
          <w:sz w:val="21"/>
          <w:szCs w:val="21"/>
          <w:color w:val="auto"/>
        </w:rPr>
        <w:t xml:space="preserve">” means the Trademark Security Agreement and Patent Security Agreement in substantially the form of </w:t>
      </w:r>
      <w:r>
        <w:rPr>
          <w:rFonts w:ascii="Arial" w:cs="Arial" w:eastAsia="Arial" w:hAnsi="Arial"/>
          <w:sz w:val="21"/>
          <w:szCs w:val="21"/>
          <w:u w:val="single" w:color="auto"/>
          <w:color w:val="auto"/>
        </w:rPr>
        <w:t>Exhibit J</w:t>
      </w:r>
      <w:r>
        <w:rPr>
          <w:rFonts w:ascii="Arial" w:cs="Arial" w:eastAsia="Arial" w:hAnsi="Arial"/>
          <w:sz w:val="21"/>
          <w:szCs w:val="21"/>
          <w:color w:val="auto"/>
        </w:rPr>
        <w:t>, and to the extent applicable, a copyright security agreement in a form substantially similar thereto.</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Irish Scheme</w:t>
      </w:r>
      <w:r>
        <w:rPr>
          <w:rFonts w:ascii="Arial" w:cs="Arial" w:eastAsia="Arial" w:hAnsi="Arial"/>
          <w:sz w:val="22"/>
          <w:szCs w:val="22"/>
          <w:color w:val="auto"/>
        </w:rPr>
        <w:t>” has the meaning specified in the recitals.</w:t>
      </w:r>
    </w:p>
    <w:p>
      <w:pPr>
        <w:spacing w:after="0" w:line="1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means (a) each of Deutsche Bank, Wells Fargo, Barclays, Citibank, N.A., Morgan Stanley Senior Funding, Inc. (“</w:t>
      </w:r>
      <w:r>
        <w:rPr>
          <w:rFonts w:ascii="Arial" w:cs="Arial" w:eastAsia="Arial" w:hAnsi="Arial"/>
          <w:sz w:val="22"/>
          <w:szCs w:val="22"/>
          <w:u w:val="single" w:color="auto"/>
          <w:color w:val="auto"/>
        </w:rPr>
        <w:t>Morgan Stanley</w:t>
      </w:r>
      <w:r>
        <w:rPr>
          <w:rFonts w:ascii="Arial" w:cs="Arial" w:eastAsia="Arial" w:hAnsi="Arial"/>
          <w:sz w:val="22"/>
          <w:szCs w:val="22"/>
          <w:color w:val="auto"/>
        </w:rPr>
        <w:t>”), Nordea Bank Abp, New York Branch,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0" w:name="page251"/>
    <w:bookmarkEnd w:id="250"/>
    <w:p>
      <w:pPr>
        <w:jc w:val="both"/>
        <w:spacing w:after="0" w:line="261" w:lineRule="auto"/>
        <w:rPr>
          <w:sz w:val="20"/>
          <w:szCs w:val="20"/>
          <w:color w:val="auto"/>
        </w:rPr>
      </w:pPr>
      <w:r>
        <w:rPr>
          <w:rFonts w:ascii="Arial" w:cs="Arial" w:eastAsia="Arial" w:hAnsi="Arial"/>
          <w:sz w:val="22"/>
          <w:szCs w:val="22"/>
          <w:color w:val="auto"/>
        </w:rPr>
        <w:t xml:space="preserve">Standard Chartered Bank and any other Lender that agrees to issue Letters of Credit hereunder as contemplated by </w:t>
      </w:r>
      <w:r>
        <w:rPr>
          <w:rFonts w:ascii="Arial" w:cs="Arial" w:eastAsia="Arial" w:hAnsi="Arial"/>
          <w:sz w:val="22"/>
          <w:szCs w:val="22"/>
          <w:u w:val="single" w:color="auto"/>
          <w:color w:val="auto"/>
        </w:rPr>
        <w:t>Section 3.01(l)</w:t>
      </w:r>
      <w:r>
        <w:rPr>
          <w:rFonts w:ascii="Arial" w:cs="Arial" w:eastAsia="Arial" w:hAnsi="Arial"/>
          <w:sz w:val="22"/>
          <w:szCs w:val="22"/>
          <w:color w:val="auto"/>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3.01(l)</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Lead Arrangers</w:t>
      </w:r>
      <w:r>
        <w:rPr>
          <w:rFonts w:ascii="Arial" w:cs="Arial" w:eastAsia="Arial" w:hAnsi="Arial"/>
          <w:sz w:val="22"/>
          <w:szCs w:val="22"/>
          <w:color w:val="auto"/>
        </w:rPr>
        <w:t>” means Deutsche Bank, Wells Fargo Securities, LLC and Barclays, each in its capacity as Joint Lead Arranger and Joint Bookrunner hereunder.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Australian Collateral Agent</w:t>
      </w:r>
      <w:r>
        <w:rPr>
          <w:rFonts w:ascii="Arial" w:cs="Arial" w:eastAsia="Arial" w:hAnsi="Arial"/>
          <w:sz w:val="22"/>
          <w:szCs w:val="22"/>
          <w:color w:val="auto"/>
        </w:rPr>
        <w:t>” has the meaning specified in the Intercreditor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Collateral Account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3.01(k)</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xml:space="preserve">” means, as to each Issuing Bank, the commitment of such Issuing Bank to issue Letters of Credit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The amount of each Issuing Bank’s LC Commitment, at any time, shall be (a) with respect to each Issuing Bank as of the Effective Date, its “LC Commitment” as set forth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(b) with respect to any other Issuing Bank after the Effective Date, an amount agreed to by such Issuing Bank, in the case of any Issuing Bank described in the preceding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as such LC Commitment may be adjusted from time to time in accordance with </w:t>
      </w:r>
      <w:r>
        <w:rPr>
          <w:rFonts w:ascii="Arial" w:cs="Arial" w:eastAsia="Arial" w:hAnsi="Arial"/>
          <w:sz w:val="22"/>
          <w:szCs w:val="22"/>
          <w:u w:val="single" w:color="auto"/>
          <w:color w:val="auto"/>
        </w:rPr>
        <w:t>Section 3.01(j)</w:t>
      </w:r>
      <w:r>
        <w:rPr>
          <w:rFonts w:ascii="Arial" w:cs="Arial" w:eastAsia="Arial" w:hAnsi="Arial"/>
          <w:sz w:val="22"/>
          <w:szCs w:val="22"/>
          <w:color w:val="auto"/>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any Issuing Bank pursuant to a Letter of Credit.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Expiration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3.01(d)</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with respect to any Lender at any time, such Lender’s Applicable Percentage of the Total LC Exposure at such time.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 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available to be drawn thereunder, then for purposes of calculating LC Exposure and Total LC Exposure, the outstanding amount of such Letter of Credit shall be deemed to include the amount of such increase even if it has not yet taken effect.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1" w:name="page252"/>
    <w:bookmarkEnd w:id="251"/>
    <w:p>
      <w:pPr>
        <w:jc w:val="both"/>
        <w:ind w:right="20"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Fee Period</w:t>
      </w:r>
      <w:r>
        <w:rPr>
          <w:rFonts w:ascii="Arial" w:cs="Arial" w:eastAsia="Arial" w:hAnsi="Arial"/>
          <w:sz w:val="19"/>
          <w:szCs w:val="19"/>
          <w:color w:val="auto"/>
        </w:rPr>
        <w:t>” means, initially, the Initial LC Fee Period, and subsequently, the applicable one calendar month period commencing on the first Business Day of the calendar month and ending on the last Business Day of such calendar month.</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Participation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2.04(b)(i)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Participation Fee Rate</w:t>
      </w:r>
      <w:r>
        <w:rPr>
          <w:rFonts w:ascii="Arial" w:cs="Arial" w:eastAsia="Arial" w:hAnsi="Arial"/>
          <w:sz w:val="22"/>
          <w:szCs w:val="22"/>
          <w:color w:val="auto"/>
        </w:rPr>
        <w:t xml:space="preserve">” means the LIBO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LC Participation Fee Rate is being calculated by reference to the Alternate Base Rate, LC Participation Fee Rate shall mean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Priority Collateral</w:t>
      </w:r>
      <w:r>
        <w:rPr>
          <w:rFonts w:ascii="Arial" w:cs="Arial" w:eastAsia="Arial" w:hAnsi="Arial"/>
          <w:sz w:val="22"/>
          <w:szCs w:val="22"/>
          <w:color w:val="auto"/>
        </w:rPr>
        <w:t>” has the meaning specified in the Intercreditor Agreement.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Parent</w:t>
      </w:r>
      <w:r>
        <w:rPr>
          <w:rFonts w:ascii="Arial" w:cs="Arial" w:eastAsia="Arial" w:hAnsi="Arial"/>
          <w:sz w:val="22"/>
          <w:szCs w:val="22"/>
          <w:color w:val="auto"/>
        </w:rPr>
        <w:t>” means, with respect to any Lender, any Person as to which such Lender is, directly or indirectly, a subsidiary.</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listed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means any letter of credit or bank guarantee issued pursuant to this Agreement (including the Existing Letters of Credit pursuant to </w:t>
      </w:r>
      <w:r>
        <w:rPr>
          <w:rFonts w:ascii="Arial" w:cs="Arial" w:eastAsia="Arial" w:hAnsi="Arial"/>
          <w:sz w:val="22"/>
          <w:szCs w:val="22"/>
          <w:u w:val="single" w:color="auto"/>
          <w:color w:val="auto"/>
        </w:rPr>
        <w:t>Section 3.01(n)</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Request</w:t>
      </w:r>
      <w:r>
        <w:rPr>
          <w:rFonts w:ascii="Arial" w:cs="Arial" w:eastAsia="Arial" w:hAnsi="Arial"/>
          <w:sz w:val="19"/>
          <w:szCs w:val="19"/>
          <w:color w:val="auto"/>
        </w:rPr>
        <w:t xml:space="preserve">” means a request by a Borrower for the issuance, amendment, renewal or extension, as the case may be, of a Letter of Credit in accordance with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Leverage Ratio</w:t>
      </w:r>
      <w:r>
        <w:rPr>
          <w:rFonts w:ascii="Arial" w:cs="Arial" w:eastAsia="Arial" w:hAnsi="Arial"/>
          <w:sz w:val="19"/>
          <w:szCs w:val="19"/>
          <w:color w:val="auto"/>
        </w:rPr>
        <w:t>” means, as of any date of determination and on a consolidated basis, the result of (a) the amount equal to</w:t>
      </w:r>
    </w:p>
    <w:p>
      <w:pPr>
        <w:spacing w:after="0" w:line="56" w:lineRule="exact"/>
        <w:rPr>
          <w:sz w:val="20"/>
          <w:szCs w:val="20"/>
          <w:color w:val="auto"/>
        </w:rPr>
      </w:pPr>
    </w:p>
    <w:p>
      <w:pPr>
        <w:ind w:firstLine="8"/>
        <w:spacing w:after="0" w:line="272" w:lineRule="auto"/>
        <w:tabs>
          <w:tab w:leader="none" w:pos="314"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xml:space="preserve">Funded Indebtedness as of such date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Unrestricted Cash in an amount not to exceed $100,000,000, to (b) Consolidated Adjusted EBITDA for the four Fiscal Quarter period ended as of such date.</w:t>
      </w:r>
    </w:p>
    <w:p>
      <w:pPr>
        <w:spacing w:after="0" w:line="1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Rate</w:t>
      </w:r>
      <w:r>
        <w:rPr>
          <w:rFonts w:ascii="Arial" w:cs="Arial" w:eastAsia="Arial" w:hAnsi="Arial"/>
          <w:sz w:val="21"/>
          <w:szCs w:val="21"/>
          <w:color w:val="auto"/>
        </w:rPr>
        <w:t xml:space="preserve">” means, with respect to any Letter of Credit for any applicable LC Fee Period, the LIBO Screen Rate at approximately 11:00 a.m., London time, two Business Days prior to the commencement of such LC Fee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LIBO Screen Rate shall not be available at such time for such LC Fee Period (the “</w:t>
      </w:r>
      <w:r>
        <w:rPr>
          <w:rFonts w:ascii="Arial" w:cs="Arial" w:eastAsia="Arial" w:hAnsi="Arial"/>
          <w:sz w:val="21"/>
          <w:szCs w:val="21"/>
          <w:u w:val="single" w:color="auto"/>
          <w:color w:val="auto"/>
        </w:rPr>
        <w:t>Impacted Interest Period</w:t>
      </w:r>
      <w:r>
        <w:rPr>
          <w:rFonts w:ascii="Arial" w:cs="Arial" w:eastAsia="Arial" w:hAnsi="Arial"/>
          <w:sz w:val="21"/>
          <w:szCs w:val="21"/>
          <w:color w:val="auto"/>
        </w:rPr>
        <w:t xml:space="preserve">”), then the LIBO Rate for such LC Fee Period shall be the Interpolated Rate. It is understood and agreed that all of the terms and conditions of this definition of “LIBO Rate” shall be subject to </w:t>
      </w:r>
      <w:r>
        <w:rPr>
          <w:rFonts w:ascii="Arial" w:cs="Arial" w:eastAsia="Arial" w:hAnsi="Arial"/>
          <w:sz w:val="21"/>
          <w:szCs w:val="21"/>
          <w:u w:val="single" w:color="auto"/>
          <w:color w:val="auto"/>
        </w:rPr>
        <w:t>Section 2.06</w:t>
      </w:r>
      <w:r>
        <w:rPr>
          <w:rFonts w:ascii="Arial" w:cs="Arial" w:eastAsia="Arial" w:hAnsi="Arial"/>
          <w:sz w:val="21"/>
          <w:szCs w:val="21"/>
          <w:color w:val="auto"/>
        </w:rPr>
        <w:t>.</w:t>
      </w:r>
    </w:p>
    <w:p>
      <w:pPr>
        <w:spacing w:after="0" w:line="13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for any day and time, with respect to any Letter of Credit for any LC Fee Period, the London interbank offered rate as administered by ICE Benchmark Administration (or any other Person that takes over the administration of such rate for Dollars) for the 30 calendar day period beginning on the first day of such LC Fee Period as displayed on such day and time on pages LIBOR01 or LIBOR02 of the Reuters screen that displays such rate (or, in the event such rate does not appear on a Reuters page or screen, or any successor or substitute page on such screen that displays such rate, or on the appropriate page of such other information service that publishes such rate from time to time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be less than zero, such rate shall be deemed to be zero for the purposes of this Agreement. When determining the rate for a period which 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2" w:name="page253"/>
    <w:bookmarkEnd w:id="252"/>
    <w:p>
      <w:pPr>
        <w:jc w:val="both"/>
        <w:spacing w:after="0" w:line="266" w:lineRule="auto"/>
        <w:rPr>
          <w:sz w:val="20"/>
          <w:szCs w:val="20"/>
          <w:color w:val="auto"/>
        </w:rPr>
      </w:pPr>
      <w:r>
        <w:rPr>
          <w:rFonts w:ascii="Arial" w:cs="Arial" w:eastAsia="Arial" w:hAnsi="Arial"/>
          <w:sz w:val="22"/>
          <w:szCs w:val="22"/>
          <w:color w:val="auto"/>
        </w:rPr>
        <w:t>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Successor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2.06</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Successor Rate Conforming Changes</w:t>
      </w:r>
      <w:r>
        <w:rPr>
          <w:rFonts w:ascii="Arial" w:cs="Arial" w:eastAsia="Arial" w:hAnsi="Arial"/>
          <w:sz w:val="21"/>
          <w:szCs w:val="21"/>
          <w:color w:val="auto"/>
        </w:rPr>
        <w:t>” means, with respect to any proposed LIBO Successor Rate, any conforming changes to the definition of “Alternate Base Rate”, the definition of “LC Fee Period”, timing and frequency of determining rates and making payments of interest and other administrative matters as may be appropriate, that the Administrative Agent and the Borrowers mutually decide, to reflect the adoption of such LIBO Successor Rate and to permit the administration thereof by the Administrative Agent in a manner substantially consistent with market practice (or, if the Administrative Agent and the Borrowers determine that adoption of any portion of such market practice is not administratively feasible or that no market practice for the administration of such LIBO Successor Rate exists, in such other manner of administration as the Administrative Agent and Borrowers decide).</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5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Limitation Acts</w:t>
      </w:r>
      <w:r>
        <w:rPr>
          <w:rFonts w:ascii="Arial" w:cs="Arial" w:eastAsia="Arial" w:hAnsi="Arial"/>
          <w:sz w:val="21"/>
          <w:szCs w:val="21"/>
          <w:color w:val="auto"/>
        </w:rPr>
        <w:t>” means the Limitation Act 1980 and the Foreign Limitation Periods Act 1984.“</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the Guaranty Agreements, the Letters of Credit (and applications therefor), the Collateral Documents, the Intercompany Subordination Agreement, the Security Trust Deed,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Luxembourg Obligors</w:t>
      </w:r>
      <w:r>
        <w:rPr>
          <w:rFonts w:ascii="Arial" w:cs="Arial" w:eastAsia="Arial" w:hAnsi="Arial"/>
          <w:sz w:val="22"/>
          <w:szCs w:val="22"/>
          <w:color w:val="auto"/>
        </w:rPr>
        <w:t>” means any Obligor organized under the laws of the Grand Duchy of Luxembourg.</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w:t>
      </w:r>
    </w:p>
    <w:p>
      <w:pPr>
        <w:spacing w:after="0" w:line="3" w:lineRule="exact"/>
        <w:rPr>
          <w:sz w:val="20"/>
          <w:szCs w:val="20"/>
          <w:color w:val="auto"/>
        </w:rPr>
      </w:pPr>
    </w:p>
    <w:p>
      <w:pPr>
        <w:ind w:right="20" w:firstLine="8"/>
        <w:spacing w:after="0" w:line="272" w:lineRule="auto"/>
        <w:tabs>
          <w:tab w:leader="none" w:pos="32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ability of the Administrative Agent or the Lenders to realize the material benefits intended to be provided by the Obligors under the Loan Documents.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3" w:name="page254"/>
    <w:bookmarkEnd w:id="253"/>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any Indebtedness of any one or more of Parent and its Restricted Subsidiaries in an aggregate principal amount exceeding $50,000,000.</w:t>
      </w:r>
    </w:p>
    <w:p>
      <w:pPr>
        <w:spacing w:after="0" w:line="13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Property</w:t>
      </w:r>
      <w:r>
        <w:rPr>
          <w:rFonts w:ascii="Arial" w:cs="Arial" w:eastAsia="Arial" w:hAnsi="Arial"/>
          <w:sz w:val="22"/>
          <w:szCs w:val="22"/>
          <w:color w:val="auto"/>
        </w:rPr>
        <w:t>” means real property located in the United States of America, Canada or the United Kingdom owned by any Obligor with a net book value in excess of $10,000,000 and that is not an Excluded Asset and each Effective Date Real Property.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Specified Subsidiary</w:t>
      </w:r>
      <w:r>
        <w:rPr>
          <w:rFonts w:ascii="Arial" w:cs="Arial" w:eastAsia="Arial" w:hAnsi="Arial"/>
          <w:sz w:val="22"/>
          <w:szCs w:val="22"/>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7.01(b)</w:t>
      </w:r>
      <w:r>
        <w:rPr>
          <w:rFonts w:ascii="Arial" w:cs="Arial" w:eastAsia="Arial" w:hAnsi="Arial"/>
          <w:sz w:val="22"/>
          <w:szCs w:val="22"/>
          <w:color w:val="auto"/>
        </w:rPr>
        <w:t xml:space="preserve"> 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 (ii) 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May 29, 2024.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to the rating agency business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Morgan Stanley</w:t>
      </w:r>
      <w:r>
        <w:rPr>
          <w:rFonts w:ascii="Arial" w:cs="Arial" w:eastAsia="Arial" w:hAnsi="Arial"/>
          <w:sz w:val="22"/>
          <w:szCs w:val="22"/>
          <w:color w:val="auto"/>
        </w:rPr>
        <w:t>” has the meaning specified in “Issuing Bank”.</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Mortgages</w:t>
      </w:r>
      <w:r>
        <w:rPr>
          <w:rFonts w:ascii="Arial" w:cs="Arial" w:eastAsia="Arial" w:hAnsi="Arial"/>
          <w:sz w:val="22"/>
          <w:szCs w:val="22"/>
          <w:color w:val="auto"/>
        </w:rPr>
        <w:t xml:space="preserve">” means, collectively, (a) the instruments described on </w:t>
      </w:r>
      <w:r>
        <w:rPr>
          <w:rFonts w:ascii="Arial" w:cs="Arial" w:eastAsia="Arial" w:hAnsi="Arial"/>
          <w:sz w:val="22"/>
          <w:szCs w:val="22"/>
          <w:u w:val="single" w:color="auto"/>
          <w:color w:val="auto"/>
        </w:rPr>
        <w:t>Schedule 7.11</w:t>
      </w:r>
      <w:r>
        <w:rPr>
          <w:rFonts w:ascii="Arial" w:cs="Arial" w:eastAsia="Arial" w:hAnsi="Arial"/>
          <w:sz w:val="22"/>
          <w:szCs w:val="22"/>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or supplement thereto.</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plan covered by Title IV of ERISA which is a “multiemployer plan” (as such term is defined in Section 4001(a)(3) of ERISA).</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Weatherford Parent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of the definition of “Redomestication”.</w:t>
      </w:r>
    </w:p>
    <w:p>
      <w:pPr>
        <w:spacing w:after="0" w:line="193"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4" w:name="page255"/>
    <w:bookmarkEnd w:id="254"/>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and (ii) has been approved by the Required Lenders.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 Priority Collateral</w:t>
      </w:r>
      <w:r>
        <w:rPr>
          <w:rFonts w:ascii="Arial" w:cs="Arial" w:eastAsia="Arial" w:hAnsi="Arial"/>
          <w:sz w:val="22"/>
          <w:szCs w:val="22"/>
          <w:color w:val="auto"/>
        </w:rPr>
        <w:t>” has the meaning specified in the Intercreditor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if any of the aforesaid rates shall be less than zero, such rate shall be deemed to be zero for purposes of this Agreement.</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means, collectively, all obligations with respect to Letters of Credit (including unreimbursed LC Disbursements),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any of the Letters of Credit.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 Parties</w:t>
      </w:r>
      <w:r>
        <w:rPr>
          <w:rFonts w:ascii="Arial" w:cs="Arial" w:eastAsia="Arial" w:hAnsi="Arial"/>
          <w:sz w:val="22"/>
          <w:szCs w:val="22"/>
          <w:color w:val="auto"/>
        </w:rPr>
        <w:t>” means the Borrowers and Parent, and “</w:t>
      </w:r>
      <w:r>
        <w:rPr>
          <w:rFonts w:ascii="Arial" w:cs="Arial" w:eastAsia="Arial" w:hAnsi="Arial"/>
          <w:sz w:val="22"/>
          <w:szCs w:val="22"/>
          <w:u w:val="single" w:color="auto"/>
          <w:color w:val="auto"/>
        </w:rPr>
        <w:t>Obligor Party</w:t>
      </w:r>
      <w:r>
        <w:rPr>
          <w:rFonts w:ascii="Arial" w:cs="Arial" w:eastAsia="Arial" w:hAnsi="Arial"/>
          <w:sz w:val="22"/>
          <w:szCs w:val="22"/>
          <w:color w:val="auto"/>
        </w:rPr>
        <w:t>” means any of them.</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Obligors</w:t>
      </w:r>
      <w:r>
        <w:rPr>
          <w:rFonts w:ascii="Arial" w:cs="Arial" w:eastAsia="Arial" w:hAnsi="Arial"/>
          <w:sz w:val="22"/>
          <w:szCs w:val="22"/>
          <w:color w:val="auto"/>
        </w:rPr>
        <w:t>” means the Obligor Parties and any other Guarantors, and “</w:t>
      </w:r>
      <w:r>
        <w:rPr>
          <w:rFonts w:ascii="Arial" w:cs="Arial" w:eastAsia="Arial" w:hAnsi="Arial"/>
          <w:sz w:val="22"/>
          <w:szCs w:val="22"/>
          <w:u w:val="single" w:color="auto"/>
          <w:color w:val="auto"/>
        </w:rPr>
        <w:t>Obligor</w:t>
      </w:r>
      <w:r>
        <w:rPr>
          <w:rFonts w:ascii="Arial" w:cs="Arial" w:eastAsia="Arial" w:hAnsi="Arial"/>
          <w:sz w:val="22"/>
          <w:szCs w:val="22"/>
          <w:color w:val="auto"/>
        </w:rPr>
        <w:t>” means any of them.</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U.S. Department of the Treasury.</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Foreign Collateral Agent</w:t>
      </w:r>
      <w:r>
        <w:rPr>
          <w:rFonts w:ascii="Arial" w:cs="Arial" w:eastAsia="Arial" w:hAnsi="Arial"/>
          <w:sz w:val="22"/>
          <w:szCs w:val="22"/>
          <w:color w:val="auto"/>
        </w:rPr>
        <w:t>” means the foreign collateral agent as defined in the Intercreditor Agreement dated as of the Effective Date.</w:t>
      </w:r>
    </w:p>
    <w:p>
      <w:pPr>
        <w:spacing w:after="0" w:line="1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5" w:name="page256"/>
    <w:bookmarkEnd w:id="255"/>
    <w:p>
      <w:pPr>
        <w:jc w:val="both"/>
        <w:ind w:firstLine="648"/>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1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Overnight Bank Funding Rate</w:t>
      </w:r>
      <w:r>
        <w:rPr>
          <w:rFonts w:ascii="Arial" w:cs="Arial" w:eastAsia="Arial" w:hAnsi="Arial"/>
          <w:sz w:val="21"/>
          <w:szCs w:val="21"/>
          <w:color w:val="auto"/>
        </w:rPr>
        <w:t>” means, for any day, the rate comprised of both overnight federal funds and overnight Eurodollar borrowings (i.e., borrowings determined at the Adjusted LIBO Rate)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Parallel Debt</w:t>
      </w:r>
      <w:r>
        <w:rPr>
          <w:rFonts w:ascii="Arial" w:cs="Arial" w:eastAsia="Arial" w:hAnsi="Arial"/>
          <w:sz w:val="22"/>
          <w:szCs w:val="22"/>
          <w:color w:val="auto"/>
        </w:rPr>
        <w:t>” means “Parallel Debt” (as defined in Section 13 in the Affiliate Guaranty).</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means Weatherford International plc, an Irish public limited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Redomestication occurs subsequent to the Effective Date and Parent is not the Surviving Person resulting from such Redomestication, the term “Parent” shall refer to the Surviving Person resulting from such Redomestication.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11.05(c)</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Certificate</w:t>
      </w:r>
      <w:r>
        <w:rPr>
          <w:rFonts w:ascii="Arial" w:cs="Arial" w:eastAsia="Arial" w:hAnsi="Arial"/>
          <w:sz w:val="22"/>
          <w:szCs w:val="22"/>
          <w:color w:val="auto"/>
        </w:rPr>
        <w:t xml:space="preserve">” means a certificate executed by a Participant, substantially in the form of </w:t>
      </w:r>
      <w:r>
        <w:rPr>
          <w:rFonts w:ascii="Arial" w:cs="Arial" w:eastAsia="Arial" w:hAnsi="Arial"/>
          <w:sz w:val="22"/>
          <w:szCs w:val="22"/>
          <w:u w:val="single" w:color="auto"/>
          <w:color w:val="auto"/>
        </w:rPr>
        <w:t>Exhibit N</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11.05(c)</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11.19</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Borrower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Full</w:t>
      </w:r>
      <w:r>
        <w:rPr>
          <w:rFonts w:ascii="Arial" w:cs="Arial" w:eastAsia="Arial" w:hAnsi="Arial"/>
          <w:sz w:val="22"/>
          <w:szCs w:val="22"/>
          <w:color w:val="auto"/>
        </w:rPr>
        <w:t>” means the Commitments have expired or been terminated and the Obligations and all fees payable hereunder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LC Disbursements shall have been reimbursed in full in cash and the Swap Obligations have been paid in full in cash (or alternative collateral arrangements have been made satisfactory to the parties thereto).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6" w:name="page257"/>
    <w:bookmarkEnd w:id="256"/>
    <w:p>
      <w:pPr>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entity succeeding to any or all of its functions under ERISA.</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means any Acquisition (other than a Hostile Acquisition) by Parent or a Restricted Subsidiary if</w:t>
      </w:r>
    </w:p>
    <w:p>
      <w:pPr>
        <w:spacing w:after="0" w:line="56" w:lineRule="exact"/>
        <w:rPr>
          <w:sz w:val="20"/>
          <w:szCs w:val="20"/>
          <w:color w:val="auto"/>
        </w:rPr>
      </w:pPr>
    </w:p>
    <w:p>
      <w:pPr>
        <w:jc w:val="both"/>
        <w:ind w:firstLine="8"/>
        <w:spacing w:after="0" w:line="299" w:lineRule="auto"/>
        <w:tabs>
          <w:tab w:leader="none" w:pos="29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at the time of and immediately after giving effect thereto, (i) no Default or Event of Default has occurred and is continuing or would result therefrom, (ii) Parent and its Restricted Subsidiaries are in compliance with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(b) all actions required to be taken with respect to such acquired or newly formed Subsidiary under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shall have been taken or will be taken within the time periods set forth therein, (c) such Acquisition involves a merger, consolidation or amalgamation of Parent or a Restricted Subsidiary with any other Person, such Acquisition is permitted under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(d) in the case of any Acquisition made by the Restricted Subsidiaries that are not Wholly-Owned Subsidiaries and Restricted Subsidiaries that are not Obligors (including Wholly-Owned Subsidiaries),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plus (ii)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9"/>
          <w:szCs w:val="19"/>
          <w:u w:val="single" w:color="auto"/>
          <w:color w:val="auto"/>
        </w:rPr>
        <w:t>clause (e)(iv)</w:t>
      </w:r>
      <w:r>
        <w:rPr>
          <w:rFonts w:ascii="Arial" w:cs="Arial" w:eastAsia="Arial" w:hAnsi="Arial"/>
          <w:sz w:val="19"/>
          <w:szCs w:val="19"/>
          <w:color w:val="auto"/>
        </w:rPr>
        <w:t xml:space="preserve"> below and (e) in the case of any Acquisition made by Obligors,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if such date is on or after the first anniversary of the Effective Date, $200,000,000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if such date is on or after the second anniversary of the Effective Date, $200,000,000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9"/>
          <w:szCs w:val="19"/>
          <w:u w:val="single" w:color="auto"/>
          <w:color w:val="auto"/>
        </w:rPr>
        <w:t>clause (d)(ii)</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13" w:lineRule="exact"/>
        <w:rPr>
          <w:sz w:val="20"/>
          <w:szCs w:val="20"/>
          <w:color w:val="auto"/>
        </w:rPr>
      </w:pPr>
    </w:p>
    <w:p>
      <w:pPr>
        <w:jc w:val="both"/>
        <w:ind w:firstLine="702"/>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Customer Notes Disposition</w:t>
      </w:r>
      <w:r>
        <w:rPr>
          <w:rFonts w:ascii="Arial" w:cs="Arial" w:eastAsia="Arial" w:hAnsi="Arial"/>
          <w:sz w:val="22"/>
          <w:szCs w:val="22"/>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Existing Indebtedness</w:t>
      </w:r>
      <w:r>
        <w:rPr>
          <w:rFonts w:ascii="Arial" w:cs="Arial" w:eastAsia="Arial" w:hAnsi="Arial"/>
          <w:sz w:val="22"/>
          <w:szCs w:val="22"/>
          <w:color w:val="auto"/>
        </w:rPr>
        <w:t xml:space="preserve">” means the Indebtedness of Parent and its Restricted Subsidiaries existing as of the Effective Date and identified on </w:t>
      </w:r>
      <w:r>
        <w:rPr>
          <w:rFonts w:ascii="Arial" w:cs="Arial" w:eastAsia="Arial" w:hAnsi="Arial"/>
          <w:sz w:val="22"/>
          <w:szCs w:val="22"/>
          <w:u w:val="single" w:color="auto"/>
          <w:color w:val="auto"/>
        </w:rPr>
        <w:t>Schedule 8.01</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Factoring Customers</w:t>
      </w:r>
      <w:r>
        <w:rPr>
          <w:rFonts w:ascii="Arial" w:cs="Arial" w:eastAsia="Arial" w:hAnsi="Arial"/>
          <w:sz w:val="19"/>
          <w:szCs w:val="19"/>
          <w:color w:val="auto"/>
        </w:rPr>
        <w:t>” means the Persons identified to the Administrative Agent in writing on or prior to the Effective Date, as such Persons may be updated from time to time by Parent with the approval of the Administrative Agent.</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Factoring Transaction Documents</w:t>
      </w:r>
      <w:r>
        <w:rPr>
          <w:rFonts w:ascii="Arial" w:cs="Arial" w:eastAsia="Arial" w:hAnsi="Arial"/>
          <w:sz w:val="22"/>
          <w:szCs w:val="22"/>
          <w:color w:val="auto"/>
        </w:rPr>
        <w:t>” means each of the documents and agreements entered into in connection with any Permitted Factoring Transaction.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7" w:name="page258"/>
    <w:bookmarkEnd w:id="257"/>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Factoring Transactions</w:t>
      </w:r>
      <w:r>
        <w:rPr>
          <w:rFonts w:ascii="Arial" w:cs="Arial" w:eastAsia="Arial" w:hAnsi="Arial"/>
          <w:sz w:val="21"/>
          <w:szCs w:val="21"/>
          <w:color w:val="auto"/>
        </w:rPr>
        <w:t xml:space="preserve">” 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the aggregate face amount of all receivables sold or transferred pursuant to Permitted Factoring Transactions shall not exceed $100,000,000 during any Fiscal Quarter, and (b) such Receivables are segregated into deposit accounts that are separate and distinct from the deposit accounts constituting or holding Collateral (and Parent and its Restricted Subsidiaries shall not otherwise commingle proceeds received in connection with a Permitted Factoring Transaction with any Collateral or proceeds thereof).</w:t>
      </w:r>
    </w:p>
    <w:p>
      <w:pPr>
        <w:spacing w:after="0" w:line="14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means Capital Research Management Company and its affiliates, on behalf of certain managed funds and accounts, and Franklin Advisers, Inc., as investment manager on behalf of certain funds and accounts.</w:t>
      </w:r>
    </w:p>
    <w:p>
      <w:pPr>
        <w:spacing w:after="0" w:line="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Intercompany Specified Transactions</w:t>
      </w:r>
      <w:r>
        <w:rPr>
          <w:rFonts w:ascii="Arial" w:cs="Arial" w:eastAsia="Arial" w:hAnsi="Arial"/>
          <w:sz w:val="21"/>
          <w:szCs w:val="21"/>
          <w:color w:val="auto"/>
        </w:rPr>
        <w:t>” means capital contributions, other Investments, asset Dispositions or Restricted Payments made by Parent or a Restricted Subsidiary to or in a Restricted Subsidiary that is not an Obligor or an Obligor that is not a Wholly-Owned Subsidiary (a) made in the ordinary course of business in order to comply with foreign requirements of law and accounting standards and practices with respect to minimum levels of retained earnings or other similar legal requirements, (b) made in the ordinary course of business and in accordance with historical practices thereof prior to the commencement of the Chapter 11 Cases in connection with submitting RFPs, RFQs or other similar customer bids, (c) made in the ordinary course of business and in accordance with historical practices thereof prior to the commencement of the Chapter 11 Cases in connection with tax optimization strategies, and (d) made in the ordinary course of business and in accordance with historical practices thereof prior to the commencement of the Chapter 11 Cases in connection with funding operating losses of the recipient thereof.</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Intercompany Treasury Management Transactions</w:t>
      </w:r>
      <w:r>
        <w:rPr>
          <w:rFonts w:ascii="Arial" w:cs="Arial" w:eastAsia="Arial" w:hAnsi="Arial"/>
          <w:sz w:val="22"/>
          <w:szCs w:val="22"/>
          <w:color w:val="auto"/>
        </w:rPr>
        <w:t>” 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 prior to the commencement of the Chapter 11 Cases.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without duplication:</w:t>
      </w:r>
    </w:p>
    <w:p>
      <w:pPr>
        <w:spacing w:after="0" w:line="206" w:lineRule="exact"/>
        <w:rPr>
          <w:sz w:val="20"/>
          <w:szCs w:val="20"/>
          <w:color w:val="auto"/>
        </w:rPr>
      </w:pPr>
    </w:p>
    <w:p>
      <w:pPr>
        <w:ind w:left="1740" w:hanging="1084"/>
        <w:spacing w:after="0"/>
        <w:tabs>
          <w:tab w:leader="none" w:pos="1740" w:val="left"/>
        </w:tabs>
        <w:numPr>
          <w:ilvl w:val="1"/>
          <w:numId w:val="222"/>
        </w:numPr>
        <w:rPr>
          <w:rFonts w:ascii="Arial" w:cs="Arial" w:eastAsia="Arial" w:hAnsi="Arial"/>
          <w:sz w:val="21"/>
          <w:szCs w:val="21"/>
          <w:color w:val="auto"/>
        </w:rPr>
      </w:pPr>
      <w:r>
        <w:rPr>
          <w:rFonts w:ascii="Arial" w:cs="Arial" w:eastAsia="Arial" w:hAnsi="Arial"/>
          <w:sz w:val="21"/>
          <w:szCs w:val="21"/>
          <w:color w:val="auto"/>
        </w:rPr>
        <w:t>Liens for Taxes or unpaid utilities (i) not yet delinquent or which can thereafter be paid without penalty,</w:t>
      </w:r>
    </w:p>
    <w:p>
      <w:pPr>
        <w:spacing w:after="0" w:line="32" w:lineRule="exact"/>
        <w:rPr>
          <w:rFonts w:ascii="Arial" w:cs="Arial" w:eastAsia="Arial" w:hAnsi="Arial"/>
          <w:sz w:val="21"/>
          <w:szCs w:val="21"/>
          <w:color w:val="auto"/>
        </w:rPr>
      </w:pPr>
    </w:p>
    <w:p>
      <w:pPr>
        <w:jc w:val="both"/>
        <w:ind w:firstLine="8"/>
        <w:spacing w:after="0" w:line="261" w:lineRule="auto"/>
        <w:tabs>
          <w:tab w:leader="none" w:pos="33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which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Taxes referenced in this </w:t>
      </w:r>
      <w:r>
        <w:rPr>
          <w:rFonts w:ascii="Arial" w:cs="Arial" w:eastAsia="Arial" w:hAnsi="Arial"/>
          <w:sz w:val="22"/>
          <w:szCs w:val="22"/>
          <w:u w:val="single" w:color="auto"/>
          <w:color w:val="auto"/>
        </w:rPr>
        <w:t>clause (ii)</w:t>
      </w:r>
      <w:r>
        <w:rPr>
          <w:rFonts w:ascii="Arial" w:cs="Arial" w:eastAsia="Arial" w:hAnsi="Arial"/>
          <w:sz w:val="22"/>
          <w:szCs w:val="22"/>
          <w:color w:val="auto"/>
        </w:rPr>
        <w:t>,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8" w:name="page259"/>
    <w:bookmarkEnd w:id="258"/>
    <w:p>
      <w:pPr>
        <w:jc w:val="both"/>
        <w:ind w:firstLine="926"/>
        <w:spacing w:after="0" w:line="258" w:lineRule="auto"/>
        <w:tabs>
          <w:tab w:leader="none" w:pos="1750" w:val="left"/>
        </w:tabs>
        <w:numPr>
          <w:ilvl w:val="2"/>
          <w:numId w:val="224"/>
        </w:numPr>
        <w:rPr>
          <w:rFonts w:ascii="Arial" w:cs="Arial" w:eastAsia="Arial" w:hAnsi="Arial"/>
          <w:sz w:val="21"/>
          <w:szCs w:val="21"/>
          <w:color w:val="auto"/>
        </w:rPr>
      </w:pPr>
      <w:r>
        <w:rPr>
          <w:rFonts w:ascii="Arial" w:cs="Arial" w:eastAsia="Arial" w:hAnsi="Arial"/>
          <w:sz w:val="21"/>
          <w:szCs w:val="21"/>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207" w:lineRule="exact"/>
        <w:rPr>
          <w:rFonts w:ascii="Arial" w:cs="Arial" w:eastAsia="Arial" w:hAnsi="Arial"/>
          <w:sz w:val="21"/>
          <w:szCs w:val="21"/>
          <w:color w:val="auto"/>
        </w:rPr>
      </w:pPr>
    </w:p>
    <w:p>
      <w:pPr>
        <w:ind w:firstLine="656"/>
        <w:spacing w:after="0" w:line="358" w:lineRule="auto"/>
        <w:tabs>
          <w:tab w:leader="none" w:pos="192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pledges or deposits made in compliance with, or deemed trusts arising in connection with, workers’ compensation, unemployment insurance, old age benefits, pension, employment or other social security laws or regulations;</w:t>
      </w:r>
    </w:p>
    <w:p>
      <w:pPr>
        <w:spacing w:after="0" w:line="63" w:lineRule="exact"/>
        <w:rPr>
          <w:rFonts w:ascii="Arial" w:cs="Arial" w:eastAsia="Arial" w:hAnsi="Arial"/>
          <w:sz w:val="19"/>
          <w:szCs w:val="19"/>
          <w:color w:val="auto"/>
        </w:rPr>
      </w:pPr>
    </w:p>
    <w:p>
      <w:pPr>
        <w:jc w:val="both"/>
        <w:ind w:firstLine="656"/>
        <w:spacing w:after="0" w:line="276" w:lineRule="auto"/>
        <w:tabs>
          <w:tab w:leader="none" w:pos="1831" w:val="left"/>
        </w:tabs>
        <w:numPr>
          <w:ilvl w:val="1"/>
          <w:numId w:val="225"/>
        </w:numPr>
        <w:rPr>
          <w:rFonts w:ascii="Arial" w:cs="Arial" w:eastAsia="Arial" w:hAnsi="Arial"/>
          <w:sz w:val="21"/>
          <w:szCs w:val="21"/>
          <w:color w:val="auto"/>
        </w:rPr>
      </w:pPr>
      <w:r>
        <w:rPr>
          <w:rFonts w:ascii="Arial" w:cs="Arial" w:eastAsia="Arial" w:hAnsi="Arial"/>
          <w:sz w:val="21"/>
          <w:szCs w:val="21"/>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150" w:lineRule="exact"/>
        <w:rPr>
          <w:rFonts w:ascii="Arial" w:cs="Arial" w:eastAsia="Arial" w:hAnsi="Arial"/>
          <w:sz w:val="21"/>
          <w:szCs w:val="21"/>
          <w:color w:val="auto"/>
        </w:rPr>
      </w:pPr>
    </w:p>
    <w:p>
      <w:pPr>
        <w:ind w:left="1440" w:hanging="784"/>
        <w:spacing w:after="0"/>
        <w:tabs>
          <w:tab w:leader="none" w:pos="14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rights under retention of title arrangements in favor of suppliers incurred in the ordinary course of business;</w:t>
      </w:r>
    </w:p>
    <w:p>
      <w:pPr>
        <w:spacing w:after="0" w:line="227" w:lineRule="exact"/>
        <w:rPr>
          <w:rFonts w:ascii="Arial" w:cs="Arial" w:eastAsia="Arial" w:hAnsi="Arial"/>
          <w:sz w:val="19"/>
          <w:szCs w:val="19"/>
          <w:color w:val="auto"/>
        </w:rPr>
      </w:pPr>
    </w:p>
    <w:p>
      <w:pPr>
        <w:jc w:val="both"/>
        <w:ind w:firstLine="656"/>
        <w:spacing w:after="0" w:line="284" w:lineRule="auto"/>
        <w:tabs>
          <w:tab w:leader="none" w:pos="1498" w:val="left"/>
        </w:tabs>
        <w:numPr>
          <w:ilvl w:val="1"/>
          <w:numId w:val="225"/>
        </w:numPr>
        <w:rPr>
          <w:rFonts w:ascii="Arial" w:cs="Arial" w:eastAsia="Arial" w:hAnsi="Arial"/>
          <w:sz w:val="21"/>
          <w:szCs w:val="21"/>
          <w:color w:val="auto"/>
        </w:rPr>
      </w:pPr>
      <w:r>
        <w:rPr>
          <w:rFonts w:ascii="Arial" w:cs="Arial" w:eastAsia="Arial" w:hAnsi="Arial"/>
          <w:sz w:val="21"/>
          <w:szCs w:val="21"/>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28" w:lineRule="exact"/>
        <w:rPr>
          <w:rFonts w:ascii="Arial" w:cs="Arial" w:eastAsia="Arial" w:hAnsi="Arial"/>
          <w:sz w:val="21"/>
          <w:szCs w:val="21"/>
          <w:color w:val="auto"/>
        </w:rPr>
      </w:pPr>
    </w:p>
    <w:p>
      <w:pPr>
        <w:jc w:val="both"/>
        <w:ind w:firstLine="656"/>
        <w:spacing w:after="0" w:line="260" w:lineRule="auto"/>
        <w:tabs>
          <w:tab w:leader="none" w:pos="1669" w:val="left"/>
        </w:tabs>
        <w:numPr>
          <w:ilvl w:val="1"/>
          <w:numId w:val="225"/>
        </w:numPr>
        <w:rPr>
          <w:rFonts w:ascii="Arial" w:cs="Arial" w:eastAsia="Arial" w:hAnsi="Arial"/>
          <w:sz w:val="22"/>
          <w:szCs w:val="22"/>
          <w:color w:val="auto"/>
        </w:rPr>
      </w:pPr>
      <w:r>
        <w:rPr>
          <w:rFonts w:ascii="Arial" w:cs="Arial" w:eastAsia="Arial" w:hAnsi="Arial"/>
          <w:sz w:val="22"/>
          <w:szCs w:val="22"/>
          <w:color w:val="auto"/>
        </w:rPr>
        <w:t xml:space="preserve">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164" w:lineRule="exact"/>
        <w:rPr>
          <w:rFonts w:ascii="Arial" w:cs="Arial" w:eastAsia="Arial" w:hAnsi="Arial"/>
          <w:sz w:val="22"/>
          <w:szCs w:val="22"/>
          <w:color w:val="auto"/>
        </w:rPr>
      </w:pPr>
    </w:p>
    <w:p>
      <w:pPr>
        <w:jc w:val="both"/>
        <w:ind w:firstLine="656"/>
        <w:spacing w:after="0" w:line="297" w:lineRule="auto"/>
        <w:tabs>
          <w:tab w:leader="none" w:pos="1696"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Parent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permitted by </w:t>
      </w:r>
      <w:r>
        <w:rPr>
          <w:rFonts w:ascii="Arial" w:cs="Arial" w:eastAsia="Arial" w:hAnsi="Arial"/>
          <w:sz w:val="19"/>
          <w:szCs w:val="19"/>
          <w:u w:val="single" w:color="auto"/>
          <w:color w:val="auto"/>
        </w:rPr>
        <w:t>Section 8.01(k)</w:t>
      </w:r>
      <w:r>
        <w:rPr>
          <w:rFonts w:ascii="Arial" w:cs="Arial" w:eastAsia="Arial" w:hAnsi="Arial"/>
          <w:sz w:val="19"/>
          <w:szCs w:val="19"/>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w:t>
      </w:r>
    </w:p>
    <w:p>
      <w:pPr>
        <w:spacing w:after="0" w:line="2" w:lineRule="exact"/>
        <w:rPr>
          <w:rFonts w:ascii="Arial" w:cs="Arial" w:eastAsia="Arial" w:hAnsi="Arial"/>
          <w:sz w:val="19"/>
          <w:szCs w:val="19"/>
          <w:color w:val="auto"/>
        </w:rPr>
      </w:pPr>
    </w:p>
    <w:p>
      <w:pPr>
        <w:jc w:val="both"/>
        <w:ind w:firstLine="8"/>
        <w:spacing w:after="0" w:line="324" w:lineRule="auto"/>
        <w:tabs>
          <w:tab w:leader="none" w:pos="38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96" w:lineRule="exact"/>
        <w:rPr>
          <w:rFonts w:ascii="Arial" w:cs="Arial" w:eastAsia="Arial" w:hAnsi="Arial"/>
          <w:sz w:val="19"/>
          <w:szCs w:val="19"/>
          <w:color w:val="auto"/>
        </w:rPr>
      </w:pPr>
    </w:p>
    <w:p>
      <w:pPr>
        <w:jc w:val="both"/>
        <w:ind w:firstLine="656"/>
        <w:spacing w:after="0" w:line="317" w:lineRule="auto"/>
        <w:tabs>
          <w:tab w:leader="none" w:pos="1594" w:val="left"/>
        </w:tabs>
        <w:numPr>
          <w:ilvl w:val="1"/>
          <w:numId w:val="226"/>
        </w:numPr>
        <w:rPr>
          <w:rFonts w:ascii="Arial" w:cs="Arial" w:eastAsia="Arial" w:hAnsi="Arial"/>
          <w:sz w:val="19"/>
          <w:szCs w:val="19"/>
          <w:color w:val="auto"/>
        </w:rPr>
      </w:pPr>
      <w:r>
        <w:rPr>
          <w:rFonts w:ascii="Arial" w:cs="Arial" w:eastAsia="Arial" w:hAnsi="Arial"/>
          <w:sz w:val="19"/>
          <w:szCs w:val="19"/>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Liens incurred under this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shall secure obligations for the payment of borrowed money, and (ii) Liens solely on cash and Cash Equivalents not to exceed $50,000,000 at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ind w:right="20"/>
        <w:spacing w:after="0" w:line="276" w:lineRule="auto"/>
        <w:rPr>
          <w:sz w:val="20"/>
          <w:szCs w:val="20"/>
          <w:color w:val="auto"/>
        </w:rPr>
      </w:pPr>
      <w:r>
        <w:rPr>
          <w:rFonts w:ascii="Arial" w:cs="Arial" w:eastAsia="Arial" w:hAnsi="Arial"/>
          <w:sz w:val="22"/>
          <w:szCs w:val="22"/>
          <w:color w:val="auto"/>
        </w:rPr>
        <w:t xml:space="preserve">any one time securing letters of credit, letter of credit facilities, bank guaranties, bank guarantee facilities or similar instruments or facilities supporting the obligations described in the preceding </w:t>
      </w:r>
      <w:r>
        <w:rPr>
          <w:rFonts w:ascii="Arial" w:cs="Arial" w:eastAsia="Arial" w:hAnsi="Arial"/>
          <w:sz w:val="22"/>
          <w:szCs w:val="22"/>
          <w:u w:val="single" w:color="auto"/>
          <w:color w:val="auto"/>
        </w:rPr>
        <w:t>sub-clause (i)</w:t>
      </w:r>
      <w:r>
        <w:rPr>
          <w:rFonts w:ascii="Arial" w:cs="Arial" w:eastAsia="Arial" w:hAnsi="Arial"/>
          <w:sz w:val="22"/>
          <w:szCs w:val="22"/>
          <w:color w:val="auto"/>
        </w:rPr>
        <w:t>;</w:t>
      </w:r>
    </w:p>
    <w:p>
      <w:pPr>
        <w:spacing w:after="0" w:line="134" w:lineRule="exact"/>
        <w:rPr>
          <w:sz w:val="20"/>
          <w:szCs w:val="20"/>
          <w:color w:val="auto"/>
        </w:rPr>
      </w:pPr>
    </w:p>
    <w:p>
      <w:pPr>
        <w:ind w:firstLine="656"/>
        <w:spacing w:after="0" w:line="276" w:lineRule="auto"/>
        <w:tabs>
          <w:tab w:leader="none" w:pos="144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leases or subleases granted to others not interfering in any material respect with the business of Parent or any of its Restricted Subsidiaries;</w:t>
      </w:r>
    </w:p>
    <w:p>
      <w:pPr>
        <w:spacing w:after="0" w:line="147" w:lineRule="exact"/>
        <w:rPr>
          <w:rFonts w:ascii="Arial" w:cs="Arial" w:eastAsia="Arial" w:hAnsi="Arial"/>
          <w:sz w:val="22"/>
          <w:szCs w:val="22"/>
          <w:color w:val="auto"/>
        </w:rPr>
      </w:pPr>
    </w:p>
    <w:p>
      <w:pPr>
        <w:ind w:left="1440" w:hanging="784"/>
        <w:spacing w:after="0"/>
        <w:tabs>
          <w:tab w:leader="none" w:pos="144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Liens to secure obligations arising from statutory or regulatory requirements;</w:t>
      </w:r>
    </w:p>
    <w:p>
      <w:pPr>
        <w:spacing w:after="0" w:line="192" w:lineRule="exact"/>
        <w:rPr>
          <w:rFonts w:ascii="Arial" w:cs="Arial" w:eastAsia="Arial" w:hAnsi="Arial"/>
          <w:sz w:val="22"/>
          <w:szCs w:val="22"/>
          <w:color w:val="auto"/>
        </w:rPr>
      </w:pPr>
    </w:p>
    <w:p>
      <w:pPr>
        <w:jc w:val="both"/>
        <w:ind w:firstLine="656"/>
        <w:spacing w:after="0" w:line="266" w:lineRule="auto"/>
        <w:tabs>
          <w:tab w:leader="none" w:pos="1837"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144" w:lineRule="exact"/>
        <w:rPr>
          <w:rFonts w:ascii="Arial" w:cs="Arial" w:eastAsia="Arial" w:hAnsi="Arial"/>
          <w:sz w:val="22"/>
          <w:szCs w:val="22"/>
          <w:color w:val="auto"/>
        </w:rPr>
      </w:pPr>
    </w:p>
    <w:p>
      <w:pPr>
        <w:jc w:val="both"/>
        <w:ind w:firstLine="656"/>
        <w:spacing w:after="0" w:line="273" w:lineRule="auto"/>
        <w:tabs>
          <w:tab w:leader="none" w:pos="1716" w:val="left"/>
        </w:tabs>
        <w:numPr>
          <w:ilvl w:val="0"/>
          <w:numId w:val="227"/>
        </w:numPr>
        <w:rPr>
          <w:rFonts w:ascii="Arial" w:cs="Arial" w:eastAsia="Arial" w:hAnsi="Arial"/>
          <w:sz w:val="21"/>
          <w:szCs w:val="21"/>
          <w:color w:val="auto"/>
        </w:rPr>
      </w:pPr>
      <w:r>
        <w:rPr>
          <w:rFonts w:ascii="Arial" w:cs="Arial" w:eastAsia="Arial" w:hAnsi="Arial"/>
          <w:sz w:val="21"/>
          <w:szCs w:val="21"/>
          <w:color w:val="auto"/>
        </w:rPr>
        <w:t>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 Sparkassen (</w:t>
      </w:r>
      <w:r>
        <w:rPr>
          <w:rFonts w:ascii="Arial" w:cs="Arial" w:eastAsia="Arial" w:hAnsi="Arial"/>
          <w:sz w:val="21"/>
          <w:szCs w:val="21"/>
          <w:i w:val="1"/>
          <w:iCs w:val="1"/>
          <w:color w:val="auto"/>
        </w:rPr>
        <w:t>Allgemeine Geschäftsbedingungen der Banken oder Sparkassen</w:t>
      </w:r>
      <w:r>
        <w:rPr>
          <w:rFonts w:ascii="Arial" w:cs="Arial" w:eastAsia="Arial" w:hAnsi="Arial"/>
          <w:sz w:val="21"/>
          <w:szCs w:val="21"/>
          <w:color w:val="auto"/>
        </w:rPr>
        <w:t>) with whom any Obligor maintains a banking relationship in the ordinary course of business;</w:t>
      </w:r>
    </w:p>
    <w:p>
      <w:pPr>
        <w:spacing w:after="0" w:line="156" w:lineRule="exact"/>
        <w:rPr>
          <w:rFonts w:ascii="Arial" w:cs="Arial" w:eastAsia="Arial" w:hAnsi="Arial"/>
          <w:sz w:val="21"/>
          <w:szCs w:val="21"/>
          <w:color w:val="auto"/>
        </w:rPr>
      </w:pPr>
    </w:p>
    <w:p>
      <w:pPr>
        <w:ind w:left="1440" w:hanging="784"/>
        <w:spacing w:after="0"/>
        <w:tabs>
          <w:tab w:leader="none" w:pos="144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[reserved.];</w:t>
      </w:r>
    </w:p>
    <w:p>
      <w:pPr>
        <w:spacing w:after="0" w:line="192" w:lineRule="exact"/>
        <w:rPr>
          <w:rFonts w:ascii="Arial" w:cs="Arial" w:eastAsia="Arial" w:hAnsi="Arial"/>
          <w:sz w:val="22"/>
          <w:szCs w:val="22"/>
          <w:color w:val="auto"/>
        </w:rPr>
      </w:pPr>
    </w:p>
    <w:p>
      <w:pPr>
        <w:jc w:val="both"/>
        <w:ind w:firstLine="656"/>
        <w:spacing w:after="0" w:line="266" w:lineRule="auto"/>
        <w:tabs>
          <w:tab w:leader="none" w:pos="1453" w:val="left"/>
        </w:tabs>
        <w:numPr>
          <w:ilvl w:val="0"/>
          <w:numId w:val="227"/>
        </w:numPr>
        <w:rPr>
          <w:rFonts w:ascii="Arial" w:cs="Arial" w:eastAsia="Arial" w:hAnsi="Arial"/>
          <w:sz w:val="22"/>
          <w:szCs w:val="22"/>
          <w:color w:val="auto"/>
        </w:rPr>
      </w:pPr>
      <w:r>
        <w:rPr>
          <w:rFonts w:ascii="Arial" w:cs="Arial" w:eastAsia="Arial" w:hAnsi="Arial"/>
          <w:sz w:val="22"/>
          <w:szCs w:val="22"/>
          <w:color w:val="auto"/>
        </w:rPr>
        <w:t>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144" w:lineRule="exact"/>
        <w:rPr>
          <w:rFonts w:ascii="Arial" w:cs="Arial" w:eastAsia="Arial" w:hAnsi="Arial"/>
          <w:sz w:val="22"/>
          <w:szCs w:val="22"/>
          <w:color w:val="auto"/>
        </w:rPr>
      </w:pPr>
    </w:p>
    <w:p>
      <w:pPr>
        <w:jc w:val="both"/>
        <w:ind w:firstLine="656"/>
        <w:spacing w:after="0" w:line="279" w:lineRule="auto"/>
        <w:tabs>
          <w:tab w:leader="none" w:pos="1507" w:val="left"/>
        </w:tabs>
        <w:numPr>
          <w:ilvl w:val="0"/>
          <w:numId w:val="227"/>
        </w:numPr>
        <w:rPr>
          <w:rFonts w:ascii="Arial" w:cs="Arial" w:eastAsia="Arial" w:hAnsi="Arial"/>
          <w:sz w:val="21"/>
          <w:szCs w:val="21"/>
          <w:color w:val="auto"/>
        </w:rPr>
      </w:pPr>
      <w:r>
        <w:rPr>
          <w:rFonts w:ascii="Arial" w:cs="Arial" w:eastAsia="Arial" w:hAnsi="Arial"/>
          <w:sz w:val="21"/>
          <w:szCs w:val="21"/>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 (ii) such Lien does not extend to any additional assets (other than improvements and accessions to, and replacements of, the assets originally subject to such Lien); and</w:t>
      </w:r>
    </w:p>
    <w:p>
      <w:pPr>
        <w:spacing w:after="0" w:line="146" w:lineRule="exact"/>
        <w:rPr>
          <w:rFonts w:ascii="Arial" w:cs="Arial" w:eastAsia="Arial" w:hAnsi="Arial"/>
          <w:sz w:val="21"/>
          <w:szCs w:val="21"/>
          <w:color w:val="auto"/>
        </w:rPr>
      </w:pPr>
    </w:p>
    <w:p>
      <w:pPr>
        <w:jc w:val="both"/>
        <w:ind w:firstLine="656"/>
        <w:spacing w:after="0" w:line="271" w:lineRule="exact"/>
        <w:tabs>
          <w:tab w:leader="none" w:pos="1575"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Lien created or subsisting to secure any obligations incurred in order to comply with the requirements of section 8a of the German Part</w:t>
      </w:r>
      <w:r>
        <w:rPr>
          <w:rFonts w:ascii="MS PGothic" w:cs="MS PGothic" w:eastAsia="MS PGothic" w:hAnsi="MS PGothic"/>
          <w:sz w:val="22"/>
          <w:szCs w:val="22"/>
          <w:color w:val="auto"/>
        </w:rPr>
        <w:t>‑</w:t>
      </w:r>
      <w:r>
        <w:rPr>
          <w:rFonts w:ascii="Arial" w:cs="Arial" w:eastAsia="Arial" w:hAnsi="Arial"/>
          <w:sz w:val="22"/>
          <w:szCs w:val="22"/>
          <w:color w:val="auto"/>
        </w:rPr>
        <w:t>Time Retirement Act (</w:t>
      </w:r>
      <w:r>
        <w:rPr>
          <w:rFonts w:ascii="Arial" w:cs="Arial" w:eastAsia="Arial" w:hAnsi="Arial"/>
          <w:sz w:val="22"/>
          <w:szCs w:val="22"/>
          <w:i w:val="1"/>
          <w:iCs w:val="1"/>
          <w:color w:val="auto"/>
        </w:rPr>
        <w:t>Altersteilzeitgesetz</w:t>
      </w:r>
      <w:r>
        <w:rPr>
          <w:rFonts w:ascii="Arial" w:cs="Arial" w:eastAsia="Arial" w:hAnsi="Arial"/>
          <w:sz w:val="22"/>
          <w:szCs w:val="22"/>
          <w:color w:val="auto"/>
        </w:rPr>
        <w:t>) and/or section 7e of the Fourth Book of the German Social Security Code (S</w:t>
      </w:r>
      <w:r>
        <w:rPr>
          <w:rFonts w:ascii="Arial" w:cs="Arial" w:eastAsia="Arial" w:hAnsi="Arial"/>
          <w:sz w:val="22"/>
          <w:szCs w:val="22"/>
          <w:i w:val="1"/>
          <w:iCs w:val="1"/>
          <w:color w:val="auto"/>
        </w:rPr>
        <w:t>ozialgesetzbuch IV</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Refinancing Indebtedness</w:t>
      </w:r>
      <w:r>
        <w:rPr>
          <w:rFonts w:ascii="Arial" w:cs="Arial" w:eastAsia="Arial" w:hAnsi="Arial"/>
          <w:sz w:val="21"/>
          <w:szCs w:val="21"/>
          <w:color w:val="auto"/>
        </w:rPr>
        <w:t>” means Indebtedness (for purposes of this definition, “</w:t>
      </w:r>
      <w:r>
        <w:rPr>
          <w:rFonts w:ascii="Arial" w:cs="Arial" w:eastAsia="Arial" w:hAnsi="Arial"/>
          <w:sz w:val="21"/>
          <w:szCs w:val="21"/>
          <w:u w:val="single" w:color="auto"/>
          <w:color w:val="auto"/>
        </w:rPr>
        <w:t>New Indebtedness</w:t>
      </w:r>
      <w:r>
        <w:rPr>
          <w:rFonts w:ascii="Arial" w:cs="Arial" w:eastAsia="Arial" w:hAnsi="Arial"/>
          <w:sz w:val="21"/>
          <w:szCs w:val="21"/>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21"/>
          <w:szCs w:val="21"/>
          <w:u w:val="single" w:color="auto"/>
          <w:color w:val="auto"/>
        </w:rPr>
        <w:t>Refinanced Indebtedness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0" w:name="page261"/>
    <w:bookmarkEnd w:id="260"/>
    <w:p>
      <w:pPr>
        <w:jc w:val="both"/>
        <w:spacing w:after="0" w:line="302" w:lineRule="auto"/>
        <w:rPr>
          <w:sz w:val="20"/>
          <w:szCs w:val="20"/>
          <w:color w:val="auto"/>
        </w:rPr>
      </w:pPr>
      <w:r>
        <w:rPr>
          <w:rFonts w:ascii="Arial" w:cs="Arial" w:eastAsia="Arial" w:hAnsi="Arial"/>
          <w:sz w:val="19"/>
          <w:szCs w:val="19"/>
          <w:color w:val="auto"/>
        </w:rPr>
        <w:t xml:space="preserve">or available committed amounts)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to be the issuer or guarantor, as applicable, under a new issuance of such Indebtedness hereunder, in which case such incurrence of Indebtedness shall be deemed a reduction of the amount permitted under the applicable Section (if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Refinanced Indebtedness is of the type described in </w:t>
      </w:r>
      <w:r>
        <w:rPr>
          <w:rFonts w:ascii="Arial" w:cs="Arial" w:eastAsia="Arial" w:hAnsi="Arial"/>
          <w:sz w:val="19"/>
          <w:szCs w:val="19"/>
          <w:u w:val="single" w:color="auto"/>
          <w:color w:val="auto"/>
        </w:rPr>
        <w:t>Section 8.01(b)</w:t>
      </w:r>
      <w:r>
        <w:rPr>
          <w:rFonts w:ascii="Arial" w:cs="Arial" w:eastAsia="Arial" w:hAnsi="Arial"/>
          <w:sz w:val="19"/>
          <w:szCs w:val="19"/>
          <w:color w:val="auto"/>
        </w:rPr>
        <w:t>, the New Indebtedness may be Guaranteed by any Obligor and shall be subject to the Intercreditor Agreement,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116"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 employee pension benefit plan, as defined in Section 3(2) of ERISA, which is covered by Title IV of ERISA or subject to the minimum funding standards under Section 412 of the Code or Section 302 of ERISA and at any time within the preceding six (6) years has been (a) sponsored, maintained or contributed to by Parent, any Borrower or any ERISA Affiliate for employees of Parent, any Borrower or any ERISA Affiliate or (b) maintained pursuant to a collective bargaining agreement or any other arrangement under which more than one employer makes contributions and to which Parent, any Borrower or any ERISA Affiliate is or was then making or accruing an obligation to make contributions.</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means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Effective Date</w:t>
      </w:r>
      <w:r>
        <w:rPr>
          <w:rFonts w:ascii="Arial" w:cs="Arial" w:eastAsia="Arial" w:hAnsi="Arial"/>
          <w:sz w:val="22"/>
          <w:szCs w:val="22"/>
          <w:color w:val="auto"/>
        </w:rPr>
        <w:t>” means “Effective Date” as defined in the Plan of Reorganization.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of Reorganization</w:t>
      </w:r>
      <w:r>
        <w:rPr>
          <w:rFonts w:ascii="Arial" w:cs="Arial" w:eastAsia="Arial" w:hAnsi="Arial"/>
          <w:sz w:val="22"/>
          <w:szCs w:val="22"/>
          <w:color w:val="auto"/>
        </w:rPr>
        <w:t>” has the meaning specified in the recitals.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 Agreements</w:t>
      </w:r>
      <w:r>
        <w:rPr>
          <w:rFonts w:ascii="Arial" w:cs="Arial" w:eastAsia="Arial" w:hAnsi="Arial"/>
          <w:sz w:val="21"/>
          <w:szCs w:val="21"/>
          <w:color w:val="auto"/>
        </w:rPr>
        <w:t>” means, collectively, any pledge agreement, charge, debenture, equitable mortgage over shares or other similar agreement or instrument in form and substance satisfactory to the Administrative Agent in favor of the Administrative Agent for the benefit of itself and the other Secured Parties, in any such case, pursuant to which any Person grants Liens on any Capital Stock owned by such Person to secure the Secured Obligations.</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Subsidiary</w:t>
      </w:r>
      <w:r>
        <w:rPr>
          <w:rFonts w:ascii="Arial" w:cs="Arial" w:eastAsia="Arial" w:hAnsi="Arial"/>
          <w:sz w:val="22"/>
          <w:szCs w:val="22"/>
          <w:color w:val="auto"/>
        </w:rPr>
        <w:t>” means a direct Subsidiary of an Obligor that is organized in a Specified Jurisdiction and is not itself an Obligor.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PPSA</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Personal Property Securities Act 2009</w:t>
      </w:r>
      <w:r>
        <w:rPr>
          <w:rFonts w:ascii="Arial" w:cs="Arial" w:eastAsia="Arial" w:hAnsi="Arial"/>
          <w:sz w:val="22"/>
          <w:szCs w:val="22"/>
          <w:color w:val="auto"/>
        </w:rPr>
        <w:t xml:space="preserve"> (Cth) of Australia.</w:t>
      </w:r>
    </w:p>
    <w:p>
      <w:pPr>
        <w:spacing w:after="0" w:line="17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1" w:name="page262"/>
    <w:bookmarkEnd w:id="261"/>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means the rate of interest per annum publicly announced from time to time by DBTCA or an affiliate thereof (for so long as it is the Administrative Agent) or any successor administrative agent pursuant to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hereto as its prime rate in effect at its principal office in New York City. Each change in the Prime Rate shall be effective from and including the date such change is publicly announced as being effective;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interest and fees in respect of the Prime Rate shall be computed on the basis of a year of 365 days (or 366 days in a leap year), and in each case shall be payable for the actual number of days elapsed (including the first day but excluding the last day).</w:t>
      </w:r>
    </w:p>
    <w:p>
      <w:pPr>
        <w:spacing w:after="0" w:line="14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Officer</w:t>
      </w:r>
      <w:r>
        <w:rPr>
          <w:rFonts w:ascii="Arial" w:cs="Arial" w:eastAsia="Arial" w:hAnsi="Arial"/>
          <w:sz w:val="22"/>
          <w:szCs w:val="22"/>
          <w:color w:val="auto"/>
        </w:rPr>
        <w:t>” means, with respect to any Obligor, any director, any manager, the chief financial officer, the treasurer, the assistant treasurer or the principal accounting officer of such Obligor.</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Capital Stock</w:t>
      </w:r>
      <w:r>
        <w:rPr>
          <w:rFonts w:ascii="Arial" w:cs="Arial" w:eastAsia="Arial" w:hAnsi="Arial"/>
          <w:sz w:val="22"/>
          <w:szCs w:val="22"/>
          <w:color w:val="auto"/>
        </w:rPr>
        <w:t>” means and refers to any Capital Stock issued by Parent (and not by one or more of its Subsidiaries) that is not a Disqualified Capital Stock.</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 Deliverables</w:t>
      </w:r>
      <w:r>
        <w:rPr>
          <w:rFonts w:ascii="Arial" w:cs="Arial" w:eastAsia="Arial" w:hAnsi="Arial"/>
          <w:sz w:val="22"/>
          <w:szCs w:val="22"/>
          <w:color w:val="auto"/>
        </w:rPr>
        <w:t>” means such Mortgages, title reports or certificates of title, title insurance policies (with endorsements), evidence of zoning compliance, property insurance, flood certifications and flood insurance (and, if applicable, FEMA form acknowledgements of insurance), opinions of counsel, undertakings of counsel to perfect any Mortgages together with copies of any applicable duly completed registration forms as may be required to achieve such perfection,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5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Related Security</w:t>
      </w:r>
      <w:r>
        <w:rPr>
          <w:rFonts w:ascii="Arial" w:cs="Arial" w:eastAsia="Arial" w:hAnsi="Arial"/>
          <w:sz w:val="22"/>
          <w:szCs w:val="2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the Administrative Agent, (b) any Lender and (c) any Issuing Bank, as applicable.</w:t>
      </w:r>
    </w:p>
    <w:p>
      <w:pPr>
        <w:spacing w:after="0" w:line="17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2" w:name="page263"/>
    <w:bookmarkEnd w:id="262"/>
    <w:p>
      <w:pPr>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Redemption</w:t>
      </w:r>
      <w:r>
        <w:rPr>
          <w:rFonts w:ascii="Arial" w:cs="Arial" w:eastAsia="Arial" w:hAnsi="Arial"/>
          <w:sz w:val="21"/>
          <w:szCs w:val="21"/>
          <w:color w:val="auto"/>
        </w:rPr>
        <w:t>” means, with respect to any Indebtedness, the redemption, purchase, defeasance, prepayment or other acquisition or retirement for value of such Indebtedness. The term “</w:t>
      </w:r>
      <w:r>
        <w:rPr>
          <w:rFonts w:ascii="Arial" w:cs="Arial" w:eastAsia="Arial" w:hAnsi="Arial"/>
          <w:sz w:val="21"/>
          <w:szCs w:val="21"/>
          <w:u w:val="single" w:color="auto"/>
          <w:color w:val="auto"/>
        </w:rPr>
        <w:t>Redeem</w:t>
      </w:r>
      <w:r>
        <w:rPr>
          <w:rFonts w:ascii="Arial" w:cs="Arial" w:eastAsia="Arial" w:hAnsi="Arial"/>
          <w:sz w:val="21"/>
          <w:szCs w:val="21"/>
          <w:color w:val="auto"/>
        </w:rPr>
        <w:t>” has a meaning correlative thereto.</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Redomestication</w:t>
      </w:r>
      <w:r>
        <w:rPr>
          <w:rFonts w:ascii="Arial" w:cs="Arial" w:eastAsia="Arial" w:hAnsi="Arial"/>
          <w:sz w:val="22"/>
          <w:szCs w:val="22"/>
          <w:color w:val="auto"/>
        </w:rPr>
        <w:t>” means:</w:t>
      </w:r>
    </w:p>
    <w:p>
      <w:pPr>
        <w:spacing w:after="0" w:line="206" w:lineRule="exact"/>
        <w:rPr>
          <w:sz w:val="20"/>
          <w:szCs w:val="20"/>
          <w:color w:val="auto"/>
        </w:rPr>
      </w:pPr>
    </w:p>
    <w:p>
      <w:pPr>
        <w:jc w:val="both"/>
        <w:ind w:firstLine="656"/>
        <w:spacing w:after="0" w:line="308" w:lineRule="auto"/>
        <w:tabs>
          <w:tab w:leader="none" w:pos="204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13" w:lineRule="exact"/>
        <w:rPr>
          <w:rFonts w:ascii="Arial" w:cs="Arial" w:eastAsia="Arial" w:hAnsi="Arial"/>
          <w:sz w:val="19"/>
          <w:szCs w:val="19"/>
          <w:color w:val="auto"/>
        </w:rPr>
      </w:pPr>
    </w:p>
    <w:p>
      <w:pPr>
        <w:jc w:val="both"/>
        <w:ind w:firstLine="656"/>
        <w:spacing w:after="0" w:line="327" w:lineRule="auto"/>
        <w:tabs>
          <w:tab w:leader="none" w:pos="164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92" w:lineRule="exact"/>
        <w:rPr>
          <w:rFonts w:ascii="Arial" w:cs="Arial" w:eastAsia="Arial" w:hAnsi="Arial"/>
          <w:sz w:val="19"/>
          <w:szCs w:val="19"/>
          <w:color w:val="auto"/>
        </w:rPr>
      </w:pPr>
    </w:p>
    <w:p>
      <w:pPr>
        <w:ind w:firstLine="656"/>
        <w:spacing w:after="0" w:line="358" w:lineRule="auto"/>
        <w:tabs>
          <w:tab w:leader="none" w:pos="152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19"/>
          <w:szCs w:val="19"/>
          <w:u w:val="single" w:color="auto"/>
          <w:color w:val="auto"/>
        </w:rPr>
        <w:t>New Weatherford Parent</w:t>
      </w:r>
      <w:r>
        <w:rPr>
          <w:rFonts w:ascii="Arial" w:cs="Arial" w:eastAsia="Arial" w:hAnsi="Arial"/>
          <w:sz w:val="19"/>
          <w:szCs w:val="19"/>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if, as a result thereof:</w:t>
      </w:r>
    </w:p>
    <w:p>
      <w:pPr>
        <w:spacing w:after="0" w:line="193" w:lineRule="exact"/>
        <w:rPr>
          <w:sz w:val="20"/>
          <w:szCs w:val="20"/>
          <w:color w:val="auto"/>
        </w:rPr>
      </w:pPr>
    </w:p>
    <w:p>
      <w:pPr>
        <w:jc w:val="both"/>
        <w:ind w:firstLine="656"/>
        <w:spacing w:after="0" w:line="327" w:lineRule="auto"/>
        <w:tabs>
          <w:tab w:leader="none" w:pos="148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in the case of any action specified in </w:t>
      </w:r>
      <w:r>
        <w:rPr>
          <w:rFonts w:ascii="Arial" w:cs="Arial" w:eastAsia="Arial" w:hAnsi="Arial"/>
          <w:sz w:val="19"/>
          <w:szCs w:val="19"/>
          <w:u w:val="single" w:color="auto"/>
          <w:color w:val="auto"/>
        </w:rPr>
        <w:t>clause (a)</w:t>
      </w:r>
      <w:r>
        <w:rPr>
          <w:rFonts w:ascii="Arial" w:cs="Arial" w:eastAsia="Arial" w:hAnsi="Arial"/>
          <w:sz w:val="19"/>
          <w:szCs w:val="19"/>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92" w:lineRule="exact"/>
        <w:rPr>
          <w:rFonts w:ascii="Arial" w:cs="Arial" w:eastAsia="Arial" w:hAnsi="Arial"/>
          <w:sz w:val="19"/>
          <w:szCs w:val="19"/>
          <w:color w:val="auto"/>
        </w:rPr>
      </w:pPr>
    </w:p>
    <w:p>
      <w:pPr>
        <w:ind w:firstLine="656"/>
        <w:spacing w:after="0" w:line="301" w:lineRule="auto"/>
        <w:tabs>
          <w:tab w:leader="none" w:pos="1615" w:val="left"/>
        </w:tabs>
        <w:numPr>
          <w:ilvl w:val="0"/>
          <w:numId w:val="229"/>
        </w:numPr>
        <w:rPr>
          <w:rFonts w:ascii="Arial" w:cs="Arial" w:eastAsia="Arial" w:hAnsi="Arial"/>
          <w:sz w:val="21"/>
          <w:szCs w:val="21"/>
          <w:color w:val="auto"/>
        </w:rPr>
      </w:pPr>
      <w:r>
        <w:rPr>
          <w:rFonts w:ascii="Arial" w:cs="Arial" w:eastAsia="Arial" w:hAnsi="Arial"/>
          <w:sz w:val="21"/>
          <w:szCs w:val="21"/>
          <w:color w:val="auto"/>
        </w:rPr>
        <w:t xml:space="preserve">in the case of any action specified in </w:t>
      </w:r>
      <w:r>
        <w:rPr>
          <w:rFonts w:ascii="Arial" w:cs="Arial" w:eastAsia="Arial" w:hAnsi="Arial"/>
          <w:sz w:val="21"/>
          <w:szCs w:val="21"/>
          <w:u w:val="single" w:color="auto"/>
          <w:color w:val="auto"/>
        </w:rPr>
        <w:t>clause (b)</w:t>
      </w:r>
      <w:r>
        <w:rPr>
          <w:rFonts w:ascii="Arial" w:cs="Arial" w:eastAsia="Arial" w:hAnsi="Arial"/>
          <w:sz w:val="21"/>
          <w:szCs w:val="21"/>
          <w:color w:val="auto"/>
        </w:rPr>
        <w:t>, the entity that constituted the Weatherford Parent Company immediately prior thereto (but disregarding for this purpose any change in its jurisdiction of organization); or</w:t>
      </w:r>
    </w:p>
    <w:p>
      <w:pPr>
        <w:spacing w:after="0" w:line="123" w:lineRule="exact"/>
        <w:rPr>
          <w:rFonts w:ascii="Arial" w:cs="Arial" w:eastAsia="Arial" w:hAnsi="Arial"/>
          <w:sz w:val="21"/>
          <w:szCs w:val="21"/>
          <w:color w:val="auto"/>
        </w:rPr>
      </w:pPr>
    </w:p>
    <w:p>
      <w:pPr>
        <w:ind w:left="1440" w:hanging="784"/>
        <w:spacing w:after="0"/>
        <w:tabs>
          <w:tab w:leader="none" w:pos="144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in the case of any action specified in </w:t>
      </w:r>
      <w:r>
        <w:rPr>
          <w:rFonts w:ascii="Arial" w:cs="Arial" w:eastAsia="Arial" w:hAnsi="Arial"/>
          <w:sz w:val="22"/>
          <w:szCs w:val="22"/>
          <w:u w:val="single" w:color="auto"/>
          <w:color w:val="auto"/>
        </w:rPr>
        <w:t>clause (c)</w:t>
      </w:r>
      <w:r>
        <w:rPr>
          <w:rFonts w:ascii="Arial" w:cs="Arial" w:eastAsia="Arial" w:hAnsi="Arial"/>
          <w:sz w:val="22"/>
          <w:szCs w:val="22"/>
          <w:color w:val="auto"/>
        </w:rPr>
        <w:t>, the New Weatherford Parent,</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any such case, the “</w:t>
      </w:r>
      <w:r>
        <w:rPr>
          <w:rFonts w:ascii="Arial" w:cs="Arial" w:eastAsia="Arial" w:hAnsi="Arial"/>
          <w:sz w:val="19"/>
          <w:szCs w:val="19"/>
          <w:u w:val="single" w:color="auto"/>
          <w:color w:val="auto"/>
        </w:rPr>
        <w:t>Surviving Person</w:t>
      </w:r>
      <w:r>
        <w:rPr>
          <w:rFonts w:ascii="Arial" w:cs="Arial" w:eastAsia="Arial" w:hAnsi="Arial"/>
          <w:sz w:val="19"/>
          <w:szCs w:val="19"/>
          <w:color w:val="auto"/>
        </w:rPr>
        <w:t>”)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w:t>
      </w:r>
    </w:p>
    <w:p>
      <w:pPr>
        <w:spacing w:after="0" w:line="3" w:lineRule="exact"/>
        <w:rPr>
          <w:sz w:val="20"/>
          <w:szCs w:val="20"/>
          <w:color w:val="auto"/>
        </w:rPr>
      </w:pPr>
    </w:p>
    <w:p>
      <w:pPr>
        <w:jc w:val="both"/>
        <w:ind w:firstLine="8"/>
        <w:spacing w:after="0" w:line="260" w:lineRule="auto"/>
        <w:tabs>
          <w:tab w:leader="none" w:pos="3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 xml:space="preserve">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class of Capital Stock of the Surviving Person issued and outstanding immediately following such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3" w:name="page264"/>
    <w:bookmarkEnd w:id="263"/>
    <w:p>
      <w:pPr>
        <w:jc w:val="both"/>
        <w:spacing w:after="0" w:line="298" w:lineRule="auto"/>
        <w:rPr>
          <w:sz w:val="20"/>
          <w:szCs w:val="20"/>
          <w:color w:val="auto"/>
        </w:rPr>
      </w:pPr>
      <w:r>
        <w:rPr>
          <w:rFonts w:ascii="Arial" w:cs="Arial" w:eastAsia="Arial" w:hAnsi="Arial"/>
          <w:sz w:val="19"/>
          <w:szCs w:val="19"/>
          <w:color w:val="auto"/>
        </w:rPr>
        <w:t>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 Change of Control result from any of the actions specified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and</w:t>
      </w:r>
    </w:p>
    <w:p>
      <w:pPr>
        <w:spacing w:after="0" w:line="1" w:lineRule="exact"/>
        <w:rPr>
          <w:sz w:val="20"/>
          <w:szCs w:val="20"/>
          <w:color w:val="auto"/>
        </w:rPr>
      </w:pPr>
    </w:p>
    <w:p>
      <w:pPr>
        <w:ind w:left="340" w:hanging="332"/>
        <w:spacing w:after="0"/>
        <w:tabs>
          <w:tab w:leader="none" w:pos="34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the Surviving Person shall have delivered to the Administrative Agent:</w:t>
      </w:r>
    </w:p>
    <w:p>
      <w:pPr>
        <w:spacing w:after="0" w:line="188" w:lineRule="exact"/>
        <w:rPr>
          <w:rFonts w:ascii="Arial" w:cs="Arial" w:eastAsia="Arial" w:hAnsi="Arial"/>
          <w:sz w:val="22"/>
          <w:szCs w:val="22"/>
          <w:color w:val="auto"/>
        </w:rPr>
      </w:pPr>
    </w:p>
    <w:p>
      <w:pPr>
        <w:ind w:left="1580" w:hanging="924"/>
        <w:spacing w:after="0"/>
        <w:tabs>
          <w:tab w:leader="none" w:pos="158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 certificate to the effect that, both before and after giving effect to such transaction, no Default or Event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Default exists;</w:t>
      </w:r>
    </w:p>
    <w:p>
      <w:pPr>
        <w:spacing w:after="0" w:line="201" w:lineRule="exact"/>
        <w:rPr>
          <w:rFonts w:ascii="Arial" w:cs="Arial" w:eastAsia="Arial" w:hAnsi="Arial"/>
          <w:sz w:val="19"/>
          <w:szCs w:val="19"/>
          <w:color w:val="auto"/>
        </w:rPr>
      </w:pPr>
    </w:p>
    <w:p>
      <w:pPr>
        <w:jc w:val="both"/>
        <w:ind w:right="20" w:firstLine="656"/>
        <w:spacing w:after="0" w:line="266" w:lineRule="auto"/>
        <w:tabs>
          <w:tab w:leader="none" w:pos="1749" w:val="left"/>
        </w:tabs>
        <w:numPr>
          <w:ilvl w:val="1"/>
          <w:numId w:val="231"/>
        </w:numPr>
        <w:rPr>
          <w:rFonts w:ascii="Arial" w:cs="Arial" w:eastAsia="Arial" w:hAnsi="Arial"/>
          <w:sz w:val="22"/>
          <w:szCs w:val="22"/>
          <w:color w:val="auto"/>
        </w:rPr>
      </w:pPr>
      <w:r>
        <w:rPr>
          <w:rFonts w:ascii="Arial" w:cs="Arial" w:eastAsia="Arial" w:hAnsi="Arial"/>
          <w:sz w:val="22"/>
          <w:szCs w:val="22"/>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44" w:lineRule="exact"/>
        <w:rPr>
          <w:rFonts w:ascii="Arial" w:cs="Arial" w:eastAsia="Arial" w:hAnsi="Arial"/>
          <w:sz w:val="22"/>
          <w:szCs w:val="22"/>
          <w:color w:val="auto"/>
        </w:rPr>
      </w:pPr>
    </w:p>
    <w:p>
      <w:pPr>
        <w:ind w:left="1520" w:hanging="864"/>
        <w:spacing w:after="0"/>
        <w:tabs>
          <w:tab w:leader="none" w:pos="152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 xml:space="preserve">if applicable, the documents required by </w:t>
      </w:r>
      <w:r>
        <w:rPr>
          <w:rFonts w:ascii="Arial" w:cs="Arial" w:eastAsia="Arial" w:hAnsi="Arial"/>
          <w:sz w:val="22"/>
          <w:szCs w:val="22"/>
          <w:u w:val="single" w:color="auto"/>
          <w:color w:val="auto"/>
        </w:rPr>
        <w:t>Section 8.02(b)</w:t>
      </w:r>
      <w:r>
        <w:rPr>
          <w:rFonts w:ascii="Arial" w:cs="Arial" w:eastAsia="Arial" w:hAnsi="Arial"/>
          <w:sz w:val="22"/>
          <w:szCs w:val="22"/>
          <w:color w:val="auto"/>
        </w:rPr>
        <w:t>; and</w:t>
      </w:r>
    </w:p>
    <w:p>
      <w:pPr>
        <w:spacing w:after="0" w:line="192" w:lineRule="exact"/>
        <w:rPr>
          <w:rFonts w:ascii="Arial" w:cs="Arial" w:eastAsia="Arial" w:hAnsi="Arial"/>
          <w:sz w:val="22"/>
          <w:szCs w:val="22"/>
          <w:color w:val="auto"/>
        </w:rPr>
      </w:pPr>
    </w:p>
    <w:p>
      <w:pPr>
        <w:jc w:val="both"/>
        <w:ind w:firstLine="656"/>
        <w:spacing w:after="0" w:line="261" w:lineRule="auto"/>
        <w:tabs>
          <w:tab w:leader="none" w:pos="1527" w:val="left"/>
        </w:tabs>
        <w:numPr>
          <w:ilvl w:val="1"/>
          <w:numId w:val="231"/>
        </w:numPr>
        <w:rPr>
          <w:rFonts w:ascii="Arial" w:cs="Arial" w:eastAsia="Arial" w:hAnsi="Arial"/>
          <w:sz w:val="22"/>
          <w:szCs w:val="22"/>
          <w:color w:val="auto"/>
        </w:rPr>
      </w:pPr>
      <w:r>
        <w:rPr>
          <w:rFonts w:ascii="Arial" w:cs="Arial" w:eastAsia="Arial" w:hAnsi="Arial"/>
          <w:sz w:val="22"/>
          <w:szCs w:val="22"/>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11.05(b)(iv)</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means Regulation D of the Board (respecting reserve requirements), as the same is from time to time in effect, and all official rulings and interpretations thereunder or thereof.</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(respecting eligible securities and margin requirements), as the same is from time to time in effect, and all official rulings and interpretations thereunder or thereof.</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(respecting margin credit extended by banks), as the same is from time to time in effect, and all official rulings and interpretations thereunder or thereof.</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Board (respecting borrowers who obtain margin credit), as the same is from time to time in effect, and all official rulings and interpretations thereunder or thereof.</w:t>
      </w:r>
    </w:p>
    <w:p>
      <w:pPr>
        <w:spacing w:after="0" w:line="13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at any time, Lenders having LC Exposures and unused Commitments representing more than fifty percent (50%) of the sum of the Total LC Exposure and unused Commitments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LC Exposure of, and unused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4" w:name="page265"/>
    <w:bookmarkEnd w:id="264"/>
    <w:p>
      <w:pPr>
        <w:spacing w:after="0"/>
        <w:rPr>
          <w:sz w:val="20"/>
          <w:szCs w:val="20"/>
          <w:color w:val="auto"/>
        </w:rPr>
      </w:pPr>
      <w:r>
        <w:rPr>
          <w:rFonts w:ascii="Arial" w:cs="Arial" w:eastAsia="Arial" w:hAnsi="Arial"/>
          <w:sz w:val="21"/>
          <w:szCs w:val="21"/>
          <w:color w:val="auto"/>
        </w:rPr>
        <w:t>Commitment of, any Defaulting Lender shall be excluded for purposes of making a determination of Required Lenders.</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Resolution Authority</w:t>
      </w:r>
      <w:r>
        <w:rPr>
          <w:rFonts w:ascii="Arial" w:cs="Arial" w:eastAsia="Arial" w:hAnsi="Arial"/>
          <w:sz w:val="21"/>
          <w:szCs w:val="21"/>
          <w:color w:val="auto"/>
        </w:rPr>
        <w:t>” means any body which has authority to exercise any Write-down and Conversion Powers.</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Obligations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 any dividend or other distribution (whether in cash, securities or other property) on account of any Capital Stock 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 (c) any voluntary Redemption of any Indebtedness prior to the stated maturity thereof or (d) any payment in violation of any subordination terms of any Indebtedness.</w:t>
      </w:r>
    </w:p>
    <w:p>
      <w:pPr>
        <w:spacing w:after="0" w:line="1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Parent that is not an Unrestricted Subsidiary. For the avoidance of doubt, each Borrower and each Guarantor (other than Parent) shall be a Restricted Subsidiary.</w:t>
      </w:r>
    </w:p>
    <w:p>
      <w:pPr>
        <w:spacing w:after="0" w:line="13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Restrictive Agreement</w:t>
      </w:r>
      <w:r>
        <w:rPr>
          <w:rFonts w:ascii="Arial" w:cs="Arial" w:eastAsia="Arial" w:hAnsi="Arial"/>
          <w:sz w:val="19"/>
          <w:szCs w:val="19"/>
          <w:color w:val="auto"/>
        </w:rPr>
        <w:t>” means any agreement or other arrangement that prohibits, limits, restricts or imposes any condition upon the ability of any Obligor to create, incur or permit to exist any Lien upon any of its property or assets (a) in favor of the Administrative Agent and the Lenders to secure any of the Secured Obligations, or (b) in favor of the Senior Secured Notes Trustee and the Senior Secured Notes Secured Parties to secure any of the Senior Secured Notes.</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Revaluation Date</w:t>
      </w:r>
      <w:r>
        <w:rPr>
          <w:rFonts w:ascii="Arial" w:cs="Arial" w:eastAsia="Arial" w:hAnsi="Arial"/>
          <w:sz w:val="22"/>
          <w:szCs w:val="22"/>
          <w:color w:val="auto"/>
        </w:rPr>
        <w:t>” means each of the following: (a) on the fifteenth day of each calendar month (or the following Business Day if such day is not a Business Day), and (c) such additional dates as the Administrative Agent shall reasonably determine or the Required Lenders shall reasonably require as a result of fluctuations in the relevant currency exchange rates or the occurrence and continuation of an Event of Default.</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Group, a division of McGraw-Hill, Inc., or any successor to the ratings agency business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5" w:name="page266"/>
    <w:bookmarkEnd w:id="265"/>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the subject or target of any Sanctions (at the time of this Agreement, Crimea, Cuba, Iran, North Korea, Sudan and Syria).</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Canadian government (or any agency thereof), the Australian Department of Foreign Affairs and Trade or any other relevant sanctions authority, (b) any Person operating, organized or resident in a Sanctioned Country or (c) any Person owned or controlled by any such Person or Persons described in the foregoing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Her Majesty’s Treasury of the United Kingdom, any European Union member state, the Hong Kong Monetary Authority, the Australian Commonwealth Government, any governmental authority of Canada under the Special Economics Measures Act (Canada) or other applicable Canadian legislation or any other relevant sanctions authority.</w:t>
      </w:r>
    </w:p>
    <w:p>
      <w:pPr>
        <w:spacing w:after="0" w:line="14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 or any governmental authority succeeding to the functions of said Commission.</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Liquidity</w:t>
      </w:r>
      <w:r>
        <w:rPr>
          <w:rFonts w:ascii="Arial" w:cs="Arial" w:eastAsia="Arial" w:hAnsi="Arial"/>
          <w:sz w:val="22"/>
          <w:szCs w:val="22"/>
          <w:color w:val="auto"/>
        </w:rPr>
        <w:t>” means, as of any date of determination, the aggregate amount of Unrestricted Cash and Cash Equivalents of the Obligors at such date that are held in a deposit account or securities account subject to a perfected first priority lien in favor of the Administrative Agent.</w:t>
      </w:r>
    </w:p>
    <w:p>
      <w:pPr>
        <w:spacing w:after="0" w:line="15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xml:space="preserve">” means (a) all Obligations, and (b) all Swap Obligations and Banking Services Obligations owing to one or more Lenders or their respective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“Swap Obligations” shall (i) not include, with respect to any Obligor, any Excluded Swap Obligations of such Obligor, and (ii) include (1) any Swap Obligations owing to one or more Lenders or their respective Affiliates under a Swap Agreement in effect prior to the Effective Date, and (2) any Swap Obligations owing to one or more Lenders or their respective Affiliates notwithstanding such party is no longer a Lender or an Affiliate of a Lender.</w:t>
      </w:r>
    </w:p>
    <w:p>
      <w:pPr>
        <w:spacing w:after="0" w:line="151" w:lineRule="exact"/>
        <w:rPr>
          <w:sz w:val="20"/>
          <w:szCs w:val="20"/>
          <w:color w:val="auto"/>
        </w:rPr>
      </w:pPr>
    </w:p>
    <w:p>
      <w:pPr>
        <w:jc w:val="both"/>
        <w:ind w:firstLine="715"/>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the holders of the Secured Obligations from time to time and shall include (a) each Lender in respect of its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(e) each Indemnitee in respect of the obligations and liabilities of the Borrowers to such Person hereunder and under the other Loan Documents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6" w:name="page267"/>
    <w:bookmarkEnd w:id="266"/>
    <w:p>
      <w:pPr>
        <w:spacing w:after="0" w:line="276" w:lineRule="auto"/>
        <w:rPr>
          <w:sz w:val="20"/>
          <w:szCs w:val="20"/>
          <w:color w:val="auto"/>
        </w:rPr>
      </w:pPr>
      <w:r>
        <w:rPr>
          <w:rFonts w:ascii="Arial" w:cs="Arial" w:eastAsia="Arial" w:hAnsi="Arial"/>
          <w:sz w:val="22"/>
          <w:szCs w:val="22"/>
          <w:color w:val="auto"/>
        </w:rPr>
        <w:t>constituting Secured Obligations, and (f) their respective successors and (in the case of a Lender, permitted) transferees and assigns.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Agreements</w:t>
      </w:r>
      <w:r>
        <w:rPr>
          <w:rFonts w:ascii="Arial" w:cs="Arial" w:eastAsia="Arial" w:hAnsi="Arial"/>
          <w:sz w:val="19"/>
          <w:szCs w:val="19"/>
          <w:color w:val="auto"/>
        </w:rPr>
        <w:t xml:space="preserve">” means, collectively, (a) the agreements and other instruments described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hereto,</w:t>
      </w:r>
    </w:p>
    <w:p>
      <w:pPr>
        <w:spacing w:after="0" w:line="56" w:lineRule="exact"/>
        <w:rPr>
          <w:sz w:val="20"/>
          <w:szCs w:val="20"/>
          <w:color w:val="auto"/>
        </w:rPr>
      </w:pPr>
    </w:p>
    <w:p>
      <w:pPr>
        <w:jc w:val="both"/>
        <w:ind w:firstLine="8"/>
        <w:spacing w:after="0" w:line="261" w:lineRule="auto"/>
        <w:tabs>
          <w:tab w:leader="none" w:pos="3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U.S. Security Agreement and the Canadian Security Agreement and (c) any other security agreement, debenture, mortgage, charge or other similar agreement in form and substance satisfactory to the Administrative Agent in favor of the Administrative Agent for the benefit of itself and the other Secured Parties, in any such case, pursuant to which any Obligor grants Liens on the property of such Obligor to secure the Secured Obligations.</w:t>
      </w:r>
    </w:p>
    <w:p>
      <w:pPr>
        <w:spacing w:after="0" w:line="1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Trust Deed</w:t>
      </w:r>
      <w:r>
        <w:rPr>
          <w:rFonts w:ascii="Arial" w:cs="Arial" w:eastAsia="Arial" w:hAnsi="Arial"/>
          <w:sz w:val="22"/>
          <w:szCs w:val="22"/>
          <w:color w:val="auto"/>
        </w:rPr>
        <w:t>” means the Security Trust Deed to be entered into among the Borrowers, the Administrative Agent, the Lenders and the LC Australian Collateral Agent.</w:t>
      </w:r>
    </w:p>
    <w:p>
      <w:pPr>
        <w:spacing w:after="0" w:line="13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Secured Notes</w:t>
      </w:r>
      <w:r>
        <w:rPr>
          <w:rFonts w:ascii="Arial" w:cs="Arial" w:eastAsia="Arial" w:hAnsi="Arial"/>
          <w:sz w:val="19"/>
          <w:szCs w:val="19"/>
          <w:color w:val="auto"/>
        </w:rPr>
        <w:t>” means the senior secured notes of WIL-Bermuda due 2024 in an initial aggregate principal amount of $500,000,000 issued on the Amendment No. 1 Effective Date pursuant to the Senior Secured Notes Indenture.</w:t>
      </w:r>
    </w:p>
    <w:p>
      <w:pPr>
        <w:spacing w:after="0" w:line="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Notes Indenture</w:t>
      </w:r>
      <w:r>
        <w:rPr>
          <w:rFonts w:ascii="Arial" w:cs="Arial" w:eastAsia="Arial" w:hAnsi="Arial"/>
          <w:sz w:val="22"/>
          <w:szCs w:val="22"/>
          <w:color w:val="auto"/>
        </w:rPr>
        <w:t>” means the indenture dated as of August 28, 2020, among the Senior Secured Notes Trustee,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Notes Secured Parties</w:t>
      </w:r>
      <w:r>
        <w:rPr>
          <w:rFonts w:ascii="Arial" w:cs="Arial" w:eastAsia="Arial" w:hAnsi="Arial"/>
          <w:sz w:val="22"/>
          <w:szCs w:val="22"/>
          <w:color w:val="auto"/>
        </w:rPr>
        <w:t>” means the First Lien Notes Secured Parties (as defined in the Senior Secured Notes Indenture).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Notes Trustee</w:t>
      </w:r>
      <w:r>
        <w:rPr>
          <w:rFonts w:ascii="Arial" w:cs="Arial" w:eastAsia="Arial" w:hAnsi="Arial"/>
          <w:sz w:val="22"/>
          <w:szCs w:val="22"/>
          <w:color w:val="auto"/>
        </w:rPr>
        <w:t>” means Wilmington Trust, National Association.</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means, in reference to any Person as of any date, (a) the fair value of the assets of such Person, at a fair valuation, will, as of such date, exceed its debts and liabilities (subordinated,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(c) 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Effective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Disposition</w:t>
      </w:r>
      <w:r>
        <w:rPr>
          <w:rFonts w:ascii="Arial" w:cs="Arial" w:eastAsia="Arial" w:hAnsi="Arial"/>
          <w:sz w:val="22"/>
          <w:szCs w:val="22"/>
          <w:color w:val="auto"/>
        </w:rPr>
        <w:t xml:space="preserve">” means any Disposition of property described in </w:t>
      </w:r>
      <w:r>
        <w:rPr>
          <w:rFonts w:ascii="Arial" w:cs="Arial" w:eastAsia="Arial" w:hAnsi="Arial"/>
          <w:sz w:val="22"/>
          <w:szCs w:val="22"/>
          <w:u w:val="single" w:color="auto"/>
          <w:color w:val="auto"/>
        </w:rPr>
        <w:t>Schedule 8.05(d)</w:t>
      </w:r>
      <w:r>
        <w:rPr>
          <w:rFonts w:ascii="Arial" w:cs="Arial" w:eastAsia="Arial" w:hAnsi="Arial"/>
          <w:sz w:val="22"/>
          <w:szCs w:val="22"/>
          <w:color w:val="auto"/>
        </w:rPr>
        <w:t xml:space="preserve"> to this Agreement.</w:t>
      </w:r>
    </w:p>
    <w:p>
      <w:pPr>
        <w:spacing w:after="0" w:line="1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Eligible Deposit Account</w:t>
      </w:r>
      <w:r>
        <w:rPr>
          <w:rFonts w:ascii="Arial" w:cs="Arial" w:eastAsia="Arial" w:hAnsi="Arial"/>
          <w:sz w:val="19"/>
          <w:szCs w:val="19"/>
          <w:color w:val="auto"/>
        </w:rPr>
        <w:t xml:space="preserve">” means, with respect to any Obligor, such Obligor’s deposit accounts located in an Eligible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deposit account of an Obligor located in an Eligible Jurisdiction becomes subject to a deposit account control agreement, such deposit account shall cease to be a Specified Eligible Deposit Account.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7" w:name="page268"/>
    <w:bookmarkEnd w:id="267"/>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Event of Default</w:t>
      </w:r>
      <w:r>
        <w:rPr>
          <w:rFonts w:ascii="Arial" w:cs="Arial" w:eastAsia="Arial" w:hAnsi="Arial"/>
          <w:sz w:val="22"/>
          <w:szCs w:val="22"/>
          <w:color w:val="auto"/>
        </w:rPr>
        <w:t xml:space="preserve">” means any Event of Default described in any of </w:t>
      </w:r>
      <w:r>
        <w:rPr>
          <w:rFonts w:ascii="Arial" w:cs="Arial" w:eastAsia="Arial" w:hAnsi="Arial"/>
          <w:sz w:val="22"/>
          <w:szCs w:val="22"/>
          <w:u w:val="single" w:color="auto"/>
          <w:color w:val="auto"/>
        </w:rPr>
        <w:t>Sections 9.01(a)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9.01(c)</w:t>
      </w:r>
      <w:r>
        <w:rPr>
          <w:rFonts w:ascii="Arial" w:cs="Arial" w:eastAsia="Arial" w:hAnsi="Arial"/>
          <w:sz w:val="22"/>
          <w:szCs w:val="22"/>
          <w:color w:val="auto"/>
        </w:rPr>
        <w:t xml:space="preserve"> (but only with respect to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7.01(b)</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9.01(i)</w:t>
      </w:r>
      <w:r>
        <w:rPr>
          <w:rFonts w:ascii="Arial" w:cs="Arial" w:eastAsia="Arial" w:hAnsi="Arial"/>
          <w:sz w:val="22"/>
          <w:szCs w:val="22"/>
          <w:color w:val="auto"/>
        </w:rPr>
        <w:t>.</w:t>
      </w:r>
    </w:p>
    <w:p>
      <w:pPr>
        <w:spacing w:after="0" w:line="13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Ineligible Deposit Account</w:t>
      </w:r>
      <w:r>
        <w:rPr>
          <w:rFonts w:ascii="Arial" w:cs="Arial" w:eastAsia="Arial" w:hAnsi="Arial"/>
          <w:sz w:val="22"/>
          <w:szCs w:val="22"/>
          <w:color w:val="auto"/>
        </w:rPr>
        <w:t>” means, with respect to any Obligor, any such Obligor’s deposit accounts located in an Ineligible Jurisdiction.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Jurisdiction</w:t>
      </w:r>
      <w:r>
        <w:rPr>
          <w:rFonts w:ascii="Arial" w:cs="Arial" w:eastAsia="Arial" w:hAnsi="Arial"/>
          <w:sz w:val="21"/>
          <w:szCs w:val="21"/>
          <w:color w:val="auto"/>
        </w:rPr>
        <w:t xml:space="preserve">” means (a) the United States of America (or any state thereof), Canada (or any province or territory thereof), the United Kingdom, Ireland, Switzerland, Luxembourg, Bermuda, the British Virgin Islands, the Netherlands, Argentina, Australia, Norway, Germany, Panama and certain other jurisdictions to be identified from time to time by the Required Lenders in accordance with </w:t>
      </w:r>
      <w:r>
        <w:rPr>
          <w:rFonts w:ascii="Arial" w:cs="Arial" w:eastAsia="Arial" w:hAnsi="Arial"/>
          <w:sz w:val="21"/>
          <w:szCs w:val="21"/>
          <w:u w:val="single" w:color="auto"/>
          <w:color w:val="auto"/>
        </w:rPr>
        <w:t>Section 7.08(b)</w:t>
      </w:r>
      <w:r>
        <w:rPr>
          <w:rFonts w:ascii="Arial" w:cs="Arial" w:eastAsia="Arial" w:hAnsi="Arial"/>
          <w:sz w:val="21"/>
          <w:szCs w:val="21"/>
          <w:color w:val="auto"/>
        </w:rPr>
        <w:t xml:space="preserve"> and (b) any “Specified Jurisdiction” under the Senior Secured Notes Indenture. In no event shall any Excluded Jurisdiction be or become a Specified Jurisdiction.</w:t>
      </w:r>
    </w:p>
    <w:p>
      <w:pPr>
        <w:spacing w:after="0" w:line="137"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Senior Indebtedness</w:t>
      </w:r>
      <w:r>
        <w:rPr>
          <w:rFonts w:ascii="Arial" w:cs="Arial" w:eastAsia="Arial" w:hAnsi="Arial"/>
          <w:sz w:val="21"/>
          <w:szCs w:val="21"/>
          <w:color w:val="auto"/>
        </w:rPr>
        <w:t xml:space="preserve">” means all Funded Indebtedness (which for purposes of </w:t>
      </w:r>
      <w:r>
        <w:rPr>
          <w:rFonts w:ascii="Arial" w:cs="Arial" w:eastAsia="Arial" w:hAnsi="Arial"/>
          <w:sz w:val="21"/>
          <w:szCs w:val="21"/>
          <w:u w:val="single" w:color="auto"/>
          <w:color w:val="auto"/>
        </w:rPr>
        <w:t>Section 8.01(j)</w:t>
      </w:r>
      <w:r>
        <w:rPr>
          <w:rFonts w:ascii="Arial" w:cs="Arial" w:eastAsia="Arial" w:hAnsi="Arial"/>
          <w:sz w:val="21"/>
          <w:szCs w:val="21"/>
          <w:color w:val="auto"/>
        </w:rPr>
        <w:t xml:space="preserve"> only, shall also include Indebtedness of any type described in </w:t>
      </w:r>
      <w:r>
        <w:rPr>
          <w:rFonts w:ascii="Arial" w:cs="Arial" w:eastAsia="Arial" w:hAnsi="Arial"/>
          <w:sz w:val="21"/>
          <w:szCs w:val="21"/>
          <w:u w:val="single" w:color="auto"/>
          <w:color w:val="auto"/>
        </w:rPr>
        <w:t>clause (c)</w:t>
      </w:r>
      <w:r>
        <w:rPr>
          <w:rFonts w:ascii="Arial" w:cs="Arial" w:eastAsia="Arial" w:hAnsi="Arial"/>
          <w:sz w:val="21"/>
          <w:szCs w:val="21"/>
          <w:color w:val="auto"/>
        </w:rPr>
        <w:t xml:space="preserve"> of the definition of “Indebtedness”) of the Obligors.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State</w:t>
      </w:r>
      <w:r>
        <w:rPr>
          <w:rFonts w:ascii="Arial" w:cs="Arial" w:eastAsia="Arial" w:hAnsi="Arial"/>
          <w:sz w:val="21"/>
          <w:szCs w:val="21"/>
          <w:color w:val="auto"/>
        </w:rPr>
        <w:t>” means each jurisdiction of organization of the Obligors, other than any Excluded Jurisdiction.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Cash Collateralization Date</w:t>
      </w:r>
      <w:r>
        <w:rPr>
          <w:rFonts w:ascii="Arial" w:cs="Arial" w:eastAsia="Arial" w:hAnsi="Arial"/>
          <w:sz w:val="22"/>
          <w:szCs w:val="22"/>
          <w:color w:val="auto"/>
        </w:rPr>
        <w:t>” means the date that is 180 days before the Maturity Date.</w:t>
      </w:r>
    </w:p>
    <w:p>
      <w:pPr>
        <w:spacing w:after="0" w:line="1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xml:space="preserve">”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Letter of Credit fees set forth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1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w:t>
      </w:r>
      <w:r>
        <w:rPr>
          <w:rFonts w:ascii="Arial" w:cs="Arial" w:eastAsia="Arial" w:hAnsi="Arial"/>
          <w:sz w:val="21"/>
          <w:szCs w:val="21"/>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any Indebtedness that is Subordinated.</w:t>
      </w:r>
    </w:p>
    <w:p>
      <w:pPr>
        <w:spacing w:after="0" w:line="1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8" w:name="page269"/>
    <w:bookmarkEnd w:id="268"/>
    <w:p>
      <w:pPr>
        <w:spacing w:after="0"/>
        <w:rPr>
          <w:sz w:val="20"/>
          <w:szCs w:val="20"/>
          <w:color w:val="auto"/>
        </w:rPr>
      </w:pPr>
      <w:r>
        <w:rPr>
          <w:rFonts w:ascii="Arial" w:cs="Arial" w:eastAsia="Arial" w:hAnsi="Arial"/>
          <w:sz w:val="19"/>
          <w:szCs w:val="19"/>
          <w:color w:val="auto"/>
        </w:rPr>
        <w:t>requires, references in this Agreement to a “Subsidiary” or the “Subsidiaries” refer to a Subsidiary or the Subsidiaries of Parent.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Person</w:t>
      </w:r>
      <w:r>
        <w:rPr>
          <w:rFonts w:ascii="Arial" w:cs="Arial" w:eastAsia="Arial" w:hAnsi="Arial"/>
          <w:sz w:val="22"/>
          <w:szCs w:val="22"/>
          <w:color w:val="auto"/>
        </w:rPr>
        <w:t>” has the meaning specified in the definition of “Redomestication”.</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Agreement</w:t>
      </w:r>
      <w:r>
        <w:rPr>
          <w:rFonts w:ascii="Arial" w:cs="Arial" w:eastAsia="Arial" w:hAnsi="Arial"/>
          <w:sz w:val="21"/>
          <w:szCs w:val="21"/>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and Argentine Bond Investments shall be deemed to be Swap Agreements.</w:t>
      </w:r>
    </w:p>
    <w:p>
      <w:pPr>
        <w:spacing w:after="0" w:line="1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w:t>
      </w:r>
      <w:r>
        <w:rPr>
          <w:rFonts w:ascii="Arial" w:cs="Arial" w:eastAsia="Arial" w:hAnsi="Arial"/>
          <w:sz w:val="21"/>
          <w:szCs w:val="21"/>
          <w:color w:val="auto"/>
        </w:rPr>
        <w:t>” means, with respect to any Obligor, any obligation to pay or perform under any agreement, contract or transaction that constitutes a “swap” within the meaning of section 1a(47) of the Commodity Exchange Act.</w:t>
      </w:r>
    </w:p>
    <w:p>
      <w:pPr>
        <w:spacing w:after="0" w:line="11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Borrower</w:t>
      </w:r>
      <w:r>
        <w:rPr>
          <w:rFonts w:ascii="Arial" w:cs="Arial" w:eastAsia="Arial" w:hAnsi="Arial"/>
          <w:sz w:val="22"/>
          <w:szCs w:val="22"/>
          <w:color w:val="auto"/>
        </w:rPr>
        <w:t>” means any Borrower organized under the laws of Switzerland or, if different, deemed resident in Switzerland for Swiss Withholding Tax purposes.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Federal Tax Administration</w:t>
      </w:r>
      <w:r>
        <w:rPr>
          <w:rFonts w:ascii="Arial" w:cs="Arial" w:eastAsia="Arial" w:hAnsi="Arial"/>
          <w:sz w:val="22"/>
          <w:szCs w:val="22"/>
          <w:color w:val="auto"/>
        </w:rPr>
        <w:t>” means the tax authorities referred to in article 34 of the Swiss Federal Act on Withholding Tax (</w:t>
      </w:r>
      <w:r>
        <w:rPr>
          <w:rFonts w:ascii="Arial" w:cs="Arial" w:eastAsia="Arial" w:hAnsi="Arial"/>
          <w:sz w:val="22"/>
          <w:szCs w:val="22"/>
          <w:i w:val="1"/>
          <w:iCs w:val="1"/>
          <w:color w:val="auto"/>
        </w:rPr>
        <w:t>Bundesgesetz über die Verrechnungssteuer vom 13. Oktober</w:t>
      </w:r>
      <w:r>
        <w:rPr>
          <w:rFonts w:ascii="Arial" w:cs="Arial" w:eastAsia="Arial" w:hAnsi="Arial"/>
          <w:sz w:val="22"/>
          <w:szCs w:val="22"/>
          <w:color w:val="auto"/>
        </w:rPr>
        <w:t xml:space="preserve"> 1965, SR 642.21).</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Guarantor</w:t>
      </w:r>
      <w:r>
        <w:rPr>
          <w:rFonts w:ascii="Arial" w:cs="Arial" w:eastAsia="Arial" w:hAnsi="Arial"/>
          <w:sz w:val="22"/>
          <w:szCs w:val="22"/>
          <w:color w:val="auto"/>
        </w:rPr>
        <w:t>” means any Guarantor incorporated in Switzerland and/or having its registered office in Switzerland and/or qualifying as a Swiss resident pursuant to art 9 of the Swiss Withholding Tax Act.</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Swiss Guidelines</w:t>
      </w:r>
      <w:r>
        <w:rPr>
          <w:rFonts w:ascii="Arial" w:cs="Arial" w:eastAsia="Arial" w:hAnsi="Arial"/>
          <w:sz w:val="19"/>
          <w:szCs w:val="19"/>
          <w:color w:val="auto"/>
        </w:rPr>
        <w:t>” means, together, guideline S-02.123 in relation to interbank loans of 22 September 1986 (</w:t>
      </w:r>
      <w:r>
        <w:rPr>
          <w:rFonts w:ascii="Arial" w:cs="Arial" w:eastAsia="Arial" w:hAnsi="Arial"/>
          <w:sz w:val="19"/>
          <w:szCs w:val="19"/>
          <w:i w:val="1"/>
          <w:iCs w:val="1"/>
          <w:color w:val="auto"/>
        </w:rPr>
        <w:t>Merkblatt</w:t>
      </w:r>
      <w:r>
        <w:rPr>
          <w:rFonts w:ascii="Arial" w:cs="Arial" w:eastAsia="Arial" w:hAnsi="Arial"/>
          <w:sz w:val="19"/>
          <w:szCs w:val="19"/>
          <w:color w:val="auto"/>
        </w:rPr>
        <w:t xml:space="preserve"> </w:t>
      </w:r>
      <w:r>
        <w:rPr>
          <w:rFonts w:ascii="Arial" w:cs="Arial" w:eastAsia="Arial" w:hAnsi="Arial"/>
          <w:sz w:val="19"/>
          <w:szCs w:val="19"/>
          <w:i w:val="1"/>
          <w:iCs w:val="1"/>
          <w:color w:val="auto"/>
        </w:rPr>
        <w:t>“Verrechnungssteuer auf Zinsen von Bankguthaben, deren Gläubiger Banken sind (Interbankguthaben)” vom 22. September 1986</w:t>
      </w:r>
      <w:r>
        <w:rPr>
          <w:rFonts w:ascii="Arial" w:cs="Arial" w:eastAsia="Arial" w:hAnsi="Arial"/>
          <w:sz w:val="19"/>
          <w:szCs w:val="19"/>
          <w:color w:val="auto"/>
        </w:rPr>
        <w:t>), circular letter No. 47 in relation to bonds of 25 July 2019 (1-047-V-2019) (</w:t>
      </w:r>
      <w:r>
        <w:rPr>
          <w:rFonts w:ascii="Arial" w:cs="Arial" w:eastAsia="Arial" w:hAnsi="Arial"/>
          <w:sz w:val="19"/>
          <w:szCs w:val="19"/>
          <w:i w:val="1"/>
          <w:iCs w:val="1"/>
          <w:color w:val="auto"/>
        </w:rPr>
        <w:t>Kreisschreiben Nr. 47 “Obligationen” vom 25. Juli 2019</w:t>
      </w:r>
      <w:r>
        <w:rPr>
          <w:rFonts w:ascii="Arial" w:cs="Arial" w:eastAsia="Arial" w:hAnsi="Arial"/>
          <w:sz w:val="19"/>
          <w:szCs w:val="19"/>
          <w:color w:val="auto"/>
        </w:rPr>
        <w:t>), guideline S-02.130.1 in relation to money market instruments and book claims of April 1999 (</w:t>
      </w:r>
      <w:r>
        <w:rPr>
          <w:rFonts w:ascii="Arial" w:cs="Arial" w:eastAsia="Arial" w:hAnsi="Arial"/>
          <w:sz w:val="19"/>
          <w:szCs w:val="19"/>
          <w:i w:val="1"/>
          <w:iCs w:val="1"/>
          <w:color w:val="auto"/>
        </w:rPr>
        <w:t>Merkblatt vom April 1999 betreffend Geldmarktpapiere und Buchforderungen inländischer Schuldner</w:t>
      </w:r>
      <w:r>
        <w:rPr>
          <w:rFonts w:ascii="Arial" w:cs="Arial" w:eastAsia="Arial" w:hAnsi="Arial"/>
          <w:sz w:val="19"/>
          <w:szCs w:val="19"/>
          <w:color w:val="auto"/>
        </w:rPr>
        <w:t>), circular letter No. 46 of 24 July 2019 (1-046-VS-2019) in relation to syndicated credit facilities (</w:t>
      </w:r>
      <w:r>
        <w:rPr>
          <w:rFonts w:ascii="Arial" w:cs="Arial" w:eastAsia="Arial" w:hAnsi="Arial"/>
          <w:sz w:val="19"/>
          <w:szCs w:val="19"/>
          <w:i w:val="1"/>
          <w:iCs w:val="1"/>
          <w:color w:val="auto"/>
        </w:rPr>
        <w:t>Kreisschreiben Nr. 46 “Steuerliche Behandlung von Konsortialdarlehen,</w:t>
      </w:r>
      <w:r>
        <w:rPr>
          <w:rFonts w:ascii="Arial" w:cs="Arial" w:eastAsia="Arial" w:hAnsi="Arial"/>
          <w:sz w:val="19"/>
          <w:szCs w:val="19"/>
          <w:color w:val="auto"/>
        </w:rPr>
        <w:t xml:space="preserve"> </w:t>
      </w:r>
      <w:r>
        <w:rPr>
          <w:rFonts w:ascii="Arial" w:cs="Arial" w:eastAsia="Arial" w:hAnsi="Arial"/>
          <w:sz w:val="19"/>
          <w:szCs w:val="19"/>
          <w:i w:val="1"/>
          <w:iCs w:val="1"/>
          <w:color w:val="auto"/>
        </w:rPr>
        <w:t>Schuldscheindarlehen, Wechseln und Unterbeteiligungen” vom 24. Juli 2019</w:t>
      </w:r>
      <w:r>
        <w:rPr>
          <w:rFonts w:ascii="Arial" w:cs="Arial" w:eastAsia="Arial" w:hAnsi="Arial"/>
          <w:sz w:val="19"/>
          <w:szCs w:val="19"/>
          <w:color w:val="auto"/>
        </w:rPr>
        <w:t>), circular letter No. 34 of 26 July 2011 (1-034-V-2011) in relation to deposits (</w:t>
      </w:r>
      <w:r>
        <w:rPr>
          <w:rFonts w:ascii="Arial" w:cs="Arial" w:eastAsia="Arial" w:hAnsi="Arial"/>
          <w:sz w:val="19"/>
          <w:szCs w:val="19"/>
          <w:i w:val="1"/>
          <w:iCs w:val="1"/>
          <w:color w:val="auto"/>
        </w:rPr>
        <w:t>Kreisschreiben Nr. 34 “Kundenguthaben” vom 26. Juli 2011</w:t>
      </w:r>
      <w:r>
        <w:rPr>
          <w:rFonts w:ascii="Arial" w:cs="Arial" w:eastAsia="Arial" w:hAnsi="Arial"/>
          <w:sz w:val="19"/>
          <w:szCs w:val="19"/>
          <w:color w:val="auto"/>
        </w:rPr>
        <w:t>), the circular letter No. 15 of 3 October 2017 (1-015-DVS-2017) in relation to bonds and derivative financial instruments as subject matter of taxation of Swiss federal income tax, Swiss withholding tax and Swiss stamp taxes (</w:t>
      </w:r>
      <w:r>
        <w:rPr>
          <w:rFonts w:ascii="Arial" w:cs="Arial" w:eastAsia="Arial" w:hAnsi="Arial"/>
          <w:sz w:val="19"/>
          <w:szCs w:val="19"/>
          <w:i w:val="1"/>
          <w:iCs w:val="1"/>
          <w:color w:val="auto"/>
        </w:rPr>
        <w:t>Kreisschreiben Nr. 15 “Obligationen und derivative</w:t>
      </w:r>
      <w:r>
        <w:rPr>
          <w:rFonts w:ascii="Arial" w:cs="Arial" w:eastAsia="Arial" w:hAnsi="Arial"/>
          <w:sz w:val="19"/>
          <w:szCs w:val="19"/>
          <w:color w:val="auto"/>
        </w:rPr>
        <w:t xml:space="preserve"> </w:t>
      </w:r>
      <w:r>
        <w:rPr>
          <w:rFonts w:ascii="Arial" w:cs="Arial" w:eastAsia="Arial" w:hAnsi="Arial"/>
          <w:sz w:val="19"/>
          <w:szCs w:val="19"/>
          <w:i w:val="1"/>
          <w:iCs w:val="1"/>
          <w:color w:val="auto"/>
        </w:rPr>
        <w:t>Finanzinstrumente als Gegenstand der direkten Bundessteuer, der Verrechnungssteuer und der Stempelabgaben” vom 3. Oktober 2017</w:t>
      </w:r>
      <w:r>
        <w:rPr>
          <w:rFonts w:ascii="Arial" w:cs="Arial" w:eastAsia="Arial" w:hAnsi="Arial"/>
          <w:sz w:val="19"/>
          <w:szCs w:val="19"/>
          <w:color w:val="auto"/>
        </w:rPr>
        <w:t>) and the notification regarding credit balances in groups (Mitteilung 010-DVS-2019 of February 2019 betreffend</w:t>
      </w:r>
      <w:r>
        <w:rPr>
          <w:rFonts w:ascii="Arial" w:cs="Arial" w:eastAsia="Arial" w:hAnsi="Arial"/>
          <w:sz w:val="19"/>
          <w:szCs w:val="19"/>
          <w:i w:val="1"/>
          <w:iCs w:val="1"/>
          <w:color w:val="auto"/>
        </w:rPr>
        <w:t xml:space="preserve"> </w:t>
      </w:r>
      <w:r>
        <w:rPr>
          <w:rFonts w:ascii="Arial" w:cs="Arial" w:eastAsia="Arial" w:hAnsi="Arial"/>
          <w:sz w:val="19"/>
          <w:szCs w:val="19"/>
          <w:color w:val="auto"/>
        </w:rPr>
        <w:t>“Verrechnungssteuer: Guthaben im Konzern”), each as issued, and as amended or replaced from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9" w:name="page270"/>
    <w:bookmarkEnd w:id="269"/>
    <w:p>
      <w:pPr>
        <w:jc w:val="both"/>
        <w:spacing w:after="0" w:line="266" w:lineRule="auto"/>
        <w:rPr>
          <w:sz w:val="20"/>
          <w:szCs w:val="20"/>
          <w:color w:val="auto"/>
        </w:rPr>
      </w:pPr>
      <w:r>
        <w:rPr>
          <w:rFonts w:ascii="Arial" w:cs="Arial" w:eastAsia="Arial" w:hAnsi="Arial"/>
          <w:sz w:val="22"/>
          <w:szCs w:val="22"/>
          <w:color w:val="auto"/>
        </w:rPr>
        <w:t>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Swiss Non-Bank Rules</w:t>
      </w:r>
      <w:r>
        <w:rPr>
          <w:rFonts w:ascii="Arial" w:cs="Arial" w:eastAsia="Arial" w:hAnsi="Arial"/>
          <w:sz w:val="21"/>
          <w:szCs w:val="21"/>
          <w:color w:val="auto"/>
        </w:rPr>
        <w:t>” means, together, the Swiss Twenty Non-Bank Rule and the Swiss Ten Non-Bank Rule.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Non-Qualifying Lender</w:t>
      </w:r>
      <w:r>
        <w:rPr>
          <w:rFonts w:ascii="Arial" w:cs="Arial" w:eastAsia="Arial" w:hAnsi="Arial"/>
          <w:sz w:val="22"/>
          <w:szCs w:val="22"/>
          <w:color w:val="auto"/>
        </w:rPr>
        <w:t>” means a person which does not qualify as a Swiss Qualifying Lender.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Obligor</w:t>
      </w:r>
      <w:r>
        <w:rPr>
          <w:rFonts w:ascii="Arial" w:cs="Arial" w:eastAsia="Arial" w:hAnsi="Arial"/>
          <w:sz w:val="22"/>
          <w:szCs w:val="22"/>
          <w:color w:val="auto"/>
        </w:rPr>
        <w:t>” means a Swiss Borrower or a Swiss Guarantor.</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Qualifying Lender</w:t>
      </w:r>
      <w:r>
        <w:rPr>
          <w:rFonts w:ascii="Arial" w:cs="Arial" w:eastAsia="Arial" w:hAnsi="Arial"/>
          <w:sz w:val="22"/>
          <w:szCs w:val="22"/>
          <w:color w:val="auto"/>
        </w:rPr>
        <w:t>” means (a) a bank as defined in the Swiss Federal Code for Banks and Savings Banks dated 8 November 1934 (</w:t>
      </w:r>
      <w:r>
        <w:rPr>
          <w:rFonts w:ascii="Arial" w:cs="Arial" w:eastAsia="Arial" w:hAnsi="Arial"/>
          <w:sz w:val="22"/>
          <w:szCs w:val="22"/>
          <w:i w:val="1"/>
          <w:iCs w:val="1"/>
          <w:color w:val="auto"/>
        </w:rPr>
        <w:t>Bundesgesetz über die Banken und Sparkassen</w:t>
      </w:r>
      <w:r>
        <w:rPr>
          <w:rFonts w:ascii="Arial" w:cs="Arial" w:eastAsia="Arial" w:hAnsi="Arial"/>
          <w:sz w:val="22"/>
          <w:szCs w:val="22"/>
          <w:color w:val="auto"/>
        </w:rPr>
        <w:t>) as amended from time to time or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Security Documents</w:t>
      </w:r>
      <w:r>
        <w:rPr>
          <w:rFonts w:ascii="Arial" w:cs="Arial" w:eastAsia="Arial" w:hAnsi="Arial"/>
          <w:sz w:val="22"/>
          <w:szCs w:val="22"/>
          <w:color w:val="auto"/>
        </w:rPr>
        <w:t>” means the Security Agreements governed by the laws of Switzerland.</w:t>
      </w:r>
    </w:p>
    <w:p>
      <w:pPr>
        <w:spacing w:after="0" w:line="1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Swiss Ten Non-Bank Rule</w:t>
      </w:r>
      <w:r>
        <w:rPr>
          <w:rFonts w:ascii="Arial" w:cs="Arial" w:eastAsia="Arial" w:hAnsi="Arial"/>
          <w:sz w:val="19"/>
          <w:szCs w:val="19"/>
          <w:color w:val="auto"/>
        </w:rPr>
        <w:t>” 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spacing w:after="0" w:line="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Swiss Twenty Non-Bank Rule</w:t>
      </w:r>
      <w:r>
        <w:rPr>
          <w:rFonts w:ascii="Arial" w:cs="Arial" w:eastAsia="Arial" w:hAnsi="Arial"/>
          <w:sz w:val="19"/>
          <w:szCs w:val="19"/>
          <w:color w:val="auto"/>
        </w:rPr>
        <w:t>” means the rule that the aggregate number of creditors other than Swiss Qualifying Lenders of a Swiss Obligor under all its outstanding debts relevant for the classification as debentures (</w:t>
      </w:r>
      <w:r>
        <w:rPr>
          <w:rFonts w:ascii="Arial" w:cs="Arial" w:eastAsia="Arial" w:hAnsi="Arial"/>
          <w:sz w:val="19"/>
          <w:szCs w:val="19"/>
          <w:i w:val="1"/>
          <w:iCs w:val="1"/>
          <w:color w:val="auto"/>
        </w:rPr>
        <w:t>Kassenobligation</w:t>
      </w:r>
      <w:r>
        <w:rPr>
          <w:rFonts w:ascii="Arial" w:cs="Arial" w:eastAsia="Arial" w:hAnsi="Arial"/>
          <w:sz w:val="19"/>
          <w:szCs w:val="19"/>
          <w:color w:val="auto"/>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Withholding Tax</w:t>
      </w:r>
      <w:r>
        <w:rPr>
          <w:rFonts w:ascii="Arial" w:cs="Arial" w:eastAsia="Arial" w:hAnsi="Arial"/>
          <w:sz w:val="22"/>
          <w:szCs w:val="22"/>
          <w:color w:val="auto"/>
        </w:rPr>
        <w:t>” means taxes imposed under the Swiss Withholding Tax Act.</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Withholding Tax Act</w:t>
      </w:r>
      <w:r>
        <w:rPr>
          <w:rFonts w:ascii="Arial" w:cs="Arial" w:eastAsia="Arial" w:hAnsi="Arial"/>
          <w:sz w:val="22"/>
          <w:szCs w:val="22"/>
          <w:color w:val="auto"/>
        </w:rPr>
        <w:t>” means the Swiss Federal Act on the Withholding Tax of 13 October 1965 (</w:t>
      </w:r>
      <w:r>
        <w:rPr>
          <w:rFonts w:ascii="Arial" w:cs="Arial" w:eastAsia="Arial" w:hAnsi="Arial"/>
          <w:sz w:val="22"/>
          <w:szCs w:val="22"/>
          <w:i w:val="1"/>
          <w:iCs w:val="1"/>
          <w:color w:val="auto"/>
        </w:rPr>
        <w:t>Bundesgesetz</w:t>
      </w:r>
      <w:r>
        <w:rPr>
          <w:rFonts w:ascii="Arial" w:cs="Arial" w:eastAsia="Arial" w:hAnsi="Arial"/>
          <w:sz w:val="22"/>
          <w:szCs w:val="22"/>
          <w:color w:val="auto"/>
        </w:rPr>
        <w:t xml:space="preserve"> </w:t>
      </w:r>
      <w:r>
        <w:rPr>
          <w:rFonts w:ascii="Arial" w:cs="Arial" w:eastAsia="Arial" w:hAnsi="Arial"/>
          <w:sz w:val="22"/>
          <w:szCs w:val="22"/>
          <w:i w:val="1"/>
          <w:iCs w:val="1"/>
          <w:color w:val="auto"/>
        </w:rPr>
        <w:t>über die Verrechnungssteuer</w:t>
      </w:r>
      <w:r>
        <w:rPr>
          <w:rFonts w:ascii="Arial" w:cs="Arial" w:eastAsia="Arial" w:hAnsi="Arial"/>
          <w:sz w:val="22"/>
          <w:szCs w:val="22"/>
          <w:color w:val="auto"/>
        </w:rPr>
        <w:t>), together with the related ordinances, regulations and guidelines, all as amended and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from time to time.</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taxes, levies, imposts, duties, fees, assessments or other charges of whatever nature now or hereafter imposed by any taxing authority, and all interest, penalties or similar liabilities with respect thereto.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0" w:name="page271"/>
    <w:bookmarkEnd w:id="270"/>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Period</w:t>
      </w:r>
      <w:r>
        <w:rPr>
          <w:rFonts w:ascii="Arial" w:cs="Arial" w:eastAsia="Arial" w:hAnsi="Arial"/>
          <w:sz w:val="22"/>
          <w:szCs w:val="22"/>
          <w:color w:val="auto"/>
        </w:rPr>
        <w:t>” means any period of four consecutive Fiscal Quarters (whether or not such quarters are all within the same Fiscal Year).</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LC Exposure</w:t>
      </w:r>
      <w:r>
        <w:rPr>
          <w:rFonts w:ascii="Arial" w:cs="Arial" w:eastAsia="Arial" w:hAnsi="Arial"/>
          <w:sz w:val="22"/>
          <w:szCs w:val="22"/>
          <w:color w:val="auto"/>
        </w:rPr>
        <w:t xml:space="preserve">” means, at any time, the sum of (a) the Dollar Equivalent of the aggregate undrawn amount of all outstanding Letters of Credit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Dollar Equivalent of the aggregate amount of all LC Disbursements that have not yet been reimbursed by or on behalf of the Borrowers at such time.</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Specified Asset Value</w:t>
      </w:r>
      <w:r>
        <w:rPr>
          <w:rFonts w:ascii="Arial" w:cs="Arial" w:eastAsia="Arial" w:hAnsi="Arial"/>
          <w:sz w:val="22"/>
          <w:szCs w:val="22"/>
          <w:color w:val="auto"/>
        </w:rPr>
        <w:t>” means, as of any date of determination, the book value of all assets of Parent and its Restricted Subsidiaries on a consolidated basis as of such date.</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transactions contemplated by the Agreement, the Loan Documents, the ABL Credit Agreement, the ABL Credit Documents, the Exit Senior Notes, the Exit Senior Notes Indenture, and the occurrence of the Plan Effective Date in connection with the Plan of Reorganization and all related transactions.</w:t>
      </w:r>
    </w:p>
    <w:p>
      <w:pPr>
        <w:spacing w:after="0" w:line="14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UCC</w:t>
      </w:r>
      <w:r>
        <w:rPr>
          <w:rFonts w:ascii="Arial" w:cs="Arial" w:eastAsia="Arial" w:hAnsi="Arial"/>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2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Bail-In Legislation</w:t>
      </w:r>
      <w:r>
        <w:rPr>
          <w:rFonts w:ascii="Arial" w:cs="Arial" w:eastAsia="Arial" w:hAnsi="Arial"/>
          <w:sz w:val="19"/>
          <w:szCs w:val="19"/>
          <w:color w:val="auto"/>
        </w:rPr>
        <w:t>” means, to the extent that the United Kingdom is not an EEA Member Country which has implemented, or implements, Article 55 BRRD, Part 1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Obligor</w:t>
      </w:r>
      <w:r>
        <w:rPr>
          <w:rFonts w:ascii="Arial" w:cs="Arial" w:eastAsia="Arial" w:hAnsi="Arial"/>
          <w:sz w:val="22"/>
          <w:szCs w:val="22"/>
          <w:color w:val="auto"/>
        </w:rPr>
        <w:t>” means the Obligors incorporated in any legal jurisdiction of the United Kingdom.</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Cash</w:t>
      </w:r>
      <w:r>
        <w:rPr>
          <w:rFonts w:ascii="Arial" w:cs="Arial" w:eastAsia="Arial" w:hAnsi="Arial"/>
          <w:sz w:val="22"/>
          <w:szCs w:val="22"/>
          <w:color w:val="auto"/>
        </w:rPr>
        <w:t xml:space="preserve">” means, as of the date of determination, all cash and Cash Equivalents of the Obligors that are not “restricted” for purposes of GAAP (other than any Liens arising under the Loan Documents or Indebtedness incurred under </w:t>
      </w:r>
      <w:r>
        <w:rPr>
          <w:rFonts w:ascii="Arial" w:cs="Arial" w:eastAsia="Arial" w:hAnsi="Arial"/>
          <w:sz w:val="22"/>
          <w:szCs w:val="22"/>
          <w:u w:val="single" w:color="auto"/>
          <w:color w:val="auto"/>
        </w:rPr>
        <w:t>Section 8.01(p)</w:t>
      </w:r>
      <w:r>
        <w:rPr>
          <w:rFonts w:ascii="Arial" w:cs="Arial" w:eastAsia="Arial" w:hAnsi="Arial"/>
          <w:sz w:val="22"/>
          <w:szCs w:val="22"/>
          <w:color w:val="auto"/>
        </w:rPr>
        <w: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means (a) any Subsidiary which Parent has designated in writing to the Administrative Agent to be an Unrestricted Subsidiary pursuant to </w:t>
      </w:r>
      <w:r>
        <w:rPr>
          <w:rFonts w:ascii="Arial" w:cs="Arial" w:eastAsia="Arial" w:hAnsi="Arial"/>
          <w:sz w:val="22"/>
          <w:szCs w:val="22"/>
          <w:u w:val="single" w:color="auto"/>
          <w:color w:val="auto"/>
        </w:rPr>
        <w:t>Section 7.09</w:t>
      </w:r>
      <w:r>
        <w:rPr>
          <w:rFonts w:ascii="Arial" w:cs="Arial" w:eastAsia="Arial" w:hAnsi="Arial"/>
          <w:sz w:val="22"/>
          <w:szCs w:val="22"/>
          <w:color w:val="auto"/>
        </w:rPr>
        <w:t xml:space="preserve"> and (b) any direct or indirect Subsidiary of any Subsidiary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in each case that meets the following requirements:</w:t>
      </w:r>
    </w:p>
    <w:p>
      <w:pPr>
        <w:spacing w:after="0" w:line="144" w:lineRule="exact"/>
        <w:rPr>
          <w:sz w:val="20"/>
          <w:szCs w:val="20"/>
          <w:color w:val="auto"/>
        </w:rPr>
      </w:pPr>
    </w:p>
    <w:p>
      <w:pPr>
        <w:ind w:left="2040" w:hanging="736"/>
        <w:spacing w:after="0"/>
        <w:tabs>
          <w:tab w:leader="none" w:pos="204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such Subsidiary shall have no Indebtedness with recourse to Parent or any Restricted Subsidiary;</w:t>
      </w:r>
    </w:p>
    <w:p>
      <w:pPr>
        <w:spacing w:after="0" w:line="204" w:lineRule="exact"/>
        <w:rPr>
          <w:rFonts w:ascii="Arial" w:cs="Arial" w:eastAsia="Arial" w:hAnsi="Arial"/>
          <w:sz w:val="21"/>
          <w:szCs w:val="21"/>
          <w:color w:val="auto"/>
        </w:rPr>
      </w:pPr>
    </w:p>
    <w:p>
      <w:pPr>
        <w:ind w:left="660" w:firstLine="644"/>
        <w:spacing w:after="0" w:line="276" w:lineRule="auto"/>
        <w:tabs>
          <w:tab w:leader="none" w:pos="2125"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such Subsidiary is not party to any agreement, contract, arrangement or understanding with Parent or any Restricted Subsidiary that violates </w:t>
      </w:r>
      <w:r>
        <w:rPr>
          <w:rFonts w:ascii="Arial" w:cs="Arial" w:eastAsia="Arial" w:hAnsi="Arial"/>
          <w:sz w:val="22"/>
          <w:szCs w:val="22"/>
          <w:u w:val="single" w:color="auto"/>
          <w:color w:val="auto"/>
        </w:rPr>
        <w:t>Section 8.09</w:t>
      </w:r>
      <w:r>
        <w:rPr>
          <w:rFonts w:ascii="Arial" w:cs="Arial" w:eastAsia="Arial" w:hAnsi="Arial"/>
          <w:sz w:val="22"/>
          <w:szCs w:val="22"/>
          <w:color w:val="auto"/>
        </w:rPr>
        <w:t>;</w:t>
      </w:r>
    </w:p>
    <w:p>
      <w:pPr>
        <w:spacing w:after="0" w:line="147" w:lineRule="exact"/>
        <w:rPr>
          <w:rFonts w:ascii="Arial" w:cs="Arial" w:eastAsia="Arial" w:hAnsi="Arial"/>
          <w:sz w:val="22"/>
          <w:szCs w:val="22"/>
          <w:color w:val="auto"/>
        </w:rPr>
      </w:pPr>
    </w:p>
    <w:p>
      <w:pPr>
        <w:jc w:val="both"/>
        <w:ind w:left="660" w:firstLine="644"/>
        <w:spacing w:after="0" w:line="266" w:lineRule="auto"/>
        <w:tabs>
          <w:tab w:leader="none" w:pos="228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such Subsidiary is a Person with respect to which neither Parent nor any of its Restricted Subsidiaries has any direct or indirect obligation (A) to subscribe for additional Capital Stock of such Person or (B) to maintain or preserve such Person’s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1" w:name="page272"/>
    <w:bookmarkEnd w:id="271"/>
    <w:p>
      <w:pPr>
        <w:ind w:left="660" w:right="140"/>
        <w:spacing w:after="0" w:line="262" w:lineRule="auto"/>
        <w:rPr>
          <w:sz w:val="20"/>
          <w:szCs w:val="20"/>
          <w:color w:val="auto"/>
        </w:rPr>
      </w:pPr>
      <w:r>
        <w:rPr>
          <w:rFonts w:ascii="Arial" w:cs="Arial" w:eastAsia="Arial" w:hAnsi="Arial"/>
          <w:sz w:val="22"/>
          <w:szCs w:val="22"/>
          <w:color w:val="auto"/>
        </w:rPr>
        <w:t xml:space="preserve">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Arial" w:cs="Arial" w:eastAsia="Arial" w:hAnsi="Arial"/>
          <w:sz w:val="22"/>
          <w:szCs w:val="22"/>
          <w:u w:val="single" w:color="auto"/>
          <w:color w:val="auto"/>
        </w:rPr>
        <w:t>clause (B)</w:t>
      </w:r>
      <w:r>
        <w:rPr>
          <w:rFonts w:ascii="Arial" w:cs="Arial" w:eastAsia="Arial" w:hAnsi="Arial"/>
          <w:sz w:val="22"/>
          <w:szCs w:val="22"/>
          <w:color w:val="auto"/>
        </w:rPr>
        <w:t>);</w:t>
      </w:r>
    </w:p>
    <w:p>
      <w:pPr>
        <w:spacing w:after="0" w:line="151" w:lineRule="exact"/>
        <w:rPr>
          <w:sz w:val="20"/>
          <w:szCs w:val="20"/>
          <w:color w:val="auto"/>
        </w:rPr>
      </w:pPr>
    </w:p>
    <w:p>
      <w:pPr>
        <w:jc w:val="both"/>
        <w:ind w:left="660" w:firstLine="644"/>
        <w:spacing w:after="0" w:line="266" w:lineRule="auto"/>
        <w:tabs>
          <w:tab w:leader="none" w:pos="2268" w:val="left"/>
        </w:tabs>
        <w:numPr>
          <w:ilvl w:val="0"/>
          <w:numId w:val="234"/>
        </w:numPr>
        <w:rPr>
          <w:rFonts w:ascii="Arial" w:cs="Arial" w:eastAsia="Arial" w:hAnsi="Arial"/>
          <w:sz w:val="22"/>
          <w:szCs w:val="22"/>
          <w:color w:val="auto"/>
        </w:rPr>
      </w:pPr>
      <w:r>
        <w:rPr>
          <w:rFonts w:ascii="Arial" w:cs="Arial" w:eastAsia="Arial" w:hAnsi="Arial"/>
          <w:sz w:val="22"/>
          <w:szCs w:val="22"/>
          <w:color w:val="auto"/>
        </w:rPr>
        <w:t>such Subsidiary does not, either individually or together with other Subsidiaries that are designated as Unrestricted Subsidiaries, own or operate, directly or indirectly, all or substantially all of the assets of Parent and its Subsidiaries; and</w:t>
      </w:r>
    </w:p>
    <w:p>
      <w:pPr>
        <w:spacing w:after="0" w:line="157" w:lineRule="exact"/>
        <w:rPr>
          <w:rFonts w:ascii="Arial" w:cs="Arial" w:eastAsia="Arial" w:hAnsi="Arial"/>
          <w:sz w:val="22"/>
          <w:szCs w:val="22"/>
          <w:color w:val="auto"/>
        </w:rPr>
      </w:pPr>
    </w:p>
    <w:p>
      <w:pPr>
        <w:ind w:left="2280" w:hanging="976"/>
        <w:spacing w:after="0"/>
        <w:tabs>
          <w:tab w:leader="none" w:pos="228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such Subsidiary does not hold any Capital Stock in, or any Indebtedness of, Parent or any Restricted</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18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01"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Qualifying Lender</w:t>
      </w:r>
      <w:r>
        <w:rPr>
          <w:rFonts w:ascii="Arial" w:cs="Arial" w:eastAsia="Arial" w:hAnsi="Arial"/>
          <w:sz w:val="19"/>
          <w:szCs w:val="19"/>
          <w:color w:val="auto"/>
        </w:rPr>
        <w:t>” means a Person that is entitled to receive, as of the Effective Date or upon becoming a party to the Loan Documents, payments of interest without the imposition of U.S. federal withholding tax (by statute or treaty) on payments of interest treated as being from sources within the United States for U.S. federal income tax purposes.</w:t>
      </w:r>
    </w:p>
    <w:p>
      <w:pPr>
        <w:spacing w:after="0" w:line="10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Security Agreement</w:t>
      </w:r>
      <w:r>
        <w:rPr>
          <w:rFonts w:ascii="Arial" w:cs="Arial" w:eastAsia="Arial" w:hAnsi="Arial"/>
          <w:sz w:val="22"/>
          <w:szCs w:val="22"/>
          <w:color w:val="auto"/>
        </w:rPr>
        <w:t xml:space="preserve">” means that certain U.S. Security Agreement, dated as of the Effective Date, by and among the Obligors listed on the signature pages thereto, and the Administrative Agent, listed on </w:t>
      </w:r>
      <w:r>
        <w:rPr>
          <w:rFonts w:ascii="Arial" w:cs="Arial" w:eastAsia="Arial" w:hAnsi="Arial"/>
          <w:sz w:val="22"/>
          <w:szCs w:val="22"/>
          <w:u w:val="single" w:color="auto"/>
          <w:color w:val="auto"/>
        </w:rPr>
        <w:t>Schedule 1.01C</w:t>
      </w:r>
      <w:r>
        <w:rPr>
          <w:rFonts w:ascii="Arial" w:cs="Arial" w:eastAsia="Arial" w:hAnsi="Arial"/>
          <w:sz w:val="22"/>
          <w:szCs w:val="22"/>
          <w:color w:val="auto"/>
        </w:rPr>
        <w:t xml:space="preserve"> hereto in substantially the form attached hereto as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VAT</w:t>
      </w:r>
      <w:r>
        <w:rPr>
          <w:rFonts w:ascii="Arial" w:cs="Arial" w:eastAsia="Arial" w:hAnsi="Arial"/>
          <w:sz w:val="22"/>
          <w:szCs w:val="22"/>
          <w:color w:val="auto"/>
        </w:rPr>
        <w:t xml:space="preserve">”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above, or imposed elsewhere, including, but not limited to, any tax imposed in compliance with the Swiss Federal Act on Value Added Tax of 12 June 2009 as amended from time to time.</w:t>
      </w:r>
    </w:p>
    <w:p>
      <w:pPr>
        <w:spacing w:after="0" w:line="15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Parent Company</w:t>
      </w:r>
      <w:r>
        <w:rPr>
          <w:rFonts w:ascii="Arial" w:cs="Arial" w:eastAsia="Arial" w:hAnsi="Arial"/>
          <w:sz w:val="19"/>
          <w:szCs w:val="19"/>
          <w:color w:val="auto"/>
        </w:rPr>
        <w:t>” means Parent or, if a Redomestication has occurred subsequent to the Effective Date and prior to the event in question on the date of determination, the Surviving Person resulting from such Redomestication.</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Wells Fargo</w:t>
      </w:r>
      <w:r>
        <w:rPr>
          <w:rFonts w:ascii="Arial" w:cs="Arial" w:eastAsia="Arial" w:hAnsi="Arial"/>
          <w:sz w:val="22"/>
          <w:szCs w:val="22"/>
          <w:color w:val="auto"/>
        </w:rPr>
        <w:t>” means Wells Fargo Bank, National Association and its successors.</w:t>
      </w:r>
    </w:p>
    <w:p>
      <w:pPr>
        <w:spacing w:after="0" w:line="17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2" w:name="page273"/>
    <w:bookmarkEnd w:id="272"/>
    <w:p>
      <w:pPr>
        <w:jc w:val="both"/>
        <w:ind w:firstLine="648"/>
        <w:spacing w:after="0" w:line="271"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Wholly-Owned Subsidiary</w:t>
      </w:r>
      <w:r>
        <w:rPr>
          <w:rFonts w:ascii="Arial" w:cs="Arial" w:eastAsia="Arial" w:hAnsi="Arial"/>
          <w:sz w:val="19"/>
          <w:szCs w:val="19"/>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t>
      </w:r>
      <w:r>
        <w:rPr>
          <w:rFonts w:ascii="Arial" w:cs="Arial" w:eastAsia="Arial" w:hAnsi="Arial"/>
          <w:sz w:val="19"/>
          <w:szCs w:val="19"/>
          <w:u w:val="single" w:color="auto"/>
          <w:color w:val="auto"/>
        </w:rPr>
        <w:t>Wholly-Owned Subsidiary</w:t>
      </w:r>
      <w:r>
        <w:rPr>
          <w:rFonts w:ascii="Arial" w:cs="Arial" w:eastAsia="Arial" w:hAnsi="Arial"/>
          <w:sz w:val="19"/>
          <w:szCs w:val="19"/>
          <w:color w:val="auto"/>
        </w:rPr>
        <w:t>” or the “</w:t>
      </w:r>
      <w:r>
        <w:rPr>
          <w:rFonts w:ascii="Arial" w:cs="Arial" w:eastAsia="Arial" w:hAnsi="Arial"/>
          <w:sz w:val="19"/>
          <w:szCs w:val="19"/>
          <w:u w:val="single" w:color="auto"/>
          <w:color w:val="auto"/>
        </w:rPr>
        <w:t>Wholly</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Owned Subsidiaries</w:t>
      </w:r>
      <w:r>
        <w:rPr>
          <w:rFonts w:ascii="Arial" w:cs="Arial" w:eastAsia="Arial" w:hAnsi="Arial"/>
          <w:sz w:val="19"/>
          <w:szCs w:val="19"/>
          <w:color w:val="auto"/>
        </w:rPr>
        <w:t>” refer to a Wholly-Owned Subsidiary or Wholly-Owned Subsidiaries of Parent.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WIL-Bermuda</w:t>
      </w:r>
      <w:r>
        <w:rPr>
          <w:rFonts w:ascii="Arial" w:cs="Arial" w:eastAsia="Arial" w:hAnsi="Arial"/>
          <w:sz w:val="22"/>
          <w:szCs w:val="22"/>
          <w:color w:val="auto"/>
        </w:rPr>
        <w:t>” has the meaning specified in the introductory paragraph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WIL-Delaware</w:t>
      </w:r>
      <w:r>
        <w:rPr>
          <w:rFonts w:ascii="Arial" w:cs="Arial" w:eastAsia="Arial" w:hAnsi="Arial"/>
          <w:sz w:val="22"/>
          <w:szCs w:val="22"/>
          <w:color w:val="auto"/>
        </w:rPr>
        <w:t>” has the meaning specified in the introductory paragraph of this Agreement.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WOFS</w:t>
      </w:r>
      <w:r>
        <w:rPr>
          <w:rFonts w:ascii="Arial" w:cs="Arial" w:eastAsia="Arial" w:hAnsi="Arial"/>
          <w:sz w:val="22"/>
          <w:szCs w:val="22"/>
          <w:color w:val="auto"/>
        </w:rPr>
        <w:t>” means WOFS Assurance Limited, a Bermuda exempted company.</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in relation to any Bail-In Legislation described in the EU Bail-In Legislation Schedule from time to time, the powers described as such in relation to that Bail-In Legislation in the EU Bail-In Legislation Schedule; (b)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and</w:t>
      </w:r>
    </w:p>
    <w:p>
      <w:pPr>
        <w:spacing w:after="0" w:line="1" w:lineRule="exact"/>
        <w:rPr>
          <w:sz w:val="20"/>
          <w:szCs w:val="20"/>
          <w:color w:val="auto"/>
        </w:rPr>
      </w:pPr>
    </w:p>
    <w:p>
      <w:pPr>
        <w:jc w:val="both"/>
        <w:ind w:firstLine="8"/>
        <w:spacing w:after="0" w:line="306" w:lineRule="auto"/>
        <w:tabs>
          <w:tab w:leader="none" w:pos="298"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 relation to any UK Bail-In Legislation: (i)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 (ii) any similar or analogous powers under that UK Bail-In Legislation.</w:t>
      </w:r>
    </w:p>
    <w:p>
      <w:pPr>
        <w:spacing w:after="0" w:line="11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Accounting Terms; Changes in GAAP.</w:t>
      </w:r>
    </w:p>
    <w:p>
      <w:pPr>
        <w:spacing w:after="0" w:line="193" w:lineRule="exact"/>
        <w:rPr>
          <w:sz w:val="20"/>
          <w:szCs w:val="20"/>
          <w:color w:val="auto"/>
        </w:rPr>
      </w:pPr>
    </w:p>
    <w:p>
      <w:pPr>
        <w:jc w:val="both"/>
        <w:ind w:firstLine="1304"/>
        <w:spacing w:after="0" w:line="262" w:lineRule="auto"/>
        <w:tabs>
          <w:tab w:leader="none" w:pos="2224"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Parent notifies the Administrative Agent that Parent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3" w:name="page274"/>
    <w:bookmarkEnd w:id="273"/>
    <w:p>
      <w:pPr>
        <w:jc w:val="both"/>
        <w:spacing w:after="0" w:line="274" w:lineRule="auto"/>
        <w:rPr>
          <w:sz w:val="20"/>
          <w:szCs w:val="20"/>
          <w:color w:val="auto"/>
        </w:rPr>
      </w:pPr>
      <w:r>
        <w:rPr>
          <w:rFonts w:ascii="Arial" w:cs="Arial" w:eastAsia="Arial" w:hAnsi="Arial"/>
          <w:sz w:val="21"/>
          <w:szCs w:val="21"/>
          <w:color w:val="auto"/>
        </w:rPr>
        <w:t>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41" w:lineRule="exact"/>
        <w:rPr>
          <w:sz w:val="20"/>
          <w:szCs w:val="20"/>
          <w:color w:val="auto"/>
        </w:rPr>
      </w:pPr>
    </w:p>
    <w:p>
      <w:pPr>
        <w:jc w:val="both"/>
        <w:ind w:firstLine="1304"/>
        <w:spacing w:after="0" w:line="274" w:lineRule="auto"/>
        <w:tabs>
          <w:tab w:leader="none" w:pos="2088" w:val="left"/>
        </w:tabs>
        <w:numPr>
          <w:ilvl w:val="0"/>
          <w:numId w:val="237"/>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54" w:lineRule="exact"/>
        <w:rPr>
          <w:rFonts w:ascii="Arial" w:cs="Arial" w:eastAsia="Arial" w:hAnsi="Arial"/>
          <w:sz w:val="21"/>
          <w:szCs w:val="21"/>
          <w:color w:val="auto"/>
        </w:rPr>
      </w:pPr>
    </w:p>
    <w:p>
      <w:pPr>
        <w:jc w:val="both"/>
        <w:ind w:firstLine="1304"/>
        <w:spacing w:after="0" w:line="305" w:lineRule="auto"/>
        <w:tabs>
          <w:tab w:leader="none" w:pos="2089" w:val="left"/>
        </w:tabs>
        <w:numPr>
          <w:ilvl w:val="0"/>
          <w:numId w:val="237"/>
        </w:numPr>
        <w:rPr>
          <w:rFonts w:ascii="Arial" w:cs="Arial" w:eastAsia="Arial" w:hAnsi="Arial"/>
          <w:sz w:val="19"/>
          <w:szCs w:val="19"/>
          <w:color w:val="auto"/>
        </w:rPr>
      </w:pPr>
      <w:r>
        <w:rPr>
          <w:rFonts w:ascii="Arial" w:cs="Arial" w:eastAsia="Arial" w:hAnsi="Arial"/>
          <w:sz w:val="19"/>
          <w:szCs w:val="19"/>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14" w:lineRule="exact"/>
        <w:rPr>
          <w:rFonts w:ascii="Arial" w:cs="Arial" w:eastAsia="Arial" w:hAnsi="Arial"/>
          <w:sz w:val="19"/>
          <w:szCs w:val="19"/>
          <w:color w:val="auto"/>
        </w:rPr>
      </w:pPr>
    </w:p>
    <w:p>
      <w:pPr>
        <w:jc w:val="both"/>
        <w:ind w:firstLine="1304"/>
        <w:spacing w:after="0" w:line="301" w:lineRule="auto"/>
        <w:tabs>
          <w:tab w:leader="none" w:pos="2533"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All pro forma computations required to be made hereunder giving effect to any acquisition or Disposition</w:t>
      </w:r>
      <w:r>
        <w:rPr>
          <w:rFonts w:ascii="Arial" w:cs="Arial" w:eastAsia="Arial" w:hAnsi="Arial"/>
          <w:sz w:val="19"/>
          <w:szCs w:val="19"/>
          <w:color w:val="002060"/>
        </w:rPr>
        <w:t>,</w:t>
      </w:r>
      <w:r>
        <w:rPr>
          <w:rFonts w:ascii="Arial" w:cs="Arial" w:eastAsia="Arial" w:hAnsi="Arial"/>
          <w:sz w:val="19"/>
          <w:szCs w:val="19"/>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4" w:name="page275"/>
    <w:bookmarkEnd w:id="274"/>
    <w:p>
      <w:pPr>
        <w:spacing w:after="0"/>
        <w:tabs>
          <w:tab w:leader="none" w:pos="186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Interpretation.</w:t>
      </w:r>
    </w:p>
    <w:p>
      <w:pPr>
        <w:spacing w:after="0" w:line="193" w:lineRule="exact"/>
        <w:rPr>
          <w:sz w:val="20"/>
          <w:szCs w:val="20"/>
          <w:color w:val="auto"/>
        </w:rPr>
      </w:pPr>
    </w:p>
    <w:p>
      <w:pPr>
        <w:ind w:left="1420" w:hanging="776"/>
        <w:spacing w:after="0"/>
        <w:tabs>
          <w:tab w:leader="none" w:pos="142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In this Agreement unless the context indicates otherwise:</w:t>
      </w:r>
    </w:p>
    <w:p>
      <w:pPr>
        <w:spacing w:after="0" w:line="206" w:lineRule="exact"/>
        <w:rPr>
          <w:rFonts w:ascii="Arial" w:cs="Arial" w:eastAsia="Arial" w:hAnsi="Arial"/>
          <w:sz w:val="22"/>
          <w:szCs w:val="22"/>
          <w:color w:val="auto"/>
        </w:rPr>
      </w:pPr>
    </w:p>
    <w:p>
      <w:pPr>
        <w:ind w:left="2180" w:hanging="888"/>
        <w:spacing w:after="0"/>
        <w:tabs>
          <w:tab w:leader="none" w:pos="218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defined;</w:t>
      </w:r>
    </w:p>
    <w:p>
      <w:pPr>
        <w:spacing w:after="0" w:line="188" w:lineRule="exact"/>
        <w:rPr>
          <w:rFonts w:ascii="Arial" w:cs="Arial" w:eastAsia="Arial" w:hAnsi="Arial"/>
          <w:sz w:val="19"/>
          <w:szCs w:val="19"/>
          <w:color w:val="auto"/>
        </w:rPr>
      </w:pPr>
    </w:p>
    <w:p>
      <w:pPr>
        <w:ind w:left="2100" w:hanging="808"/>
        <w:spacing w:after="0"/>
        <w:tabs>
          <w:tab w:leader="none" w:pos="210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any pronoun shall include the corresponding masculine, feminine and neuter forms;</w:t>
      </w:r>
    </w:p>
    <w:p>
      <w:pPr>
        <w:spacing w:after="0" w:line="192" w:lineRule="exact"/>
        <w:rPr>
          <w:rFonts w:ascii="Arial" w:cs="Arial" w:eastAsia="Arial" w:hAnsi="Arial"/>
          <w:sz w:val="22"/>
          <w:szCs w:val="22"/>
          <w:color w:val="auto"/>
        </w:rPr>
      </w:pPr>
    </w:p>
    <w:p>
      <w:pPr>
        <w:ind w:firstLine="1292"/>
        <w:spacing w:after="0" w:line="276" w:lineRule="auto"/>
        <w:tabs>
          <w:tab w:leader="none" w:pos="2335"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Agreement in its entirety and not to any particular Article, Section or other subdivision hereof;</w:t>
      </w:r>
    </w:p>
    <w:p>
      <w:pPr>
        <w:spacing w:after="0" w:line="147" w:lineRule="exact"/>
        <w:rPr>
          <w:rFonts w:ascii="Arial" w:cs="Arial" w:eastAsia="Arial" w:hAnsi="Arial"/>
          <w:sz w:val="22"/>
          <w:szCs w:val="22"/>
          <w:color w:val="auto"/>
        </w:rPr>
      </w:pPr>
    </w:p>
    <w:p>
      <w:pPr>
        <w:jc w:val="both"/>
        <w:ind w:firstLine="1292"/>
        <w:spacing w:after="0" w:line="279" w:lineRule="auto"/>
        <w:tabs>
          <w:tab w:leader="none" w:pos="2175" w:val="left"/>
        </w:tabs>
        <w:numPr>
          <w:ilvl w:val="1"/>
          <w:numId w:val="238"/>
        </w:numPr>
        <w:rPr>
          <w:rFonts w:ascii="Arial" w:cs="Arial" w:eastAsia="Arial" w:hAnsi="Arial"/>
          <w:sz w:val="21"/>
          <w:szCs w:val="21"/>
          <w:color w:val="auto"/>
        </w:rPr>
      </w:pPr>
      <w:r>
        <w:rPr>
          <w:rFonts w:ascii="Arial" w:cs="Arial" w:eastAsia="Arial" w:hAnsi="Arial"/>
          <w:sz w:val="21"/>
          <w:szCs w:val="21"/>
          <w:color w:val="auto"/>
        </w:rPr>
        <w:t xml:space="preserve">any reference to any Person includes such Person’s successors and assigns, including any Person that becomes a successor to Parent as a result of a Redomestication, and reference to a Person in a particular capacity excludes such Person in any other capacity or individually,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clause (iv)</w:t>
      </w:r>
      <w:r>
        <w:rPr>
          <w:rFonts w:ascii="Arial" w:cs="Arial" w:eastAsia="Arial" w:hAnsi="Arial"/>
          <w:sz w:val="21"/>
          <w:szCs w:val="21"/>
          <w:color w:val="auto"/>
        </w:rPr>
        <w:t xml:space="preserve"> is intended to authorize any assignment not otherwise permitted by this Agreement;</w:t>
      </w:r>
    </w:p>
    <w:p>
      <w:pPr>
        <w:spacing w:after="0" w:line="132" w:lineRule="exact"/>
        <w:rPr>
          <w:rFonts w:ascii="Arial" w:cs="Arial" w:eastAsia="Arial" w:hAnsi="Arial"/>
          <w:sz w:val="21"/>
          <w:szCs w:val="21"/>
          <w:color w:val="auto"/>
        </w:rPr>
      </w:pPr>
    </w:p>
    <w:p>
      <w:pPr>
        <w:jc w:val="both"/>
        <w:ind w:firstLine="1292"/>
        <w:spacing w:after="0" w:line="317" w:lineRule="auto"/>
        <w:tabs>
          <w:tab w:leader="none" w:pos="2155" w:val="left"/>
        </w:tabs>
        <w:numPr>
          <w:ilvl w:val="1"/>
          <w:numId w:val="238"/>
        </w:numPr>
        <w:rPr>
          <w:rFonts w:ascii="Arial" w:cs="Arial" w:eastAsia="Arial" w:hAnsi="Arial"/>
          <w:sz w:val="19"/>
          <w:szCs w:val="19"/>
          <w:color w:val="auto"/>
        </w:rPr>
      </w:pPr>
      <w:r>
        <w:rPr>
          <w:rFonts w:ascii="Arial" w:cs="Arial" w:eastAsia="Arial" w:hAnsi="Arial"/>
          <w:sz w:val="19"/>
          <w:szCs w:val="19"/>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spacing w:after="0" w:line="101" w:lineRule="exact"/>
        <w:rPr>
          <w:rFonts w:ascii="Arial" w:cs="Arial" w:eastAsia="Arial" w:hAnsi="Arial"/>
          <w:sz w:val="19"/>
          <w:szCs w:val="19"/>
          <w:color w:val="auto"/>
        </w:rPr>
      </w:pPr>
    </w:p>
    <w:p>
      <w:pPr>
        <w:ind w:firstLine="1292"/>
        <w:spacing w:after="0" w:line="276" w:lineRule="auto"/>
        <w:tabs>
          <w:tab w:leader="none" w:pos="2242"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any reference to any Article, Section, page, Schedule or Exhibit means such Article, Section or page hereof or such Schedule or Exhibit hereto;</w:t>
      </w:r>
    </w:p>
    <w:p>
      <w:pPr>
        <w:spacing w:after="0" w:line="147" w:lineRule="exact"/>
        <w:rPr>
          <w:rFonts w:ascii="Arial" w:cs="Arial" w:eastAsia="Arial" w:hAnsi="Arial"/>
          <w:sz w:val="22"/>
          <w:szCs w:val="22"/>
          <w:color w:val="auto"/>
        </w:rPr>
      </w:pPr>
    </w:p>
    <w:p>
      <w:pPr>
        <w:ind w:firstLine="1292"/>
        <w:spacing w:after="0" w:line="276" w:lineRule="auto"/>
        <w:tabs>
          <w:tab w:leader="none" w:pos="2302"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words “including”, “include” and “includes” shall be deemed to be followed by the phrase “without limitation” and the term “or” is not exclusive;</w:t>
      </w:r>
    </w:p>
    <w:p>
      <w:pPr>
        <w:spacing w:after="0" w:line="133" w:lineRule="exact"/>
        <w:rPr>
          <w:rFonts w:ascii="Arial" w:cs="Arial" w:eastAsia="Arial" w:hAnsi="Arial"/>
          <w:sz w:val="22"/>
          <w:szCs w:val="22"/>
          <w:color w:val="auto"/>
        </w:rPr>
      </w:pPr>
    </w:p>
    <w:p>
      <w:pPr>
        <w:ind w:right="20" w:firstLine="1292"/>
        <w:spacing w:after="0" w:line="301" w:lineRule="auto"/>
        <w:tabs>
          <w:tab w:leader="none" w:pos="2443" w:val="left"/>
        </w:tabs>
        <w:numPr>
          <w:ilvl w:val="1"/>
          <w:numId w:val="238"/>
        </w:numPr>
        <w:rPr>
          <w:rFonts w:ascii="Arial" w:cs="Arial" w:eastAsia="Arial" w:hAnsi="Arial"/>
          <w:sz w:val="21"/>
          <w:szCs w:val="21"/>
          <w:color w:val="auto"/>
        </w:rPr>
      </w:pPr>
      <w:r>
        <w:rPr>
          <w:rFonts w:ascii="Arial" w:cs="Arial" w:eastAsia="Arial" w:hAnsi="Arial"/>
          <w:sz w:val="21"/>
          <w:szCs w:val="21"/>
          <w:color w:val="auto"/>
        </w:rPr>
        <w:t>with respect to the determination of any period of time, except as expressly provided to the contrary, the word “from” means “from and including” and the word “to” means “to but excluding”;</w:t>
      </w:r>
    </w:p>
    <w:p>
      <w:pPr>
        <w:spacing w:after="0" w:line="109" w:lineRule="exact"/>
        <w:rPr>
          <w:rFonts w:ascii="Arial" w:cs="Arial" w:eastAsia="Arial" w:hAnsi="Arial"/>
          <w:sz w:val="21"/>
          <w:szCs w:val="21"/>
          <w:color w:val="auto"/>
        </w:rPr>
      </w:pPr>
    </w:p>
    <w:p>
      <w:pPr>
        <w:ind w:left="2140" w:hanging="848"/>
        <w:spacing w:after="0"/>
        <w:tabs>
          <w:tab w:leader="none" w:pos="2140" w:val="left"/>
        </w:tabs>
        <w:numPr>
          <w:ilvl w:val="1"/>
          <w:numId w:val="238"/>
        </w:numPr>
        <w:rPr>
          <w:rFonts w:ascii="Arial" w:cs="Arial" w:eastAsia="Arial" w:hAnsi="Arial"/>
          <w:sz w:val="21"/>
          <w:szCs w:val="21"/>
          <w:color w:val="auto"/>
        </w:rPr>
      </w:pPr>
      <w:r>
        <w:rPr>
          <w:rFonts w:ascii="Arial" w:cs="Arial" w:eastAsia="Arial" w:hAnsi="Arial"/>
          <w:sz w:val="21"/>
          <w:szCs w:val="21"/>
          <w:color w:val="auto"/>
        </w:rPr>
        <w:t>the word “will” shall be construed to have the same meaning and effect as the word “shall”;</w:t>
      </w:r>
    </w:p>
    <w:p>
      <w:pPr>
        <w:spacing w:after="0" w:line="217" w:lineRule="exact"/>
        <w:rPr>
          <w:rFonts w:ascii="Arial" w:cs="Arial" w:eastAsia="Arial" w:hAnsi="Arial"/>
          <w:sz w:val="21"/>
          <w:szCs w:val="21"/>
          <w:color w:val="auto"/>
        </w:rPr>
      </w:pPr>
    </w:p>
    <w:p>
      <w:pPr>
        <w:ind w:firstLine="1292"/>
        <w:spacing w:after="0" w:line="276" w:lineRule="auto"/>
        <w:tabs>
          <w:tab w:leader="none" w:pos="2385"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any reference to any law, rule or regulation means such as amended, modified, codified or reenacted, in whole or in part, and in effect from time to time; and</w:t>
      </w:r>
    </w:p>
    <w:p>
      <w:pPr>
        <w:spacing w:after="0" w:line="133" w:lineRule="exact"/>
        <w:rPr>
          <w:rFonts w:ascii="Arial" w:cs="Arial" w:eastAsia="Arial" w:hAnsi="Arial"/>
          <w:sz w:val="22"/>
          <w:szCs w:val="22"/>
          <w:color w:val="auto"/>
        </w:rPr>
      </w:pPr>
    </w:p>
    <w:p>
      <w:pPr>
        <w:ind w:right="20" w:firstLine="1292"/>
        <w:spacing w:after="0" w:line="358" w:lineRule="auto"/>
        <w:tabs>
          <w:tab w:leader="none" w:pos="2202"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securities, accounts and contract rights.</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275" w:name="page276"/>
    <w:bookmarkEnd w:id="275"/>
    <w:p>
      <w:pPr>
        <w:ind w:firstLine="1304"/>
        <w:spacing w:after="0" w:line="276" w:lineRule="auto"/>
        <w:tabs>
          <w:tab w:leader="none" w:pos="2142" w:val="left"/>
        </w:tabs>
        <w:numPr>
          <w:ilvl w:val="1"/>
          <w:numId w:val="239"/>
        </w:numPr>
        <w:rPr>
          <w:rFonts w:ascii="Arial" w:cs="Arial" w:eastAsia="Arial" w:hAnsi="Arial"/>
          <w:sz w:val="22"/>
          <w:szCs w:val="22"/>
          <w:color w:val="auto"/>
        </w:rPr>
      </w:pPr>
      <w:r>
        <w:rPr>
          <w:rFonts w:ascii="Arial" w:cs="Arial" w:eastAsia="Arial" w:hAnsi="Arial"/>
          <w:sz w:val="22"/>
          <w:szCs w:val="22"/>
          <w:color w:val="auto"/>
        </w:rPr>
        <w:t>The Article and Section headings herein and in the Table of Contents are for convenience only and shall not affect the construction hereof.</w:t>
      </w:r>
    </w:p>
    <w:p>
      <w:pPr>
        <w:spacing w:after="0" w:line="133" w:lineRule="exact"/>
        <w:rPr>
          <w:rFonts w:ascii="Arial" w:cs="Arial" w:eastAsia="Arial" w:hAnsi="Arial"/>
          <w:sz w:val="22"/>
          <w:szCs w:val="22"/>
          <w:color w:val="auto"/>
        </w:rPr>
      </w:pPr>
    </w:p>
    <w:p>
      <w:pPr>
        <w:ind w:right="20" w:firstLine="1304"/>
        <w:spacing w:after="0" w:line="276" w:lineRule="auto"/>
        <w:tabs>
          <w:tab w:leader="none" w:pos="2157" w:val="left"/>
        </w:tabs>
        <w:numPr>
          <w:ilvl w:val="1"/>
          <w:numId w:val="239"/>
        </w:numPr>
        <w:rPr>
          <w:rFonts w:ascii="Arial" w:cs="Arial" w:eastAsia="Arial" w:hAnsi="Arial"/>
          <w:sz w:val="22"/>
          <w:szCs w:val="22"/>
          <w:color w:val="auto"/>
        </w:rPr>
      </w:pPr>
      <w:r>
        <w:rPr>
          <w:rFonts w:ascii="Arial" w:cs="Arial" w:eastAsia="Arial" w:hAnsi="Arial"/>
          <w:sz w:val="22"/>
          <w:szCs w:val="22"/>
          <w:color w:val="auto"/>
        </w:rPr>
        <w:t>No provision of this Agreement shall be interpreted or construed against any Person solely because that Person or its legal representative drafted such provision.</w:t>
      </w:r>
    </w:p>
    <w:p>
      <w:pPr>
        <w:spacing w:after="0" w:line="147" w:lineRule="exact"/>
        <w:rPr>
          <w:rFonts w:ascii="Arial" w:cs="Arial" w:eastAsia="Arial" w:hAnsi="Arial"/>
          <w:sz w:val="22"/>
          <w:szCs w:val="22"/>
          <w:color w:val="auto"/>
        </w:rPr>
      </w:pPr>
    </w:p>
    <w:p>
      <w:pPr>
        <w:ind w:left="2340" w:hanging="1036"/>
        <w:spacing w:after="0"/>
        <w:tabs>
          <w:tab w:leader="none" w:pos="234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Unless otherwise specified herein, (i) all dollar amounts expressed herein shall refer to Dollars and</w:t>
      </w:r>
    </w:p>
    <w:p>
      <w:pPr>
        <w:spacing w:after="0" w:line="55" w:lineRule="exact"/>
        <w:rPr>
          <w:rFonts w:ascii="Arial" w:cs="Arial" w:eastAsia="Arial" w:hAnsi="Arial"/>
          <w:sz w:val="19"/>
          <w:szCs w:val="19"/>
          <w:color w:val="auto"/>
        </w:rPr>
      </w:pPr>
    </w:p>
    <w:p>
      <w:pPr>
        <w:jc w:val="both"/>
        <w:ind w:firstLine="8"/>
        <w:spacing w:after="0" w:line="353" w:lineRule="auto"/>
        <w:tabs>
          <w:tab w:leader="none" w:pos="355" w:val="left"/>
        </w:tabs>
        <w:numPr>
          <w:ilvl w:val="0"/>
          <w:numId w:val="240"/>
        </w:numPr>
        <w:rPr>
          <w:rFonts w:ascii="Arial" w:cs="Arial" w:eastAsia="Arial" w:hAnsi="Arial"/>
          <w:sz w:val="19"/>
          <w:szCs w:val="19"/>
          <w:color w:val="auto"/>
        </w:rPr>
      </w:pPr>
      <w:r>
        <w:rPr>
          <w:rFonts w:ascii="Arial" w:cs="Arial" w:eastAsia="Arial" w:hAnsi="Arial"/>
          <w:sz w:val="19"/>
          <w:szCs w:val="19"/>
          <w:color w:val="auto"/>
        </w:rPr>
        <w:t>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LLC 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5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Luxembourg Terms</w:t>
      </w:r>
      <w:r>
        <w:rPr>
          <w:rFonts w:ascii="Arial" w:cs="Arial" w:eastAsia="Arial" w:hAnsi="Arial"/>
          <w:sz w:val="22"/>
          <w:szCs w:val="22"/>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64" w:lineRule="exact"/>
        <w:rPr>
          <w:sz w:val="20"/>
          <w:szCs w:val="20"/>
          <w:color w:val="auto"/>
        </w:rPr>
      </w:pPr>
    </w:p>
    <w:p>
      <w:pPr>
        <w:ind w:firstLine="1304"/>
        <w:spacing w:after="0" w:line="276" w:lineRule="auto"/>
        <w:tabs>
          <w:tab w:leader="none" w:pos="2319"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i w:val="1"/>
          <w:iCs w:val="1"/>
          <w:color w:val="auto"/>
        </w:rPr>
        <w:t>liquidator</w:t>
      </w:r>
      <w:r>
        <w:rPr>
          <w:rFonts w:ascii="Arial" w:cs="Arial" w:eastAsia="Arial" w:hAnsi="Arial"/>
          <w:sz w:val="22"/>
          <w:szCs w:val="22"/>
          <w:color w:val="auto"/>
        </w:rPr>
        <w:t>”, “</w:t>
      </w:r>
      <w:r>
        <w:rPr>
          <w:rFonts w:ascii="Arial" w:cs="Arial" w:eastAsia="Arial" w:hAnsi="Arial"/>
          <w:sz w:val="22"/>
          <w:szCs w:val="22"/>
          <w:i w:val="1"/>
          <w:iCs w:val="1"/>
          <w:color w:val="auto"/>
        </w:rPr>
        <w:t>trustee</w:t>
      </w:r>
      <w:r>
        <w:rPr>
          <w:rFonts w:ascii="Arial" w:cs="Arial" w:eastAsia="Arial" w:hAnsi="Arial"/>
          <w:sz w:val="22"/>
          <w:szCs w:val="22"/>
          <w:color w:val="auto"/>
        </w:rPr>
        <w:t>”, “</w:t>
      </w:r>
      <w:r>
        <w:rPr>
          <w:rFonts w:ascii="Arial" w:cs="Arial" w:eastAsia="Arial" w:hAnsi="Arial"/>
          <w:sz w:val="22"/>
          <w:szCs w:val="22"/>
          <w:i w:val="1"/>
          <w:iCs w:val="1"/>
          <w:color w:val="auto"/>
        </w:rPr>
        <w:t>custodian</w:t>
      </w:r>
      <w:r>
        <w:rPr>
          <w:rFonts w:ascii="Arial" w:cs="Arial" w:eastAsia="Arial" w:hAnsi="Arial"/>
          <w:sz w:val="22"/>
          <w:szCs w:val="22"/>
          <w:color w:val="auto"/>
        </w:rPr>
        <w:t>”, “</w:t>
      </w:r>
      <w:r>
        <w:rPr>
          <w:rFonts w:ascii="Arial" w:cs="Arial" w:eastAsia="Arial" w:hAnsi="Arial"/>
          <w:sz w:val="22"/>
          <w:szCs w:val="22"/>
          <w:i w:val="1"/>
          <w:iCs w:val="1"/>
          <w:color w:val="auto"/>
        </w:rPr>
        <w:t>compulsory manager</w:t>
      </w:r>
      <w:r>
        <w:rPr>
          <w:rFonts w:ascii="Arial" w:cs="Arial" w:eastAsia="Arial" w:hAnsi="Arial"/>
          <w:sz w:val="22"/>
          <w:szCs w:val="22"/>
          <w:color w:val="auto"/>
        </w:rPr>
        <w:t>”, “</w:t>
      </w:r>
      <w:r>
        <w:rPr>
          <w:rFonts w:ascii="Arial" w:cs="Arial" w:eastAsia="Arial" w:hAnsi="Arial"/>
          <w:sz w:val="22"/>
          <w:szCs w:val="22"/>
          <w:i w:val="1"/>
          <w:iCs w:val="1"/>
          <w:color w:val="auto"/>
        </w:rPr>
        <w:t>receiver</w:t>
      </w:r>
      <w:r>
        <w:rPr>
          <w:rFonts w:ascii="Arial" w:cs="Arial" w:eastAsia="Arial" w:hAnsi="Arial"/>
          <w:sz w:val="22"/>
          <w:szCs w:val="22"/>
          <w:color w:val="auto"/>
        </w:rPr>
        <w:t>”, “</w:t>
      </w:r>
      <w:r>
        <w:rPr>
          <w:rFonts w:ascii="Arial" w:cs="Arial" w:eastAsia="Arial" w:hAnsi="Arial"/>
          <w:sz w:val="22"/>
          <w:szCs w:val="22"/>
          <w:i w:val="1"/>
          <w:iCs w:val="1"/>
          <w:color w:val="auto"/>
        </w:rPr>
        <w:t>administrative receiver</w:t>
      </w:r>
      <w:r>
        <w:rPr>
          <w:rFonts w:ascii="Arial" w:cs="Arial" w:eastAsia="Arial" w:hAnsi="Arial"/>
          <w:sz w:val="22"/>
          <w:szCs w:val="22"/>
          <w:color w:val="auto"/>
        </w:rPr>
        <w:t>”, “</w:t>
      </w:r>
      <w:r>
        <w:rPr>
          <w:rFonts w:ascii="Arial" w:cs="Arial" w:eastAsia="Arial" w:hAnsi="Arial"/>
          <w:sz w:val="22"/>
          <w:szCs w:val="22"/>
          <w:i w:val="1"/>
          <w:iCs w:val="1"/>
          <w:color w:val="auto"/>
        </w:rPr>
        <w:t>administrator</w:t>
      </w:r>
      <w:r>
        <w:rPr>
          <w:rFonts w:ascii="Arial" w:cs="Arial" w:eastAsia="Arial" w:hAnsi="Arial"/>
          <w:sz w:val="22"/>
          <w:szCs w:val="22"/>
          <w:color w:val="auto"/>
        </w:rPr>
        <w:t>” or “</w:t>
      </w:r>
      <w:r>
        <w:rPr>
          <w:rFonts w:ascii="Arial" w:cs="Arial" w:eastAsia="Arial" w:hAnsi="Arial"/>
          <w:sz w:val="22"/>
          <w:szCs w:val="22"/>
          <w:i w:val="1"/>
          <w:iCs w:val="1"/>
          <w:color w:val="auto"/>
        </w:rPr>
        <w:t>similar officer</w:t>
      </w:r>
      <w:r>
        <w:rPr>
          <w:rFonts w:ascii="Arial" w:cs="Arial" w:eastAsia="Arial" w:hAnsi="Arial"/>
          <w:sz w:val="22"/>
          <w:szCs w:val="22"/>
          <w:color w:val="auto"/>
        </w:rPr>
        <w:t>” includes any:</w:t>
      </w:r>
    </w:p>
    <w:p>
      <w:pPr>
        <w:spacing w:after="0" w:line="133" w:lineRule="exact"/>
        <w:rPr>
          <w:rFonts w:ascii="Arial" w:cs="Arial" w:eastAsia="Arial" w:hAnsi="Arial"/>
          <w:sz w:val="22"/>
          <w:szCs w:val="22"/>
          <w:color w:val="auto"/>
        </w:rPr>
      </w:pPr>
    </w:p>
    <w:p>
      <w:pPr>
        <w:ind w:left="2700" w:hanging="748"/>
        <w:spacing w:after="0"/>
        <w:tabs>
          <w:tab w:leader="none" w:pos="2700" w:val="left"/>
        </w:tabs>
        <w:numPr>
          <w:ilvl w:val="1"/>
          <w:numId w:val="241"/>
        </w:numPr>
        <w:rPr>
          <w:rFonts w:ascii="Arial" w:cs="Arial" w:eastAsia="Arial" w:hAnsi="Arial"/>
          <w:sz w:val="19"/>
          <w:szCs w:val="19"/>
          <w:color w:val="auto"/>
        </w:rPr>
      </w:pPr>
      <w:r>
        <w:rPr>
          <w:rFonts w:ascii="Arial" w:cs="Arial" w:eastAsia="Arial" w:hAnsi="Arial"/>
          <w:sz w:val="19"/>
          <w:szCs w:val="19"/>
          <w:i w:val="1"/>
          <w:iCs w:val="1"/>
          <w:color w:val="auto"/>
        </w:rPr>
        <w:t xml:space="preserve">juge-commissaire </w:t>
      </w:r>
      <w:r>
        <w:rPr>
          <w:rFonts w:ascii="Arial" w:cs="Arial" w:eastAsia="Arial" w:hAnsi="Arial"/>
          <w:sz w:val="19"/>
          <w:szCs w:val="19"/>
          <w:color w:val="auto"/>
        </w:rPr>
        <w:t>or insolvency receiver (</w:t>
      </w:r>
      <w:r>
        <w:rPr>
          <w:rFonts w:ascii="Arial" w:cs="Arial" w:eastAsia="Arial" w:hAnsi="Arial"/>
          <w:sz w:val="19"/>
          <w:szCs w:val="19"/>
          <w:i w:val="1"/>
          <w:iCs w:val="1"/>
          <w:color w:val="auto"/>
        </w:rPr>
        <w:t>curateur</w:t>
      </w:r>
      <w:r>
        <w:rPr>
          <w:rFonts w:ascii="Arial" w:cs="Arial" w:eastAsia="Arial" w:hAnsi="Arial"/>
          <w:sz w:val="19"/>
          <w:szCs w:val="19"/>
          <w:color w:val="auto"/>
        </w:rPr>
        <w:t>) appointed under the Luxembourg Commercial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188" w:lineRule="exact"/>
        <w:rPr>
          <w:rFonts w:ascii="Arial" w:cs="Arial" w:eastAsia="Arial" w:hAnsi="Arial"/>
          <w:sz w:val="19"/>
          <w:szCs w:val="19"/>
          <w:color w:val="auto"/>
        </w:rPr>
      </w:pPr>
    </w:p>
    <w:p>
      <w:pPr>
        <w:ind w:left="660" w:firstLine="1292"/>
        <w:spacing w:after="0" w:line="276" w:lineRule="auto"/>
        <w:tabs>
          <w:tab w:leader="none" w:pos="2827" w:val="left"/>
        </w:tabs>
        <w:numPr>
          <w:ilvl w:val="1"/>
          <w:numId w:val="241"/>
        </w:numPr>
        <w:rPr>
          <w:rFonts w:ascii="Arial" w:cs="Arial" w:eastAsia="Arial" w:hAnsi="Arial"/>
          <w:sz w:val="22"/>
          <w:szCs w:val="22"/>
          <w:color w:val="auto"/>
        </w:rPr>
      </w:pPr>
      <w:r>
        <w:rPr>
          <w:rFonts w:ascii="Arial" w:cs="Arial" w:eastAsia="Arial" w:hAnsi="Arial"/>
          <w:sz w:val="22"/>
          <w:szCs w:val="22"/>
          <w:i w:val="1"/>
          <w:iCs w:val="1"/>
          <w:color w:val="auto"/>
        </w:rPr>
        <w:t xml:space="preserve">liquidateur </w:t>
      </w:r>
      <w:r>
        <w:rPr>
          <w:rFonts w:ascii="Arial" w:cs="Arial" w:eastAsia="Arial" w:hAnsi="Arial"/>
          <w:sz w:val="22"/>
          <w:szCs w:val="22"/>
          <w:color w:val="auto"/>
        </w:rPr>
        <w:t>appointed under Articles 1100-1 to 1100-15 (inclusive) of the Luxembourg act dated</w:t>
      </w:r>
      <w:r>
        <w:rPr>
          <w:rFonts w:ascii="Arial" w:cs="Arial" w:eastAsia="Arial" w:hAnsi="Arial"/>
          <w:sz w:val="22"/>
          <w:szCs w:val="22"/>
          <w:i w:val="1"/>
          <w:iCs w:val="1"/>
          <w:color w:val="auto"/>
        </w:rPr>
        <w:t xml:space="preserve"> </w:t>
      </w:r>
      <w:r>
        <w:rPr>
          <w:rFonts w:ascii="Arial" w:cs="Arial" w:eastAsia="Arial" w:hAnsi="Arial"/>
          <w:sz w:val="22"/>
          <w:szCs w:val="22"/>
          <w:color w:val="auto"/>
        </w:rPr>
        <w:t>10 August 1915 on commercial companies, as amended;</w:t>
      </w:r>
    </w:p>
    <w:p>
      <w:pPr>
        <w:spacing w:after="0" w:line="147" w:lineRule="exact"/>
        <w:rPr>
          <w:rFonts w:ascii="Arial" w:cs="Arial" w:eastAsia="Arial" w:hAnsi="Arial"/>
          <w:sz w:val="22"/>
          <w:szCs w:val="22"/>
          <w:color w:val="auto"/>
        </w:rPr>
      </w:pPr>
    </w:p>
    <w:p>
      <w:pPr>
        <w:ind w:left="660" w:firstLine="1292"/>
        <w:spacing w:after="0" w:line="276" w:lineRule="auto"/>
        <w:tabs>
          <w:tab w:leader="none" w:pos="2847" w:val="left"/>
        </w:tabs>
        <w:numPr>
          <w:ilvl w:val="1"/>
          <w:numId w:val="241"/>
        </w:numPr>
        <w:rPr>
          <w:rFonts w:ascii="Arial" w:cs="Arial" w:eastAsia="Arial" w:hAnsi="Arial"/>
          <w:sz w:val="22"/>
          <w:szCs w:val="22"/>
          <w:color w:val="auto"/>
        </w:rPr>
      </w:pPr>
      <w:r>
        <w:rPr>
          <w:rFonts w:ascii="Arial" w:cs="Arial" w:eastAsia="Arial" w:hAnsi="Arial"/>
          <w:sz w:val="22"/>
          <w:szCs w:val="22"/>
          <w:i w:val="1"/>
          <w:iCs w:val="1"/>
          <w:color w:val="auto"/>
        </w:rPr>
        <w:t xml:space="preserve">juge-commissaire </w:t>
      </w:r>
      <w:r>
        <w:rPr>
          <w:rFonts w:ascii="Arial" w:cs="Arial" w:eastAsia="Arial" w:hAnsi="Arial"/>
          <w:sz w:val="22"/>
          <w:szCs w:val="22"/>
          <w:color w:val="auto"/>
        </w:rPr>
        <w:t>or</w:t>
      </w:r>
      <w:r>
        <w:rPr>
          <w:rFonts w:ascii="Arial" w:cs="Arial" w:eastAsia="Arial" w:hAnsi="Arial"/>
          <w:sz w:val="22"/>
          <w:szCs w:val="22"/>
          <w:i w:val="1"/>
          <w:iCs w:val="1"/>
          <w:color w:val="auto"/>
        </w:rPr>
        <w:t xml:space="preserve"> liquidateur </w:t>
      </w:r>
      <w:r>
        <w:rPr>
          <w:rFonts w:ascii="Arial" w:cs="Arial" w:eastAsia="Arial" w:hAnsi="Arial"/>
          <w:sz w:val="22"/>
          <w:szCs w:val="22"/>
          <w:color w:val="auto"/>
        </w:rPr>
        <w:t>appointed under Article 1200-1 of the Luxembourg act dated 10</w:t>
      </w:r>
      <w:r>
        <w:rPr>
          <w:rFonts w:ascii="Arial" w:cs="Arial" w:eastAsia="Arial" w:hAnsi="Arial"/>
          <w:sz w:val="22"/>
          <w:szCs w:val="22"/>
          <w:i w:val="1"/>
          <w:iCs w:val="1"/>
          <w:color w:val="auto"/>
        </w:rPr>
        <w:t xml:space="preserve"> </w:t>
      </w:r>
      <w:r>
        <w:rPr>
          <w:rFonts w:ascii="Arial" w:cs="Arial" w:eastAsia="Arial" w:hAnsi="Arial"/>
          <w:sz w:val="22"/>
          <w:szCs w:val="22"/>
          <w:color w:val="auto"/>
        </w:rPr>
        <w:t>August 1915 on commercial companies, as amended;</w:t>
      </w:r>
    </w:p>
    <w:p>
      <w:pPr>
        <w:spacing w:after="0" w:line="133" w:lineRule="exact"/>
        <w:rPr>
          <w:rFonts w:ascii="Arial" w:cs="Arial" w:eastAsia="Arial" w:hAnsi="Arial"/>
          <w:sz w:val="22"/>
          <w:szCs w:val="22"/>
          <w:color w:val="auto"/>
        </w:rPr>
      </w:pPr>
    </w:p>
    <w:p>
      <w:pPr>
        <w:ind w:left="660" w:firstLine="1292"/>
        <w:spacing w:after="0" w:line="301" w:lineRule="auto"/>
        <w:tabs>
          <w:tab w:leader="none" w:pos="3172" w:val="left"/>
        </w:tabs>
        <w:numPr>
          <w:ilvl w:val="1"/>
          <w:numId w:val="241"/>
        </w:numPr>
        <w:rPr>
          <w:rFonts w:ascii="Arial" w:cs="Arial" w:eastAsia="Arial" w:hAnsi="Arial"/>
          <w:sz w:val="21"/>
          <w:szCs w:val="21"/>
          <w:color w:val="auto"/>
        </w:rPr>
      </w:pPr>
      <w:r>
        <w:rPr>
          <w:rFonts w:ascii="Arial" w:cs="Arial" w:eastAsia="Arial" w:hAnsi="Arial"/>
          <w:sz w:val="21"/>
          <w:szCs w:val="21"/>
          <w:i w:val="1"/>
          <w:iCs w:val="1"/>
          <w:color w:val="auto"/>
        </w:rPr>
        <w:t xml:space="preserve">commissaire </w:t>
      </w:r>
      <w:r>
        <w:rPr>
          <w:rFonts w:ascii="Arial" w:cs="Arial" w:eastAsia="Arial" w:hAnsi="Arial"/>
          <w:sz w:val="21"/>
          <w:szCs w:val="21"/>
          <w:color w:val="auto"/>
        </w:rPr>
        <w:t>appointed under the Grand-Ducal decree of 24 May 1935 on the controlled</w:t>
      </w:r>
      <w:r>
        <w:rPr>
          <w:rFonts w:ascii="Arial" w:cs="Arial" w:eastAsia="Arial" w:hAnsi="Arial"/>
          <w:sz w:val="21"/>
          <w:szCs w:val="21"/>
          <w:i w:val="1"/>
          <w:iCs w:val="1"/>
          <w:color w:val="auto"/>
        </w:rPr>
        <w:t xml:space="preserve"> </w:t>
      </w:r>
      <w:r>
        <w:rPr>
          <w:rFonts w:ascii="Arial" w:cs="Arial" w:eastAsia="Arial" w:hAnsi="Arial"/>
          <w:sz w:val="21"/>
          <w:szCs w:val="21"/>
          <w:color w:val="auto"/>
        </w:rPr>
        <w:t>management regime or under Articles 593 to 614 (inclusive) of the Luxembourg Commercial Code; and</w:t>
      </w:r>
    </w:p>
    <w:p>
      <w:pPr>
        <w:spacing w:after="0" w:line="109" w:lineRule="exact"/>
        <w:rPr>
          <w:rFonts w:ascii="Arial" w:cs="Arial" w:eastAsia="Arial" w:hAnsi="Arial"/>
          <w:sz w:val="21"/>
          <w:szCs w:val="21"/>
          <w:color w:val="auto"/>
        </w:rPr>
      </w:pPr>
    </w:p>
    <w:p>
      <w:pPr>
        <w:ind w:left="660" w:firstLine="1292"/>
        <w:spacing w:after="0" w:line="276" w:lineRule="auto"/>
        <w:tabs>
          <w:tab w:leader="none" w:pos="2815" w:val="left"/>
        </w:tabs>
        <w:numPr>
          <w:ilvl w:val="1"/>
          <w:numId w:val="241"/>
        </w:numPr>
        <w:rPr>
          <w:rFonts w:ascii="Arial" w:cs="Arial" w:eastAsia="Arial" w:hAnsi="Arial"/>
          <w:sz w:val="22"/>
          <w:szCs w:val="22"/>
          <w:color w:val="auto"/>
        </w:rPr>
      </w:pPr>
      <w:r>
        <w:rPr>
          <w:rFonts w:ascii="Arial" w:cs="Arial" w:eastAsia="Arial" w:hAnsi="Arial"/>
          <w:sz w:val="22"/>
          <w:szCs w:val="22"/>
          <w:i w:val="1"/>
          <w:iCs w:val="1"/>
          <w:color w:val="auto"/>
        </w:rPr>
        <w:t xml:space="preserve">juge délégué </w:t>
      </w:r>
      <w:r>
        <w:rPr>
          <w:rFonts w:ascii="Arial" w:cs="Arial" w:eastAsia="Arial" w:hAnsi="Arial"/>
          <w:sz w:val="22"/>
          <w:szCs w:val="22"/>
          <w:color w:val="auto"/>
        </w:rPr>
        <w:t>appointed under the Luxembourg act of 14 April 1886 on the composition to avoid</w:t>
      </w:r>
      <w:r>
        <w:rPr>
          <w:rFonts w:ascii="Arial" w:cs="Arial" w:eastAsia="Arial" w:hAnsi="Arial"/>
          <w:sz w:val="22"/>
          <w:szCs w:val="22"/>
          <w:i w:val="1"/>
          <w:iCs w:val="1"/>
          <w:color w:val="auto"/>
        </w:rPr>
        <w:t xml:space="preserve"> </w:t>
      </w:r>
      <w:r>
        <w:rPr>
          <w:rFonts w:ascii="Arial" w:cs="Arial" w:eastAsia="Arial" w:hAnsi="Arial"/>
          <w:sz w:val="22"/>
          <w:szCs w:val="22"/>
          <w:color w:val="auto"/>
        </w:rPr>
        <w:t>bankruptcy, as amended; and</w:t>
      </w:r>
    </w:p>
    <w:p>
      <w:pPr>
        <w:spacing w:after="0" w:line="147" w:lineRule="exact"/>
        <w:rPr>
          <w:rFonts w:ascii="Arial" w:cs="Arial" w:eastAsia="Arial" w:hAnsi="Arial"/>
          <w:sz w:val="22"/>
          <w:szCs w:val="22"/>
          <w:color w:val="auto"/>
        </w:rPr>
      </w:pPr>
    </w:p>
    <w:p>
      <w:pPr>
        <w:jc w:val="both"/>
        <w:ind w:firstLine="1304"/>
        <w:spacing w:after="0" w:line="266" w:lineRule="auto"/>
        <w:tabs>
          <w:tab w:leader="none" w:pos="211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i w:val="1"/>
          <w:iCs w:val="1"/>
          <w:color w:val="auto"/>
        </w:rPr>
        <w:t>winding-up</w:t>
      </w:r>
      <w:r>
        <w:rPr>
          <w:rFonts w:ascii="Arial" w:cs="Arial" w:eastAsia="Arial" w:hAnsi="Arial"/>
          <w:sz w:val="22"/>
          <w:szCs w:val="22"/>
          <w:color w:val="auto"/>
        </w:rPr>
        <w:t>”, “</w:t>
      </w:r>
      <w:r>
        <w:rPr>
          <w:rFonts w:ascii="Arial" w:cs="Arial" w:eastAsia="Arial" w:hAnsi="Arial"/>
          <w:sz w:val="22"/>
          <w:szCs w:val="22"/>
          <w:i w:val="1"/>
          <w:iCs w:val="1"/>
          <w:color w:val="auto"/>
        </w:rPr>
        <w:t>administration</w:t>
      </w:r>
      <w:r>
        <w:rPr>
          <w:rFonts w:ascii="Arial" w:cs="Arial" w:eastAsia="Arial" w:hAnsi="Arial"/>
          <w:sz w:val="22"/>
          <w:szCs w:val="22"/>
          <w:color w:val="auto"/>
        </w:rPr>
        <w:t>”, “</w:t>
      </w:r>
      <w:r>
        <w:rPr>
          <w:rFonts w:ascii="Arial" w:cs="Arial" w:eastAsia="Arial" w:hAnsi="Arial"/>
          <w:sz w:val="22"/>
          <w:szCs w:val="22"/>
          <w:i w:val="1"/>
          <w:iCs w:val="1"/>
          <w:color w:val="auto"/>
        </w:rPr>
        <w:t>liquidation</w:t>
      </w:r>
      <w:r>
        <w:rPr>
          <w:rFonts w:ascii="Arial" w:cs="Arial" w:eastAsia="Arial" w:hAnsi="Arial"/>
          <w:sz w:val="22"/>
          <w:szCs w:val="22"/>
          <w:color w:val="auto"/>
        </w:rPr>
        <w:t>” or “</w:t>
      </w:r>
      <w:r>
        <w:rPr>
          <w:rFonts w:ascii="Arial" w:cs="Arial" w:eastAsia="Arial" w:hAnsi="Arial"/>
          <w:sz w:val="22"/>
          <w:szCs w:val="22"/>
          <w:i w:val="1"/>
          <w:iCs w:val="1"/>
          <w:color w:val="auto"/>
        </w:rPr>
        <w:t>dissolution</w:t>
      </w:r>
      <w:r>
        <w:rPr>
          <w:rFonts w:ascii="Arial" w:cs="Arial" w:eastAsia="Arial" w:hAnsi="Arial"/>
          <w:sz w:val="22"/>
          <w:szCs w:val="22"/>
          <w:color w:val="auto"/>
        </w:rPr>
        <w:t>” includes, without limitation, bankruptcy (</w:t>
      </w:r>
      <w:r>
        <w:rPr>
          <w:rFonts w:ascii="Arial" w:cs="Arial" w:eastAsia="Arial" w:hAnsi="Arial"/>
          <w:sz w:val="22"/>
          <w:szCs w:val="22"/>
          <w:i w:val="1"/>
          <w:iCs w:val="1"/>
          <w:color w:val="auto"/>
        </w:rPr>
        <w:t>faillite</w:t>
      </w:r>
      <w:r>
        <w:rPr>
          <w:rFonts w:ascii="Arial" w:cs="Arial" w:eastAsia="Arial" w:hAnsi="Arial"/>
          <w:sz w:val="22"/>
          <w:szCs w:val="22"/>
          <w:color w:val="auto"/>
        </w:rPr>
        <w:t>), liquidation, composition with creditors (</w:t>
      </w:r>
      <w:r>
        <w:rPr>
          <w:rFonts w:ascii="Arial" w:cs="Arial" w:eastAsia="Arial" w:hAnsi="Arial"/>
          <w:sz w:val="22"/>
          <w:szCs w:val="22"/>
          <w:i w:val="1"/>
          <w:iCs w:val="1"/>
          <w:color w:val="auto"/>
        </w:rPr>
        <w:t>concordat préventif de faillite</w:t>
      </w:r>
      <w:r>
        <w:rPr>
          <w:rFonts w:ascii="Arial" w:cs="Arial" w:eastAsia="Arial" w:hAnsi="Arial"/>
          <w:sz w:val="22"/>
          <w:szCs w:val="22"/>
          <w:color w:val="auto"/>
        </w:rPr>
        <w:t>), moratorium or reprieve from payment (</w:t>
      </w:r>
      <w:r>
        <w:rPr>
          <w:rFonts w:ascii="Arial" w:cs="Arial" w:eastAsia="Arial" w:hAnsi="Arial"/>
          <w:sz w:val="22"/>
          <w:szCs w:val="22"/>
          <w:i w:val="1"/>
          <w:iCs w:val="1"/>
          <w:color w:val="auto"/>
        </w:rPr>
        <w:t>sursis de</w:t>
      </w:r>
      <w:r>
        <w:rPr>
          <w:rFonts w:ascii="Arial" w:cs="Arial" w:eastAsia="Arial" w:hAnsi="Arial"/>
          <w:sz w:val="22"/>
          <w:szCs w:val="22"/>
          <w:color w:val="auto"/>
        </w:rPr>
        <w:t xml:space="preserve"> </w:t>
      </w:r>
      <w:r>
        <w:rPr>
          <w:rFonts w:ascii="Arial" w:cs="Arial" w:eastAsia="Arial" w:hAnsi="Arial"/>
          <w:sz w:val="22"/>
          <w:szCs w:val="22"/>
          <w:i w:val="1"/>
          <w:iCs w:val="1"/>
          <w:color w:val="auto"/>
        </w:rPr>
        <w:t>paiement</w:t>
      </w:r>
      <w:r>
        <w:rPr>
          <w:rFonts w:ascii="Arial" w:cs="Arial" w:eastAsia="Arial" w:hAnsi="Arial"/>
          <w:sz w:val="22"/>
          <w:szCs w:val="22"/>
          <w:color w:val="auto"/>
        </w:rPr>
        <w:t>) and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6" w:name="page277"/>
    <w:bookmarkEnd w:id="276"/>
    <w:p>
      <w:pPr>
        <w:jc w:val="both"/>
        <w:ind w:firstLine="648"/>
        <w:spacing w:after="0" w:line="327"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Dutch Terms</w:t>
      </w:r>
      <w:r>
        <w:rPr>
          <w:rFonts w:ascii="Arial" w:cs="Arial" w:eastAsia="Arial" w:hAnsi="Arial"/>
          <w:sz w:val="19"/>
          <w:szCs w:val="19"/>
          <w:color w:val="auto"/>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spacing w:after="0" w:line="92" w:lineRule="exact"/>
        <w:rPr>
          <w:sz w:val="20"/>
          <w:szCs w:val="20"/>
          <w:color w:val="auto"/>
        </w:rPr>
      </w:pPr>
    </w:p>
    <w:p>
      <w:pPr>
        <w:ind w:left="2120" w:hanging="816"/>
        <w:spacing w:after="0"/>
        <w:tabs>
          <w:tab w:leader="none" w:pos="212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Netherlands” means the European part of the Kingdom of the Netherlands and “Dutch” means in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Netherlands;</w:t>
      </w:r>
    </w:p>
    <w:p>
      <w:pPr>
        <w:spacing w:after="0" w:line="201" w:lineRule="exact"/>
        <w:rPr>
          <w:rFonts w:ascii="Arial" w:cs="Arial" w:eastAsia="Arial" w:hAnsi="Arial"/>
          <w:sz w:val="19"/>
          <w:szCs w:val="19"/>
          <w:color w:val="auto"/>
        </w:rPr>
      </w:pPr>
    </w:p>
    <w:p>
      <w:pPr>
        <w:jc w:val="both"/>
        <w:ind w:firstLine="1304"/>
        <w:spacing w:after="0" w:line="327" w:lineRule="auto"/>
        <w:tabs>
          <w:tab w:leader="none" w:pos="2236"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 “security interest”, “security” or “lien” includes any mortgage (</w:t>
      </w:r>
      <w:r>
        <w:rPr>
          <w:rFonts w:ascii="Arial" w:cs="Arial" w:eastAsia="Arial" w:hAnsi="Arial"/>
          <w:sz w:val="19"/>
          <w:szCs w:val="19"/>
          <w:i w:val="1"/>
          <w:iCs w:val="1"/>
          <w:color w:val="auto"/>
        </w:rPr>
        <w:t>hypotheekrecht</w:t>
      </w:r>
      <w:r>
        <w:rPr>
          <w:rFonts w:ascii="Arial" w:cs="Arial" w:eastAsia="Arial" w:hAnsi="Arial"/>
          <w:sz w:val="19"/>
          <w:szCs w:val="19"/>
          <w:color w:val="auto"/>
        </w:rPr>
        <w:t>), pledge (</w:t>
      </w:r>
      <w:r>
        <w:rPr>
          <w:rFonts w:ascii="Arial" w:cs="Arial" w:eastAsia="Arial" w:hAnsi="Arial"/>
          <w:sz w:val="19"/>
          <w:szCs w:val="19"/>
          <w:i w:val="1"/>
          <w:iCs w:val="1"/>
          <w:color w:val="auto"/>
        </w:rPr>
        <w:t>pandrecht</w:t>
      </w:r>
      <w:r>
        <w:rPr>
          <w:rFonts w:ascii="Arial" w:cs="Arial" w:eastAsia="Arial" w:hAnsi="Arial"/>
          <w:sz w:val="19"/>
          <w:szCs w:val="19"/>
          <w:color w:val="auto"/>
        </w:rPr>
        <w:t>), retention of title arrangement (</w:t>
      </w:r>
      <w:r>
        <w:rPr>
          <w:rFonts w:ascii="Arial" w:cs="Arial" w:eastAsia="Arial" w:hAnsi="Arial"/>
          <w:sz w:val="19"/>
          <w:szCs w:val="19"/>
          <w:i w:val="1"/>
          <w:iCs w:val="1"/>
          <w:color w:val="auto"/>
        </w:rPr>
        <w:t>eigendomsvoorbehoud</w:t>
      </w:r>
      <w:r>
        <w:rPr>
          <w:rFonts w:ascii="Arial" w:cs="Arial" w:eastAsia="Arial" w:hAnsi="Arial"/>
          <w:sz w:val="19"/>
          <w:szCs w:val="19"/>
          <w:color w:val="auto"/>
        </w:rPr>
        <w:t>), right of retention (</w:t>
      </w:r>
      <w:r>
        <w:rPr>
          <w:rFonts w:ascii="Arial" w:cs="Arial" w:eastAsia="Arial" w:hAnsi="Arial"/>
          <w:sz w:val="19"/>
          <w:szCs w:val="19"/>
          <w:i w:val="1"/>
          <w:iCs w:val="1"/>
          <w:color w:val="auto"/>
        </w:rPr>
        <w:t>recht van rententie</w:t>
      </w:r>
      <w:r>
        <w:rPr>
          <w:rFonts w:ascii="Arial" w:cs="Arial" w:eastAsia="Arial" w:hAnsi="Arial"/>
          <w:sz w:val="19"/>
          <w:szCs w:val="19"/>
          <w:color w:val="auto"/>
        </w:rPr>
        <w:t>), right to reclaim goods (</w:t>
      </w:r>
      <w:r>
        <w:rPr>
          <w:rFonts w:ascii="Arial" w:cs="Arial" w:eastAsia="Arial" w:hAnsi="Arial"/>
          <w:sz w:val="19"/>
          <w:szCs w:val="19"/>
          <w:i w:val="1"/>
          <w:iCs w:val="1"/>
          <w:color w:val="auto"/>
        </w:rPr>
        <w:t>recht van</w:t>
      </w:r>
      <w:r>
        <w:rPr>
          <w:rFonts w:ascii="Arial" w:cs="Arial" w:eastAsia="Arial" w:hAnsi="Arial"/>
          <w:sz w:val="19"/>
          <w:szCs w:val="19"/>
          <w:color w:val="auto"/>
        </w:rPr>
        <w:t xml:space="preserve"> </w:t>
      </w:r>
      <w:r>
        <w:rPr>
          <w:rFonts w:ascii="Arial" w:cs="Arial" w:eastAsia="Arial" w:hAnsi="Arial"/>
          <w:sz w:val="19"/>
          <w:szCs w:val="19"/>
          <w:i w:val="1"/>
          <w:iCs w:val="1"/>
          <w:color w:val="auto"/>
        </w:rPr>
        <w:t>reclame</w:t>
      </w:r>
      <w:r>
        <w:rPr>
          <w:rFonts w:ascii="Arial" w:cs="Arial" w:eastAsia="Arial" w:hAnsi="Arial"/>
          <w:sz w:val="19"/>
          <w:szCs w:val="19"/>
          <w:color w:val="auto"/>
        </w:rPr>
        <w:t>) and any right in rem (</w:t>
      </w:r>
      <w:r>
        <w:rPr>
          <w:rFonts w:ascii="Arial" w:cs="Arial" w:eastAsia="Arial" w:hAnsi="Arial"/>
          <w:sz w:val="19"/>
          <w:szCs w:val="19"/>
          <w:i w:val="1"/>
          <w:iCs w:val="1"/>
          <w:color w:val="auto"/>
        </w:rPr>
        <w:t>beperkt recht</w:t>
      </w:r>
      <w:r>
        <w:rPr>
          <w:rFonts w:ascii="Arial" w:cs="Arial" w:eastAsia="Arial" w:hAnsi="Arial"/>
          <w:sz w:val="19"/>
          <w:szCs w:val="19"/>
          <w:color w:val="auto"/>
        </w:rPr>
        <w:t>) created for the purpose of granting security (</w:t>
      </w:r>
      <w:r>
        <w:rPr>
          <w:rFonts w:ascii="Arial" w:cs="Arial" w:eastAsia="Arial" w:hAnsi="Arial"/>
          <w:sz w:val="19"/>
          <w:szCs w:val="19"/>
          <w:i w:val="1"/>
          <w:iCs w:val="1"/>
          <w:color w:val="auto"/>
        </w:rPr>
        <w:t>goederenrechtelijke zekerheid</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left="2360" w:hanging="1056"/>
        <w:spacing w:after="0"/>
        <w:tabs>
          <w:tab w:leader="none" w:pos="236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a “winding-up”, “administration” or “dissolution” includes declared bankrupt (</w:t>
      </w:r>
      <w:r>
        <w:rPr>
          <w:rFonts w:ascii="Arial" w:cs="Arial" w:eastAsia="Arial" w:hAnsi="Arial"/>
          <w:sz w:val="21"/>
          <w:szCs w:val="21"/>
          <w:i w:val="1"/>
          <w:iCs w:val="1"/>
          <w:color w:val="auto"/>
        </w:rPr>
        <w:t>failliet verklaard</w:t>
      </w:r>
      <w:r>
        <w:rPr>
          <w:rFonts w:ascii="Arial" w:cs="Arial" w:eastAsia="Arial" w:hAnsi="Arial"/>
          <w:sz w:val="21"/>
          <w:szCs w:val="21"/>
          <w:color w:val="auto"/>
        </w:rPr>
        <w:t>)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dissolved (</w:t>
      </w:r>
      <w:r>
        <w:rPr>
          <w:rFonts w:ascii="Arial" w:cs="Arial" w:eastAsia="Arial" w:hAnsi="Arial"/>
          <w:sz w:val="22"/>
          <w:szCs w:val="22"/>
          <w:i w:val="1"/>
          <w:iCs w:val="1"/>
          <w:color w:val="auto"/>
        </w:rPr>
        <w:t>ontbonden</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firstLine="1304"/>
        <w:spacing w:after="0" w:line="276" w:lineRule="auto"/>
        <w:tabs>
          <w:tab w:leader="none" w:pos="2088"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a “moratorium” includes </w:t>
      </w:r>
      <w:r>
        <w:rPr>
          <w:rFonts w:ascii="Arial" w:cs="Arial" w:eastAsia="Arial" w:hAnsi="Arial"/>
          <w:sz w:val="22"/>
          <w:szCs w:val="22"/>
          <w:i w:val="1"/>
          <w:iCs w:val="1"/>
          <w:color w:val="auto"/>
        </w:rPr>
        <w:t>surseance van betaling</w:t>
      </w:r>
      <w:r>
        <w:rPr>
          <w:rFonts w:ascii="Arial" w:cs="Arial" w:eastAsia="Arial" w:hAnsi="Arial"/>
          <w:sz w:val="22"/>
          <w:szCs w:val="22"/>
          <w:color w:val="auto"/>
        </w:rPr>
        <w:t xml:space="preserve"> or </w:t>
      </w:r>
      <w:r>
        <w:rPr>
          <w:rFonts w:ascii="Arial" w:cs="Arial" w:eastAsia="Arial" w:hAnsi="Arial"/>
          <w:sz w:val="22"/>
          <w:szCs w:val="22"/>
          <w:i w:val="1"/>
          <w:iCs w:val="1"/>
          <w:color w:val="auto"/>
        </w:rPr>
        <w:t>voorlopige surseance van betaling</w:t>
      </w:r>
      <w:r>
        <w:rPr>
          <w:rFonts w:ascii="Arial" w:cs="Arial" w:eastAsia="Arial" w:hAnsi="Arial"/>
          <w:sz w:val="22"/>
          <w:szCs w:val="22"/>
          <w:color w:val="auto"/>
        </w:rPr>
        <w:t xml:space="preserve"> and a “moratorium is declared” includes </w:t>
      </w:r>
      <w:r>
        <w:rPr>
          <w:rFonts w:ascii="Arial" w:cs="Arial" w:eastAsia="Arial" w:hAnsi="Arial"/>
          <w:sz w:val="22"/>
          <w:szCs w:val="22"/>
          <w:i w:val="1"/>
          <w:iCs w:val="1"/>
          <w:color w:val="auto"/>
        </w:rPr>
        <w:t>surseance verleend</w:t>
      </w:r>
      <w:r>
        <w:rPr>
          <w:rFonts w:ascii="Arial" w:cs="Arial" w:eastAsia="Arial" w:hAnsi="Arial"/>
          <w:sz w:val="22"/>
          <w:szCs w:val="22"/>
          <w:color w:val="auto"/>
        </w:rPr>
        <w:t xml:space="preserve"> or </w:t>
      </w:r>
      <w:r>
        <w:rPr>
          <w:rFonts w:ascii="Arial" w:cs="Arial" w:eastAsia="Arial" w:hAnsi="Arial"/>
          <w:sz w:val="22"/>
          <w:szCs w:val="22"/>
          <w:i w:val="1"/>
          <w:iCs w:val="1"/>
          <w:color w:val="auto"/>
        </w:rPr>
        <w:t>voorlopige surseance verleend</w:t>
      </w:r>
      <w:r>
        <w:rPr>
          <w:rFonts w:ascii="Arial" w:cs="Arial" w:eastAsia="Arial" w:hAnsi="Arial"/>
          <w:sz w:val="22"/>
          <w:szCs w:val="22"/>
          <w:color w:val="auto"/>
        </w:rPr>
        <w:t>;</w:t>
      </w:r>
    </w:p>
    <w:p>
      <w:pPr>
        <w:spacing w:after="0" w:line="147" w:lineRule="exact"/>
        <w:rPr>
          <w:rFonts w:ascii="Arial" w:cs="Arial" w:eastAsia="Arial" w:hAnsi="Arial"/>
          <w:sz w:val="22"/>
          <w:szCs w:val="22"/>
          <w:color w:val="auto"/>
        </w:rPr>
      </w:pPr>
    </w:p>
    <w:p>
      <w:pPr>
        <w:jc w:val="both"/>
        <w:ind w:firstLine="1304"/>
        <w:spacing w:after="0" w:line="266" w:lineRule="auto"/>
        <w:tabs>
          <w:tab w:leader="none" w:pos="2656"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a “liquidator”, “receiver”, “administrative receiver”, “conservator”, “trustee”, “administrator”, “compulsory manager”, “custodian”, “assignee for the benefit of creditors” or similar Person includes a </w:t>
      </w:r>
      <w:r>
        <w:rPr>
          <w:rFonts w:ascii="Arial" w:cs="Arial" w:eastAsia="Arial" w:hAnsi="Arial"/>
          <w:sz w:val="22"/>
          <w:szCs w:val="22"/>
          <w:i w:val="1"/>
          <w:iCs w:val="1"/>
          <w:color w:val="auto"/>
        </w:rPr>
        <w:t>curator</w:t>
      </w:r>
      <w:r>
        <w:rPr>
          <w:rFonts w:ascii="Arial" w:cs="Arial" w:eastAsia="Arial" w:hAnsi="Arial"/>
          <w:sz w:val="22"/>
          <w:szCs w:val="22"/>
          <w:color w:val="auto"/>
        </w:rPr>
        <w:t xml:space="preserve">, a </w:t>
      </w:r>
      <w:r>
        <w:rPr>
          <w:rFonts w:ascii="Arial" w:cs="Arial" w:eastAsia="Arial" w:hAnsi="Arial"/>
          <w:sz w:val="22"/>
          <w:szCs w:val="22"/>
          <w:i w:val="1"/>
          <w:iCs w:val="1"/>
          <w:color w:val="auto"/>
        </w:rPr>
        <w:t>beoogd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curator </w:t>
      </w:r>
      <w:r>
        <w:rPr>
          <w:rFonts w:ascii="Arial" w:cs="Arial" w:eastAsia="Arial" w:hAnsi="Arial"/>
          <w:sz w:val="22"/>
          <w:szCs w:val="22"/>
          <w:color w:val="auto"/>
        </w:rPr>
        <w:t>or a</w:t>
      </w:r>
      <w:r>
        <w:rPr>
          <w:rFonts w:ascii="Arial" w:cs="Arial" w:eastAsia="Arial" w:hAnsi="Arial"/>
          <w:sz w:val="22"/>
          <w:szCs w:val="22"/>
          <w:i w:val="1"/>
          <w:iCs w:val="1"/>
          <w:color w:val="auto"/>
        </w:rPr>
        <w:t xml:space="preserve"> bewindvoerder</w:t>
      </w:r>
      <w:r>
        <w:rPr>
          <w:rFonts w:ascii="Arial" w:cs="Arial" w:eastAsia="Arial" w:hAnsi="Arial"/>
          <w:sz w:val="22"/>
          <w:szCs w:val="22"/>
          <w:color w:val="auto"/>
        </w:rPr>
        <w:t>;</w:t>
      </w:r>
    </w:p>
    <w:p>
      <w:pPr>
        <w:spacing w:after="0" w:line="144" w:lineRule="exact"/>
        <w:rPr>
          <w:rFonts w:ascii="Arial" w:cs="Arial" w:eastAsia="Arial" w:hAnsi="Arial"/>
          <w:sz w:val="22"/>
          <w:szCs w:val="22"/>
          <w:color w:val="auto"/>
        </w:rPr>
      </w:pPr>
    </w:p>
    <w:p>
      <w:pPr>
        <w:ind w:left="2060" w:hanging="756"/>
        <w:spacing w:after="0"/>
        <w:tabs>
          <w:tab w:leader="none" w:pos="20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an “attachment” includes an </w:t>
      </w:r>
      <w:r>
        <w:rPr>
          <w:rFonts w:ascii="Arial" w:cs="Arial" w:eastAsia="Arial" w:hAnsi="Arial"/>
          <w:sz w:val="22"/>
          <w:szCs w:val="22"/>
          <w:i w:val="1"/>
          <w:iCs w:val="1"/>
          <w:color w:val="auto"/>
        </w:rPr>
        <w:t>executoriaal beslag</w:t>
      </w:r>
      <w:r>
        <w:rPr>
          <w:rFonts w:ascii="Arial" w:cs="Arial" w:eastAsia="Arial" w:hAnsi="Arial"/>
          <w:sz w:val="22"/>
          <w:szCs w:val="22"/>
          <w:color w:val="auto"/>
        </w:rPr>
        <w:t xml:space="preserve"> or </w:t>
      </w:r>
      <w:r>
        <w:rPr>
          <w:rFonts w:ascii="Arial" w:cs="Arial" w:eastAsia="Arial" w:hAnsi="Arial"/>
          <w:sz w:val="22"/>
          <w:szCs w:val="22"/>
          <w:i w:val="1"/>
          <w:iCs w:val="1"/>
          <w:u w:val="single" w:color="auto"/>
          <w:color w:val="auto"/>
        </w:rPr>
        <w:t>conservatoir beslag</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100" w:firstLine="1358"/>
        <w:spacing w:after="0" w:line="261" w:lineRule="auto"/>
        <w:tabs>
          <w:tab w:leader="none" w:pos="2142"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Arial" w:cs="Arial" w:eastAsia="Arial" w:hAnsi="Arial"/>
          <w:sz w:val="22"/>
          <w:szCs w:val="22"/>
          <w:i w:val="1"/>
          <w:iCs w:val="1"/>
          <w:color w:val="auto"/>
        </w:rPr>
        <w:t>Invorderingswet 1990</w:t>
      </w:r>
      <w:r>
        <w:rPr>
          <w:rFonts w:ascii="Arial" w:cs="Arial" w:eastAsia="Arial" w:hAnsi="Arial"/>
          <w:sz w:val="22"/>
          <w:szCs w:val="22"/>
          <w:color w:val="auto"/>
        </w:rPr>
        <w:t>) or Section 60 of the Social Insurance Financing Act of the Netherlands (</w:t>
      </w:r>
      <w:r>
        <w:rPr>
          <w:rFonts w:ascii="Arial" w:cs="Arial" w:eastAsia="Arial" w:hAnsi="Arial"/>
          <w:sz w:val="22"/>
          <w:szCs w:val="22"/>
          <w:i w:val="1"/>
          <w:iCs w:val="1"/>
          <w:color w:val="auto"/>
        </w:rPr>
        <w:t>Wet Financiering Sociale Verzekeringen</w:t>
      </w:r>
      <w:r>
        <w:rPr>
          <w:rFonts w:ascii="Arial" w:cs="Arial" w:eastAsia="Arial" w:hAnsi="Arial"/>
          <w:sz w:val="22"/>
          <w:szCs w:val="22"/>
          <w:color w:val="auto"/>
        </w:rPr>
        <w:t>) in conjunction with Section 36 of the Tax Collection Act of the Netherlands (</w:t>
      </w:r>
      <w:r>
        <w:rPr>
          <w:rFonts w:ascii="Arial" w:cs="Arial" w:eastAsia="Arial" w:hAnsi="Arial"/>
          <w:sz w:val="22"/>
          <w:szCs w:val="22"/>
          <w:i w:val="1"/>
          <w:iCs w:val="1"/>
          <w:color w:val="auto"/>
        </w:rPr>
        <w:t>Invorderingswet 1990</w:t>
      </w:r>
      <w:r>
        <w:rPr>
          <w:rFonts w:ascii="Arial" w:cs="Arial" w:eastAsia="Arial" w:hAnsi="Arial"/>
          <w:sz w:val="22"/>
          <w:szCs w:val="22"/>
          <w:color w:val="auto"/>
        </w:rPr>
        <w:t>); and</w:t>
      </w:r>
    </w:p>
    <w:p>
      <w:pPr>
        <w:spacing w:after="0" w:line="164" w:lineRule="exact"/>
        <w:rPr>
          <w:sz w:val="20"/>
          <w:szCs w:val="20"/>
          <w:color w:val="auto"/>
        </w:rPr>
      </w:pPr>
    </w:p>
    <w:p>
      <w:pPr>
        <w:jc w:val="both"/>
        <w:ind w:firstLine="1304"/>
        <w:spacing w:after="0" w:line="317" w:lineRule="auto"/>
        <w:tabs>
          <w:tab w:leader="none" w:pos="2088"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 “decree or order for relief in respect of any Obligor or any Material Subsidiary in an involuntary case or proceeding under any applicable federal, state or foreign bankruptcy, insolvency, reorganization or other similar law” includes any insolvency proceedings within the meaning of the Regulation (EU) 2015/848 of the European Parliament and of the Council of 20 May 2015 on insolvency proceedings (recast) listed or to be listed in Annex A thereto.</w:t>
      </w:r>
    </w:p>
    <w:p>
      <w:pPr>
        <w:spacing w:after="0" w:line="10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u w:val="single" w:color="auto"/>
          <w:color w:val="auto"/>
        </w:rPr>
        <w:t>Centre of Main Interest.</w:t>
      </w:r>
    </w:p>
    <w:p>
      <w:pPr>
        <w:spacing w:after="0" w:line="193" w:lineRule="exact"/>
        <w:rPr>
          <w:sz w:val="20"/>
          <w:szCs w:val="20"/>
          <w:color w:val="auto"/>
        </w:rPr>
      </w:pPr>
    </w:p>
    <w:p>
      <w:pPr>
        <w:jc w:val="both"/>
        <w:ind w:firstLine="1304"/>
        <w:spacing w:after="0" w:line="262" w:lineRule="auto"/>
        <w:tabs>
          <w:tab w:leader="none" w:pos="2373"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7" w:name="page278"/>
    <w:bookmarkEnd w:id="277"/>
    <w:p>
      <w:pPr>
        <w:jc w:val="both"/>
        <w:ind w:firstLine="1304"/>
        <w:spacing w:after="0" w:line="262" w:lineRule="auto"/>
        <w:tabs>
          <w:tab w:leader="none" w:pos="2277" w:val="left"/>
        </w:tabs>
        <w:numPr>
          <w:ilvl w:val="0"/>
          <w:numId w:val="245"/>
        </w:numPr>
        <w:rPr>
          <w:rFonts w:ascii="Arial" w:cs="Arial" w:eastAsia="Arial" w:hAnsi="Arial"/>
          <w:sz w:val="22"/>
          <w:szCs w:val="22"/>
          <w:color w:val="auto"/>
        </w:rPr>
      </w:pPr>
      <w:r>
        <w:rPr>
          <w:rFonts w:ascii="Arial" w:cs="Arial" w:eastAsia="Arial" w:hAnsi="Arial"/>
          <w:sz w:val="22"/>
          <w:szCs w:val="22"/>
          <w:color w:val="auto"/>
        </w:rPr>
        <w:t>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Quebec Terms</w:t>
      </w:r>
      <w:r>
        <w:rPr>
          <w:rFonts w:ascii="Arial" w:cs="Arial" w:eastAsia="Arial" w:hAnsi="Arial"/>
          <w:sz w:val="19"/>
          <w:szCs w:val="19"/>
          <w:color w:val="auto"/>
        </w:rPr>
        <w:t>. For purposes of any assets, liabilities or entities located in the Province of Québec and for all 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w:t>
      </w:r>
    </w:p>
    <w:p>
      <w:pPr>
        <w:spacing w:after="0" w:line="1" w:lineRule="exact"/>
        <w:rPr>
          <w:sz w:val="20"/>
          <w:szCs w:val="20"/>
          <w:color w:val="auto"/>
        </w:rPr>
      </w:pPr>
    </w:p>
    <w:p>
      <w:pPr>
        <w:jc w:val="both"/>
        <w:ind w:firstLine="8"/>
        <w:spacing w:after="0" w:line="296" w:lineRule="auto"/>
        <w:tabs>
          <w:tab w:leader="none" w:pos="31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w:t>
      </w:r>
    </w:p>
    <w:p>
      <w:pPr>
        <w:spacing w:after="0" w:line="3" w:lineRule="exact"/>
        <w:rPr>
          <w:rFonts w:ascii="Arial" w:cs="Arial" w:eastAsia="Arial" w:hAnsi="Arial"/>
          <w:sz w:val="19"/>
          <w:szCs w:val="19"/>
          <w:color w:val="auto"/>
        </w:rPr>
      </w:pPr>
    </w:p>
    <w:p>
      <w:pPr>
        <w:jc w:val="both"/>
        <w:ind w:firstLine="8"/>
        <w:spacing w:after="0" w:line="296" w:lineRule="auto"/>
        <w:tabs>
          <w:tab w:leader="none" w:pos="343" w:val="left"/>
        </w:tabs>
        <w:numPr>
          <w:ilvl w:val="0"/>
          <w:numId w:val="247"/>
        </w:numPr>
        <w:rPr>
          <w:rFonts w:ascii="Arial" w:cs="Arial" w:eastAsia="Arial" w:hAnsi="Arial"/>
          <w:sz w:val="19"/>
          <w:szCs w:val="19"/>
          <w:color w:val="auto"/>
        </w:rPr>
      </w:pPr>
      <w:r>
        <w:rPr>
          <w:rFonts w:ascii="Arial" w:cs="Arial" w:eastAsia="Arial" w:hAnsi="Arial"/>
          <w:sz w:val="19"/>
          <w:szCs w:val="19"/>
          <w:color w:val="auto"/>
        </w:rPr>
        <w:t>“survey” shall include “certificate of location and plan”, (r) “state” shall include “province”, (s) “fee simple title” shall include “absolute ownership” and “ownership” (including ownership under a right of superficies), (t) “accounts” shall include “claims”, (u) “legal title” shall include “holding title on behalf of an owner as mandatory or prete-nom”, (v) “ground lease” shall include “emphyteusis” or a “lease with a right of superficies”, as applicable, (w) “leasehold interest” shall include a “valid lease”,</w:t>
      </w:r>
    </w:p>
    <w:p>
      <w:pPr>
        <w:spacing w:after="0" w:line="2" w:lineRule="exact"/>
        <w:rPr>
          <w:rFonts w:ascii="Arial" w:cs="Arial" w:eastAsia="Arial" w:hAnsi="Arial"/>
          <w:sz w:val="19"/>
          <w:szCs w:val="19"/>
          <w:color w:val="auto"/>
        </w:rPr>
      </w:pPr>
    </w:p>
    <w:p>
      <w:pPr>
        <w:jc w:val="both"/>
        <w:ind w:firstLine="8"/>
        <w:spacing w:after="0" w:line="258" w:lineRule="auto"/>
        <w:tabs>
          <w:tab w:leader="none" w:pos="35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xml:space="preserve">“lease”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Arial" w:cs="Arial" w:eastAsia="Arial" w:hAnsi="Arial"/>
          <w:sz w:val="22"/>
          <w:szCs w:val="22"/>
          <w:i w:val="1"/>
          <w:iCs w:val="1"/>
          <w:color w:val="auto"/>
        </w:rPr>
        <w:t>Les parties aux présentes</w:t>
      </w:r>
      <w:r>
        <w:rPr>
          <w:rFonts w:ascii="Arial" w:cs="Arial" w:eastAsia="Arial" w:hAnsi="Arial"/>
          <w:sz w:val="22"/>
          <w:szCs w:val="22"/>
          <w:color w:val="auto"/>
        </w:rPr>
        <w:t xml:space="preserve"> </w:t>
      </w:r>
      <w:r>
        <w:rPr>
          <w:rFonts w:ascii="Arial" w:cs="Arial" w:eastAsia="Arial" w:hAnsi="Arial"/>
          <w:sz w:val="22"/>
          <w:szCs w:val="22"/>
          <w:i w:val="1"/>
          <w:iCs w:val="1"/>
          <w:color w:val="auto"/>
        </w:rPr>
        <w:t>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r>
        <w:rPr>
          <w:rFonts w:ascii="Arial" w:cs="Arial" w:eastAsia="Arial" w:hAnsi="Arial"/>
          <w:sz w:val="22"/>
          <w:szCs w:val="22"/>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8" w:name="page279"/>
    <w:bookmarkEnd w:id="278"/>
    <w:p>
      <w:pPr>
        <w:jc w:val="center"/>
        <w:ind w:right="640"/>
        <w:spacing w:after="0"/>
        <w:rPr>
          <w:sz w:val="20"/>
          <w:szCs w:val="20"/>
          <w:color w:val="auto"/>
        </w:rPr>
      </w:pPr>
      <w:r>
        <w:rPr>
          <w:rFonts w:ascii="Arial" w:cs="Arial" w:eastAsia="Arial" w:hAnsi="Arial"/>
          <w:sz w:val="22"/>
          <w:szCs w:val="22"/>
          <w:color w:val="010000"/>
        </w:rPr>
        <w:t>ARTICLE II</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COMMITMENTS</w:t>
      </w:r>
    </w:p>
    <w:p>
      <w:pPr>
        <w:spacing w:after="0" w:line="188"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Termination and Reduction of Commitments.</w:t>
      </w:r>
    </w:p>
    <w:p>
      <w:pPr>
        <w:spacing w:after="0" w:line="206" w:lineRule="exact"/>
        <w:rPr>
          <w:sz w:val="20"/>
          <w:szCs w:val="20"/>
          <w:color w:val="auto"/>
        </w:rPr>
      </w:pPr>
    </w:p>
    <w:p>
      <w:pPr>
        <w:ind w:left="1420" w:hanging="776"/>
        <w:spacing w:after="0"/>
        <w:tabs>
          <w:tab w:leader="none" w:pos="1420"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Termination of Commitments on the Maturity Date</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292"/>
        <w:spacing w:after="0" w:line="262" w:lineRule="auto"/>
        <w:tabs>
          <w:tab w:leader="none" w:pos="2107" w:val="left"/>
        </w:tabs>
        <w:numPr>
          <w:ilvl w:val="1"/>
          <w:numId w:val="249"/>
        </w:numPr>
        <w:rPr>
          <w:rFonts w:ascii="Arial" w:cs="Arial" w:eastAsia="Arial" w:hAnsi="Arial"/>
          <w:sz w:val="22"/>
          <w:szCs w:val="22"/>
          <w:color w:val="auto"/>
        </w:rPr>
      </w:pPr>
      <w:r>
        <w:rPr>
          <w:rFonts w:ascii="Arial" w:cs="Arial" w:eastAsia="Arial" w:hAnsi="Arial"/>
          <w:sz w:val="22"/>
          <w:szCs w:val="22"/>
          <w:color w:val="auto"/>
        </w:rPr>
        <w:t>On the Maturity Date (if the Commitments have not been terminated in full earlier in accordance with the terms hereof), (x) the Borrowers shall pay to each Lender all amounts then payable to such Lender under this Agreement and (y) such Lender’s Commitment (and, in the case of a Lender that is an Issuing Bank, such Issuing Bank’s LC Commitment) shall automatically terminate.</w:t>
      </w:r>
    </w:p>
    <w:p>
      <w:pPr>
        <w:spacing w:after="0" w:line="150" w:lineRule="exact"/>
        <w:rPr>
          <w:rFonts w:ascii="Arial" w:cs="Arial" w:eastAsia="Arial" w:hAnsi="Arial"/>
          <w:sz w:val="22"/>
          <w:szCs w:val="22"/>
          <w:color w:val="auto"/>
        </w:rPr>
      </w:pPr>
    </w:p>
    <w:p>
      <w:pPr>
        <w:jc w:val="both"/>
        <w:ind w:firstLine="1292"/>
        <w:spacing w:after="0" w:line="311" w:lineRule="auto"/>
        <w:tabs>
          <w:tab w:leader="none" w:pos="2248"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The Borrowers shall, on the Maturity Date, cash collateralize, for the benefit of the applicable Issuing Banks, the Borrowers’ obligations corresponding to the LC Exposure associated with each Letter of Credit, including any Extended Expiration Letter of Credit, in accordance with the procedures set forth in </w:t>
      </w:r>
      <w:r>
        <w:rPr>
          <w:rFonts w:ascii="Arial" w:cs="Arial" w:eastAsia="Arial" w:hAnsi="Arial"/>
          <w:sz w:val="19"/>
          <w:szCs w:val="19"/>
          <w:u w:val="single" w:color="auto"/>
          <w:color w:val="auto"/>
        </w:rPr>
        <w:t>Section 3.01(k)(i)</w:t>
      </w:r>
      <w:r>
        <w:rPr>
          <w:rFonts w:ascii="Arial" w:cs="Arial" w:eastAsia="Arial" w:hAnsi="Arial"/>
          <w:sz w:val="19"/>
          <w:szCs w:val="19"/>
          <w:color w:val="auto"/>
        </w:rPr>
        <w:t xml:space="preserve"> (and the cash so deposited shall be held, invested and applied by such Issuing Bank in a manner consistent with the investment and other procedures described in </w:t>
      </w:r>
      <w:r>
        <w:rPr>
          <w:rFonts w:ascii="Arial" w:cs="Arial" w:eastAsia="Arial" w:hAnsi="Arial"/>
          <w:sz w:val="19"/>
          <w:szCs w:val="19"/>
          <w:u w:val="single" w:color="auto"/>
          <w:color w:val="auto"/>
        </w:rPr>
        <w:t>Section 3.01(k)</w:t>
      </w:r>
      <w:r>
        <w:rPr>
          <w:rFonts w:ascii="Arial" w:cs="Arial" w:eastAsia="Arial" w:hAnsi="Arial"/>
          <w:sz w:val="19"/>
          <w:szCs w:val="19"/>
          <w:color w:val="auto"/>
        </w:rPr>
        <w:t>) until the expiration and termination of such Letter of Credit.</w:t>
      </w:r>
    </w:p>
    <w:p>
      <w:pPr>
        <w:spacing w:after="0" w:line="123" w:lineRule="exact"/>
        <w:rPr>
          <w:rFonts w:ascii="Arial" w:cs="Arial" w:eastAsia="Arial" w:hAnsi="Arial"/>
          <w:sz w:val="19"/>
          <w:szCs w:val="19"/>
          <w:color w:val="auto"/>
        </w:rPr>
      </w:pPr>
    </w:p>
    <w:p>
      <w:pPr>
        <w:ind w:left="1440" w:hanging="796"/>
        <w:spacing w:after="0"/>
        <w:tabs>
          <w:tab w:leader="none" w:pos="1440"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Voluntary Reduction of Commitments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292"/>
        <w:spacing w:after="0" w:line="261" w:lineRule="auto"/>
        <w:tabs>
          <w:tab w:leader="none" w:pos="2323" w:val="left"/>
        </w:tabs>
        <w:numPr>
          <w:ilvl w:val="1"/>
          <w:numId w:val="249"/>
        </w:numPr>
        <w:rPr>
          <w:rFonts w:ascii="Arial" w:cs="Arial" w:eastAsia="Arial" w:hAnsi="Arial"/>
          <w:sz w:val="22"/>
          <w:szCs w:val="22"/>
          <w:color w:val="auto"/>
        </w:rPr>
      </w:pPr>
      <w:r>
        <w:rPr>
          <w:rFonts w:ascii="Arial" w:cs="Arial" w:eastAsia="Arial" w:hAnsi="Arial"/>
          <w:sz w:val="22"/>
          <w:szCs w:val="22"/>
          <w:color w:val="auto"/>
        </w:rPr>
        <w:t xml:space="preserve">At their option, the Borrowers may at any time terminate, or from time to time reduce,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the Total LC Exposure would exceed the Aggregate Commitments.</w:t>
      </w:r>
    </w:p>
    <w:p>
      <w:pPr>
        <w:spacing w:after="0" w:line="149" w:lineRule="exact"/>
        <w:rPr>
          <w:rFonts w:ascii="Arial" w:cs="Arial" w:eastAsia="Arial" w:hAnsi="Arial"/>
          <w:sz w:val="22"/>
          <w:szCs w:val="22"/>
          <w:color w:val="auto"/>
        </w:rPr>
      </w:pPr>
    </w:p>
    <w:p>
      <w:pPr>
        <w:jc w:val="both"/>
        <w:ind w:firstLine="1292"/>
        <w:spacing w:after="0" w:line="303" w:lineRule="auto"/>
        <w:tabs>
          <w:tab w:leader="none" w:pos="2208"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The Borrowers shall notify the Administrative Agent of any election to terminate or reduce the Commitments under </w:t>
      </w:r>
      <w:r>
        <w:rPr>
          <w:rFonts w:ascii="Arial" w:cs="Arial" w:eastAsia="Arial" w:hAnsi="Arial"/>
          <w:sz w:val="19"/>
          <w:szCs w:val="19"/>
          <w:u w:val="single" w:color="auto"/>
          <w:color w:val="auto"/>
        </w:rPr>
        <w:t>Section 2.01(b)(i)</w:t>
      </w:r>
      <w:r>
        <w:rPr>
          <w:rFonts w:ascii="Arial" w:cs="Arial" w:eastAsia="Arial" w:hAnsi="Arial"/>
          <w:sz w:val="19"/>
          <w:szCs w:val="19"/>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11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279" w:name="page280"/>
    <w:bookmarkEnd w:id="279"/>
    <w:p>
      <w:pPr>
        <w:ind w:left="660"/>
        <w:spacing w:after="0"/>
        <w:tabs>
          <w:tab w:leader="none" w:pos="252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Repayment of Obligations; Evidence of Debt.</w:t>
      </w:r>
    </w:p>
    <w:p>
      <w:pPr>
        <w:spacing w:after="0" w:line="233" w:lineRule="exact"/>
        <w:rPr>
          <w:sz w:val="20"/>
          <w:szCs w:val="20"/>
          <w:color w:val="auto"/>
        </w:rPr>
      </w:pPr>
    </w:p>
    <w:p>
      <w:pPr>
        <w:jc w:val="both"/>
        <w:ind w:firstLine="1304"/>
        <w:spacing w:after="0" w:line="266" w:lineRule="auto"/>
        <w:tabs>
          <w:tab w:leader="none" w:pos="2616"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xml:space="preserve">The Borrowers hereby unconditionally promise to pay in immediately available funds to the Administrative Agent for the account of each Lender all outstanding Obligations on the Maturity Date in accordance with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44" w:lineRule="exact"/>
        <w:rPr>
          <w:rFonts w:ascii="Arial" w:cs="Arial" w:eastAsia="Arial" w:hAnsi="Arial"/>
          <w:sz w:val="22"/>
          <w:szCs w:val="22"/>
          <w:color w:val="auto"/>
        </w:rPr>
      </w:pPr>
    </w:p>
    <w:p>
      <w:pPr>
        <w:jc w:val="both"/>
        <w:ind w:firstLine="1304"/>
        <w:spacing w:after="0" w:line="284" w:lineRule="auto"/>
        <w:tabs>
          <w:tab w:leader="none" w:pos="2182" w:val="left"/>
        </w:tabs>
        <w:numPr>
          <w:ilvl w:val="0"/>
          <w:numId w:val="250"/>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Borrowers to such Lender resulting from each Letter of Credit made by such Lender, including the amounts of principal and interest payable and paid to such Lender from time to time hereunder.</w:t>
      </w:r>
    </w:p>
    <w:p>
      <w:pPr>
        <w:spacing w:after="0" w:line="141" w:lineRule="exact"/>
        <w:rPr>
          <w:rFonts w:ascii="Arial" w:cs="Arial" w:eastAsia="Arial" w:hAnsi="Arial"/>
          <w:sz w:val="21"/>
          <w:szCs w:val="21"/>
          <w:color w:val="auto"/>
        </w:rPr>
      </w:pPr>
    </w:p>
    <w:p>
      <w:pPr>
        <w:ind w:right="20" w:firstLine="1304"/>
        <w:spacing w:after="0" w:line="301" w:lineRule="auto"/>
        <w:tabs>
          <w:tab w:leader="none" w:pos="2359"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Administrative Agent shall maintain accounts in which it shall record the amount of any sum received by the Administrative Agent hereunder for the account of the Lenders and each Lender’s share thereof.</w:t>
      </w:r>
    </w:p>
    <w:p>
      <w:pPr>
        <w:spacing w:after="0" w:line="109" w:lineRule="exact"/>
        <w:rPr>
          <w:rFonts w:ascii="Arial" w:cs="Arial" w:eastAsia="Arial" w:hAnsi="Arial"/>
          <w:sz w:val="21"/>
          <w:szCs w:val="21"/>
          <w:color w:val="auto"/>
        </w:rPr>
      </w:pPr>
    </w:p>
    <w:p>
      <w:pPr>
        <w:jc w:val="both"/>
        <w:ind w:firstLine="1304"/>
        <w:spacing w:after="0" w:line="262" w:lineRule="auto"/>
        <w:tabs>
          <w:tab w:leader="none" w:pos="2101"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this Section shall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shall not in any manner affect the obligation of the Borrowers to repay the Obligations in accordance with the terms of this Agreement.</w:t>
      </w:r>
    </w:p>
    <w:p>
      <w:pPr>
        <w:spacing w:after="0" w:line="15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Prepayment of Obligations.</w:t>
      </w:r>
    </w:p>
    <w:p>
      <w:pPr>
        <w:spacing w:after="0" w:line="206" w:lineRule="exact"/>
        <w:rPr>
          <w:sz w:val="20"/>
          <w:szCs w:val="20"/>
          <w:color w:val="auto"/>
        </w:rPr>
      </w:pPr>
    </w:p>
    <w:p>
      <w:pPr>
        <w:jc w:val="both"/>
        <w:ind w:firstLine="1304"/>
        <w:spacing w:after="0" w:line="266" w:lineRule="auto"/>
        <w:tabs>
          <w:tab w:leader="none" w:pos="2143"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On the date that a Change of Control occurs, the Commitments shall terminate and the Borrowers shall, subject to </w:t>
      </w:r>
      <w:r>
        <w:rPr>
          <w:rFonts w:ascii="Arial" w:cs="Arial" w:eastAsia="Arial" w:hAnsi="Arial"/>
          <w:sz w:val="22"/>
          <w:szCs w:val="22"/>
          <w:u w:val="single" w:color="auto"/>
          <w:color w:val="auto"/>
        </w:rPr>
        <w:t>Section 2.08(a)</w:t>
      </w:r>
      <w:r>
        <w:rPr>
          <w:rFonts w:ascii="Arial" w:cs="Arial" w:eastAsia="Arial" w:hAnsi="Arial"/>
          <w:sz w:val="22"/>
          <w:szCs w:val="22"/>
          <w:color w:val="auto"/>
        </w:rPr>
        <w:t xml:space="preserve">, (i) repay all outstanding Obligations in immediately available funds, and (ii) deposit in the LC Collateral Account an amount in cash required by </w:t>
      </w:r>
      <w:r>
        <w:rPr>
          <w:rFonts w:ascii="Arial" w:cs="Arial" w:eastAsia="Arial" w:hAnsi="Arial"/>
          <w:sz w:val="22"/>
          <w:szCs w:val="22"/>
          <w:u w:val="single" w:color="auto"/>
          <w:color w:val="auto"/>
        </w:rPr>
        <w:t>Section 3.01(k)(i)</w:t>
      </w:r>
      <w:r>
        <w:rPr>
          <w:rFonts w:ascii="Arial" w:cs="Arial" w:eastAsia="Arial" w:hAnsi="Arial"/>
          <w:sz w:val="22"/>
          <w:szCs w:val="22"/>
          <w:color w:val="auto"/>
        </w:rPr>
        <w:t>.</w:t>
      </w:r>
    </w:p>
    <w:p>
      <w:pPr>
        <w:spacing w:after="0" w:line="144" w:lineRule="exact"/>
        <w:rPr>
          <w:rFonts w:ascii="Arial" w:cs="Arial" w:eastAsia="Arial" w:hAnsi="Arial"/>
          <w:sz w:val="22"/>
          <w:szCs w:val="22"/>
          <w:color w:val="auto"/>
        </w:rPr>
      </w:pPr>
    </w:p>
    <w:p>
      <w:pPr>
        <w:jc w:val="both"/>
        <w:ind w:firstLine="1304"/>
        <w:spacing w:after="0" w:line="262" w:lineRule="auto"/>
        <w:tabs>
          <w:tab w:leader="none" w:pos="2263"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If at any time (including concurrently with or immediately after giving effect to any reduction of the Lenders’ Commitments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the Total LC Exposure exceeds the Aggregate Commitments, the Borrowers shall, within two Business Days, cash collateralize LC Exposures in accordance with </w:t>
      </w:r>
      <w:r>
        <w:rPr>
          <w:rFonts w:ascii="Arial" w:cs="Arial" w:eastAsia="Arial" w:hAnsi="Arial"/>
          <w:sz w:val="22"/>
          <w:szCs w:val="22"/>
          <w:u w:val="single" w:color="auto"/>
          <w:color w:val="auto"/>
        </w:rPr>
        <w:t>Section 2.08(a)</w:t>
      </w:r>
      <w:r>
        <w:rPr>
          <w:rFonts w:ascii="Arial" w:cs="Arial" w:eastAsia="Arial" w:hAnsi="Arial"/>
          <w:sz w:val="22"/>
          <w:szCs w:val="22"/>
          <w:color w:val="auto"/>
        </w:rPr>
        <w:t xml:space="preserve"> and the procedures set forth in </w:t>
      </w:r>
      <w:r>
        <w:rPr>
          <w:rFonts w:ascii="Arial" w:cs="Arial" w:eastAsia="Arial" w:hAnsi="Arial"/>
          <w:sz w:val="22"/>
          <w:szCs w:val="22"/>
          <w:u w:val="single" w:color="auto"/>
          <w:color w:val="auto"/>
        </w:rPr>
        <w:t>Section 3.01(k)(i)</w:t>
      </w:r>
      <w:r>
        <w:rPr>
          <w:rFonts w:ascii="Arial" w:cs="Arial" w:eastAsia="Arial" w:hAnsi="Arial"/>
          <w:sz w:val="22"/>
          <w:szCs w:val="22"/>
          <w:color w:val="auto"/>
        </w:rPr>
        <w:t xml:space="preserve"> in an amount equal to such excess.</w:t>
      </w:r>
    </w:p>
    <w:p>
      <w:pPr>
        <w:spacing w:after="0" w:line="15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7"/>
          <w:szCs w:val="17"/>
          <w:u w:val="single" w:color="auto"/>
          <w:color w:val="auto"/>
        </w:rPr>
        <w:t>Fees.</w:t>
      </w:r>
    </w:p>
    <w:p>
      <w:pPr>
        <w:spacing w:after="0" w:line="206" w:lineRule="exact"/>
        <w:rPr>
          <w:sz w:val="20"/>
          <w:szCs w:val="20"/>
          <w:color w:val="auto"/>
        </w:rPr>
      </w:pPr>
    </w:p>
    <w:p>
      <w:pPr>
        <w:jc w:val="both"/>
        <w:ind w:firstLine="1304"/>
        <w:spacing w:after="0" w:line="272" w:lineRule="auto"/>
        <w:tabs>
          <w:tab w:leader="none" w:pos="2197"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 March, June, September and December of each year, shall be payable in arrears in Dollars on the fifth Business Day after such last date and on the date on which the aggregate Commitments terminate and on the Maturity Date, with payment commencing on April 7, 2020;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facility fees accruing after the date on which the aggregate Commitments terminate shall be payable on demand. All facility fees shall be computed on the basis of a year of 360 days, as applicable, and shall be payable for the actual number of days elapsed (including the first day but excluding the last day).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0" w:name="page281"/>
    <w:bookmarkEnd w:id="280"/>
    <w:p>
      <w:pPr>
        <w:ind w:left="2100" w:hanging="796"/>
        <w:spacing w:after="0"/>
        <w:tabs>
          <w:tab w:leader="none" w:pos="210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 xml:space="preserve">The Borrowers agree to pay (subject to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660" w:firstLine="1292"/>
        <w:spacing w:after="0" w:line="266" w:lineRule="auto"/>
        <w:tabs>
          <w:tab w:leader="none" w:pos="2875" w:val="left"/>
        </w:tabs>
        <w:numPr>
          <w:ilvl w:val="1"/>
          <w:numId w:val="253"/>
        </w:numPr>
        <w:rPr>
          <w:rFonts w:ascii="Arial" w:cs="Arial" w:eastAsia="Arial" w:hAnsi="Arial"/>
          <w:sz w:val="22"/>
          <w:szCs w:val="22"/>
          <w:color w:val="auto"/>
        </w:rPr>
      </w:pPr>
      <w:r>
        <w:rPr>
          <w:rFonts w:ascii="Arial" w:cs="Arial" w:eastAsia="Arial" w:hAnsi="Arial"/>
          <w:sz w:val="22"/>
          <w:szCs w:val="22"/>
          <w:color w:val="auto"/>
        </w:rPr>
        <w:t>to the Administrative Agent, for the account of each Lender in accordance with its Applicable Percentage, a participation fee with respect to the Lenders’ participations in Letters of Credit, which shall accrue at the LC Participation Fee Rate on</w:t>
      </w:r>
    </w:p>
    <w:p>
      <w:pPr>
        <w:spacing w:after="0" w:line="158" w:lineRule="exact"/>
        <w:rPr>
          <w:sz w:val="20"/>
          <w:szCs w:val="20"/>
          <w:color w:val="auto"/>
        </w:rPr>
      </w:pPr>
    </w:p>
    <w:p>
      <w:pPr>
        <w:ind w:left="660" w:right="100"/>
        <w:spacing w:after="0" w:line="262" w:lineRule="auto"/>
        <w:rPr>
          <w:sz w:val="20"/>
          <w:szCs w:val="20"/>
          <w:color w:val="auto"/>
        </w:rPr>
      </w:pPr>
      <w:r>
        <w:rPr>
          <w:rFonts w:ascii="Arial" w:cs="Arial" w:eastAsia="Arial" w:hAnsi="Arial"/>
          <w:sz w:val="22"/>
          <w:szCs w:val="22"/>
          <w:color w:val="auto"/>
        </w:rPr>
        <w:t>the average daily Dollar Equivalent of the maximum amount available to be drawn under each such Letter of Credit (whether or not any increase in respect thereof has taken effect) during the period from and including the date of issuance of each such Letter of Credit to but excluding the earlier of (1) the date on which such Letter of Credit expires or terminates and (2) the Maturity Date (the “</w:t>
      </w:r>
      <w:r>
        <w:rPr>
          <w:rFonts w:ascii="Arial" w:cs="Arial" w:eastAsia="Arial" w:hAnsi="Arial"/>
          <w:sz w:val="22"/>
          <w:szCs w:val="22"/>
          <w:u w:val="single" w:color="auto"/>
          <w:color w:val="auto"/>
        </w:rPr>
        <w:t>LC Participation Fee</w:t>
      </w:r>
      <w:r>
        <w:rPr>
          <w:rFonts w:ascii="Arial" w:cs="Arial" w:eastAsia="Arial" w:hAnsi="Arial"/>
          <w:sz w:val="22"/>
          <w:szCs w:val="22"/>
          <w:color w:val="auto"/>
        </w:rPr>
        <w:t>”); and</w:t>
      </w:r>
    </w:p>
    <w:p>
      <w:pPr>
        <w:spacing w:after="0" w:line="151" w:lineRule="exact"/>
        <w:rPr>
          <w:sz w:val="20"/>
          <w:szCs w:val="20"/>
          <w:color w:val="auto"/>
        </w:rPr>
      </w:pPr>
    </w:p>
    <w:p>
      <w:pPr>
        <w:jc w:val="both"/>
        <w:ind w:left="660" w:firstLine="1292"/>
        <w:spacing w:after="0" w:line="260" w:lineRule="auto"/>
        <w:tabs>
          <w:tab w:leader="none" w:pos="2922"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to each Issuing Bank, for its own account, a fronting fee with respect to each Letter of Credit issued by such Issuing Bank, which shall accrue at the rate of 0.125%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5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Participation fees and fronting fees accrued through and including the last day of March, June, September and December of each year shall be payable in arrears in Dollars on the fifth Business Day after such last day, with payment commencing on April 7, 2020;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to the Lenders on the Maturity Date, to all Lenders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as applicable, and shall be payable for the actual number of days elapsed (including the first day but excluding the last day) other than as set forth in the definition of “Prime Rate”. The amount of participation and fronting fees payable hereunder shall be set forth in a written invoice or other notice delivered to the Borrowers by the Administrative Agent or, in the case of fronting fees, by the applicable Issuing Bank.</w:t>
      </w:r>
    </w:p>
    <w:p>
      <w:pPr>
        <w:spacing w:after="0" w:line="398" w:lineRule="exact"/>
        <w:rPr>
          <w:sz w:val="20"/>
          <w:szCs w:val="20"/>
          <w:color w:val="auto"/>
        </w:rPr>
      </w:pPr>
    </w:p>
    <w:p>
      <w:pPr>
        <w:ind w:firstLine="1304"/>
        <w:spacing w:after="0" w:line="276" w:lineRule="auto"/>
        <w:tabs>
          <w:tab w:leader="none" w:pos="2373"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Borrowers agree to pay to the Administrative Agent, for its own account, fees payable in the amounts and at the times separately agreed upon between themselves and the Administrative Agent.</w:t>
      </w:r>
    </w:p>
    <w:p>
      <w:pPr>
        <w:spacing w:after="0" w:line="133" w:lineRule="exact"/>
        <w:rPr>
          <w:rFonts w:ascii="Arial" w:cs="Arial" w:eastAsia="Arial" w:hAnsi="Arial"/>
          <w:sz w:val="22"/>
          <w:szCs w:val="22"/>
          <w:color w:val="auto"/>
        </w:rPr>
      </w:pPr>
    </w:p>
    <w:p>
      <w:pPr>
        <w:jc w:val="both"/>
        <w:ind w:firstLine="1304"/>
        <w:spacing w:after="0" w:line="261" w:lineRule="auto"/>
        <w:tabs>
          <w:tab w:leader="none" w:pos="2182"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xml:space="preserve">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Arial" w:cs="Arial" w:eastAsia="Arial" w:hAnsi="Arial"/>
          <w:sz w:val="22"/>
          <w:szCs w:val="22"/>
          <w:u w:val="single" w:color="auto"/>
          <w:color w:val="auto"/>
        </w:rPr>
        <w:t>Section 2.04</w:t>
      </w:r>
      <w:r>
        <w:rPr>
          <w:rFonts w:ascii="Arial" w:cs="Arial" w:eastAsia="Arial" w:hAnsi="Arial"/>
          <w:sz w:val="22"/>
          <w:szCs w:val="22"/>
          <w:color w:val="auto"/>
        </w:rPr>
        <w:t>, to the applicable Lenders. Fees paid shall not be refundable under any circumstances (unless otherwise agreed by the Administrative Agent with respect to fees payable to the Administrative Agent for its own account).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1" w:name="page282"/>
    <w:bookmarkEnd w:id="281"/>
    <w:p>
      <w:pPr>
        <w:ind w:left="660"/>
        <w:spacing w:after="0"/>
        <w:tabs>
          <w:tab w:leader="none" w:pos="252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Interest.</w:t>
      </w:r>
    </w:p>
    <w:p>
      <w:pPr>
        <w:spacing w:after="0" w:line="193" w:lineRule="exact"/>
        <w:rPr>
          <w:sz w:val="20"/>
          <w:szCs w:val="20"/>
          <w:color w:val="auto"/>
        </w:rPr>
      </w:pPr>
    </w:p>
    <w:p>
      <w:pPr>
        <w:jc w:val="both"/>
        <w:ind w:firstLine="1304"/>
        <w:spacing w:after="0" w:line="261" w:lineRule="auto"/>
        <w:tabs>
          <w:tab w:leader="none" w:pos="2143" w:val="left"/>
        </w:tabs>
        <w:numPr>
          <w:ilvl w:val="0"/>
          <w:numId w:val="256"/>
        </w:numPr>
        <w:rPr>
          <w:rFonts w:ascii="Arial" w:cs="Arial" w:eastAsia="Arial" w:hAnsi="Arial"/>
          <w:sz w:val="22"/>
          <w:szCs w:val="22"/>
          <w:color w:val="auto"/>
        </w:rPr>
      </w:pPr>
      <w:r>
        <w:rPr>
          <w:rFonts w:ascii="Arial" w:cs="Arial" w:eastAsia="Arial" w:hAnsi="Arial"/>
          <w:sz w:val="22"/>
          <w:szCs w:val="22"/>
          <w:color w:val="auto"/>
        </w:rPr>
        <w:t xml:space="preserve">Notwithstanding the foregoing, if any Event of Default has occurred and is continuing, including if any reimbursement obligation, any fee, (including the fronting fee, the facility fee and the LC Participation Fee), or other amount payable by the Borrowers hereunder is not paid when due, whether at stated maturity, upon acceleration or otherwise, all Obligations shall bear interest, after as well as before judgment, at a rate per annum equal to 2.000%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rate otherwise applicable to such amount.</w:t>
      </w:r>
    </w:p>
    <w:p>
      <w:pPr>
        <w:spacing w:after="0" w:line="163" w:lineRule="exact"/>
        <w:rPr>
          <w:rFonts w:ascii="Arial" w:cs="Arial" w:eastAsia="Arial" w:hAnsi="Arial"/>
          <w:sz w:val="22"/>
          <w:szCs w:val="22"/>
          <w:color w:val="auto"/>
        </w:rPr>
      </w:pPr>
    </w:p>
    <w:p>
      <w:pPr>
        <w:jc w:val="both"/>
        <w:ind w:firstLine="1304"/>
        <w:spacing w:after="0" w:line="266" w:lineRule="auto"/>
        <w:tabs>
          <w:tab w:leader="none" w:pos="2263" w:val="left"/>
        </w:tabs>
        <w:numPr>
          <w:ilvl w:val="0"/>
          <w:numId w:val="256"/>
        </w:numPr>
        <w:rPr>
          <w:rFonts w:ascii="Arial" w:cs="Arial" w:eastAsia="Arial" w:hAnsi="Arial"/>
          <w:sz w:val="22"/>
          <w:szCs w:val="22"/>
          <w:color w:val="auto"/>
        </w:rPr>
      </w:pPr>
      <w:r>
        <w:rPr>
          <w:rFonts w:ascii="Arial" w:cs="Arial" w:eastAsia="Arial" w:hAnsi="Arial"/>
          <w:sz w:val="22"/>
          <w:szCs w:val="22"/>
          <w:color w:val="auto"/>
        </w:rPr>
        <w:t xml:space="preserve">Accrued interest shall be payable in arrears in immediately available funds on the fifth Business Day after the last day of March, June, September and December of each year and upon termination of the Commitments with payment commencing on April 7, 2020; </w:t>
      </w:r>
      <w:r>
        <w:rPr>
          <w:rFonts w:ascii="Arial" w:cs="Arial" w:eastAsia="Arial" w:hAnsi="Arial"/>
          <w:sz w:val="22"/>
          <w:szCs w:val="22"/>
          <w:u w:val="single" w:color="auto"/>
          <w:color w:val="auto"/>
        </w:rPr>
        <w:t>provided</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that (i) interest accrued pursuant to </w:t>
      </w:r>
      <w:r>
        <w:rPr>
          <w:rFonts w:ascii="Arial" w:cs="Arial" w:eastAsia="Arial" w:hAnsi="Arial"/>
          <w:sz w:val="22"/>
          <w:szCs w:val="22"/>
          <w:u w:val="single" w:color="auto"/>
          <w:color w:val="auto"/>
        </w:rPr>
        <w:t>Section 2.05(a)</w:t>
      </w:r>
      <w:r>
        <w:rPr>
          <w:rFonts w:ascii="Arial" w:cs="Arial" w:eastAsia="Arial" w:hAnsi="Arial"/>
          <w:sz w:val="22"/>
          <w:szCs w:val="22"/>
          <w:color w:val="auto"/>
        </w:rPr>
        <w:t xml:space="preserve"> shall be payable on demand, and (ii) in the event of any repayment or prepayment of any Obligations, accrued interest on the principal amount repaid or prepaid shall be payable on the date of such repayment or prepayment.</w:t>
      </w:r>
    </w:p>
    <w:p>
      <w:pPr>
        <w:spacing w:after="0" w:line="144" w:lineRule="exact"/>
        <w:rPr>
          <w:sz w:val="20"/>
          <w:szCs w:val="20"/>
          <w:color w:val="auto"/>
        </w:rPr>
      </w:pPr>
    </w:p>
    <w:p>
      <w:pPr>
        <w:jc w:val="both"/>
        <w:ind w:firstLine="1304"/>
        <w:spacing w:after="0" w:line="261" w:lineRule="auto"/>
        <w:tabs>
          <w:tab w:leader="none" w:pos="208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All interest hereunder shall be computed on the basis of a year of 360 days, except that interest computed by reference to the Alternate Base Rate at times when the Alternate Base Rate is based on the Prime Rate shall be computed as set forth in the definition of “Prime Rate”. The applicable Alternate Base Rate, Adjusted LIBO Rate or LIBO Rate shall be determined by the Administrative Agent in accordance with the terms hereof, and such determination shall be presumed correct absent manifest error.</w:t>
      </w:r>
    </w:p>
    <w:p>
      <w:pPr>
        <w:spacing w:after="0" w:line="163" w:lineRule="exact"/>
        <w:rPr>
          <w:rFonts w:ascii="Arial" w:cs="Arial" w:eastAsia="Arial" w:hAnsi="Arial"/>
          <w:sz w:val="22"/>
          <w:szCs w:val="22"/>
          <w:color w:val="auto"/>
        </w:rPr>
      </w:pPr>
    </w:p>
    <w:p>
      <w:pPr>
        <w:jc w:val="both"/>
        <w:ind w:firstLine="1304"/>
        <w:spacing w:after="0" w:line="300" w:lineRule="auto"/>
        <w:tabs>
          <w:tab w:leader="none" w:pos="2344"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The interest rates provided for in this Agreement with respect to any Swiss Obligor, including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are minimum interest rates. When entering into this Agreement, the parties have assumed that the interest payable at the rates set out in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Arial" w:cs="Arial" w:eastAsia="Arial" w:hAnsi="Arial"/>
          <w:sz w:val="19"/>
          <w:szCs w:val="19"/>
          <w:u w:val="single" w:color="auto"/>
          <w:color w:val="auto"/>
        </w:rPr>
        <w:t>Section 4.02</w:t>
      </w:r>
      <w:r>
        <w:rPr>
          <w:rFonts w:ascii="Arial" w:cs="Arial" w:eastAsia="Arial" w:hAnsi="Arial"/>
          <w:sz w:val="19"/>
          <w:szCs w:val="19"/>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125" w:lineRule="exact"/>
        <w:rPr>
          <w:rFonts w:ascii="Arial" w:cs="Arial" w:eastAsia="Arial" w:hAnsi="Arial"/>
          <w:sz w:val="19"/>
          <w:szCs w:val="19"/>
          <w:color w:val="auto"/>
        </w:rPr>
      </w:pPr>
    </w:p>
    <w:p>
      <w:pPr>
        <w:ind w:firstLine="1304"/>
        <w:spacing w:after="0" w:line="276" w:lineRule="auto"/>
        <w:tabs>
          <w:tab w:leader="none" w:pos="2103"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For the purposes of the </w:t>
      </w:r>
      <w:r>
        <w:rPr>
          <w:rFonts w:ascii="Arial" w:cs="Arial" w:eastAsia="Arial" w:hAnsi="Arial"/>
          <w:sz w:val="22"/>
          <w:szCs w:val="22"/>
          <w:i w:val="1"/>
          <w:iCs w:val="1"/>
          <w:color w:val="auto"/>
        </w:rPr>
        <w:t>Interest Act</w:t>
      </w:r>
      <w:r>
        <w:rPr>
          <w:rFonts w:ascii="Arial" w:cs="Arial" w:eastAsia="Arial" w:hAnsi="Arial"/>
          <w:sz w:val="22"/>
          <w:szCs w:val="22"/>
          <w:color w:val="auto"/>
        </w:rPr>
        <w:t xml:space="preserve"> (Canada) and disclosure thereunder, whenever any interest or any fee to be paid under any Loan Document is to be calculated on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2" w:name="page283"/>
    <w:bookmarkEnd w:id="282"/>
    <w:p>
      <w:pPr>
        <w:jc w:val="both"/>
        <w:ind w:right="20"/>
        <w:spacing w:after="0" w:line="317" w:lineRule="auto"/>
        <w:rPr>
          <w:sz w:val="20"/>
          <w:szCs w:val="20"/>
          <w:color w:val="auto"/>
        </w:rPr>
      </w:pPr>
      <w:r>
        <w:rPr>
          <w:rFonts w:ascii="Arial" w:cs="Arial" w:eastAsia="Arial" w:hAnsi="Arial"/>
          <w:sz w:val="19"/>
          <w:szCs w:val="19"/>
          <w:color w:val="auto"/>
        </w:rPr>
        <w:t>basis of a 360-day, 365-day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0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Alternate Rate of Fees.</w:t>
      </w:r>
    </w:p>
    <w:p>
      <w:pPr>
        <w:spacing w:after="0" w:line="206" w:lineRule="exact"/>
        <w:rPr>
          <w:sz w:val="20"/>
          <w:szCs w:val="20"/>
          <w:color w:val="auto"/>
        </w:rPr>
      </w:pPr>
    </w:p>
    <w:p>
      <w:pPr>
        <w:ind w:left="2080" w:hanging="776"/>
        <w:spacing w:after="0"/>
        <w:tabs>
          <w:tab w:leader="none" w:pos="20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If prior to the commencement of any LC Fee Period for a Letter of Credit:</w:t>
      </w:r>
    </w:p>
    <w:p>
      <w:pPr>
        <w:spacing w:after="0" w:line="192" w:lineRule="exact"/>
        <w:rPr>
          <w:rFonts w:ascii="Arial" w:cs="Arial" w:eastAsia="Arial" w:hAnsi="Arial"/>
          <w:sz w:val="22"/>
          <w:szCs w:val="22"/>
          <w:color w:val="auto"/>
        </w:rPr>
      </w:pPr>
    </w:p>
    <w:p>
      <w:pPr>
        <w:jc w:val="both"/>
        <w:ind w:left="660" w:firstLine="1292"/>
        <w:spacing w:after="0" w:line="266" w:lineRule="auto"/>
        <w:tabs>
          <w:tab w:leader="none" w:pos="2781"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Administrative Agent reasonably determines (which determination shall be presumed correct absent manifest error) that adequate and reasonable means do not exist for ascertaining the Adjusted LIBO Rate or the LIBO Rate, as applicable, for such LC Fee Period; or</w:t>
      </w:r>
    </w:p>
    <w:p>
      <w:pPr>
        <w:spacing w:after="0" w:line="144" w:lineRule="exact"/>
        <w:rPr>
          <w:rFonts w:ascii="Arial" w:cs="Arial" w:eastAsia="Arial" w:hAnsi="Arial"/>
          <w:sz w:val="22"/>
          <w:szCs w:val="22"/>
          <w:color w:val="auto"/>
        </w:rPr>
      </w:pPr>
    </w:p>
    <w:p>
      <w:pPr>
        <w:ind w:left="660" w:firstLine="1292"/>
        <w:spacing w:after="0" w:line="276" w:lineRule="auto"/>
        <w:tabs>
          <w:tab w:leader="none" w:pos="2800"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the Adjusted LIBO Rate or the LIBO Rate, as applicable, for such LC Fee Period will not</w:t>
      </w:r>
    </w:p>
    <w:p>
      <w:pPr>
        <w:spacing w:after="0" w:line="147" w:lineRule="exact"/>
        <w:rPr>
          <w:sz w:val="20"/>
          <w:szCs w:val="20"/>
          <w:color w:val="auto"/>
        </w:rPr>
      </w:pPr>
    </w:p>
    <w:p>
      <w:pPr>
        <w:ind w:left="660" w:right="60"/>
        <w:spacing w:after="0" w:line="276" w:lineRule="auto"/>
        <w:rPr>
          <w:sz w:val="20"/>
          <w:szCs w:val="20"/>
          <w:color w:val="auto"/>
        </w:rPr>
      </w:pPr>
      <w:r>
        <w:rPr>
          <w:rFonts w:ascii="Arial" w:cs="Arial" w:eastAsia="Arial" w:hAnsi="Arial"/>
          <w:sz w:val="22"/>
          <w:szCs w:val="22"/>
          <w:color w:val="auto"/>
        </w:rPr>
        <w:t>adequately and fairly reflect the cost to such Lenders of making or maintaining participations in Letters of Credit for such LC Fee Period;</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then the Administrative Agent shall give written notice (by facsimile transmission or electronic transmission (in .pdf format)) thereof to the Borrowers and the Lenders as promptly as practicable thereafter and, until the Administrative Agent notifies the Borrowers and the Lenders that the circumstances giving rise to such notice no longer exist, then in the case of any fee charged in respect of a Letter of Credit at the LIBO Rate, such fee shall on the last day of the then current LC Fee Period applicable thereto begin to accrue at the Alternate Base Rate.</w:t>
      </w:r>
    </w:p>
    <w:p>
      <w:pPr>
        <w:spacing w:after="0" w:line="150" w:lineRule="exact"/>
        <w:rPr>
          <w:sz w:val="20"/>
          <w:szCs w:val="20"/>
          <w:color w:val="auto"/>
        </w:rPr>
      </w:pPr>
    </w:p>
    <w:p>
      <w:pPr>
        <w:jc w:val="both"/>
        <w:ind w:firstLine="1304"/>
        <w:spacing w:after="0" w:line="266" w:lineRule="auto"/>
        <w:tabs>
          <w:tab w:leader="none" w:pos="2412" w:val="left"/>
        </w:tabs>
        <w:numPr>
          <w:ilvl w:val="0"/>
          <w:numId w:val="25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Documents, if the Administrative Agent determines (which determination shall be conclusive absent manifest error) or the Required Lenders notify the Administrative Agent (with a copy to the Borrowers) that they have determined that:</w:t>
      </w:r>
    </w:p>
    <w:p>
      <w:pPr>
        <w:spacing w:after="0" w:line="157" w:lineRule="exact"/>
        <w:rPr>
          <w:rFonts w:ascii="Arial" w:cs="Arial" w:eastAsia="Arial" w:hAnsi="Arial"/>
          <w:sz w:val="22"/>
          <w:szCs w:val="22"/>
          <w:color w:val="auto"/>
        </w:rPr>
      </w:pPr>
    </w:p>
    <w:p>
      <w:pPr>
        <w:jc w:val="both"/>
        <w:ind w:left="660" w:firstLine="1292"/>
        <w:spacing w:after="0" w:line="327" w:lineRule="auto"/>
        <w:tabs>
          <w:tab w:leader="none" w:pos="2727" w:val="left"/>
        </w:tabs>
        <w:numPr>
          <w:ilvl w:val="1"/>
          <w:numId w:val="259"/>
        </w:numPr>
        <w:rPr>
          <w:rFonts w:ascii="Arial" w:cs="Arial" w:eastAsia="Arial" w:hAnsi="Arial"/>
          <w:sz w:val="19"/>
          <w:szCs w:val="19"/>
          <w:color w:val="auto"/>
        </w:rPr>
      </w:pPr>
      <w:r>
        <w:rPr>
          <w:rFonts w:ascii="Arial" w:cs="Arial" w:eastAsia="Arial" w:hAnsi="Arial"/>
          <w:sz w:val="19"/>
          <w:szCs w:val="19"/>
          <w:color w:val="auto"/>
        </w:rPr>
        <w:t>adequate and reasonable means do not exist for ascertaining the Adjusted LIBO Rate or the LIBO Rate, as applicable, for any LC Fee Period, including, without limitation, because the Adjusted LIBO Rate or LIBO Rate, as applicable, is not available or published on a current basis and such circumstances are unlikely to be temporary; or</w:t>
      </w:r>
    </w:p>
    <w:p>
      <w:pPr>
        <w:spacing w:after="0" w:line="92" w:lineRule="exact"/>
        <w:rPr>
          <w:rFonts w:ascii="Arial" w:cs="Arial" w:eastAsia="Arial" w:hAnsi="Arial"/>
          <w:sz w:val="19"/>
          <w:szCs w:val="19"/>
          <w:color w:val="auto"/>
        </w:rPr>
      </w:pPr>
    </w:p>
    <w:p>
      <w:pPr>
        <w:jc w:val="both"/>
        <w:ind w:left="660" w:firstLine="1292"/>
        <w:spacing w:after="0" w:line="262" w:lineRule="auto"/>
        <w:tabs>
          <w:tab w:leader="none" w:pos="280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the supervisor for the administrator of the Adjusted LIBO Rate or LIBO Rate or a Governmental Authority having jurisdiction over the Administrative Agent has made a public statement identifying a specific date after which Adjusted LIBO Rate or the LIBO Rate, as applicable, shall no longer be made available, or used for determining the interest rate of loans,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then, after (A) such determination by the Administrative Agent in good faith or (B) receipt by the Administrative Agent of such notice, as applicable, the Administrative Agent and the Borrowers may amend this Agreement to replace the Adjusted LIBO Rate or the LIBO Rate with an alternate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3" w:name="page284"/>
    <w:bookmarkEnd w:id="283"/>
    <w:p>
      <w:pPr>
        <w:jc w:val="both"/>
        <w:spacing w:after="0" w:line="271" w:lineRule="auto"/>
        <w:rPr>
          <w:sz w:val="20"/>
          <w:szCs w:val="20"/>
          <w:color w:val="auto"/>
        </w:rPr>
      </w:pPr>
      <w:r>
        <w:rPr>
          <w:rFonts w:ascii="Arial" w:cs="Arial" w:eastAsia="Arial" w:hAnsi="Arial"/>
          <w:sz w:val="21"/>
          <w:szCs w:val="21"/>
          <w:color w:val="auto"/>
        </w:rPr>
        <w:t>benchmark rate (including any mathematical or other adjustments to the benchmark (if any) incorporated therein) that has been broadly accepted by the syndicated loan market in the United States in lieu of the Adjusted LIBO Rate or LIBO Rate, as applicable (any such proposed rate, a “</w:t>
      </w:r>
      <w:r>
        <w:rPr>
          <w:rFonts w:ascii="Arial" w:cs="Arial" w:eastAsia="Arial" w:hAnsi="Arial"/>
          <w:sz w:val="21"/>
          <w:szCs w:val="21"/>
          <w:u w:val="single" w:color="auto"/>
          <w:color w:val="auto"/>
        </w:rPr>
        <w:t>LIBO Successor Rate</w:t>
      </w:r>
      <w:r>
        <w:rPr>
          <w:rFonts w:ascii="Arial" w:cs="Arial" w:eastAsia="Arial" w:hAnsi="Arial"/>
          <w:sz w:val="21"/>
          <w:szCs w:val="21"/>
          <w:color w:val="auto"/>
        </w:rPr>
        <w:t xml:space="preserve">”), together with any proposed LIBO Successor Rate Conforming Changes (but, for the avoidance of doubt, such related changes shall not include a reduction in the Applicable Margin);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alternate rate of interest would be less than zero, such rate shall be deemed to be zero for purposes of this Agreement, and, notwithstanding anything to the contrary in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any such amendment shall become effective at 5:00 p.m. (New York time) on the fifth Business Day after the Administrative Agent shall have posted such proposed amendment to all Lenders and the Borrowers unless, prior to such time, Lenders comprising the Required Lenders have delivered to the Administrative Agent notice that such Required Lenders do not accept such amendment. If no LIBO Successor Rate has been determined and the circumstances under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 exist, the obligation of the Issuing Banks to issue additional Letters of Credit shall be suspended.</w:t>
      </w:r>
    </w:p>
    <w:p>
      <w:pPr>
        <w:spacing w:after="0" w:line="146"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u w:val="single" w:color="auto"/>
          <w:color w:val="auto"/>
        </w:rPr>
        <w:t>Increased Costs.</w:t>
      </w:r>
    </w:p>
    <w:p>
      <w:pPr>
        <w:spacing w:after="0" w:line="206" w:lineRule="exact"/>
        <w:rPr>
          <w:sz w:val="20"/>
          <w:szCs w:val="20"/>
          <w:color w:val="auto"/>
        </w:rPr>
      </w:pPr>
    </w:p>
    <w:p>
      <w:pPr>
        <w:ind w:left="2080" w:hanging="776"/>
        <w:spacing w:after="0"/>
        <w:tabs>
          <w:tab w:leader="none" w:pos="20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192" w:lineRule="exact"/>
        <w:rPr>
          <w:rFonts w:ascii="Arial" w:cs="Arial" w:eastAsia="Arial" w:hAnsi="Arial"/>
          <w:sz w:val="22"/>
          <w:szCs w:val="22"/>
          <w:color w:val="auto"/>
        </w:rPr>
      </w:pPr>
    </w:p>
    <w:p>
      <w:pPr>
        <w:jc w:val="both"/>
        <w:ind w:left="660" w:firstLine="1292"/>
        <w:spacing w:after="0" w:line="266" w:lineRule="auto"/>
        <w:tabs>
          <w:tab w:leader="none" w:pos="2794" w:val="left"/>
        </w:tabs>
        <w:numPr>
          <w:ilvl w:val="1"/>
          <w:numId w:val="260"/>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extended by, any Lender (except any such reserve requirement reflected in the Adjusted LIBO Rate) or any Issuing Bank;</w:t>
      </w:r>
    </w:p>
    <w:p>
      <w:pPr>
        <w:spacing w:after="0" w:line="241" w:lineRule="exact"/>
        <w:rPr>
          <w:sz w:val="20"/>
          <w:szCs w:val="20"/>
          <w:color w:val="auto"/>
        </w:rPr>
      </w:pPr>
    </w:p>
    <w:p>
      <w:pPr>
        <w:ind w:left="660" w:firstLine="1292"/>
        <w:spacing w:after="0" w:line="358" w:lineRule="auto"/>
        <w:tabs>
          <w:tab w:leader="none" w:pos="2827" w:val="left"/>
        </w:tabs>
        <w:numPr>
          <w:ilvl w:val="0"/>
          <w:numId w:val="261"/>
        </w:numPr>
        <w:rPr>
          <w:rFonts w:ascii="Arial" w:cs="Arial" w:eastAsia="Arial" w:hAnsi="Arial"/>
          <w:sz w:val="19"/>
          <w:szCs w:val="19"/>
          <w:color w:val="auto"/>
        </w:rPr>
      </w:pPr>
      <w:r>
        <w:rPr>
          <w:rFonts w:ascii="Arial" w:cs="Arial" w:eastAsia="Arial" w:hAnsi="Arial"/>
          <w:sz w:val="19"/>
          <w:szCs w:val="19"/>
          <w:color w:val="auto"/>
        </w:rPr>
        <w:t>impose on any Lender or any Issuing Bank or the London interbank market any other condition, cost or expense (other than Taxes) affecting this Agreement or any Letter of Credit or participation therein; or</w:t>
      </w:r>
    </w:p>
    <w:p>
      <w:pPr>
        <w:spacing w:after="0" w:line="63" w:lineRule="exact"/>
        <w:rPr>
          <w:rFonts w:ascii="Arial" w:cs="Arial" w:eastAsia="Arial" w:hAnsi="Arial"/>
          <w:sz w:val="19"/>
          <w:szCs w:val="19"/>
          <w:color w:val="auto"/>
        </w:rPr>
      </w:pPr>
    </w:p>
    <w:p>
      <w:pPr>
        <w:jc w:val="both"/>
        <w:ind w:left="660" w:firstLine="1292"/>
        <w:spacing w:after="0" w:line="262" w:lineRule="auto"/>
        <w:tabs>
          <w:tab w:leader="none" w:pos="2955" w:val="left"/>
        </w:tabs>
        <w:numPr>
          <w:ilvl w:val="0"/>
          <w:numId w:val="261"/>
        </w:numPr>
        <w:rPr>
          <w:rFonts w:ascii="Arial" w:cs="Arial" w:eastAsia="Arial" w:hAnsi="Arial"/>
          <w:sz w:val="22"/>
          <w:szCs w:val="22"/>
          <w:color w:val="auto"/>
        </w:rPr>
      </w:pPr>
      <w:r>
        <w:rPr>
          <w:rFonts w:ascii="Arial" w:cs="Arial" w:eastAsia="Arial" w:hAnsi="Arial"/>
          <w:sz w:val="22"/>
          <w:szCs w:val="22"/>
          <w:color w:val="auto"/>
        </w:rPr>
        <w:t xml:space="preserve">subject any Recipient to any Taxes (other than (A) Indemnified Taxes, (B) Taxes described in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(h)</w:t>
      </w:r>
      <w:r>
        <w:rPr>
          <w:rFonts w:ascii="Arial" w:cs="Arial" w:eastAsia="Arial" w:hAnsi="Arial"/>
          <w:sz w:val="22"/>
          <w:szCs w:val="22"/>
          <w:color w:val="auto"/>
        </w:rPr>
        <w:t xml:space="preserve"> of the definition of “Excluded Taxes”, (C) Connection Income Taxes, and (D) Other Taxes) on its loans, loan principal, letters of credit, commitments, or other obligations, or its deposits, reserves, other liabilities or capital attributable thereto;</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and the result of any of the foregoing shall be to increase the cost to such Lender or such other Recipient of making, continuing, converting into or maintaining any Commitment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spacing w:after="0" w:line="165" w:lineRule="exact"/>
        <w:rPr>
          <w:sz w:val="20"/>
          <w:szCs w:val="20"/>
          <w:color w:val="auto"/>
        </w:rPr>
      </w:pPr>
    </w:p>
    <w:p>
      <w:pPr>
        <w:jc w:val="both"/>
        <w:ind w:firstLine="1304"/>
        <w:spacing w:after="0" w:line="327" w:lineRule="auto"/>
        <w:tabs>
          <w:tab w:leader="none" w:pos="2142"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4" w:name="page285"/>
    <w:bookmarkEnd w:id="284"/>
    <w:p>
      <w:pPr>
        <w:jc w:val="both"/>
        <w:spacing w:after="0" w:line="306" w:lineRule="auto"/>
        <w:rPr>
          <w:sz w:val="20"/>
          <w:szCs w:val="20"/>
          <w:color w:val="auto"/>
        </w:rPr>
      </w:pPr>
      <w:r>
        <w:rPr>
          <w:rFonts w:ascii="Arial" w:cs="Arial" w:eastAsia="Arial" w:hAnsi="Arial"/>
          <w:sz w:val="19"/>
          <w:szCs w:val="19"/>
          <w:color w:val="auto"/>
        </w:rPr>
        <w:t>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w:t>
      </w:r>
    </w:p>
    <w:p>
      <w:pPr>
        <w:spacing w:after="0" w:line="116" w:lineRule="exact"/>
        <w:rPr>
          <w:sz w:val="20"/>
          <w:szCs w:val="20"/>
          <w:color w:val="auto"/>
        </w:rPr>
      </w:pPr>
    </w:p>
    <w:p>
      <w:pPr>
        <w:jc w:val="both"/>
        <w:ind w:firstLine="1304"/>
        <w:spacing w:after="0" w:line="271" w:lineRule="auto"/>
        <w:tabs>
          <w:tab w:leader="none" w:pos="2076" w:val="left"/>
        </w:tabs>
        <w:numPr>
          <w:ilvl w:val="0"/>
          <w:numId w:val="263"/>
        </w:numPr>
        <w:rPr>
          <w:rFonts w:ascii="Arial" w:cs="Arial" w:eastAsia="Arial" w:hAnsi="Arial"/>
          <w:sz w:val="21"/>
          <w:szCs w:val="21"/>
          <w:color w:val="auto"/>
        </w:rPr>
      </w:pPr>
      <w:r>
        <w:rPr>
          <w:rFonts w:ascii="Arial" w:cs="Arial" w:eastAsia="Arial" w:hAnsi="Arial"/>
          <w:sz w:val="21"/>
          <w:szCs w:val="21"/>
          <w:color w:val="auto"/>
        </w:rPr>
        <w:t xml:space="preserve">A certificate of a Lender or an Issuing Bank setting forth the amount or amounts necessary to compensate such Lender or such Issuing Bank or its holding company, as the case may be, as specified in </w:t>
      </w:r>
      <w:r>
        <w:rPr>
          <w:rFonts w:ascii="Arial" w:cs="Arial" w:eastAsia="Arial" w:hAnsi="Arial"/>
          <w:sz w:val="21"/>
          <w:szCs w:val="21"/>
          <w:u w:val="single" w:color="auto"/>
          <w:color w:val="auto"/>
        </w:rPr>
        <w:t>Section 2.07(a)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2.07(b)</w:t>
      </w:r>
      <w:r>
        <w:rPr>
          <w:rFonts w:ascii="Arial" w:cs="Arial" w:eastAsia="Arial" w:hAnsi="Arial"/>
          <w:sz w:val="21"/>
          <w:szCs w:val="21"/>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Arial" w:cs="Arial" w:eastAsia="Arial" w:hAnsi="Arial"/>
          <w:sz w:val="21"/>
          <w:szCs w:val="21"/>
          <w:u w:val="single" w:color="auto"/>
          <w:color w:val="auto"/>
        </w:rPr>
        <w:t>Section 2.07(a)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2.07(b)</w:t>
      </w:r>
      <w:r>
        <w:rPr>
          <w:rFonts w:ascii="Arial" w:cs="Arial" w:eastAsia="Arial" w:hAnsi="Arial"/>
          <w:sz w:val="21"/>
          <w:szCs w:val="21"/>
          <w:color w:val="auto"/>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spacing w:after="0" w:line="162" w:lineRule="exact"/>
        <w:rPr>
          <w:rFonts w:ascii="Arial" w:cs="Arial" w:eastAsia="Arial" w:hAnsi="Arial"/>
          <w:sz w:val="21"/>
          <w:szCs w:val="21"/>
          <w:color w:val="auto"/>
        </w:rPr>
      </w:pPr>
    </w:p>
    <w:p>
      <w:pPr>
        <w:jc w:val="both"/>
        <w:ind w:firstLine="1304"/>
        <w:spacing w:after="0" w:line="266" w:lineRule="auto"/>
        <w:tabs>
          <w:tab w:leader="none" w:pos="2128"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Borrower shall be required</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 xml:space="preserve">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10" w:lineRule="exact"/>
        <w:rPr>
          <w:sz w:val="20"/>
          <w:szCs w:val="20"/>
          <w:color w:val="auto"/>
        </w:rPr>
      </w:pPr>
    </w:p>
    <w:p>
      <w:pPr>
        <w:ind w:left="2080" w:hanging="776"/>
        <w:spacing w:after="0"/>
        <w:tabs>
          <w:tab w:leader="none" w:pos="208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 xml:space="preserve">Each Lender requesting compensation under this Section shall comply with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SECTION 2.08</w:t>
      </w:r>
      <w:r>
        <w:rPr>
          <w:rFonts w:ascii="Arial" w:cs="Arial" w:eastAsia="Arial" w:hAnsi="Arial"/>
          <w:sz w:val="19"/>
          <w:szCs w:val="19"/>
          <w:u w:val="single" w:color="auto"/>
          <w:color w:val="auto"/>
        </w:rPr>
        <w:t>Several Liability; Agreement to Defer Exercise of Right of Contribution, Etc.</w:t>
      </w:r>
    </w:p>
    <w:p>
      <w:pPr>
        <w:spacing w:after="0" w:line="193" w:lineRule="exact"/>
        <w:rPr>
          <w:sz w:val="20"/>
          <w:szCs w:val="20"/>
          <w:color w:val="auto"/>
        </w:rPr>
      </w:pPr>
    </w:p>
    <w:p>
      <w:pPr>
        <w:jc w:val="both"/>
        <w:ind w:firstLine="1304"/>
        <w:spacing w:after="0" w:line="276" w:lineRule="auto"/>
        <w:tabs>
          <w:tab w:leader="none" w:pos="2157" w:val="left"/>
        </w:tabs>
        <w:numPr>
          <w:ilvl w:val="0"/>
          <w:numId w:val="265"/>
        </w:numPr>
        <w:rPr>
          <w:rFonts w:ascii="Arial" w:cs="Arial" w:eastAsia="Arial" w:hAnsi="Arial"/>
          <w:sz w:val="21"/>
          <w:szCs w:val="21"/>
          <w:color w:val="auto"/>
        </w:rPr>
      </w:pPr>
      <w:r>
        <w:rPr>
          <w:rFonts w:ascii="Arial" w:cs="Arial" w:eastAsia="Arial" w:hAnsi="Arial"/>
          <w:sz w:val="21"/>
          <w:szCs w:val="21"/>
          <w:color w:val="auto"/>
        </w:rPr>
        <w:t>Notwithstanding anything in this Agreement or any other Loan Documents to the contrary, with respect to each Letter of Credit, (a) the Borrower that requests such Letter of Credit or otherwise is the applicant therefor and shall be the “</w:t>
      </w:r>
      <w:r>
        <w:rPr>
          <w:rFonts w:ascii="Arial" w:cs="Arial" w:eastAsia="Arial" w:hAnsi="Arial"/>
          <w:sz w:val="21"/>
          <w:szCs w:val="21"/>
          <w:u w:val="single" w:color="auto"/>
          <w:color w:val="auto"/>
        </w:rPr>
        <w:t>Requesting Borrower</w:t>
      </w:r>
      <w:r>
        <w:rPr>
          <w:rFonts w:ascii="Arial" w:cs="Arial" w:eastAsia="Arial" w:hAnsi="Arial"/>
          <w:sz w:val="21"/>
          <w:szCs w:val="21"/>
          <w:color w:val="auto"/>
        </w:rPr>
        <w:t>” and all Borrowers other than the Requesting Borrower shall be the “</w:t>
      </w:r>
      <w:r>
        <w:rPr>
          <w:rFonts w:ascii="Arial" w:cs="Arial" w:eastAsia="Arial" w:hAnsi="Arial"/>
          <w:sz w:val="21"/>
          <w:szCs w:val="21"/>
          <w:u w:val="single" w:color="auto"/>
          <w:color w:val="auto"/>
        </w:rPr>
        <w:t>Other Borrowers”,</w:t>
      </w:r>
      <w:r>
        <w:rPr>
          <w:rFonts w:ascii="Arial" w:cs="Arial" w:eastAsia="Arial" w:hAnsi="Arial"/>
          <w:sz w:val="21"/>
          <w:szCs w:val="21"/>
          <w:color w:val="auto"/>
        </w:rPr>
        <w:t xml:space="preserve"> (b) the Requesting Borrower shall be severally (and not jointly) liable under this Agreement for the reimbursement, cash collateral and other obligations (including fees and interest) associated with such Letter 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5" w:name="page286"/>
    <w:bookmarkEnd w:id="285"/>
    <w:p>
      <w:pPr>
        <w:jc w:val="both"/>
        <w:spacing w:after="0" w:line="260" w:lineRule="auto"/>
        <w:rPr>
          <w:sz w:val="20"/>
          <w:szCs w:val="20"/>
          <w:color w:val="auto"/>
        </w:rPr>
      </w:pPr>
      <w:r>
        <w:rPr>
          <w:rFonts w:ascii="Arial" w:cs="Arial" w:eastAsia="Arial" w:hAnsi="Arial"/>
          <w:sz w:val="22"/>
          <w:szCs w:val="22"/>
          <w:color w:val="auto"/>
        </w:rPr>
        <w:t xml:space="preserve">Credit, and (c) no Other Borrower shall be a co-debtor with the Requesting Borrower with respect to such Letter of Credit or be in any way primarily liable under this Agreement for such Letter of Credit or the reimbursement, cash collateral or other obligations (including fees and interest) associated with such Letter of Credit;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forgoing limitations shall not affect (i) any obligations of any such Other Borrower with respect to any other Letters of Credit (and the related reimbursement and other obligations with respect thereto) for which it is a “Requesting Borrower” or (ii) any obligations of any such Other Borrower under the Affiliate Guaranty.</w:t>
      </w:r>
    </w:p>
    <w:p>
      <w:pPr>
        <w:spacing w:after="0" w:line="151" w:lineRule="exact"/>
        <w:rPr>
          <w:sz w:val="20"/>
          <w:szCs w:val="20"/>
          <w:color w:val="auto"/>
        </w:rPr>
      </w:pPr>
    </w:p>
    <w:p>
      <w:pPr>
        <w:jc w:val="both"/>
        <w:ind w:firstLine="1304"/>
        <w:spacing w:after="0" w:line="301" w:lineRule="auto"/>
        <w:tabs>
          <w:tab w:leader="none" w:pos="2088" w:val="left"/>
        </w:tabs>
        <w:numPr>
          <w:ilvl w:val="0"/>
          <w:numId w:val="266"/>
        </w:numPr>
        <w:rPr>
          <w:rFonts w:ascii="Arial" w:cs="Arial" w:eastAsia="Arial" w:hAnsi="Arial"/>
          <w:sz w:val="19"/>
          <w:szCs w:val="19"/>
          <w:color w:val="auto"/>
        </w:rPr>
      </w:pPr>
      <w:r>
        <w:rPr>
          <w:rFonts w:ascii="Arial" w:cs="Arial" w:eastAsia="Arial" w:hAnsi="Arial"/>
          <w:sz w:val="19"/>
          <w:szCs w:val="19"/>
          <w:color w:val="auto"/>
        </w:rPr>
        <w:t>Notwithstanding any payment or payments made by a Borrower (a “</w:t>
      </w:r>
      <w:r>
        <w:rPr>
          <w:rFonts w:ascii="Arial" w:cs="Arial" w:eastAsia="Arial" w:hAnsi="Arial"/>
          <w:sz w:val="19"/>
          <w:szCs w:val="19"/>
          <w:u w:val="single" w:color="auto"/>
          <w:color w:val="auto"/>
        </w:rPr>
        <w:t>Paying Borrower</w:t>
      </w:r>
      <w:r>
        <w:rPr>
          <w:rFonts w:ascii="Arial" w:cs="Arial" w:eastAsia="Arial" w:hAnsi="Arial"/>
          <w:sz w:val="19"/>
          <w:szCs w:val="19"/>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Arial" w:cs="Arial" w:eastAsia="Arial" w:hAnsi="Arial"/>
          <w:sz w:val="19"/>
          <w:szCs w:val="19"/>
          <w:i w:val="1"/>
          <w:iCs w:val="1"/>
          <w:color w:val="auto"/>
        </w:rPr>
        <w:t>pro tanto</w:t>
      </w:r>
      <w:r>
        <w:rPr>
          <w:rFonts w:ascii="Arial" w:cs="Arial" w:eastAsia="Arial" w:hAnsi="Arial"/>
          <w:sz w:val="19"/>
          <w:szCs w:val="19"/>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Determination of Exchange Rates; Cash Collateralization as a Result of Currency Fluctuations.</w:t>
      </w:r>
    </w:p>
    <w:p>
      <w:pPr>
        <w:spacing w:after="0" w:line="193" w:lineRule="exact"/>
        <w:rPr>
          <w:sz w:val="20"/>
          <w:szCs w:val="20"/>
          <w:color w:val="auto"/>
        </w:rPr>
      </w:pPr>
    </w:p>
    <w:p>
      <w:pPr>
        <w:jc w:val="both"/>
        <w:ind w:firstLine="1304"/>
        <w:spacing w:after="0" w:line="261" w:lineRule="auto"/>
        <w:tabs>
          <w:tab w:leader="none" w:pos="2089"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Administrative Agent shall determine the Exchange Rates (in accordance with the definition thereof) as of each Revaluation Date to be used for calculating Dollar Equivalent amounts in respect of the amounts available for drawing under outstanding Letters of Credit denominated in Alternative Currencies. Such Exchange Rates shall become effective as of such Revaluation Date and shall be the Exchange Rates employed in converting any amounts between the applicable Alternative Currencies until the next Revaluation Date to occur.</w:t>
      </w:r>
    </w:p>
    <w:p>
      <w:pPr>
        <w:spacing w:after="0" w:line="149" w:lineRule="exact"/>
        <w:rPr>
          <w:rFonts w:ascii="Arial" w:cs="Arial" w:eastAsia="Arial" w:hAnsi="Arial"/>
          <w:sz w:val="22"/>
          <w:szCs w:val="22"/>
          <w:color w:val="auto"/>
        </w:rPr>
      </w:pPr>
    </w:p>
    <w:p>
      <w:pPr>
        <w:jc w:val="both"/>
        <w:ind w:firstLine="1304"/>
        <w:spacing w:after="0" w:line="261" w:lineRule="auto"/>
        <w:tabs>
          <w:tab w:leader="none" w:pos="2398"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If as a result of fluctuations in Exchange Rates (which shall be calculated in accordance with the definition thereof by the Administrative Agent on each Revaluation Date) the Administrative Agent notifies the Borrowers in writing that the Total LC Exposure exceeds 105% of the aggregate Commitments, the Borrowers shall, within two Business Days following receipt of such notice, deliver to the Administrative Agent cash collateral in an amount equal to the remaining excess after giving effect to such prepayment.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6" w:name="page287"/>
    <w:bookmarkEnd w:id="286"/>
    <w:p>
      <w:pPr>
        <w:ind w:left="660"/>
        <w:spacing w:after="0"/>
        <w:tabs>
          <w:tab w:leader="none" w:pos="252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Defaulting Lenders.</w:t>
      </w:r>
    </w:p>
    <w:p>
      <w:pPr>
        <w:spacing w:after="0" w:line="193" w:lineRule="exact"/>
        <w:rPr>
          <w:sz w:val="20"/>
          <w:szCs w:val="20"/>
          <w:color w:val="auto"/>
        </w:rPr>
      </w:pPr>
    </w:p>
    <w:p>
      <w:pPr>
        <w:ind w:firstLine="1304"/>
        <w:spacing w:after="0" w:line="301" w:lineRule="auto"/>
        <w:tabs>
          <w:tab w:leader="none" w:pos="244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Notwithstanding any provision of any Loan Document to the contrary, if any Lender becomes a Defaulting Lender, then the following provisions shall apply for so long as such Lender is a Defaulting Lender:</w:t>
      </w:r>
    </w:p>
    <w:p>
      <w:pPr>
        <w:spacing w:after="0" w:line="123" w:lineRule="exact"/>
        <w:rPr>
          <w:rFonts w:ascii="Arial" w:cs="Arial" w:eastAsia="Arial" w:hAnsi="Arial"/>
          <w:sz w:val="21"/>
          <w:szCs w:val="21"/>
          <w:color w:val="auto"/>
        </w:rPr>
      </w:pPr>
    </w:p>
    <w:p>
      <w:pPr>
        <w:ind w:left="660" w:firstLine="1292"/>
        <w:spacing w:after="0" w:line="276" w:lineRule="auto"/>
        <w:tabs>
          <w:tab w:leader="none" w:pos="2754" w:val="left"/>
        </w:tabs>
        <w:numPr>
          <w:ilvl w:val="1"/>
          <w:numId w:val="268"/>
        </w:numPr>
        <w:rPr>
          <w:rFonts w:ascii="Arial" w:cs="Arial" w:eastAsia="Arial" w:hAnsi="Arial"/>
          <w:sz w:val="22"/>
          <w:szCs w:val="22"/>
          <w:color w:val="auto"/>
        </w:rPr>
      </w:pPr>
      <w:r>
        <w:rPr>
          <w:rFonts w:ascii="Arial" w:cs="Arial" w:eastAsia="Arial" w:hAnsi="Arial"/>
          <w:sz w:val="22"/>
          <w:szCs w:val="22"/>
          <w:color w:val="auto"/>
        </w:rPr>
        <w:t xml:space="preserve">facility fees shall cease to accrue on the unfunded portion of the Commitment of such Defaulting Lender pursuant to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133" w:lineRule="exact"/>
        <w:rPr>
          <w:rFonts w:ascii="Arial" w:cs="Arial" w:eastAsia="Arial" w:hAnsi="Arial"/>
          <w:sz w:val="22"/>
          <w:szCs w:val="22"/>
          <w:color w:val="auto"/>
        </w:rPr>
      </w:pPr>
    </w:p>
    <w:p>
      <w:pPr>
        <w:jc w:val="both"/>
        <w:ind w:left="660" w:firstLine="1292"/>
        <w:spacing w:after="0" w:line="276" w:lineRule="auto"/>
        <w:tabs>
          <w:tab w:leader="none" w:pos="3219" w:val="left"/>
        </w:tabs>
        <w:numPr>
          <w:ilvl w:val="1"/>
          <w:numId w:val="268"/>
        </w:numPr>
        <w:rPr>
          <w:rFonts w:ascii="Arial" w:cs="Arial" w:eastAsia="Arial" w:hAnsi="Arial"/>
          <w:sz w:val="21"/>
          <w:szCs w:val="21"/>
          <w:color w:val="auto"/>
        </w:rPr>
      </w:pPr>
      <w:r>
        <w:rPr>
          <w:rFonts w:ascii="Arial" w:cs="Arial" w:eastAsia="Arial" w:hAnsi="Arial"/>
          <w:sz w:val="21"/>
          <w:szCs w:val="21"/>
          <w:color w:val="auto"/>
        </w:rPr>
        <w:t xml:space="preserve">the Commitment and LC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provisions of this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shall not apply to the vote of a Defaulting Lender in the case of an amendment, waiver or other modification described in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for which such Defaulting Lender’s consent is expressly required;</w:t>
      </w:r>
    </w:p>
    <w:p>
      <w:pPr>
        <w:spacing w:after="0" w:line="136" w:lineRule="exact"/>
        <w:rPr>
          <w:rFonts w:ascii="Arial" w:cs="Arial" w:eastAsia="Arial" w:hAnsi="Arial"/>
          <w:sz w:val="21"/>
          <w:szCs w:val="21"/>
          <w:color w:val="auto"/>
        </w:rPr>
      </w:pPr>
    </w:p>
    <w:p>
      <w:pPr>
        <w:ind w:left="2820" w:hanging="868"/>
        <w:spacing w:after="0"/>
        <w:tabs>
          <w:tab w:leader="none" w:pos="2820" w:val="left"/>
        </w:tabs>
        <w:numPr>
          <w:ilvl w:val="1"/>
          <w:numId w:val="268"/>
        </w:numPr>
        <w:rPr>
          <w:rFonts w:ascii="Arial" w:cs="Arial" w:eastAsia="Arial" w:hAnsi="Arial"/>
          <w:sz w:val="22"/>
          <w:szCs w:val="22"/>
          <w:color w:val="auto"/>
        </w:rPr>
      </w:pPr>
      <w:r>
        <w:rPr>
          <w:rFonts w:ascii="Arial" w:cs="Arial" w:eastAsia="Arial" w:hAnsi="Arial"/>
          <w:sz w:val="22"/>
          <w:szCs w:val="22"/>
          <w:color w:val="auto"/>
        </w:rPr>
        <w:t>if any LC Exposure exists at the time such Lender becomes a Defaulting Lender, then:</w:t>
      </w:r>
    </w:p>
    <w:p>
      <w:pPr>
        <w:spacing w:after="0" w:line="206" w:lineRule="exact"/>
        <w:rPr>
          <w:sz w:val="20"/>
          <w:szCs w:val="20"/>
          <w:color w:val="auto"/>
        </w:rPr>
      </w:pPr>
    </w:p>
    <w:p>
      <w:pPr>
        <w:jc w:val="both"/>
        <w:ind w:left="1300" w:firstLine="652"/>
        <w:spacing w:after="0" w:line="297" w:lineRule="auto"/>
        <w:tabs>
          <w:tab w:leader="none" w:pos="3004" w:val="left"/>
        </w:tabs>
        <w:numPr>
          <w:ilvl w:val="1"/>
          <w:numId w:val="269"/>
        </w:numPr>
        <w:rPr>
          <w:rFonts w:ascii="Arial" w:cs="Arial" w:eastAsia="Arial" w:hAnsi="Arial"/>
          <w:sz w:val="19"/>
          <w:szCs w:val="19"/>
          <w:color w:val="010000"/>
        </w:rPr>
      </w:pPr>
      <w:r>
        <w:rPr>
          <w:rFonts w:ascii="Arial" w:cs="Arial" w:eastAsia="Arial" w:hAnsi="Arial"/>
          <w:sz w:val="19"/>
          <w:szCs w:val="19"/>
          <w:color w:val="auto"/>
        </w:rPr>
        <w:t>all or any part of LC Exposure of such Defaulting Lender shall be automatically reallocated (effective as of the date such Lender becomes a Defaulting Lender) among the non-Defaulting Lenders in accordance with their respective Applicable Percentages, but only to the extent that (x) each non-Defaulting Lender’s LC Exposure does not exceed the Commitment of such non-Defaulting Lender, (y) the sum of all non-Defaulting Lenders’ LC Exposure does not exceed the total of all non-Defaulting Lenders’ Commitments and</w:t>
      </w:r>
    </w:p>
    <w:p>
      <w:pPr>
        <w:spacing w:after="0" w:line="2" w:lineRule="exact"/>
        <w:rPr>
          <w:rFonts w:ascii="Arial" w:cs="Arial" w:eastAsia="Arial" w:hAnsi="Arial"/>
          <w:sz w:val="19"/>
          <w:szCs w:val="19"/>
          <w:color w:val="010000"/>
        </w:rPr>
      </w:pPr>
    </w:p>
    <w:p>
      <w:pPr>
        <w:ind w:left="1600" w:hanging="296"/>
        <w:spacing w:after="0"/>
        <w:tabs>
          <w:tab w:leader="none" w:pos="160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w:t>
      </w:r>
    </w:p>
    <w:p>
      <w:pPr>
        <w:spacing w:after="0" w:line="188" w:lineRule="exact"/>
        <w:rPr>
          <w:rFonts w:ascii="Arial" w:cs="Arial" w:eastAsia="Arial" w:hAnsi="Arial"/>
          <w:sz w:val="22"/>
          <w:szCs w:val="22"/>
          <w:color w:val="auto"/>
        </w:rPr>
      </w:pPr>
    </w:p>
    <w:p>
      <w:pPr>
        <w:jc w:val="both"/>
        <w:ind w:left="1300" w:firstLine="652"/>
        <w:spacing w:after="0" w:line="308" w:lineRule="auto"/>
        <w:tabs>
          <w:tab w:leader="none" w:pos="2938" w:val="left"/>
        </w:tabs>
        <w:numPr>
          <w:ilvl w:val="1"/>
          <w:numId w:val="270"/>
        </w:numPr>
        <w:rPr>
          <w:rFonts w:ascii="Arial" w:cs="Arial" w:eastAsia="Arial" w:hAnsi="Arial"/>
          <w:sz w:val="19"/>
          <w:szCs w:val="19"/>
          <w:color w:val="010000"/>
        </w:rPr>
      </w:pPr>
      <w:r>
        <w:rPr>
          <w:rFonts w:ascii="Arial" w:cs="Arial" w:eastAsia="Arial" w:hAnsi="Arial"/>
          <w:sz w:val="19"/>
          <w:szCs w:val="19"/>
          <w:color w:val="auto"/>
        </w:rPr>
        <w:t xml:space="preserve">if the reallocation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cannot, or can only partially, be effected, the Borrowers shall, 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in accordance with the procedures set forth in </w:t>
      </w:r>
      <w:r>
        <w:rPr>
          <w:rFonts w:ascii="Arial" w:cs="Arial" w:eastAsia="Arial" w:hAnsi="Arial"/>
          <w:sz w:val="19"/>
          <w:szCs w:val="19"/>
          <w:u w:val="single" w:color="auto"/>
          <w:color w:val="auto"/>
        </w:rPr>
        <w:t>Section 3.01(k)(i)</w:t>
      </w:r>
      <w:r>
        <w:rPr>
          <w:rFonts w:ascii="Arial" w:cs="Arial" w:eastAsia="Arial" w:hAnsi="Arial"/>
          <w:sz w:val="19"/>
          <w:szCs w:val="19"/>
          <w:color w:val="auto"/>
        </w:rPr>
        <w:t xml:space="preserve"> (and the cash so deposited shall be held, invested and applied by such Issuing Bank in a manner consistent with the</w:t>
      </w:r>
    </w:p>
    <w:p>
      <w:pPr>
        <w:spacing w:after="0" w:line="1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investment and other procedures described in </w:t>
      </w:r>
      <w:r>
        <w:rPr>
          <w:rFonts w:ascii="Arial" w:cs="Arial" w:eastAsia="Arial" w:hAnsi="Arial"/>
          <w:sz w:val="19"/>
          <w:szCs w:val="19"/>
          <w:u w:val="single" w:color="auto"/>
          <w:color w:val="auto"/>
        </w:rPr>
        <w:t>Section 3.01(k)</w:t>
      </w:r>
      <w:r>
        <w:rPr>
          <w:rFonts w:ascii="Arial" w:cs="Arial" w:eastAsia="Arial" w:hAnsi="Arial"/>
          <w:sz w:val="19"/>
          <w:szCs w:val="19"/>
          <w:color w:val="auto"/>
        </w:rPr>
        <w:t>) for so long as such LC Exposure is outstanding;</w:t>
      </w:r>
    </w:p>
    <w:p>
      <w:pPr>
        <w:spacing w:after="0" w:line="241" w:lineRule="exact"/>
        <w:rPr>
          <w:sz w:val="20"/>
          <w:szCs w:val="20"/>
          <w:color w:val="auto"/>
        </w:rPr>
      </w:pPr>
    </w:p>
    <w:p>
      <w:pPr>
        <w:jc w:val="both"/>
        <w:ind w:left="1300" w:firstLine="652"/>
        <w:spacing w:after="0" w:line="262" w:lineRule="auto"/>
        <w:tabs>
          <w:tab w:leader="none" w:pos="3127" w:val="left"/>
        </w:tabs>
        <w:numPr>
          <w:ilvl w:val="0"/>
          <w:numId w:val="271"/>
        </w:numPr>
        <w:rPr>
          <w:rFonts w:ascii="Arial" w:cs="Arial" w:eastAsia="Arial" w:hAnsi="Arial"/>
          <w:sz w:val="22"/>
          <w:szCs w:val="22"/>
          <w:color w:val="010000"/>
        </w:rPr>
      </w:pPr>
      <w:r>
        <w:rPr>
          <w:rFonts w:ascii="Arial" w:cs="Arial" w:eastAsia="Arial" w:hAnsi="Arial"/>
          <w:sz w:val="22"/>
          <w:szCs w:val="22"/>
          <w:color w:val="auto"/>
        </w:rPr>
        <w:t xml:space="preserve">if the Borrowers cash collateralize any portion of such Defaulting Lender’s LC Exposure pursuant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above, the Borrowers shall not be required to pay any fees to such Defaulting Lender pursuant to </w:t>
      </w:r>
      <w:r>
        <w:rPr>
          <w:rFonts w:ascii="Arial" w:cs="Arial" w:eastAsia="Arial" w:hAnsi="Arial"/>
          <w:sz w:val="22"/>
          <w:szCs w:val="22"/>
          <w:u w:val="single" w:color="auto"/>
          <w:color w:val="auto"/>
        </w:rPr>
        <w:t>Section 2.04(b)(i)</w:t>
      </w:r>
      <w:r>
        <w:rPr>
          <w:rFonts w:ascii="Arial" w:cs="Arial" w:eastAsia="Arial" w:hAnsi="Arial"/>
          <w:sz w:val="22"/>
          <w:szCs w:val="22"/>
          <w:color w:val="auto"/>
        </w:rPr>
        <w:t xml:space="preserve"> with respect to such Defaulting Lender’s LC Exposure during the period such Defaulting Lender’s LC Exposure is cash collateralized;</w:t>
      </w:r>
    </w:p>
    <w:p>
      <w:pPr>
        <w:spacing w:after="0" w:line="150" w:lineRule="exact"/>
        <w:rPr>
          <w:rFonts w:ascii="Arial" w:cs="Arial" w:eastAsia="Arial" w:hAnsi="Arial"/>
          <w:sz w:val="22"/>
          <w:szCs w:val="22"/>
          <w:color w:val="010000"/>
        </w:rPr>
      </w:pPr>
    </w:p>
    <w:p>
      <w:pPr>
        <w:ind w:left="1300" w:firstLine="652"/>
        <w:spacing w:after="0" w:line="276" w:lineRule="auto"/>
        <w:tabs>
          <w:tab w:leader="none" w:pos="2923" w:val="left"/>
        </w:tabs>
        <w:numPr>
          <w:ilvl w:val="0"/>
          <w:numId w:val="271"/>
        </w:numPr>
        <w:rPr>
          <w:rFonts w:ascii="Arial" w:cs="Arial" w:eastAsia="Arial" w:hAnsi="Arial"/>
          <w:sz w:val="22"/>
          <w:szCs w:val="22"/>
          <w:color w:val="010000"/>
        </w:rPr>
      </w:pPr>
      <w:r>
        <w:rPr>
          <w:rFonts w:ascii="Arial" w:cs="Arial" w:eastAsia="Arial" w:hAnsi="Arial"/>
          <w:sz w:val="22"/>
          <w:szCs w:val="22"/>
          <w:color w:val="auto"/>
        </w:rPr>
        <w:t xml:space="preserve">if the LC Exposure of the non-Defaulting Lenders is reallocated pursuant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then the Letter of Credit participation fees payable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7" w:name="page288"/>
    <w:bookmarkEnd w:id="287"/>
    <w:p>
      <w:pPr>
        <w:ind w:left="1300"/>
        <w:spacing w:after="0" w:line="276" w:lineRule="auto"/>
        <w:rPr>
          <w:sz w:val="20"/>
          <w:szCs w:val="20"/>
          <w:color w:val="auto"/>
        </w:rPr>
      </w:pPr>
      <w:r>
        <w:rPr>
          <w:rFonts w:ascii="Arial" w:cs="Arial" w:eastAsia="Arial" w:hAnsi="Arial"/>
          <w:sz w:val="22"/>
          <w:szCs w:val="22"/>
          <w:color w:val="auto"/>
        </w:rPr>
        <w:t xml:space="preserve">the Lenders pursuant to </w:t>
      </w:r>
      <w:r>
        <w:rPr>
          <w:rFonts w:ascii="Arial" w:cs="Arial" w:eastAsia="Arial" w:hAnsi="Arial"/>
          <w:sz w:val="22"/>
          <w:szCs w:val="22"/>
          <w:u w:val="single" w:color="auto"/>
          <w:color w:val="auto"/>
        </w:rPr>
        <w:t>Section 2.04(b)(i)</w:t>
      </w:r>
      <w:r>
        <w:rPr>
          <w:rFonts w:ascii="Arial" w:cs="Arial" w:eastAsia="Arial" w:hAnsi="Arial"/>
          <w:sz w:val="22"/>
          <w:szCs w:val="22"/>
          <w:color w:val="auto"/>
        </w:rPr>
        <w:t xml:space="preserve"> shall be adjusted in accordance with such non-Defaulting Lenders’ Applicable Percentages after giving effect to such reallocation; and</w:t>
      </w:r>
    </w:p>
    <w:p>
      <w:pPr>
        <w:spacing w:after="0" w:line="134" w:lineRule="exact"/>
        <w:rPr>
          <w:sz w:val="20"/>
          <w:szCs w:val="20"/>
          <w:color w:val="auto"/>
        </w:rPr>
      </w:pPr>
    </w:p>
    <w:p>
      <w:pPr>
        <w:jc w:val="both"/>
        <w:ind w:left="1300" w:firstLine="652"/>
        <w:spacing w:after="0" w:line="272" w:lineRule="auto"/>
        <w:tabs>
          <w:tab w:leader="none" w:pos="2953" w:val="left"/>
        </w:tabs>
        <w:numPr>
          <w:ilvl w:val="0"/>
          <w:numId w:val="272"/>
        </w:numPr>
        <w:rPr>
          <w:rFonts w:ascii="Arial" w:cs="Arial" w:eastAsia="Arial" w:hAnsi="Arial"/>
          <w:sz w:val="21"/>
          <w:szCs w:val="21"/>
          <w:color w:val="010000"/>
        </w:rPr>
      </w:pPr>
      <w:r>
        <w:rPr>
          <w:rFonts w:ascii="Arial" w:cs="Arial" w:eastAsia="Arial" w:hAnsi="Arial"/>
          <w:sz w:val="21"/>
          <w:szCs w:val="21"/>
          <w:color w:val="auto"/>
        </w:rPr>
        <w:t xml:space="preserve">if all or any portion of such Defaulting Lender’s LC Exposure is neither reallocated nor cash collateralized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then, without prejudice to any rights or remedies of any Issuing Bank or any other Lender hereunder, all facility fees that otherwise would have been payable to such Defaulting Lender under </w:t>
      </w:r>
      <w:r>
        <w:rPr>
          <w:rFonts w:ascii="Arial" w:cs="Arial" w:eastAsia="Arial" w:hAnsi="Arial"/>
          <w:sz w:val="21"/>
          <w:szCs w:val="21"/>
          <w:u w:val="single" w:color="auto"/>
          <w:color w:val="auto"/>
        </w:rPr>
        <w:t>Section 2.04(a)</w:t>
      </w:r>
      <w:r>
        <w:rPr>
          <w:rFonts w:ascii="Arial" w:cs="Arial" w:eastAsia="Arial" w:hAnsi="Arial"/>
          <w:sz w:val="21"/>
          <w:szCs w:val="21"/>
          <w:color w:val="auto"/>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Arial" w:cs="Arial" w:eastAsia="Arial" w:hAnsi="Arial"/>
          <w:sz w:val="21"/>
          <w:szCs w:val="21"/>
          <w:u w:val="single" w:color="auto"/>
          <w:color w:val="auto"/>
        </w:rPr>
        <w:t>Section 2.04(b)(i)</w:t>
      </w:r>
      <w:r>
        <w:rPr>
          <w:rFonts w:ascii="Arial" w:cs="Arial" w:eastAsia="Arial" w:hAnsi="Arial"/>
          <w:sz w:val="21"/>
          <w:szCs w:val="21"/>
          <w:color w:val="auto"/>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and</w:t>
      </w:r>
    </w:p>
    <w:p>
      <w:pPr>
        <w:spacing w:after="0" w:line="156" w:lineRule="exact"/>
        <w:rPr>
          <w:sz w:val="20"/>
          <w:szCs w:val="20"/>
          <w:color w:val="auto"/>
        </w:rPr>
      </w:pPr>
    </w:p>
    <w:p>
      <w:pPr>
        <w:jc w:val="both"/>
        <w:ind w:left="660" w:right="20" w:firstLine="1292"/>
        <w:spacing w:after="0" w:line="274" w:lineRule="auto"/>
        <w:tabs>
          <w:tab w:leader="none" w:pos="2862" w:val="left"/>
        </w:tabs>
        <w:numPr>
          <w:ilvl w:val="1"/>
          <w:numId w:val="273"/>
        </w:numPr>
        <w:rPr>
          <w:rFonts w:ascii="Arial" w:cs="Arial" w:eastAsia="Arial" w:hAnsi="Arial"/>
          <w:sz w:val="21"/>
          <w:szCs w:val="21"/>
          <w:color w:val="auto"/>
        </w:rPr>
      </w:pPr>
      <w:r>
        <w:rPr>
          <w:rFonts w:ascii="Arial" w:cs="Arial" w:eastAsia="Arial" w:hAnsi="Arial"/>
          <w:sz w:val="21"/>
          <w:szCs w:val="21"/>
          <w:color w:val="auto"/>
        </w:rPr>
        <w:t xml:space="preserve">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Arial" w:cs="Arial" w:eastAsia="Arial" w:hAnsi="Arial"/>
          <w:sz w:val="21"/>
          <w:szCs w:val="21"/>
          <w:u w:val="single" w:color="auto"/>
          <w:color w:val="auto"/>
        </w:rPr>
        <w:t>Section 2.10(a)(iii)(B)</w:t>
      </w:r>
      <w:r>
        <w:rPr>
          <w:rFonts w:ascii="Arial" w:cs="Arial" w:eastAsia="Arial" w:hAnsi="Arial"/>
          <w:sz w:val="21"/>
          <w:szCs w:val="21"/>
          <w:color w:val="auto"/>
        </w:rPr>
        <w:t xml:space="preserve">, and participating interests in any newly issued or increased Letter of Credit shall be allocated among non-Defaulting Lenders in a manner consistent with </w:t>
      </w:r>
      <w:r>
        <w:rPr>
          <w:rFonts w:ascii="Arial" w:cs="Arial" w:eastAsia="Arial" w:hAnsi="Arial"/>
          <w:sz w:val="21"/>
          <w:szCs w:val="21"/>
          <w:u w:val="single" w:color="auto"/>
          <w:color w:val="auto"/>
        </w:rPr>
        <w:t>Section 2.10(a)(iii)(A)</w:t>
      </w:r>
      <w:r>
        <w:rPr>
          <w:rFonts w:ascii="Arial" w:cs="Arial" w:eastAsia="Arial" w:hAnsi="Arial"/>
          <w:sz w:val="21"/>
          <w:szCs w:val="21"/>
          <w:color w:val="auto"/>
        </w:rPr>
        <w:t xml:space="preserve"> (and such Defaulting Lender shall not participate therein);</w:t>
      </w:r>
    </w:p>
    <w:p>
      <w:pPr>
        <w:spacing w:after="0" w:line="141" w:lineRule="exact"/>
        <w:rPr>
          <w:rFonts w:ascii="Arial" w:cs="Arial" w:eastAsia="Arial" w:hAnsi="Arial"/>
          <w:sz w:val="21"/>
          <w:szCs w:val="21"/>
          <w:color w:val="auto"/>
        </w:rPr>
      </w:pPr>
    </w:p>
    <w:p>
      <w:pPr>
        <w:jc w:val="both"/>
        <w:ind w:firstLine="1304"/>
        <w:spacing w:after="0" w:line="327" w:lineRule="auto"/>
        <w:tabs>
          <w:tab w:leader="none" w:pos="2169"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The rights and remedies against, and with respect to, a Defaulting Lender under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92" w:lineRule="exact"/>
        <w:rPr>
          <w:rFonts w:ascii="Arial" w:cs="Arial" w:eastAsia="Arial" w:hAnsi="Arial"/>
          <w:sz w:val="19"/>
          <w:szCs w:val="19"/>
          <w:color w:val="auto"/>
        </w:rPr>
      </w:pPr>
    </w:p>
    <w:p>
      <w:pPr>
        <w:jc w:val="both"/>
        <w:ind w:firstLine="1304"/>
        <w:spacing w:after="0" w:line="284" w:lineRule="auto"/>
        <w:tabs>
          <w:tab w:leader="none" w:pos="2143" w:val="left"/>
        </w:tabs>
        <w:numPr>
          <w:ilvl w:val="0"/>
          <w:numId w:val="274"/>
        </w:numPr>
        <w:rPr>
          <w:rFonts w:ascii="Arial" w:cs="Arial" w:eastAsia="Arial" w:hAnsi="Arial"/>
          <w:sz w:val="21"/>
          <w:szCs w:val="21"/>
          <w:color w:val="auto"/>
        </w:rPr>
      </w:pPr>
      <w:r>
        <w:rPr>
          <w:rFonts w:ascii="Arial" w:cs="Arial" w:eastAsia="Arial" w:hAnsi="Arial"/>
          <w:sz w:val="21"/>
          <w:szCs w:val="21"/>
          <w:color w:val="auto"/>
        </w:rPr>
        <w:t>In the event that the Administrative Agent, the Borrowers, and the Issuing Banks agree in writing that a Defaulting Lender has adequately remedied all matters that caused such Lender to be a Defaulting Lender, then the LC Exposures of the Lenders shall be readjusted to reflect the inclusion of such Lender’s Commitment.</w:t>
      </w:r>
    </w:p>
    <w:p>
      <w:pPr>
        <w:spacing w:after="0" w:line="142"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Increase in Commitments.</w:t>
      </w:r>
    </w:p>
    <w:p>
      <w:pPr>
        <w:spacing w:after="0" w:line="193" w:lineRule="exact"/>
        <w:rPr>
          <w:sz w:val="20"/>
          <w:szCs w:val="20"/>
          <w:color w:val="auto"/>
        </w:rPr>
      </w:pPr>
    </w:p>
    <w:p>
      <w:pPr>
        <w:jc w:val="both"/>
        <w:ind w:firstLine="1304"/>
        <w:spacing w:after="0" w:line="306" w:lineRule="auto"/>
        <w:tabs>
          <w:tab w:leader="none" w:pos="2157"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Borrowers’ Request</w:t>
      </w:r>
      <w:r>
        <w:rPr>
          <w:rFonts w:ascii="Arial" w:cs="Arial" w:eastAsia="Arial" w:hAnsi="Arial"/>
          <w:sz w:val="19"/>
          <w:szCs w:val="19"/>
          <w:color w:val="auto"/>
        </w:rPr>
        <w:t>. Subject to the terms and conditions set forth herein, the Borrowers may by written notice to the Administrative Agent, and with the consent of each Issuing Bank, elect to request at any time and from time to time (but not more than twice in any calendar year) prior to the Maturity Date an increase to the aggregate Commitments (each such increase, a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and each additional commitment provided pursuant to a Commitment Increase, an “</w:t>
      </w:r>
      <w:r>
        <w:rPr>
          <w:rFonts w:ascii="Arial" w:cs="Arial" w:eastAsia="Arial" w:hAnsi="Arial"/>
          <w:sz w:val="19"/>
          <w:szCs w:val="19"/>
          <w:u w:val="single" w:color="auto"/>
          <w:color w:val="auto"/>
        </w:rPr>
        <w:t>Incremental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(x) all Incremental Commitments provided after the Effective Date under this Agreement shall not exceed $25,000,000 (such amount, the “</w:t>
      </w:r>
      <w:r>
        <w:rPr>
          <w:rFonts w:ascii="Arial" w:cs="Arial" w:eastAsia="Arial" w:hAnsi="Arial"/>
          <w:sz w:val="19"/>
          <w:szCs w:val="19"/>
          <w:u w:val="single" w:color="auto"/>
          <w:color w:val="auto"/>
        </w:rPr>
        <w:t>Incremental Commitment Cap</w:t>
      </w:r>
      <w:r>
        <w:rPr>
          <w:rFonts w:ascii="Arial" w:cs="Arial" w:eastAsia="Arial" w:hAnsi="Arial"/>
          <w:sz w:val="19"/>
          <w:szCs w:val="19"/>
          <w:color w:val="auto"/>
        </w:rPr>
        <w:t>”). Each such notice shall specify (i) the date on which the Borrowers propose that the applicable Incremental Commitments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8" w:name="page289"/>
    <w:bookmarkEnd w:id="288"/>
    <w:p>
      <w:pPr>
        <w:jc w:val="both"/>
        <w:spacing w:after="0" w:line="301" w:lineRule="auto"/>
        <w:rPr>
          <w:sz w:val="20"/>
          <w:szCs w:val="20"/>
          <w:color w:val="auto"/>
        </w:rPr>
      </w:pPr>
      <w:r>
        <w:rPr>
          <w:rFonts w:ascii="Arial" w:cs="Arial" w:eastAsia="Arial" w:hAnsi="Arial"/>
          <w:sz w:val="19"/>
          <w:szCs w:val="19"/>
          <w:color w:val="auto"/>
        </w:rPr>
        <w:t>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Commitments be allocated and the amounts of such allocations; provided that (A) any existing Lender approached to provide an Incremental Commitment may elect or decline, in its sole discretion, to provide such Incremental Commitment (any existing Lender electing to provide an Incremental Commitment,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xml:space="preserve">”), (B) any Person approached to provide an Incremental Commitment that is not already a Lender shall meet the requirements to be an assignee under </w:t>
      </w:r>
      <w:r>
        <w:rPr>
          <w:rFonts w:ascii="Arial" w:cs="Arial" w:eastAsia="Arial" w:hAnsi="Arial"/>
          <w:sz w:val="19"/>
          <w:szCs w:val="19"/>
          <w:u w:val="single" w:color="auto"/>
          <w:color w:val="auto"/>
        </w:rPr>
        <w:t>Section 11.05(b)</w:t>
      </w:r>
      <w:r>
        <w:rPr>
          <w:rFonts w:ascii="Arial" w:cs="Arial" w:eastAsia="Arial" w:hAnsi="Arial"/>
          <w:sz w:val="19"/>
          <w:szCs w:val="19"/>
          <w:color w:val="auto"/>
        </w:rPr>
        <w:t xml:space="preserve"> (subject to such consents, if any, as may be required under </w:t>
      </w:r>
      <w:r>
        <w:rPr>
          <w:rFonts w:ascii="Arial" w:cs="Arial" w:eastAsia="Arial" w:hAnsi="Arial"/>
          <w:sz w:val="19"/>
          <w:szCs w:val="19"/>
          <w:u w:val="single" w:color="auto"/>
          <w:color w:val="auto"/>
        </w:rPr>
        <w:t>Section 11.05(b)</w:t>
      </w:r>
      <w:r>
        <w:rPr>
          <w:rFonts w:ascii="Arial" w:cs="Arial" w:eastAsia="Arial" w:hAnsi="Arial"/>
          <w:sz w:val="19"/>
          <w:szCs w:val="19"/>
          <w:color w:val="auto"/>
        </w:rPr>
        <w:t xml:space="preserve">) and shall deliver all applicable forms and documents required by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11.05(b)(ii)</w:t>
      </w:r>
      <w:r>
        <w:rPr>
          <w:rFonts w:ascii="Arial" w:cs="Arial" w:eastAsia="Arial" w:hAnsi="Arial"/>
          <w:sz w:val="19"/>
          <w:szCs w:val="19"/>
          <w:color w:val="auto"/>
        </w:rPr>
        <w:t xml:space="preserve"> (any such Person agreeing to provide all or any portion of an Incremental Commitment that is not already a Lender, an “</w:t>
      </w:r>
      <w:r>
        <w:rPr>
          <w:rFonts w:ascii="Arial" w:cs="Arial" w:eastAsia="Arial" w:hAnsi="Arial"/>
          <w:sz w:val="19"/>
          <w:szCs w:val="19"/>
          <w:u w:val="single" w:color="auto"/>
          <w:color w:val="auto"/>
        </w:rPr>
        <w:t>Additional Lender</w:t>
      </w:r>
      <w:r>
        <w:rPr>
          <w:rFonts w:ascii="Arial" w:cs="Arial" w:eastAsia="Arial" w:hAnsi="Arial"/>
          <w:sz w:val="19"/>
          <w:szCs w:val="19"/>
          <w:color w:val="auto"/>
        </w:rPr>
        <w:t>”), (C) if any Increasing Lender is providing an Incremental Commitment, then the Borrowers and such Increasing Lender shall execute an Increasing Lender Supplement, and (D) if any Additional Lender is providing an Incremental Commitment, then the Borrowers and such Additional Lender shall execute an Additional Lender Supplement. Each Commitment Increase shall be in an aggregate amount of $5,000,000 or any whole multiple of $1,000,000 in excess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 Commitment Increase may be less than $5,000,000 if such amount represents all remaining availability under the Incremental Commitment Cap).</w:t>
      </w:r>
    </w:p>
    <w:p>
      <w:pPr>
        <w:spacing w:after="0" w:line="389" w:lineRule="exact"/>
        <w:rPr>
          <w:sz w:val="20"/>
          <w:szCs w:val="20"/>
          <w:color w:val="auto"/>
        </w:rPr>
      </w:pPr>
    </w:p>
    <w:p>
      <w:pPr>
        <w:jc w:val="both"/>
        <w:ind w:firstLine="1304"/>
        <w:spacing w:after="0" w:line="262" w:lineRule="auto"/>
        <w:tabs>
          <w:tab w:leader="none" w:pos="2101"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Conditions</w:t>
      </w:r>
      <w:r>
        <w:rPr>
          <w:rFonts w:ascii="Arial" w:cs="Arial" w:eastAsia="Arial" w:hAnsi="Arial"/>
          <w:sz w:val="22"/>
          <w:szCs w:val="22"/>
          <w:color w:val="auto"/>
        </w:rPr>
        <w:t>. Each Commitment Increase shall become effective on the proposed effective date set forth in the Borrowers’ request for a Commitment Increase or such later date as the Administrative Agent and the Borrowers agree (the “</w:t>
      </w:r>
      <w:r>
        <w:rPr>
          <w:rFonts w:ascii="Arial" w:cs="Arial" w:eastAsia="Arial" w:hAnsi="Arial"/>
          <w:sz w:val="22"/>
          <w:szCs w:val="22"/>
          <w:u w:val="single" w:color="auto"/>
          <w:color w:val="auto"/>
        </w:rPr>
        <w:t>Increase Effective Date</w:t>
      </w:r>
      <w:r>
        <w:rPr>
          <w:rFonts w:ascii="Arial" w:cs="Arial" w:eastAsia="Arial" w:hAnsi="Arial"/>
          <w:sz w:val="22"/>
          <w:szCs w:val="22"/>
          <w:color w:val="auto"/>
        </w:rPr>
        <w:t>”), which in any event shall be on or after the date on which the Administrative Agent shall have received:</w:t>
      </w:r>
    </w:p>
    <w:p>
      <w:pPr>
        <w:spacing w:after="0" w:line="164" w:lineRule="exact"/>
        <w:rPr>
          <w:rFonts w:ascii="Arial" w:cs="Arial" w:eastAsia="Arial" w:hAnsi="Arial"/>
          <w:sz w:val="22"/>
          <w:szCs w:val="22"/>
          <w:color w:val="auto"/>
        </w:rPr>
      </w:pPr>
    </w:p>
    <w:p>
      <w:pPr>
        <w:jc w:val="both"/>
        <w:ind w:left="660" w:firstLine="1292"/>
        <w:spacing w:after="0" w:line="266" w:lineRule="auto"/>
        <w:tabs>
          <w:tab w:leader="none" w:pos="2794" w:val="left"/>
        </w:tabs>
        <w:numPr>
          <w:ilvl w:val="1"/>
          <w:numId w:val="276"/>
        </w:numPr>
        <w:rPr>
          <w:rFonts w:ascii="Arial" w:cs="Arial" w:eastAsia="Arial" w:hAnsi="Arial"/>
          <w:sz w:val="22"/>
          <w:szCs w:val="22"/>
          <w:color w:val="auto"/>
        </w:rPr>
      </w:pPr>
      <w:r>
        <w:rPr>
          <w:rFonts w:ascii="Arial" w:cs="Arial" w:eastAsia="Arial" w:hAnsi="Arial"/>
          <w:sz w:val="22"/>
          <w:szCs w:val="22"/>
          <w:color w:val="auto"/>
        </w:rPr>
        <w:t>an Additional Lender Supplement for each Additional Lender participating in such Commitment Increase and an Increasing Lender Supplement for each Increasing Lender participating in such Commitment Increase, in each case duly executed by all parties thereto;</w:t>
      </w:r>
    </w:p>
    <w:p>
      <w:pPr>
        <w:spacing w:after="0" w:line="144" w:lineRule="exact"/>
        <w:rPr>
          <w:rFonts w:ascii="Arial" w:cs="Arial" w:eastAsia="Arial" w:hAnsi="Arial"/>
          <w:sz w:val="22"/>
          <w:szCs w:val="22"/>
          <w:color w:val="auto"/>
        </w:rPr>
      </w:pPr>
    </w:p>
    <w:p>
      <w:pPr>
        <w:jc w:val="both"/>
        <w:ind w:left="660" w:firstLine="1292"/>
        <w:spacing w:after="0" w:line="266" w:lineRule="auto"/>
        <w:tabs>
          <w:tab w:leader="none" w:pos="2976" w:val="left"/>
        </w:tabs>
        <w:numPr>
          <w:ilvl w:val="1"/>
          <w:numId w:val="276"/>
        </w:numPr>
        <w:rPr>
          <w:rFonts w:ascii="Arial" w:cs="Arial" w:eastAsia="Arial" w:hAnsi="Arial"/>
          <w:sz w:val="22"/>
          <w:szCs w:val="22"/>
          <w:color w:val="auto"/>
        </w:rPr>
      </w:pPr>
      <w:r>
        <w:rPr>
          <w:rFonts w:ascii="Arial" w:cs="Arial" w:eastAsia="Arial" w:hAnsi="Arial"/>
          <w:sz w:val="22"/>
          <w:szCs w:val="22"/>
          <w:color w:val="auto"/>
        </w:rPr>
        <w:t>such documents and opinions consistent with those delivered on the Effective Date as to the organizational power and authority of the Borrowers to request Letters of Credit hereunder after giving effect to such Commitment Increase as the Administrative Agent may reasonably request;</w:t>
      </w:r>
    </w:p>
    <w:p>
      <w:pPr>
        <w:spacing w:after="0" w:line="144" w:lineRule="exact"/>
        <w:rPr>
          <w:rFonts w:ascii="Arial" w:cs="Arial" w:eastAsia="Arial" w:hAnsi="Arial"/>
          <w:sz w:val="22"/>
          <w:szCs w:val="22"/>
          <w:color w:val="auto"/>
        </w:rPr>
      </w:pPr>
    </w:p>
    <w:p>
      <w:pPr>
        <w:jc w:val="both"/>
        <w:ind w:left="660" w:firstLine="1292"/>
        <w:spacing w:after="0" w:line="266" w:lineRule="auto"/>
        <w:tabs>
          <w:tab w:leader="none" w:pos="2955" w:val="left"/>
        </w:tabs>
        <w:numPr>
          <w:ilvl w:val="1"/>
          <w:numId w:val="276"/>
        </w:numPr>
        <w:rPr>
          <w:rFonts w:ascii="Arial" w:cs="Arial" w:eastAsia="Arial" w:hAnsi="Arial"/>
          <w:sz w:val="22"/>
          <w:szCs w:val="22"/>
          <w:color w:val="auto"/>
        </w:rPr>
      </w:pPr>
      <w:r>
        <w:rPr>
          <w:rFonts w:ascii="Arial" w:cs="Arial" w:eastAsia="Arial" w:hAnsi="Arial"/>
          <w:sz w:val="22"/>
          <w:szCs w:val="22"/>
          <w:color w:val="auto"/>
        </w:rPr>
        <w:t>such evidence of appropriate corporate or other organizational authorization on the part of the Borrowers, Parent and the other Obligors with respect to such Commitment Increase as the Administrative Agent may reasonably request;</w:t>
      </w:r>
    </w:p>
    <w:p>
      <w:pPr>
        <w:spacing w:after="0" w:line="157" w:lineRule="exact"/>
        <w:rPr>
          <w:rFonts w:ascii="Arial" w:cs="Arial" w:eastAsia="Arial" w:hAnsi="Arial"/>
          <w:sz w:val="22"/>
          <w:szCs w:val="22"/>
          <w:color w:val="auto"/>
        </w:rPr>
      </w:pPr>
    </w:p>
    <w:p>
      <w:pPr>
        <w:jc w:val="both"/>
        <w:ind w:left="660" w:firstLine="1292"/>
        <w:spacing w:after="0" w:line="262" w:lineRule="auto"/>
        <w:tabs>
          <w:tab w:leader="none" w:pos="3159" w:val="left"/>
        </w:tabs>
        <w:numPr>
          <w:ilvl w:val="1"/>
          <w:numId w:val="276"/>
        </w:numPr>
        <w:rPr>
          <w:rFonts w:ascii="Arial" w:cs="Arial" w:eastAsia="Arial" w:hAnsi="Arial"/>
          <w:sz w:val="22"/>
          <w:szCs w:val="22"/>
          <w:color w:val="auto"/>
        </w:rPr>
      </w:pPr>
      <w:r>
        <w:rPr>
          <w:rFonts w:ascii="Arial" w:cs="Arial" w:eastAsia="Arial" w:hAnsi="Arial"/>
          <w:sz w:val="22"/>
          <w:szCs w:val="22"/>
          <w:color w:val="auto"/>
        </w:rPr>
        <w:t>if requested by the Administrative Agent, an opinion or opinions, in form and substance reasonably satisfactory to the Administrative Agent, from counsel to the Borrowers and the Obligors reasonably satisfactory to the Administrative Agent, covering such matters relating to such Commitment Increase as the Administrative Agent may reasonably request;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9" w:name="page290"/>
    <w:bookmarkEnd w:id="289"/>
    <w:p>
      <w:pPr>
        <w:ind w:left="2760" w:hanging="808"/>
        <w:spacing w:after="0"/>
        <w:tabs>
          <w:tab w:leader="none" w:pos="276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a certificate of a Responsible Officer of Parent, dated such Increase Effective Date, certifying that</w:t>
      </w:r>
    </w:p>
    <w:p>
      <w:pPr>
        <w:spacing w:after="0" w:line="55" w:lineRule="exact"/>
        <w:rPr>
          <w:rFonts w:ascii="Arial" w:cs="Arial" w:eastAsia="Arial" w:hAnsi="Arial"/>
          <w:sz w:val="19"/>
          <w:szCs w:val="19"/>
          <w:color w:val="auto"/>
        </w:rPr>
      </w:pPr>
    </w:p>
    <w:p>
      <w:pPr>
        <w:jc w:val="both"/>
        <w:ind w:left="660" w:hanging="4"/>
        <w:spacing w:after="0" w:line="304" w:lineRule="auto"/>
        <w:tabs>
          <w:tab w:leader="none" w:pos="1022"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has occurred and is continuing on such Increase Effective Date; and</w:t>
      </w:r>
    </w:p>
    <w:p>
      <w:pPr>
        <w:spacing w:after="0" w:line="117" w:lineRule="exact"/>
        <w:rPr>
          <w:rFonts w:ascii="Arial" w:cs="Arial" w:eastAsia="Arial" w:hAnsi="Arial"/>
          <w:sz w:val="19"/>
          <w:szCs w:val="19"/>
          <w:color w:val="auto"/>
        </w:rPr>
      </w:pPr>
    </w:p>
    <w:p>
      <w:pPr>
        <w:jc w:val="both"/>
        <w:ind w:left="660" w:firstLine="1292"/>
        <w:spacing w:after="0" w:line="266" w:lineRule="auto"/>
        <w:tabs>
          <w:tab w:leader="none" w:pos="2835" w:val="left"/>
        </w:tabs>
        <w:numPr>
          <w:ilvl w:val="1"/>
          <w:numId w:val="278"/>
        </w:numPr>
        <w:rPr>
          <w:rFonts w:ascii="Arial" w:cs="Arial" w:eastAsia="Arial" w:hAnsi="Arial"/>
          <w:sz w:val="22"/>
          <w:szCs w:val="22"/>
          <w:color w:val="auto"/>
        </w:rPr>
      </w:pPr>
      <w:r>
        <w:rPr>
          <w:rFonts w:ascii="Arial" w:cs="Arial" w:eastAsia="Arial" w:hAnsi="Arial"/>
          <w:sz w:val="22"/>
          <w:szCs w:val="22"/>
          <w:color w:val="auto"/>
        </w:rPr>
        <w:t xml:space="preserve">other customary closing certificates and documentation (similar to the documentation required to be delivered on the Effective Date under </w:t>
      </w:r>
      <w:r>
        <w:rPr>
          <w:rFonts w:ascii="Arial" w:cs="Arial" w:eastAsia="Arial" w:hAnsi="Arial"/>
          <w:sz w:val="22"/>
          <w:szCs w:val="22"/>
          <w:u w:val="single" w:color="auto"/>
          <w:color w:val="auto"/>
        </w:rPr>
        <w:t>Section 5.01</w:t>
      </w:r>
      <w:r>
        <w:rPr>
          <w:rFonts w:ascii="Arial" w:cs="Arial" w:eastAsia="Arial" w:hAnsi="Arial"/>
          <w:sz w:val="22"/>
          <w:szCs w:val="22"/>
          <w:color w:val="auto"/>
        </w:rPr>
        <w:t>, to the extent applicable) relating to such Commitment Increase as the Administrative Agent may reasonably request.</w:t>
      </w:r>
    </w:p>
    <w:p>
      <w:pPr>
        <w:spacing w:after="0" w:line="158" w:lineRule="exact"/>
        <w:rPr>
          <w:sz w:val="20"/>
          <w:szCs w:val="20"/>
          <w:color w:val="auto"/>
        </w:rPr>
      </w:pPr>
    </w:p>
    <w:p>
      <w:pPr>
        <w:jc w:val="both"/>
        <w:ind w:firstLine="1304"/>
        <w:spacing w:after="0" w:line="284" w:lineRule="auto"/>
        <w:tabs>
          <w:tab w:leader="none" w:pos="2292" w:val="left"/>
        </w:tabs>
        <w:numPr>
          <w:ilvl w:val="0"/>
          <w:numId w:val="279"/>
        </w:numPr>
        <w:rPr>
          <w:rFonts w:ascii="Arial" w:cs="Arial" w:eastAsia="Arial" w:hAnsi="Arial"/>
          <w:sz w:val="21"/>
          <w:szCs w:val="21"/>
          <w:color w:val="auto"/>
        </w:rPr>
      </w:pPr>
      <w:r>
        <w:rPr>
          <w:rFonts w:ascii="Arial" w:cs="Arial" w:eastAsia="Arial" w:hAnsi="Arial"/>
          <w:sz w:val="21"/>
          <w:szCs w:val="21"/>
          <w:u w:val="single" w:color="auto"/>
          <w:color w:val="auto"/>
        </w:rPr>
        <w:t>Equal and Ratable Benefit</w:t>
      </w:r>
      <w:r>
        <w:rPr>
          <w:rFonts w:ascii="Arial" w:cs="Arial" w:eastAsia="Arial" w:hAnsi="Arial"/>
          <w:sz w:val="21"/>
          <w:szCs w:val="21"/>
          <w:i w:val="1"/>
          <w:iCs w:val="1"/>
          <w:color w:val="auto"/>
        </w:rPr>
        <w:t>.</w:t>
      </w:r>
      <w:r>
        <w:rPr>
          <w:rFonts w:ascii="Arial" w:cs="Arial" w:eastAsia="Arial" w:hAnsi="Arial"/>
          <w:sz w:val="21"/>
          <w:szCs w:val="21"/>
          <w:color w:val="auto"/>
        </w:rPr>
        <w:t xml:space="preserve"> The Commitments established pursuant to this paragraph shall constitute Commitments under, and shall be entitled to all the benefits afforded by, this Agreement and the other Loan Documents, and shall, without limiting the foregoing, benefit equally and ratably from the Guaranty Agreements.</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Activity Reports</w:t>
      </w:r>
      <w:r>
        <w:rPr>
          <w:rFonts w:ascii="Arial" w:cs="Arial" w:eastAsia="Arial" w:hAnsi="Arial"/>
          <w:sz w:val="22"/>
          <w:szCs w:val="22"/>
          <w:color w:val="auto"/>
        </w:rPr>
        <w:t>. Each Issuing Bank shall deliver a weekly report in the form of Exhibit O or any other form reasonably acceptable to the Administrative Agent, to the Administrative Agent on the first Business Day of each week indicating the number of Letters of Credit issued or amended (including the face amount thereof) on each day during the prior week by such Issuing Bank.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LETTERS OF CREDIT</w:t>
      </w:r>
    </w:p>
    <w:p>
      <w:pPr>
        <w:spacing w:after="0" w:line="202"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Letters of Credit.</w:t>
      </w:r>
    </w:p>
    <w:p>
      <w:pPr>
        <w:spacing w:after="0" w:line="193" w:lineRule="exact"/>
        <w:rPr>
          <w:sz w:val="20"/>
          <w:szCs w:val="20"/>
          <w:color w:val="auto"/>
        </w:rPr>
      </w:pPr>
    </w:p>
    <w:p>
      <w:pPr>
        <w:jc w:val="both"/>
        <w:ind w:firstLine="1304"/>
        <w:spacing w:after="0" w:line="303" w:lineRule="auto"/>
        <w:tabs>
          <w:tab w:leader="none" w:pos="2103"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terms and conditions set forth herein, any Borrower may request that any Issuing Bank issue bid, performance or other Letters of Credit (in each case other than Financial Standby Letters of Credit), denominated in Dollars or any Alternative Currency, for the account of such Borrower or, subject to </w:t>
      </w:r>
      <w:r>
        <w:rPr>
          <w:rFonts w:ascii="Arial" w:cs="Arial" w:eastAsia="Arial" w:hAnsi="Arial"/>
          <w:sz w:val="19"/>
          <w:szCs w:val="19"/>
          <w:u w:val="single" w:color="auto"/>
          <w:color w:val="auto"/>
        </w:rPr>
        <w:t>Section 3.01(m)</w:t>
      </w:r>
      <w:r>
        <w:rPr>
          <w:rFonts w:ascii="Arial" w:cs="Arial" w:eastAsia="Arial" w:hAnsi="Arial"/>
          <w:sz w:val="19"/>
          <w:szCs w:val="19"/>
          <w:color w:val="auto"/>
        </w:rPr>
        <w:t xml:space="preserve">, a Restricted Subsidiary of such Borrower, in a form reasonably acceptable to such Issuing Bank, at any time and from time to time during the Availability Period applicable to Lenders. At the applicable Issuing Bank’s discretion, Letters of Credit may be issued subject to: (i) the Uniform Customs and Practice for Documentary Credits, Publication No. 600, (ii) International Standby Practices 1998, (iii) the Uniform Rules for Demand Guarantees, or (iv) any successor provisions of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(iii)</w:t>
      </w:r>
      <w:r>
        <w:rPr>
          <w:rFonts w:ascii="Arial" w:cs="Arial" w:eastAsia="Arial" w:hAnsi="Arial"/>
          <w:sz w:val="19"/>
          <w:szCs w:val="19"/>
          <w:color w:val="auto"/>
        </w:rPr>
        <w:t>. In the event of any inconsistency between the terms and conditions of this Agreement and the terms and conditions of any form of letter of credit or bank guarantee application or other agreement submitted by any Borrower to, or entered into by any Borrower with, any Issuing Bank relating to any Letter of Credit, the terms and conditions of this Agreement shall control. Nothing contained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0" w:name="page291"/>
    <w:bookmarkEnd w:id="290"/>
    <w:p>
      <w:pPr>
        <w:jc w:val="both"/>
        <w:spacing w:after="0" w:line="304" w:lineRule="auto"/>
        <w:rPr>
          <w:sz w:val="20"/>
          <w:szCs w:val="20"/>
          <w:color w:val="auto"/>
        </w:rPr>
      </w:pPr>
      <w:r>
        <w:rPr>
          <w:rFonts w:ascii="Arial" w:cs="Arial" w:eastAsia="Arial" w:hAnsi="Arial"/>
          <w:sz w:val="19"/>
          <w:szCs w:val="19"/>
          <w:color w:val="auto"/>
        </w:rPr>
        <w:t xml:space="preserve">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is intended to limit or restrict the rights of any Borrower or any Restricted Subsidiary to obtain letters of credit otherwise permitted by this Agreement from any Person, regardless of whether such Person is a party hereto. Notwithstanding the foregoing, neither Barclays nor Morgan Stanley, as Issuing Bank, shall be required to issue any Commercial Letters of Credit and (b) Morgan Stanley will not be required to issue any bank guarantees. Notwithstanding anything to the contrary herein, (A) from the Effective Date through the 60th day after the Effective Date, no more than 300 (or such greater number as may be agreed by the Administrative Agent) Letters of Credit issued pursuant to this Agreement (including Existing Letters of Credit issued pursuant to </w:t>
      </w:r>
      <w:r>
        <w:rPr>
          <w:rFonts w:ascii="Arial" w:cs="Arial" w:eastAsia="Arial" w:hAnsi="Arial"/>
          <w:sz w:val="19"/>
          <w:szCs w:val="19"/>
          <w:u w:val="single" w:color="auto"/>
          <w:color w:val="auto"/>
        </w:rPr>
        <w:t>Section 3.01(n)</w:t>
      </w:r>
      <w:r>
        <w:rPr>
          <w:rFonts w:ascii="Arial" w:cs="Arial" w:eastAsia="Arial" w:hAnsi="Arial"/>
          <w:sz w:val="19"/>
          <w:szCs w:val="19"/>
          <w:color w:val="auto"/>
        </w:rPr>
        <w:t xml:space="preserve">) may be outstanding at any time, and (B) from and after the 61st day after the Effective Date, no more than 500 (or such greater number as may be agreed by the Administrative Agent) Letters of Credit issued pursuant to this Agreement (including Existing Letters of Credit issued pursuant to </w:t>
      </w:r>
      <w:r>
        <w:rPr>
          <w:rFonts w:ascii="Arial" w:cs="Arial" w:eastAsia="Arial" w:hAnsi="Arial"/>
          <w:sz w:val="19"/>
          <w:szCs w:val="19"/>
          <w:u w:val="single" w:color="auto"/>
          <w:color w:val="auto"/>
        </w:rPr>
        <w:t>Section 3.01(n)</w:t>
      </w:r>
      <w:r>
        <w:rPr>
          <w:rFonts w:ascii="Arial" w:cs="Arial" w:eastAsia="Arial" w:hAnsi="Arial"/>
          <w:sz w:val="19"/>
          <w:szCs w:val="19"/>
          <w:color w:val="auto"/>
        </w:rPr>
        <w:t>) may be outstanding at any time.</w:t>
      </w:r>
    </w:p>
    <w:p>
      <w:pPr>
        <w:spacing w:after="0" w:line="115" w:lineRule="exact"/>
        <w:rPr>
          <w:sz w:val="20"/>
          <w:szCs w:val="20"/>
          <w:color w:val="auto"/>
        </w:rPr>
      </w:pPr>
    </w:p>
    <w:p>
      <w:pPr>
        <w:jc w:val="both"/>
        <w:ind w:firstLine="1304"/>
        <w:spacing w:after="0" w:line="299" w:lineRule="auto"/>
        <w:tabs>
          <w:tab w:leader="none" w:pos="2169"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1:00 p.m., New York City time, one Business Day before the Effective Date in the case of the Effective Date Letters of Credit, (ii) 11:00 a.m., New York City time, three Business Days before the proposed date such Letter of Credit (other than an Effective Date Letter of Credit) is to be issued and (iii) 11:00 a.m., New York City time, three Business Days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the amount of such Letter of Credit, the name and address of the beneficiary thereof and such other information as shall be necessary to prepare, amend, renew or extend such Letter of Credit. If requested by the applicable Issuing Bank, the applicable Borrower also shall submit a letter of credit or bank guarantee application on such Issuing Bank’s standard form in connection with any request for a Letter of Credit.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LC Exposure shall not exceed the Aggregate Commitments, and (ii) the portion of the Total LC Exposure attributable to Letters of Credit issued by such Issuing Bank will not, unless such Issuing Bank shall so agree in accordance with </w:t>
      </w:r>
      <w:r>
        <w:rPr>
          <w:rFonts w:ascii="Arial" w:cs="Arial" w:eastAsia="Arial" w:hAnsi="Arial"/>
          <w:sz w:val="19"/>
          <w:szCs w:val="19"/>
          <w:u w:val="single" w:color="auto"/>
          <w:color w:val="auto"/>
        </w:rPr>
        <w:t>Section 3.01(j)</w:t>
      </w:r>
      <w:r>
        <w:rPr>
          <w:rFonts w:ascii="Arial" w:cs="Arial" w:eastAsia="Arial" w:hAnsi="Arial"/>
          <w:sz w:val="19"/>
          <w:szCs w:val="19"/>
          <w:color w:val="auto"/>
        </w:rPr>
        <w:t xml:space="preserve">, exceed the LC Commitment of such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reduce the Commitment of any Issuing Bank if, after giving effect of such reduction, the conditions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shall not then be satisfied, then, subject to the terms and conditions hereof, such Issuing Bank shall, on the requested date, issue, amend, renew or extend, as applicable, such Letter of Credit.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1" w:name="page292"/>
    <w:bookmarkEnd w:id="291"/>
    <w:p>
      <w:pPr>
        <w:ind w:left="2160" w:hanging="856"/>
        <w:spacing w:after="0"/>
        <w:tabs>
          <w:tab w:leader="none" w:pos="2160" w:val="left"/>
        </w:tabs>
        <w:numPr>
          <w:ilvl w:val="0"/>
          <w:numId w:val="282"/>
        </w:numPr>
        <w:rPr>
          <w:rFonts w:ascii="Arial" w:cs="Arial" w:eastAsia="Arial" w:hAnsi="Arial"/>
          <w:sz w:val="19"/>
          <w:szCs w:val="19"/>
          <w:color w:val="auto"/>
        </w:rPr>
      </w:pPr>
      <w:r>
        <w:rPr>
          <w:rFonts w:ascii="Arial" w:cs="Arial" w:eastAsia="Arial" w:hAnsi="Arial"/>
          <w:sz w:val="19"/>
          <w:szCs w:val="19"/>
          <w:u w:val="single" w:color="auto"/>
          <w:color w:val="auto"/>
        </w:rPr>
        <w:t>Legal and Policy Prohibitions</w:t>
      </w:r>
      <w:r>
        <w:rPr>
          <w:rFonts w:ascii="Arial" w:cs="Arial" w:eastAsia="Arial" w:hAnsi="Arial"/>
          <w:sz w:val="19"/>
          <w:szCs w:val="19"/>
          <w:color w:val="auto"/>
        </w:rPr>
        <w:t>. An Issuing Bank shall not be under any obligation to issue any Letter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Credit if:</w:t>
      </w:r>
    </w:p>
    <w:p>
      <w:pPr>
        <w:spacing w:after="0" w:line="188" w:lineRule="exact"/>
        <w:rPr>
          <w:sz w:val="20"/>
          <w:szCs w:val="20"/>
          <w:color w:val="auto"/>
        </w:rPr>
      </w:pPr>
    </w:p>
    <w:p>
      <w:pPr>
        <w:jc w:val="both"/>
        <w:ind w:left="660" w:firstLine="1292"/>
        <w:spacing w:after="0" w:line="306" w:lineRule="auto"/>
        <w:tabs>
          <w:tab w:leader="none" w:pos="2929" w:val="left"/>
        </w:tabs>
        <w:numPr>
          <w:ilvl w:val="1"/>
          <w:numId w:val="283"/>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29" w:lineRule="exact"/>
        <w:rPr>
          <w:rFonts w:ascii="Arial" w:cs="Arial" w:eastAsia="Arial" w:hAnsi="Arial"/>
          <w:sz w:val="19"/>
          <w:szCs w:val="19"/>
          <w:color w:val="auto"/>
        </w:rPr>
      </w:pPr>
    </w:p>
    <w:p>
      <w:pPr>
        <w:ind w:left="660" w:firstLine="1292"/>
        <w:spacing w:after="0" w:line="276" w:lineRule="auto"/>
        <w:tabs>
          <w:tab w:leader="none" w:pos="2922" w:val="left"/>
        </w:tabs>
        <w:numPr>
          <w:ilvl w:val="1"/>
          <w:numId w:val="283"/>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such Issuing Bank applicable to letters of credit generally.</w:t>
      </w:r>
    </w:p>
    <w:p>
      <w:pPr>
        <w:spacing w:after="0" w:line="133" w:lineRule="exact"/>
        <w:rPr>
          <w:rFonts w:ascii="Arial" w:cs="Arial" w:eastAsia="Arial" w:hAnsi="Arial"/>
          <w:sz w:val="22"/>
          <w:szCs w:val="22"/>
          <w:color w:val="auto"/>
        </w:rPr>
      </w:pPr>
    </w:p>
    <w:p>
      <w:pPr>
        <w:jc w:val="both"/>
        <w:ind w:firstLine="1304"/>
        <w:spacing w:after="0" w:line="304" w:lineRule="auto"/>
        <w:tabs>
          <w:tab w:leader="none" w:pos="2088"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Each Letter of Credit shall expire on or prior to the date (the “</w:t>
      </w:r>
      <w:r>
        <w:rPr>
          <w:rFonts w:ascii="Arial" w:cs="Arial" w:eastAsia="Arial" w:hAnsi="Arial"/>
          <w:sz w:val="19"/>
          <w:szCs w:val="19"/>
          <w:u w:val="single" w:color="auto"/>
          <w:color w:val="auto"/>
        </w:rPr>
        <w:t>LC Expiration Date</w:t>
      </w:r>
      <w:r>
        <w:rPr>
          <w:rFonts w:ascii="Arial" w:cs="Arial" w:eastAsia="Arial" w:hAnsi="Arial"/>
          <w:sz w:val="19"/>
          <w:szCs w:val="19"/>
          <w:color w:val="auto"/>
        </w:rPr>
        <w:t xml:space="preserve">”) that is five Business Days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terms and conditions of </w:t>
      </w:r>
      <w:r>
        <w:rPr>
          <w:rFonts w:ascii="Arial" w:cs="Arial" w:eastAsia="Arial" w:hAnsi="Arial"/>
          <w:sz w:val="19"/>
          <w:szCs w:val="19"/>
          <w:u w:val="single" w:color="auto"/>
          <w:color w:val="auto"/>
        </w:rPr>
        <w:t>Section 3.01(k)</w:t>
      </w:r>
      <w:r>
        <w:rPr>
          <w:rFonts w:ascii="Arial" w:cs="Arial" w:eastAsia="Arial" w:hAnsi="Arial"/>
          <w:sz w:val="19"/>
          <w:szCs w:val="19"/>
          <w:color w:val="auto"/>
        </w:rPr>
        <w:t>, any Borrower may request that an Issuing Bank issue on or prior to the Stated Cash Collateralization Date a Letter of Credit with an expiration date that is beyond the LC Expiration Date (including as a result of an automatic renewal of a Letter of Credit for an additional period that would end after the LC Expiration Date) but in no event later than the one-year anniversary of the Maturity Date (each such Letter of Credit, an “</w:t>
      </w:r>
      <w:r>
        <w:rPr>
          <w:rFonts w:ascii="Arial" w:cs="Arial" w:eastAsia="Arial" w:hAnsi="Arial"/>
          <w:sz w:val="19"/>
          <w:szCs w:val="19"/>
          <w:u w:val="single" w:color="auto"/>
          <w:color w:val="auto"/>
        </w:rPr>
        <w:t>Extended Expiration Letter of Credit</w:t>
      </w:r>
      <w:r>
        <w:rPr>
          <w:rFonts w:ascii="Arial" w:cs="Arial" w:eastAsia="Arial" w:hAnsi="Arial"/>
          <w:sz w:val="19"/>
          <w:szCs w:val="19"/>
          <w:color w:val="auto"/>
        </w:rPr>
        <w:t>”), and such Issuing Bank may in its sole discretion, without the consent of the Administrative Agent or any of the Lenders, agree to issue such Extended Expiration Letter of Credit (it being understood that no Issuing Bank shall be obligated to issue any Extended Expiration Letter of Credit). No Extended Expiration Letter of Credit may be issued after the Stated Cash Collateralization Date.</w:t>
      </w:r>
    </w:p>
    <w:p>
      <w:pPr>
        <w:spacing w:after="0" w:line="114" w:lineRule="exact"/>
        <w:rPr>
          <w:rFonts w:ascii="Arial" w:cs="Arial" w:eastAsia="Arial" w:hAnsi="Arial"/>
          <w:sz w:val="19"/>
          <w:szCs w:val="19"/>
          <w:color w:val="auto"/>
        </w:rPr>
      </w:pPr>
    </w:p>
    <w:p>
      <w:pPr>
        <w:jc w:val="both"/>
        <w:ind w:firstLine="1304"/>
        <w:spacing w:after="0" w:line="302" w:lineRule="auto"/>
        <w:tabs>
          <w:tab w:leader="none" w:pos="2076"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of the Dollar Equivalent amount of each LC Disbursement made by such Issuing Bank and not reimbursed by the Borrowers on the date due as provided in </w:t>
      </w:r>
      <w:r>
        <w:rPr>
          <w:rFonts w:ascii="Arial" w:cs="Arial" w:eastAsia="Arial" w:hAnsi="Arial"/>
          <w:sz w:val="19"/>
          <w:szCs w:val="19"/>
          <w:u w:val="single" w:color="auto"/>
          <w:color w:val="auto"/>
        </w:rPr>
        <w:t>Section 3.01(f)</w:t>
      </w:r>
      <w:r>
        <w:rPr>
          <w:rFonts w:ascii="Arial" w:cs="Arial" w:eastAsia="Arial" w:hAnsi="Arial"/>
          <w:sz w:val="19"/>
          <w:szCs w:val="19"/>
          <w:color w:val="auto"/>
        </w:rPr>
        <w:t>,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2" w:name="page293"/>
    <w:bookmarkEnd w:id="292"/>
    <w:p>
      <w:pPr>
        <w:jc w:val="both"/>
        <w:ind w:firstLine="1304"/>
        <w:spacing w:after="0" w:line="300" w:lineRule="auto"/>
        <w:tabs>
          <w:tab w:leader="none" w:pos="2160"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If any Issuing Bank shall make any LC Disbursement in respect of a Letter of Credit, the applicable Borrower that requested such Letter of Credit or that is otherwise an applicant for such Letter of Credit shall reimburse such LC Disbursement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If the applicable Borrower fails to make such payment when due and no other Borrower makes such payment, the Issuing Bank shall notify the Administrative Agent who shall notify each Lender of the applicable LC Disbursement, the payment then due from such Borrower in respect thereof and such Lender’s Applicable Percentage of the Dollar Equivalent thereof. Promptly following receipt of such notice, each Lender shall pay to the applicable Issuing Bank, in Dollars, its Applicable Percentage of the Dollar Equivalent of the payment then due from such Borrower, in the manner set forth in the immediately following sentence. Each Lender shall make each such payment to be made by it on the proposed date thereof by wire transfer of 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w:t>
      </w:r>
    </w:p>
    <w:p>
      <w:pPr>
        <w:spacing w:after="0" w:line="389" w:lineRule="exact"/>
        <w:rPr>
          <w:rFonts w:ascii="Arial" w:cs="Arial" w:eastAsia="Arial" w:hAnsi="Arial"/>
          <w:sz w:val="19"/>
          <w:szCs w:val="19"/>
          <w:color w:val="auto"/>
        </w:rPr>
      </w:pPr>
    </w:p>
    <w:p>
      <w:pPr>
        <w:jc w:val="both"/>
        <w:ind w:firstLine="1304"/>
        <w:spacing w:after="0" w:line="270" w:lineRule="auto"/>
        <w:tabs>
          <w:tab w:leader="none" w:pos="2385" w:val="left"/>
        </w:tabs>
        <w:numPr>
          <w:ilvl w:val="0"/>
          <w:numId w:val="285"/>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xml:space="preserve">. The Borrowers’ obligations to reimburse LC Disbursements as provided in </w:t>
      </w:r>
      <w:r>
        <w:rPr>
          <w:rFonts w:ascii="Arial" w:cs="Arial" w:eastAsia="Arial" w:hAnsi="Arial"/>
          <w:sz w:val="21"/>
          <w:szCs w:val="21"/>
          <w:u w:val="single" w:color="auto"/>
          <w:color w:val="auto"/>
        </w:rPr>
        <w:t>Section 3.01(f)</w:t>
      </w:r>
      <w:r>
        <w:rPr>
          <w:rFonts w:ascii="Arial" w:cs="Arial" w:eastAsia="Arial" w:hAnsi="Arial"/>
          <w:sz w:val="21"/>
          <w:szCs w:val="21"/>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be construed to excuse an Issuing Bank from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3" w:name="page294"/>
    <w:bookmarkEnd w:id="293"/>
    <w:p>
      <w:pPr>
        <w:jc w:val="both"/>
        <w:spacing w:after="0" w:line="303" w:lineRule="auto"/>
        <w:rPr>
          <w:sz w:val="20"/>
          <w:szCs w:val="20"/>
          <w:color w:val="auto"/>
        </w:rPr>
      </w:pPr>
      <w:r>
        <w:rPr>
          <w:rFonts w:ascii="Arial" w:cs="Arial" w:eastAsia="Arial" w:hAnsi="Arial"/>
          <w:sz w:val="19"/>
          <w:szCs w:val="19"/>
          <w:color w:val="auto"/>
        </w:rPr>
        <w:t>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87" w:lineRule="exact"/>
        <w:rPr>
          <w:sz w:val="20"/>
          <w:szCs w:val="20"/>
          <w:color w:val="auto"/>
        </w:rPr>
      </w:pPr>
    </w:p>
    <w:p>
      <w:pPr>
        <w:jc w:val="both"/>
        <w:ind w:firstLine="1304"/>
        <w:spacing w:after="0" w:line="273" w:lineRule="auto"/>
        <w:tabs>
          <w:tab w:leader="none" w:pos="2115" w:val="left"/>
        </w:tabs>
        <w:numPr>
          <w:ilvl w:val="0"/>
          <w:numId w:val="286"/>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Each Issuing Bank shall, within the period stipulated by terms and conditions of Letter of Credit, following its receipt thereof, examine all documents purporting to represent a demand for payment under a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relieve the Borrowers of their obligation to reimburse such Issuing Bank and the Lenders with respect to any such LC Disbursement.</w:t>
      </w:r>
    </w:p>
    <w:p>
      <w:pPr>
        <w:spacing w:after="0" w:line="156" w:lineRule="exact"/>
        <w:rPr>
          <w:rFonts w:ascii="Arial" w:cs="Arial" w:eastAsia="Arial" w:hAnsi="Arial"/>
          <w:sz w:val="21"/>
          <w:szCs w:val="21"/>
          <w:color w:val="auto"/>
        </w:rPr>
      </w:pPr>
    </w:p>
    <w:p>
      <w:pPr>
        <w:jc w:val="both"/>
        <w:ind w:firstLine="1304"/>
        <w:spacing w:after="0" w:line="273" w:lineRule="auto"/>
        <w:tabs>
          <w:tab w:leader="none" w:pos="2499" w:val="left"/>
        </w:tabs>
        <w:numPr>
          <w:ilvl w:val="0"/>
          <w:numId w:val="286"/>
        </w:numPr>
        <w:rPr>
          <w:rFonts w:ascii="Arial" w:cs="Arial" w:eastAsia="Arial" w:hAnsi="Arial"/>
          <w:sz w:val="21"/>
          <w:szCs w:val="21"/>
          <w:color w:val="auto"/>
        </w:rPr>
      </w:pPr>
      <w:r>
        <w:rPr>
          <w:rFonts w:ascii="Arial" w:cs="Arial" w:eastAsia="Arial" w:hAnsi="Arial"/>
          <w:sz w:val="21"/>
          <w:szCs w:val="21"/>
          <w:u w:val="single" w:color="auto"/>
          <w:color w:val="auto"/>
        </w:rPr>
        <w:t>Interim Interest</w:t>
      </w:r>
      <w:r>
        <w:rPr>
          <w:rFonts w:ascii="Arial" w:cs="Arial" w:eastAsia="Arial" w:hAnsi="Arial"/>
          <w:sz w:val="21"/>
          <w:szCs w:val="21"/>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Alternate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Borrowers fail to reimburse such LC Disbursement when due pursuant to </w:t>
      </w:r>
      <w:r>
        <w:rPr>
          <w:rFonts w:ascii="Arial" w:cs="Arial" w:eastAsia="Arial" w:hAnsi="Arial"/>
          <w:sz w:val="21"/>
          <w:szCs w:val="21"/>
          <w:u w:val="single" w:color="auto"/>
          <w:color w:val="auto"/>
        </w:rPr>
        <w:t>Section 3.01(f)</w:t>
      </w:r>
      <w:r>
        <w:rPr>
          <w:rFonts w:ascii="Arial" w:cs="Arial" w:eastAsia="Arial" w:hAnsi="Arial"/>
          <w:sz w:val="21"/>
          <w:szCs w:val="21"/>
          <w:color w:val="auto"/>
        </w:rPr>
        <w:t xml:space="preserve">, then </w:t>
      </w:r>
      <w:r>
        <w:rPr>
          <w:rFonts w:ascii="Arial" w:cs="Arial" w:eastAsia="Arial" w:hAnsi="Arial"/>
          <w:sz w:val="21"/>
          <w:szCs w:val="21"/>
          <w:u w:val="single" w:color="auto"/>
          <w:color w:val="auto"/>
        </w:rPr>
        <w:t>Section 2.05(a)</w:t>
      </w:r>
      <w:r>
        <w:rPr>
          <w:rFonts w:ascii="Arial" w:cs="Arial" w:eastAsia="Arial" w:hAnsi="Arial"/>
          <w:sz w:val="21"/>
          <w:szCs w:val="21"/>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to reimburse such Issuing Bank shall be for the account of such Lender to the extent of such payment.</w:t>
      </w:r>
    </w:p>
    <w:p>
      <w:pPr>
        <w:spacing w:after="0" w:line="138" w:lineRule="exact"/>
        <w:rPr>
          <w:rFonts w:ascii="Arial" w:cs="Arial" w:eastAsia="Arial" w:hAnsi="Arial"/>
          <w:sz w:val="21"/>
          <w:szCs w:val="21"/>
          <w:color w:val="auto"/>
        </w:rPr>
      </w:pPr>
    </w:p>
    <w:p>
      <w:pPr>
        <w:ind w:left="2040" w:hanging="736"/>
        <w:spacing w:after="0"/>
        <w:tabs>
          <w:tab w:leader="none" w:pos="2040"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Modification and Termination of LC Commitments of Issuing Banks</w:t>
      </w:r>
      <w:r>
        <w:rPr>
          <w:rFonts w:ascii="Arial" w:cs="Arial" w:eastAsia="Arial" w:hAnsi="Arial"/>
          <w:sz w:val="22"/>
          <w:szCs w:val="22"/>
          <w:color w:val="auto"/>
        </w:rPr>
        <w:t>.</w:t>
      </w:r>
    </w:p>
    <w:p>
      <w:pPr>
        <w:spacing w:after="0" w:line="193" w:lineRule="exact"/>
        <w:rPr>
          <w:sz w:val="20"/>
          <w:szCs w:val="20"/>
          <w:color w:val="auto"/>
        </w:rPr>
      </w:pPr>
    </w:p>
    <w:p>
      <w:pPr>
        <w:jc w:val="both"/>
        <w:ind w:left="660" w:firstLine="1292"/>
        <w:spacing w:after="0" w:line="273" w:lineRule="auto"/>
        <w:tabs>
          <w:tab w:leader="none" w:pos="274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The LC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4" w:name="page295"/>
    <w:bookmarkEnd w:id="294"/>
    <w:p>
      <w:pPr>
        <w:spacing w:after="0" w:line="276" w:lineRule="auto"/>
        <w:rPr>
          <w:sz w:val="20"/>
          <w:szCs w:val="20"/>
          <w:color w:val="auto"/>
        </w:rPr>
      </w:pPr>
      <w:r>
        <w:rPr>
          <w:rFonts w:ascii="Arial" w:cs="Arial" w:eastAsia="Arial" w:hAnsi="Arial"/>
          <w:sz w:val="22"/>
          <w:szCs w:val="22"/>
          <w:color w:val="auto"/>
        </w:rPr>
        <w:t xml:space="preserve">notice of termination, the Administrative Agent shall amend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to remove such Issuing Bank as an Issuing Bank from </w:t>
      </w:r>
      <w:r>
        <w:rPr>
          <w:rFonts w:ascii="Arial" w:cs="Arial" w:eastAsia="Arial" w:hAnsi="Arial"/>
          <w:sz w:val="22"/>
          <w:szCs w:val="22"/>
          <w:u w:val="single" w:color="auto"/>
          <w:color w:val="auto"/>
        </w:rPr>
        <w:t>Schedule 2.01</w:t>
      </w:r>
      <w:r>
        <w:rPr>
          <w:rFonts w:ascii="Arial" w:cs="Arial" w:eastAsia="Arial" w:hAnsi="Arial"/>
          <w:sz w:val="22"/>
          <w:szCs w:val="22"/>
          <w:color w:val="auto"/>
        </w:rPr>
        <w:t>.</w:t>
      </w:r>
    </w:p>
    <w:p>
      <w:pPr>
        <w:spacing w:after="0" w:line="134" w:lineRule="exact"/>
        <w:rPr>
          <w:sz w:val="20"/>
          <w:szCs w:val="20"/>
          <w:color w:val="auto"/>
        </w:rPr>
      </w:pPr>
    </w:p>
    <w:p>
      <w:pPr>
        <w:jc w:val="both"/>
        <w:ind w:firstLine="1292"/>
        <w:spacing w:after="0" w:line="304" w:lineRule="auto"/>
        <w:tabs>
          <w:tab w:leader="none" w:pos="2208" w:val="left"/>
        </w:tabs>
        <w:numPr>
          <w:ilvl w:val="1"/>
          <w:numId w:val="288"/>
        </w:numPr>
        <w:rPr>
          <w:rFonts w:ascii="Arial" w:cs="Arial" w:eastAsia="Arial" w:hAnsi="Arial"/>
          <w:sz w:val="19"/>
          <w:szCs w:val="19"/>
          <w:color w:val="auto"/>
        </w:rPr>
      </w:pPr>
      <w:r>
        <w:rPr>
          <w:rFonts w:ascii="Arial" w:cs="Arial" w:eastAsia="Arial" w:hAnsi="Arial"/>
          <w:sz w:val="19"/>
          <w:szCs w:val="19"/>
          <w:color w:val="auto"/>
        </w:rPr>
        <w:t>By written notice to the Borrowers, each Issuing Bank may from time to time request that such Issuing Bank’s LC Commitment be increased, decreased or terminated. Within ten (10)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128" w:lineRule="exact"/>
        <w:rPr>
          <w:rFonts w:ascii="Arial" w:cs="Arial" w:eastAsia="Arial" w:hAnsi="Arial"/>
          <w:sz w:val="19"/>
          <w:szCs w:val="19"/>
          <w:color w:val="auto"/>
        </w:rPr>
      </w:pPr>
    </w:p>
    <w:p>
      <w:pPr>
        <w:ind w:left="1440" w:hanging="796"/>
        <w:spacing w:after="0"/>
        <w:tabs>
          <w:tab w:leader="none" w:pos="1440"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Cash Collateralization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2040" w:hanging="748"/>
        <w:spacing w:after="0"/>
        <w:tabs>
          <w:tab w:leader="none" w:pos="2040" w:val="left"/>
        </w:tabs>
        <w:numPr>
          <w:ilvl w:val="1"/>
          <w:numId w:val="289"/>
        </w:numPr>
        <w:rPr>
          <w:rFonts w:ascii="Arial" w:cs="Arial" w:eastAsia="Arial" w:hAnsi="Arial"/>
          <w:sz w:val="22"/>
          <w:szCs w:val="22"/>
          <w:color w:val="auto"/>
        </w:rPr>
      </w:pPr>
      <w:r>
        <w:rPr>
          <w:rFonts w:ascii="Arial" w:cs="Arial" w:eastAsia="Arial" w:hAnsi="Arial"/>
          <w:sz w:val="22"/>
          <w:szCs w:val="22"/>
          <w:color w:val="auto"/>
        </w:rPr>
        <w:t>If:</w:t>
      </w:r>
    </w:p>
    <w:p>
      <w:pPr>
        <w:spacing w:after="0" w:line="193" w:lineRule="exact"/>
        <w:rPr>
          <w:sz w:val="20"/>
          <w:szCs w:val="20"/>
          <w:color w:val="auto"/>
        </w:rPr>
      </w:pPr>
    </w:p>
    <w:p>
      <w:pPr>
        <w:jc w:val="both"/>
        <w:ind w:left="640" w:firstLine="652"/>
        <w:spacing w:after="0" w:line="262" w:lineRule="auto"/>
        <w:tabs>
          <w:tab w:leader="none" w:pos="2330" w:val="left"/>
        </w:tabs>
        <w:numPr>
          <w:ilvl w:val="0"/>
          <w:numId w:val="290"/>
        </w:numPr>
        <w:rPr>
          <w:rFonts w:ascii="Arial" w:cs="Arial" w:eastAsia="Arial" w:hAnsi="Arial"/>
          <w:sz w:val="22"/>
          <w:szCs w:val="22"/>
          <w:color w:val="010000"/>
        </w:rPr>
      </w:pPr>
      <w:r>
        <w:rPr>
          <w:rFonts w:ascii="Arial" w:cs="Arial" w:eastAsia="Arial" w:hAnsi="Arial"/>
          <w:sz w:val="22"/>
          <w:szCs w:val="22"/>
          <w:color w:val="auto"/>
        </w:rPr>
        <w:t>any Event of Default shall occur and be continuing, on the Business Day that the Borrowers receive notice from the Administrative Agent or the Required Lenders (or, if the maturity has been accelerated, Lenders with LC Exposures representing greater than 50% of the Total LC Exposure) demanding the deposit of cash collateral pursuant to this paragraph;</w:t>
      </w:r>
    </w:p>
    <w:p>
      <w:pPr>
        <w:spacing w:after="0" w:line="164" w:lineRule="exact"/>
        <w:rPr>
          <w:rFonts w:ascii="Arial" w:cs="Arial" w:eastAsia="Arial" w:hAnsi="Arial"/>
          <w:sz w:val="22"/>
          <w:szCs w:val="22"/>
          <w:color w:val="010000"/>
        </w:rPr>
      </w:pPr>
    </w:p>
    <w:p>
      <w:pPr>
        <w:ind w:left="2120" w:hanging="828"/>
        <w:spacing w:after="0"/>
        <w:tabs>
          <w:tab w:leader="none" w:pos="2120" w:val="left"/>
        </w:tabs>
        <w:numPr>
          <w:ilvl w:val="0"/>
          <w:numId w:val="290"/>
        </w:numPr>
        <w:rPr>
          <w:rFonts w:ascii="Arial" w:cs="Arial" w:eastAsia="Arial" w:hAnsi="Arial"/>
          <w:sz w:val="22"/>
          <w:szCs w:val="22"/>
          <w:color w:val="010000"/>
        </w:rPr>
      </w:pPr>
      <w:r>
        <w:rPr>
          <w:rFonts w:ascii="Arial" w:cs="Arial" w:eastAsia="Arial" w:hAnsi="Arial"/>
          <w:sz w:val="22"/>
          <w:szCs w:val="22"/>
          <w:color w:val="auto"/>
        </w:rPr>
        <w:t>on the Maturity Date or, if earlier, the termination of the Aggregate Commitments;</w:t>
      </w:r>
    </w:p>
    <w:p>
      <w:pPr>
        <w:spacing w:after="0" w:line="192" w:lineRule="exact"/>
        <w:rPr>
          <w:rFonts w:ascii="Arial" w:cs="Arial" w:eastAsia="Arial" w:hAnsi="Arial"/>
          <w:sz w:val="22"/>
          <w:szCs w:val="22"/>
          <w:color w:val="010000"/>
        </w:rPr>
      </w:pPr>
    </w:p>
    <w:p>
      <w:pPr>
        <w:ind w:left="2180" w:hanging="888"/>
        <w:spacing w:after="0"/>
        <w:tabs>
          <w:tab w:leader="none" w:pos="2180" w:val="left"/>
        </w:tabs>
        <w:numPr>
          <w:ilvl w:val="0"/>
          <w:numId w:val="290"/>
        </w:numPr>
        <w:rPr>
          <w:rFonts w:ascii="Arial" w:cs="Arial" w:eastAsia="Arial" w:hAnsi="Arial"/>
          <w:sz w:val="19"/>
          <w:szCs w:val="19"/>
          <w:color w:val="010000"/>
        </w:rPr>
      </w:pPr>
      <w:r>
        <w:rPr>
          <w:rFonts w:ascii="Arial" w:cs="Arial" w:eastAsia="Arial" w:hAnsi="Arial"/>
          <w:sz w:val="19"/>
          <w:szCs w:val="19"/>
          <w:color w:val="auto"/>
        </w:rPr>
        <w:t xml:space="preserve">the Borrowers are required to cash collateralize LC Exposure pursuant to (I)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(II)</w:t>
      </w:r>
    </w:p>
    <w:p>
      <w:pPr>
        <w:spacing w:after="0" w:line="55" w:lineRule="exact"/>
        <w:rPr>
          <w:rFonts w:ascii="Arial" w:cs="Arial" w:eastAsia="Arial" w:hAnsi="Arial"/>
          <w:sz w:val="19"/>
          <w:szCs w:val="19"/>
          <w:color w:val="010000"/>
        </w:rPr>
      </w:pPr>
    </w:p>
    <w:p>
      <w:pPr>
        <w:ind w:left="640"/>
        <w:spacing w:after="0"/>
        <w:rPr>
          <w:rFonts w:ascii="Arial" w:cs="Arial" w:eastAsia="Arial" w:hAnsi="Arial"/>
          <w:sz w:val="19"/>
          <w:szCs w:val="19"/>
          <w:color w:val="010000"/>
        </w:rPr>
      </w:pPr>
      <w:r>
        <w:rPr>
          <w:rFonts w:ascii="Arial" w:cs="Arial" w:eastAsia="Arial" w:hAnsi="Arial"/>
          <w:sz w:val="22"/>
          <w:szCs w:val="22"/>
          <w:u w:val="single" w:color="auto"/>
          <w:color w:val="auto"/>
        </w:rPr>
        <w:t>Section 2.10</w:t>
      </w:r>
      <w:r>
        <w:rPr>
          <w:rFonts w:ascii="Arial" w:cs="Arial" w:eastAsia="Arial" w:hAnsi="Arial"/>
          <w:sz w:val="22"/>
          <w:szCs w:val="22"/>
          <w:color w:val="auto"/>
        </w:rPr>
        <w:t>; or</w:t>
      </w:r>
    </w:p>
    <w:p>
      <w:pPr>
        <w:spacing w:after="0" w:line="188" w:lineRule="exact"/>
        <w:rPr>
          <w:rFonts w:ascii="Arial" w:cs="Arial" w:eastAsia="Arial" w:hAnsi="Arial"/>
          <w:sz w:val="19"/>
          <w:szCs w:val="19"/>
          <w:color w:val="010000"/>
        </w:rPr>
      </w:pPr>
    </w:p>
    <w:p>
      <w:pPr>
        <w:ind w:left="640" w:firstLine="652"/>
        <w:spacing w:after="0" w:line="276" w:lineRule="auto"/>
        <w:tabs>
          <w:tab w:leader="none" w:pos="2479" w:val="left"/>
        </w:tabs>
        <w:numPr>
          <w:ilvl w:val="0"/>
          <w:numId w:val="290"/>
        </w:numPr>
        <w:rPr>
          <w:rFonts w:ascii="Arial" w:cs="Arial" w:eastAsia="Arial" w:hAnsi="Arial"/>
          <w:sz w:val="22"/>
          <w:szCs w:val="22"/>
          <w:color w:val="010000"/>
        </w:rPr>
      </w:pPr>
      <w:r>
        <w:rPr>
          <w:rFonts w:ascii="Arial" w:cs="Arial" w:eastAsia="Arial" w:hAnsi="Arial"/>
          <w:sz w:val="22"/>
          <w:szCs w:val="22"/>
          <w:color w:val="auto"/>
        </w:rPr>
        <w:t>any Extended Expiration Letters of Credit are issued and outstanding on the Stated Cash Collateralization Date;</w:t>
      </w:r>
    </w:p>
    <w:p>
      <w:pPr>
        <w:spacing w:after="0" w:line="147"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then the Borrowers shall deposit in an account maintained with the Administrative Agent, in the name of the Administrative Agent and for the benefit of the Issuing Banks and the Lenders (the “</w:t>
      </w:r>
      <w:r>
        <w:rPr>
          <w:rFonts w:ascii="Arial" w:cs="Arial" w:eastAsia="Arial" w:hAnsi="Arial"/>
          <w:sz w:val="19"/>
          <w:szCs w:val="19"/>
          <w:u w:val="single" w:color="auto"/>
          <w:color w:val="auto"/>
        </w:rPr>
        <w:t>LC Collateral Account</w:t>
      </w:r>
      <w:r>
        <w:rPr>
          <w:rFonts w:ascii="Arial" w:cs="Arial" w:eastAsia="Arial" w:hAnsi="Arial"/>
          <w:sz w:val="19"/>
          <w:szCs w:val="19"/>
          <w:color w:val="auto"/>
        </w:rPr>
        <w:t xml:space="preserve">”), an amount in cash equal to (x) in the case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immediately above, (1) 105% of the Total LC Exposure with respect to Letters of Credit that are denominated in an Alternative Currency and (2) 103% of the Total LC Exposure with respect to Letters of Credit that are denominated in U.S. Dollars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of the Borrower that requested, or is otherwise an applicant 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(y) in the case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immediately above, an amount necessary to satisfy the requirements of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2.10</w:t>
      </w:r>
      <w:r>
        <w:rPr>
          <w:rFonts w:ascii="Arial" w:cs="Arial" w:eastAsia="Arial" w:hAnsi="Arial"/>
          <w:sz w:val="19"/>
          <w:szCs w:val="19"/>
          <w:color w:val="auto"/>
        </w:rPr>
        <w:t>, as the case may be, and (z) in the case</w:t>
      </w:r>
    </w:p>
    <w:p>
      <w:pPr>
        <w:spacing w:after="0" w:line="10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295" w:name="page296"/>
    <w:bookmarkEnd w:id="295"/>
    <w:p>
      <w:pPr>
        <w:jc w:val="both"/>
        <w:spacing w:after="0" w:line="299" w:lineRule="auto"/>
        <w:rPr>
          <w:sz w:val="20"/>
          <w:szCs w:val="20"/>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immediately above, 103% of the Total LC Exposure with respect to any Extended Expiration Letters of Credit on the Stated Cash Collateralization Date that are denominated in Dollars and 105% of the Dollar Equivalent of the Total LC Exposure with respect to any Extended Expiration Letters of Credit on the Stated Cash Collateralization Date that are denominated in Alternative Currencies. Any such deposits pursuant to this </w:t>
      </w:r>
      <w:r>
        <w:rPr>
          <w:rFonts w:ascii="Arial" w:cs="Arial" w:eastAsia="Arial" w:hAnsi="Arial"/>
          <w:sz w:val="19"/>
          <w:szCs w:val="19"/>
          <w:u w:val="single" w:color="auto"/>
          <w:color w:val="auto"/>
        </w:rPr>
        <w:t>Section 3.01(k)(i)</w:t>
      </w:r>
      <w:r>
        <w:rPr>
          <w:rFonts w:ascii="Arial" w:cs="Arial" w:eastAsia="Arial" w:hAnsi="Arial"/>
          <w:sz w:val="19"/>
          <w:szCs w:val="19"/>
          <w:color w:val="auto"/>
        </w:rPr>
        <w:t xml:space="preserve"> or such other provisions under this Agreement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or, if the scheduled maturity date of the Obligations has been accelerated,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Arial" w:cs="Arial" w:eastAsia="Arial" w:hAnsi="Arial"/>
          <w:sz w:val="19"/>
          <w:szCs w:val="19"/>
          <w:u w:val="single" w:color="auto"/>
          <w:color w:val="auto"/>
        </w:rPr>
        <w:t>Section 3.01(k)(i)</w:t>
      </w:r>
      <w:r>
        <w:rPr>
          <w:rFonts w:ascii="Arial" w:cs="Arial" w:eastAsia="Arial" w:hAnsi="Arial"/>
          <w:sz w:val="19"/>
          <w:szCs w:val="19"/>
          <w:color w:val="auto"/>
        </w:rPr>
        <w:t xml:space="preserve">) shall be returned to the Borrowers within three Business Days after all Events of Default have been cured or waived, (2)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the Total LC Exposure is subsequently reduced to an amount less than the Aggregate Commitments, such cash collateral (to the extent not applied as provided in this </w:t>
      </w:r>
      <w:r>
        <w:rPr>
          <w:rFonts w:ascii="Arial" w:cs="Arial" w:eastAsia="Arial" w:hAnsi="Arial"/>
          <w:sz w:val="19"/>
          <w:szCs w:val="19"/>
          <w:u w:val="single" w:color="auto"/>
          <w:color w:val="auto"/>
        </w:rPr>
        <w:t>Section 3.01(k)(i)</w:t>
      </w:r>
      <w:r>
        <w:rPr>
          <w:rFonts w:ascii="Arial" w:cs="Arial" w:eastAsia="Arial" w:hAnsi="Arial"/>
          <w:sz w:val="19"/>
          <w:szCs w:val="19"/>
          <w:color w:val="auto"/>
        </w:rPr>
        <w:t xml:space="preserve">) or a portion thereof shall be promptly returned to the Borrowers to the extent, and within three Business Days after determining, that the amount of the Total LC Exposure is less than the amount of the Aggregate Commitments or (3) as a result of any Extended Expiration Letters of Credit, such amount (to the extent not applied as provided in this </w:t>
      </w:r>
      <w:r>
        <w:rPr>
          <w:rFonts w:ascii="Arial" w:cs="Arial" w:eastAsia="Arial" w:hAnsi="Arial"/>
          <w:sz w:val="19"/>
          <w:szCs w:val="19"/>
          <w:u w:val="single" w:color="auto"/>
          <w:color w:val="auto"/>
        </w:rPr>
        <w:t>Section 3.01(k)(i)</w:t>
      </w:r>
      <w:r>
        <w:rPr>
          <w:rFonts w:ascii="Arial" w:cs="Arial" w:eastAsia="Arial" w:hAnsi="Arial"/>
          <w:sz w:val="19"/>
          <w:szCs w:val="19"/>
          <w:color w:val="auto"/>
        </w:rPr>
        <w:t>) shall be returned to the Borrowers within three Business Days after each such Extended Expiration Letter of Credit has expired or terminated without any pending draw under such Extended Expiration Letter of Credit.</w:t>
      </w:r>
    </w:p>
    <w:p>
      <w:pPr>
        <w:spacing w:after="0" w:line="391" w:lineRule="exact"/>
        <w:rPr>
          <w:sz w:val="20"/>
          <w:szCs w:val="20"/>
          <w:color w:val="auto"/>
        </w:rPr>
      </w:pPr>
    </w:p>
    <w:p>
      <w:pPr>
        <w:jc w:val="both"/>
        <w:ind w:firstLine="1292"/>
        <w:spacing w:after="0" w:line="260" w:lineRule="auto"/>
        <w:tabs>
          <w:tab w:leader="none" w:pos="2248" w:val="left"/>
        </w:tabs>
        <w:numPr>
          <w:ilvl w:val="0"/>
          <w:numId w:val="291"/>
        </w:numPr>
        <w:rPr>
          <w:rFonts w:ascii="Arial" w:cs="Arial" w:eastAsia="Arial" w:hAnsi="Arial"/>
          <w:sz w:val="22"/>
          <w:szCs w:val="22"/>
          <w:color w:val="auto"/>
        </w:rPr>
      </w:pPr>
      <w:r>
        <w:rPr>
          <w:rFonts w:ascii="Arial" w:cs="Arial" w:eastAsia="Arial" w:hAnsi="Arial"/>
          <w:sz w:val="22"/>
          <w:szCs w:val="22"/>
          <w:color w:val="auto"/>
        </w:rPr>
        <w:t xml:space="preserve">The obligations of each of the Borrowers and the Lenders under this Agreement and the other Loan Documents regarding Letters of Credit, including obligations under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shall survive after the Maturity Date and termination of this Agreement for so long as any LC Exposure exists (whether or not all or any portion of such LC Exposure has been cash collateralized as described in </w:t>
      </w:r>
      <w:r>
        <w:rPr>
          <w:rFonts w:ascii="Arial" w:cs="Arial" w:eastAsia="Arial" w:hAnsi="Arial"/>
          <w:sz w:val="22"/>
          <w:szCs w:val="22"/>
          <w:u w:val="single" w:color="auto"/>
          <w:color w:val="auto"/>
        </w:rPr>
        <w:t>Section 3.01(k)</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Extended Expiration Letters of Credit, only the Borrowers and the applicable Issuing Banks’ obligations (and not those of any other Lender) shall so survive.</w:t>
      </w:r>
    </w:p>
    <w:p>
      <w:pPr>
        <w:spacing w:after="0" w:line="164" w:lineRule="exact"/>
        <w:rPr>
          <w:rFonts w:ascii="Arial" w:cs="Arial" w:eastAsia="Arial" w:hAnsi="Arial"/>
          <w:sz w:val="22"/>
          <w:szCs w:val="22"/>
          <w:color w:val="auto"/>
        </w:rPr>
      </w:pPr>
    </w:p>
    <w:p>
      <w:pPr>
        <w:ind w:right="20" w:firstLine="1292"/>
        <w:spacing w:after="0" w:line="276" w:lineRule="auto"/>
        <w:tabs>
          <w:tab w:leader="none" w:pos="2443" w:val="left"/>
        </w:tabs>
        <w:numPr>
          <w:ilvl w:val="0"/>
          <w:numId w:val="291"/>
        </w:numPr>
        <w:rPr>
          <w:rFonts w:ascii="Arial" w:cs="Arial" w:eastAsia="Arial" w:hAnsi="Arial"/>
          <w:sz w:val="22"/>
          <w:szCs w:val="22"/>
          <w:color w:val="auto"/>
        </w:rPr>
      </w:pPr>
      <w:r>
        <w:rPr>
          <w:rFonts w:ascii="Arial" w:cs="Arial" w:eastAsia="Arial" w:hAnsi="Arial"/>
          <w:sz w:val="22"/>
          <w:szCs w:val="22"/>
          <w:color w:val="auto"/>
        </w:rPr>
        <w:t xml:space="preserve">For the avoidance of doubt, each Lender confirms that its respective obligations (x) under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and (y) in respect of Letters of Credit shall be</w:t>
      </w:r>
    </w:p>
    <w:p>
      <w:pPr>
        <w:spacing w:after="0" w:line="120"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296" w:name="page297"/>
    <w:bookmarkEnd w:id="296"/>
    <w:p>
      <w:pPr>
        <w:jc w:val="both"/>
        <w:ind w:left="660"/>
        <w:spacing w:after="0" w:line="262" w:lineRule="auto"/>
        <w:rPr>
          <w:sz w:val="20"/>
          <w:szCs w:val="20"/>
          <w:color w:val="auto"/>
        </w:rPr>
      </w:pPr>
      <w:r>
        <w:rPr>
          <w:rFonts w:ascii="Arial" w:cs="Arial" w:eastAsia="Arial" w:hAnsi="Arial"/>
          <w:sz w:val="22"/>
          <w:szCs w:val="22"/>
          <w:color w:val="auto"/>
        </w:rPr>
        <w:t xml:space="preserve">reinstated in full and apply if the delivery of any cash collateral pursuant to this </w:t>
      </w:r>
      <w:r>
        <w:rPr>
          <w:rFonts w:ascii="Arial" w:cs="Arial" w:eastAsia="Arial" w:hAnsi="Arial"/>
          <w:sz w:val="22"/>
          <w:szCs w:val="22"/>
          <w:u w:val="single" w:color="auto"/>
          <w:color w:val="auto"/>
        </w:rPr>
        <w:t>Section 3.01(k)</w:t>
      </w:r>
      <w:r>
        <w:rPr>
          <w:rFonts w:ascii="Arial" w:cs="Arial" w:eastAsia="Arial" w:hAnsi="Arial"/>
          <w:sz w:val="22"/>
          <w:szCs w:val="22"/>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or </w:t>
      </w:r>
      <w:r>
        <w:rPr>
          <w:rFonts w:ascii="Arial" w:cs="Arial" w:eastAsia="Arial" w:hAnsi="Arial"/>
          <w:sz w:val="22"/>
          <w:szCs w:val="22"/>
          <w:u w:val="single" w:color="auto"/>
          <w:color w:val="auto"/>
        </w:rPr>
        <w:t>Section 9.01(i)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9.01(j)</w:t>
      </w:r>
      <w:r>
        <w:rPr>
          <w:rFonts w:ascii="Arial" w:cs="Arial" w:eastAsia="Arial" w:hAnsi="Arial"/>
          <w:sz w:val="22"/>
          <w:szCs w:val="22"/>
          <w:color w:val="auto"/>
        </w:rPr>
        <w:t xml:space="preserve"> or otherwise.</w:t>
      </w:r>
    </w:p>
    <w:p>
      <w:pPr>
        <w:spacing w:after="0" w:line="151" w:lineRule="exact"/>
        <w:rPr>
          <w:sz w:val="20"/>
          <w:szCs w:val="20"/>
          <w:color w:val="auto"/>
        </w:rPr>
      </w:pPr>
    </w:p>
    <w:p>
      <w:pPr>
        <w:jc w:val="both"/>
        <w:ind w:firstLine="1304"/>
        <w:spacing w:after="0" w:line="304" w:lineRule="auto"/>
        <w:tabs>
          <w:tab w:leader="none" w:pos="2337" w:val="left"/>
        </w:tabs>
        <w:numPr>
          <w:ilvl w:val="0"/>
          <w:numId w:val="292"/>
        </w:numPr>
        <w:rPr>
          <w:rFonts w:ascii="Arial" w:cs="Arial" w:eastAsia="Arial" w:hAnsi="Arial"/>
          <w:sz w:val="19"/>
          <w:szCs w:val="19"/>
          <w:color w:val="auto"/>
        </w:rPr>
      </w:pPr>
      <w:r>
        <w:rPr>
          <w:rFonts w:ascii="Arial" w:cs="Arial" w:eastAsia="Arial" w:hAnsi="Arial"/>
          <w:sz w:val="19"/>
          <w:szCs w:val="19"/>
          <w:u w:val="single" w:color="auto"/>
          <w:color w:val="auto"/>
        </w:rPr>
        <w:t>Designation of Additional Issuing Banks</w:t>
      </w:r>
      <w:r>
        <w:rPr>
          <w:rFonts w:ascii="Arial" w:cs="Arial" w:eastAsia="Arial" w:hAnsi="Arial"/>
          <w:sz w:val="19"/>
          <w:szCs w:val="19"/>
          <w:color w:val="auto"/>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9"/>
          <w:szCs w:val="19"/>
          <w:u w:val="single" w:color="auto"/>
          <w:color w:val="auto"/>
        </w:rPr>
        <w:t>Issuing Bank Agreement</w:t>
      </w:r>
      <w:r>
        <w:rPr>
          <w:rFonts w:ascii="Arial" w:cs="Arial" w:eastAsia="Arial" w:hAnsi="Arial"/>
          <w:sz w:val="19"/>
          <w:szCs w:val="19"/>
          <w:color w:val="auto"/>
        </w:rPr>
        <w:t>”), which shall be in a form reasonably satisfactory to the Borrowers and the Administrative Agent, shall set forth the LC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28" w:lineRule="exact"/>
        <w:rPr>
          <w:rFonts w:ascii="Arial" w:cs="Arial" w:eastAsia="Arial" w:hAnsi="Arial"/>
          <w:sz w:val="19"/>
          <w:szCs w:val="19"/>
          <w:color w:val="auto"/>
        </w:rPr>
      </w:pPr>
    </w:p>
    <w:p>
      <w:pPr>
        <w:jc w:val="both"/>
        <w:ind w:firstLine="1304"/>
        <w:spacing w:after="0" w:line="271" w:lineRule="auto"/>
        <w:tabs>
          <w:tab w:leader="none" w:pos="2202" w:val="left"/>
        </w:tabs>
        <w:numPr>
          <w:ilvl w:val="0"/>
          <w:numId w:val="292"/>
        </w:numPr>
        <w:rPr>
          <w:rFonts w:ascii="Arial" w:cs="Arial" w:eastAsia="Arial" w:hAnsi="Arial"/>
          <w:sz w:val="21"/>
          <w:szCs w:val="21"/>
          <w:color w:val="auto"/>
        </w:rPr>
      </w:pPr>
      <w:r>
        <w:rPr>
          <w:rFonts w:ascii="Arial" w:cs="Arial" w:eastAsia="Arial" w:hAnsi="Arial"/>
          <w:sz w:val="21"/>
          <w:szCs w:val="21"/>
          <w:u w:val="single" w:color="auto"/>
          <w:color w:val="auto"/>
        </w:rPr>
        <w:t>Letters of Credit Issued for Account of Restricted Subsidiaries</w:t>
      </w:r>
      <w:r>
        <w:rPr>
          <w:rFonts w:ascii="Arial" w:cs="Arial" w:eastAsia="Arial" w:hAnsi="Arial"/>
          <w:sz w:val="21"/>
          <w:szCs w:val="21"/>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w:t>
      </w:r>
    </w:p>
    <w:p>
      <w:pPr>
        <w:spacing w:after="0" w:line="143" w:lineRule="exact"/>
        <w:rPr>
          <w:rFonts w:ascii="Arial" w:cs="Arial" w:eastAsia="Arial" w:hAnsi="Arial"/>
          <w:sz w:val="21"/>
          <w:szCs w:val="21"/>
          <w:color w:val="auto"/>
        </w:rPr>
      </w:pPr>
    </w:p>
    <w:p>
      <w:pPr>
        <w:jc w:val="both"/>
        <w:ind w:firstLine="1304"/>
        <w:spacing w:after="0" w:line="258" w:lineRule="auto"/>
        <w:tabs>
          <w:tab w:leader="none" w:pos="2385" w:val="left"/>
        </w:tabs>
        <w:numPr>
          <w:ilvl w:val="0"/>
          <w:numId w:val="292"/>
        </w:numPr>
        <w:rPr>
          <w:rFonts w:ascii="Arial" w:cs="Arial" w:eastAsia="Arial" w:hAnsi="Arial"/>
          <w:sz w:val="22"/>
          <w:szCs w:val="22"/>
          <w:color w:val="auto"/>
        </w:rPr>
      </w:pP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Simultaneously with the occurrence of the Effective Date, each of the Existing Letters of Credit shall be deemed issued under this Agreement (and shall comprise Letters of Credit under this Agreement and the other Loan Documents), and with respect to each such Existing Letter of Credit, the applicable Borrower specified on </w:t>
      </w:r>
      <w:r>
        <w:rPr>
          <w:rFonts w:ascii="Arial" w:cs="Arial" w:eastAsia="Arial" w:hAnsi="Arial"/>
          <w:sz w:val="22"/>
          <w:szCs w:val="22"/>
          <w:u w:val="single" w:color="auto"/>
          <w:color w:val="auto"/>
        </w:rPr>
        <w:t>Schedule 3.01</w:t>
      </w:r>
      <w:r>
        <w:rPr>
          <w:rFonts w:ascii="Arial" w:cs="Arial" w:eastAsia="Arial" w:hAnsi="Arial"/>
          <w:sz w:val="22"/>
          <w:szCs w:val="22"/>
          <w:color w:val="auto"/>
        </w:rPr>
        <w:t xml:space="preserve"> with respect to such Existing Letter of Credit shall be deemed to be the applicant (or where no Borrower is specified on either Schedule 3.01 or any schedule to Amendment No. 1, all Borrowers shall be deemed to be the applicant thereof), and shall have the reimbursement obligations provided in </w:t>
      </w:r>
      <w:r>
        <w:rPr>
          <w:rFonts w:ascii="Arial" w:cs="Arial" w:eastAsia="Arial" w:hAnsi="Arial"/>
          <w:sz w:val="22"/>
          <w:szCs w:val="22"/>
          <w:u w:val="single" w:color="auto"/>
          <w:color w:val="auto"/>
        </w:rPr>
        <w:t>Section 3.01(f)</w:t>
      </w:r>
      <w:r>
        <w:rPr>
          <w:rFonts w:ascii="Arial" w:cs="Arial" w:eastAsia="Arial" w:hAnsi="Arial"/>
          <w:sz w:val="22"/>
          <w:szCs w:val="22"/>
          <w:color w:val="auto"/>
        </w:rPr>
        <w:t xml:space="preserve">, with respect thereto. Existing Letters of Credit shall be subject to all provisions contained herein (including, without limitation,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3.01(f)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3.01(g)</w:t>
      </w:r>
      <w:r>
        <w:rPr>
          <w:rFonts w:ascii="Arial" w:cs="Arial" w:eastAsia="Arial" w:hAnsi="Arial"/>
          <w:sz w:val="22"/>
          <w:szCs w:val="22"/>
          <w:color w:val="auto"/>
        </w:rPr>
        <w:t>) and be secured by the Collateral pursuant to the Loan Documents. No Existing Letters of Credit issued by Standard Chartered Bank (or any of its Affiliates) (x) may be amended or modified without the approval of such Person, which approval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7" w:name="page298"/>
    <w:bookmarkEnd w:id="297"/>
    <w:p>
      <w:pPr>
        <w:ind w:right="20"/>
        <w:spacing w:after="0" w:line="276" w:lineRule="auto"/>
        <w:rPr>
          <w:sz w:val="20"/>
          <w:szCs w:val="20"/>
          <w:color w:val="auto"/>
        </w:rPr>
      </w:pPr>
      <w:r>
        <w:rPr>
          <w:rFonts w:ascii="Arial" w:cs="Arial" w:eastAsia="Arial" w:hAnsi="Arial"/>
          <w:sz w:val="22"/>
          <w:szCs w:val="22"/>
          <w:color w:val="auto"/>
        </w:rPr>
        <w:t>may be given in its sole discretion and (y) shall be renewed or extended upon the expiration thereof in effect on the Effective Date.</w:t>
      </w:r>
    </w:p>
    <w:p>
      <w:pPr>
        <w:spacing w:after="0" w:line="134" w:lineRule="exact"/>
        <w:rPr>
          <w:sz w:val="20"/>
          <w:szCs w:val="20"/>
          <w:color w:val="auto"/>
        </w:rPr>
      </w:pPr>
    </w:p>
    <w:p>
      <w:pPr>
        <w:ind w:firstLine="1304"/>
        <w:spacing w:after="0" w:line="358" w:lineRule="auto"/>
        <w:tabs>
          <w:tab w:leader="none" w:pos="2236" w:val="left"/>
        </w:tabs>
        <w:numPr>
          <w:ilvl w:val="0"/>
          <w:numId w:val="293"/>
        </w:numPr>
        <w:rPr>
          <w:rFonts w:ascii="Arial" w:cs="Arial" w:eastAsia="Arial" w:hAnsi="Arial"/>
          <w:sz w:val="19"/>
          <w:szCs w:val="19"/>
          <w:color w:val="auto"/>
        </w:rPr>
      </w:pPr>
      <w:r>
        <w:rPr>
          <w:rFonts w:ascii="Arial" w:cs="Arial" w:eastAsia="Arial" w:hAnsi="Arial"/>
          <w:sz w:val="19"/>
          <w:szCs w:val="19"/>
          <w:u w:val="single" w:color="auto"/>
          <w:color w:val="auto"/>
        </w:rPr>
        <w:t>Minimum Denominations</w:t>
      </w:r>
      <w:r>
        <w:rPr>
          <w:rFonts w:ascii="Arial" w:cs="Arial" w:eastAsia="Arial" w:hAnsi="Arial"/>
          <w:sz w:val="19"/>
          <w:szCs w:val="19"/>
          <w:color w:val="auto"/>
        </w:rPr>
        <w:t>. Letters of Credit (other than Existing Letters of Credit) hereunder shall be issued in minimum face amounts of $25,000 (or if denominated in an Alternative Currency, the Dollar equivalent of $25,000).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PAYMENTS; PRO RATA TREATMENT; TAXES</w:t>
      </w:r>
    </w:p>
    <w:p>
      <w:pPr>
        <w:spacing w:after="0" w:line="188"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Payments Generally; Pro Rata Treatment; Sharing of Set-offs.</w:t>
      </w:r>
    </w:p>
    <w:p>
      <w:pPr>
        <w:spacing w:after="0" w:line="193" w:lineRule="exact"/>
        <w:rPr>
          <w:sz w:val="20"/>
          <w:szCs w:val="20"/>
          <w:color w:val="auto"/>
        </w:rPr>
      </w:pPr>
    </w:p>
    <w:p>
      <w:pPr>
        <w:jc w:val="both"/>
        <w:ind w:firstLine="1304"/>
        <w:spacing w:after="0" w:line="299" w:lineRule="auto"/>
        <w:tabs>
          <w:tab w:leader="none" w:pos="2427" w:val="left"/>
        </w:tabs>
        <w:numPr>
          <w:ilvl w:val="0"/>
          <w:numId w:val="294"/>
        </w:numPr>
        <w:rPr>
          <w:rFonts w:ascii="Arial" w:cs="Arial" w:eastAsia="Arial" w:hAnsi="Arial"/>
          <w:sz w:val="19"/>
          <w:szCs w:val="19"/>
          <w:color w:val="auto"/>
        </w:rPr>
      </w:pPr>
      <w:r>
        <w:rPr>
          <w:rFonts w:ascii="Arial" w:cs="Arial" w:eastAsia="Arial" w:hAnsi="Arial"/>
          <w:sz w:val="19"/>
          <w:szCs w:val="19"/>
          <w:color w:val="auto"/>
        </w:rPr>
        <w:t xml:space="preserve">Each Borrower shall make each payment required to be made by it hereunder (including fees or reimbursement of LC Disbursements, or of amounts payable under </w:t>
      </w:r>
      <w:r>
        <w:rPr>
          <w:rFonts w:ascii="Arial" w:cs="Arial" w:eastAsia="Arial" w:hAnsi="Arial"/>
          <w:sz w:val="19"/>
          <w:szCs w:val="19"/>
          <w:u w:val="single" w:color="auto"/>
          <w:color w:val="auto"/>
        </w:rPr>
        <w:t>Sections 2.07</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or otherwise) prior to 12:00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60 Wall Street, New York,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payments to be made directly to an Issuing Bank as expressly provided herein shall be made directly to such Issuing Bank, as applicable, and (ii) payments pursuant to </w:t>
      </w:r>
      <w:r>
        <w:rPr>
          <w:rFonts w:ascii="Arial" w:cs="Arial" w:eastAsia="Arial" w:hAnsi="Arial"/>
          <w:sz w:val="19"/>
          <w:szCs w:val="19"/>
          <w:u w:val="single" w:color="auto"/>
          <w:color w:val="auto"/>
        </w:rPr>
        <w:t>Sections 2.07</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in respect of any Obligation (or of any breakage indemnity in respect of thereof) shall be made in Dollars; all other payments hereunder and under each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Notwithstanding the foregoing provisions of this Section, if, after the issuance of any Letter of Credit in any Alternative Currency, currency control or exchange regulations are imposed in the country which issues such currency with the result that the type of currency in which the Letter of Credit was issued (herein, the “</w:t>
      </w:r>
      <w:r>
        <w:rPr>
          <w:rFonts w:ascii="Arial" w:cs="Arial" w:eastAsia="Arial" w:hAnsi="Arial"/>
          <w:sz w:val="19"/>
          <w:szCs w:val="19"/>
          <w:u w:val="single" w:color="auto"/>
          <w:color w:val="auto"/>
        </w:rPr>
        <w:t>original currency</w:t>
      </w:r>
      <w:r>
        <w:rPr>
          <w:rFonts w:ascii="Arial" w:cs="Arial" w:eastAsia="Arial" w:hAnsi="Arial"/>
          <w:sz w:val="19"/>
          <w:szCs w:val="19"/>
          <w:color w:val="auto"/>
        </w:rPr>
        <w:t xml:space="preserve">”) no longer exists or for any reason the relevant Borrower is not able to make payment to the Issuing Bank in such original currency, or the terms of this Agreement require the conversion of such Letter of Credit or the related Letter of Credit Exposure into Dollars (including as required by </w:t>
      </w:r>
      <w:r>
        <w:rPr>
          <w:rFonts w:ascii="Arial" w:cs="Arial" w:eastAsia="Arial" w:hAnsi="Arial"/>
          <w:sz w:val="19"/>
          <w:szCs w:val="19"/>
          <w:u w:val="single" w:color="auto"/>
          <w:color w:val="auto"/>
        </w:rPr>
        <w:t>Sections 3.01(c)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3.01(e)</w:t>
      </w:r>
      <w:r>
        <w:rPr>
          <w:rFonts w:ascii="Arial" w:cs="Arial" w:eastAsia="Arial" w:hAnsi="Arial"/>
          <w:sz w:val="19"/>
          <w:szCs w:val="19"/>
          <w:color w:val="auto"/>
        </w:rPr>
        <w:t>), then all payments to be made by such Borrower hereunder in such currency shall instead be made when due in Dollars in an amount equal to the Dollar Equivalent (as of the date of repayment) of such payment due,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Letter of Credit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8" w:name="page299"/>
    <w:bookmarkEnd w:id="298"/>
    <w:p>
      <w:pPr>
        <w:spacing w:after="0" w:line="276" w:lineRule="auto"/>
        <w:rPr>
          <w:sz w:val="20"/>
          <w:szCs w:val="20"/>
          <w:color w:val="auto"/>
        </w:rPr>
      </w:pPr>
      <w:r>
        <w:rPr>
          <w:rFonts w:ascii="Arial" w:cs="Arial" w:eastAsia="Arial" w:hAnsi="Arial"/>
          <w:sz w:val="22"/>
          <w:szCs w:val="22"/>
          <w:color w:val="auto"/>
        </w:rPr>
        <w:t>denominated in an Alternative Currency that is not repaid to the Issuing Banks, the Administrative Agent or the Lenders, as the case may be, in the original currency.</w:t>
      </w:r>
    </w:p>
    <w:p>
      <w:pPr>
        <w:spacing w:after="0" w:line="134" w:lineRule="exact"/>
        <w:rPr>
          <w:sz w:val="20"/>
          <w:szCs w:val="20"/>
          <w:color w:val="auto"/>
        </w:rPr>
      </w:pPr>
    </w:p>
    <w:p>
      <w:pPr>
        <w:jc w:val="both"/>
        <w:ind w:firstLine="1304"/>
        <w:spacing w:after="0" w:line="274" w:lineRule="auto"/>
        <w:tabs>
          <w:tab w:leader="none" w:pos="2101" w:val="left"/>
        </w:tabs>
        <w:numPr>
          <w:ilvl w:val="0"/>
          <w:numId w:val="295"/>
        </w:numPr>
        <w:rPr>
          <w:rFonts w:ascii="Arial" w:cs="Arial" w:eastAsia="Arial" w:hAnsi="Arial"/>
          <w:sz w:val="21"/>
          <w:szCs w:val="21"/>
          <w:color w:val="auto"/>
        </w:rPr>
      </w:pPr>
      <w:r>
        <w:rPr>
          <w:rFonts w:ascii="Arial" w:cs="Arial" w:eastAsia="Arial" w:hAnsi="Arial"/>
          <w:sz w:val="21"/>
          <w:szCs w:val="21"/>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21"/>
          <w:szCs w:val="21"/>
          <w:i w:val="1"/>
          <w:iCs w:val="1"/>
          <w:color w:val="auto"/>
        </w:rPr>
        <w:t>first</w:t>
      </w:r>
      <w:r>
        <w:rPr>
          <w:rFonts w:ascii="Arial" w:cs="Arial" w:eastAsia="Arial" w:hAnsi="Arial"/>
          <w:sz w:val="21"/>
          <w:szCs w:val="21"/>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21"/>
          <w:szCs w:val="21"/>
          <w:i w:val="1"/>
          <w:iCs w:val="1"/>
          <w:color w:val="auto"/>
        </w:rPr>
        <w:t>second</w:t>
      </w:r>
      <w:r>
        <w:rPr>
          <w:rFonts w:ascii="Arial" w:cs="Arial" w:eastAsia="Arial" w:hAnsi="Arial"/>
          <w:sz w:val="21"/>
          <w:szCs w:val="21"/>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54" w:lineRule="exact"/>
        <w:rPr>
          <w:rFonts w:ascii="Arial" w:cs="Arial" w:eastAsia="Arial" w:hAnsi="Arial"/>
          <w:sz w:val="21"/>
          <w:szCs w:val="21"/>
          <w:color w:val="auto"/>
        </w:rPr>
      </w:pPr>
    </w:p>
    <w:p>
      <w:pPr>
        <w:jc w:val="both"/>
        <w:ind w:firstLine="1304"/>
        <w:spacing w:after="0" w:line="300" w:lineRule="auto"/>
        <w:tabs>
          <w:tab w:leader="none" w:pos="2211" w:val="left"/>
        </w:tabs>
        <w:numPr>
          <w:ilvl w:val="0"/>
          <w:numId w:val="295"/>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Obligation or participations in LC Disbursements resulting in such Lender receiving payment of a greater proportion of the aggregate amount of its participations in LC Disbursements and accrued fees thereon (excluding any fees payable to such Lender in its role as an Issuing Bank) than the proportion received by any other Lender, then the Lender receiving such greater proportion shall purchase (for cash at face value) participations in LC Disbursements of other Lenders to the extent necessary so that the benefit of all such payments shall be shared by the Lenders ratably in accordance with the aggregate amount of principal of and accrued interest on their respective participations in LC Disbursements;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398" w:lineRule="exact"/>
        <w:rPr>
          <w:rFonts w:ascii="Arial" w:cs="Arial" w:eastAsia="Arial" w:hAnsi="Arial"/>
          <w:sz w:val="19"/>
          <w:szCs w:val="19"/>
          <w:color w:val="auto"/>
        </w:rPr>
      </w:pPr>
    </w:p>
    <w:p>
      <w:pPr>
        <w:jc w:val="both"/>
        <w:ind w:firstLine="1304"/>
        <w:spacing w:after="0" w:line="304" w:lineRule="auto"/>
        <w:tabs>
          <w:tab w:leader="none" w:pos="2169" w:val="left"/>
        </w:tabs>
        <w:numPr>
          <w:ilvl w:val="0"/>
          <w:numId w:val="295"/>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9" w:name="page300"/>
    <w:bookmarkEnd w:id="299"/>
    <w:p>
      <w:pPr>
        <w:jc w:val="both"/>
        <w:ind w:firstLine="1304"/>
        <w:spacing w:after="0" w:line="259" w:lineRule="auto"/>
        <w:tabs>
          <w:tab w:leader="none" w:pos="2278" w:val="left"/>
        </w:tabs>
        <w:numPr>
          <w:ilvl w:val="0"/>
          <w:numId w:val="296"/>
        </w:numPr>
        <w:rPr>
          <w:rFonts w:ascii="Arial" w:cs="Arial" w:eastAsia="Arial" w:hAnsi="Arial"/>
          <w:sz w:val="22"/>
          <w:szCs w:val="22"/>
          <w:color w:val="auto"/>
        </w:rPr>
      </w:pPr>
      <w:r>
        <w:rPr>
          <w:rFonts w:ascii="Arial" w:cs="Arial" w:eastAsia="Arial" w:hAnsi="Arial"/>
          <w:sz w:val="22"/>
          <w:szCs w:val="22"/>
          <w:color w:val="auto"/>
        </w:rPr>
        <w:t xml:space="preserve">If any Lender shall fail to make any payment required to be made by it pursuant to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3.01(f)</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4.01(d)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11.04(a)</w:t>
      </w:r>
      <w:r>
        <w:rPr>
          <w:rFonts w:ascii="Arial" w:cs="Arial" w:eastAsia="Arial" w:hAnsi="Arial"/>
          <w:sz w:val="22"/>
          <w:szCs w:val="22"/>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in any order as determined by the Administrative Agent in its discretion.</w:t>
      </w:r>
    </w:p>
    <w:p>
      <w:pPr>
        <w:spacing w:after="0" w:line="152"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Taxes/Additional Payments.</w:t>
      </w:r>
    </w:p>
    <w:p>
      <w:pPr>
        <w:spacing w:after="0" w:line="206" w:lineRule="exact"/>
        <w:rPr>
          <w:sz w:val="20"/>
          <w:szCs w:val="20"/>
          <w:color w:val="auto"/>
        </w:rPr>
      </w:pPr>
    </w:p>
    <w:p>
      <w:pPr>
        <w:jc w:val="both"/>
        <w:ind w:firstLine="1304"/>
        <w:spacing w:after="0" w:line="273" w:lineRule="auto"/>
        <w:tabs>
          <w:tab w:leader="none" w:pos="2197" w:val="left"/>
        </w:tabs>
        <w:numPr>
          <w:ilvl w:val="0"/>
          <w:numId w:val="297"/>
        </w:numPr>
        <w:rPr>
          <w:rFonts w:ascii="Arial" w:cs="Arial" w:eastAsia="Arial" w:hAnsi="Arial"/>
          <w:sz w:val="21"/>
          <w:szCs w:val="21"/>
          <w:color w:val="auto"/>
        </w:rPr>
      </w:pPr>
      <w:r>
        <w:rPr>
          <w:rFonts w:ascii="Arial" w:cs="Arial" w:eastAsia="Arial" w:hAnsi="Arial"/>
          <w:sz w:val="21"/>
          <w:szCs w:val="21"/>
          <w:color w:val="auto"/>
        </w:rPr>
        <w:t xml:space="preserve">Any and all payments by or on account of any obligation of the Borrowers under any Loan Document shall be made free and clear of and without deduction or withholding for any Indemnified Taxes or Other Taxes;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38" w:lineRule="exact"/>
        <w:rPr>
          <w:rFonts w:ascii="Arial" w:cs="Arial" w:eastAsia="Arial" w:hAnsi="Arial"/>
          <w:sz w:val="21"/>
          <w:szCs w:val="21"/>
          <w:color w:val="auto"/>
        </w:rPr>
      </w:pPr>
    </w:p>
    <w:p>
      <w:pPr>
        <w:jc w:val="both"/>
        <w:ind w:firstLine="1304"/>
        <w:spacing w:after="0" w:line="271" w:lineRule="auto"/>
        <w:tabs>
          <w:tab w:leader="none" w:pos="2236" w:val="left"/>
        </w:tabs>
        <w:numPr>
          <w:ilvl w:val="0"/>
          <w:numId w:val="297"/>
        </w:numPr>
        <w:rPr>
          <w:rFonts w:ascii="Arial" w:cs="Arial" w:eastAsia="Arial" w:hAnsi="Arial"/>
          <w:sz w:val="21"/>
          <w:szCs w:val="21"/>
          <w:color w:val="auto"/>
        </w:rPr>
      </w:pPr>
      <w:r>
        <w:rPr>
          <w:rFonts w:ascii="Arial" w:cs="Arial" w:eastAsia="Arial" w:hAnsi="Arial"/>
          <w:sz w:val="21"/>
          <w:szCs w:val="21"/>
          <w:color w:val="auto"/>
        </w:rPr>
        <w:t xml:space="preserve">The Borrowers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Borrowers shall not be liable for any penalties, interest and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46" w:lineRule="exact"/>
        <w:rPr>
          <w:rFonts w:ascii="Arial" w:cs="Arial" w:eastAsia="Arial" w:hAnsi="Arial"/>
          <w:sz w:val="21"/>
          <w:szCs w:val="21"/>
          <w:color w:val="auto"/>
        </w:rPr>
      </w:pPr>
    </w:p>
    <w:p>
      <w:pPr>
        <w:jc w:val="both"/>
        <w:ind w:firstLine="1304"/>
        <w:spacing w:after="0" w:line="308" w:lineRule="auto"/>
        <w:tabs>
          <w:tab w:leader="none" w:pos="2211" w:val="left"/>
        </w:tabs>
        <w:numPr>
          <w:ilvl w:val="0"/>
          <w:numId w:val="297"/>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0" w:name="page301"/>
    <w:bookmarkEnd w:id="300"/>
    <w:p>
      <w:pPr>
        <w:jc w:val="both"/>
        <w:spacing w:after="0" w:line="261" w:lineRule="auto"/>
        <w:rPr>
          <w:sz w:val="20"/>
          <w:szCs w:val="20"/>
          <w:color w:val="auto"/>
        </w:rPr>
      </w:pPr>
      <w:r>
        <w:rPr>
          <w:rFonts w:ascii="Arial" w:cs="Arial" w:eastAsia="Arial" w:hAnsi="Arial"/>
          <w:sz w:val="22"/>
          <w:szCs w:val="22"/>
          <w:color w:val="auto"/>
        </w:rPr>
        <w:t xml:space="preserve">as shall permit such payments to be made without withholding or at a reduced rate;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spacing w:after="0" w:line="150" w:lineRule="exact"/>
        <w:rPr>
          <w:sz w:val="20"/>
          <w:szCs w:val="20"/>
          <w:color w:val="auto"/>
        </w:rPr>
      </w:pPr>
    </w:p>
    <w:p>
      <w:pPr>
        <w:jc w:val="both"/>
        <w:ind w:firstLine="1304"/>
        <w:spacing w:after="0" w:line="270" w:lineRule="auto"/>
        <w:tabs>
          <w:tab w:leader="none" w:pos="2128" w:val="left"/>
        </w:tabs>
        <w:numPr>
          <w:ilvl w:val="0"/>
          <w:numId w:val="298"/>
        </w:numPr>
        <w:rPr>
          <w:rFonts w:ascii="Arial" w:cs="Arial" w:eastAsia="Arial" w:hAnsi="Arial"/>
          <w:sz w:val="21"/>
          <w:szCs w:val="21"/>
          <w:color w:val="auto"/>
        </w:rPr>
      </w:pPr>
      <w:r>
        <w:rPr>
          <w:rFonts w:ascii="Arial" w:cs="Arial" w:eastAsia="Arial" w:hAnsi="Arial"/>
          <w:sz w:val="21"/>
          <w:szCs w:val="21"/>
          <w:color w:val="auto"/>
        </w:rPr>
        <w:t xml:space="preserve">If the Administrative Agent or a Lender determines, in its sole discretion, that it has received a refund of any Taxes paid by a Borrower or with respect to which a Borrower has paid additional amounts pursuant to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it shall pay over such refund to such Borrower (but only to the extent of indemnity payments made, or additional amounts paid, by such Borrower under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Borrower, upon the request of the Administrative Agent or such Lender, agrees to repay promptly the amount paid over to such Borrower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Arial" w:cs="Arial" w:eastAsia="Arial" w:hAnsi="Arial"/>
          <w:sz w:val="21"/>
          <w:szCs w:val="21"/>
          <w:u w:val="single" w:color="auto"/>
          <w:color w:val="auto"/>
        </w:rPr>
        <w:t>paragraph (d)</w:t>
      </w:r>
      <w:r>
        <w:rPr>
          <w:rFonts w:ascii="Arial" w:cs="Arial" w:eastAsia="Arial" w:hAnsi="Arial"/>
          <w:sz w:val="21"/>
          <w:szCs w:val="21"/>
          <w:color w:val="auto"/>
        </w:rPr>
        <w:t xml:space="preserve">, in no event will the indemnified party be required to pay any amount to an indemnifying party pursuant to this </w:t>
      </w:r>
      <w:r>
        <w:rPr>
          <w:rFonts w:ascii="Arial" w:cs="Arial" w:eastAsia="Arial" w:hAnsi="Arial"/>
          <w:sz w:val="21"/>
          <w:szCs w:val="21"/>
          <w:u w:val="single" w:color="auto"/>
          <w:color w:val="auto"/>
        </w:rPr>
        <w:t>paragraph (d)</w:t>
      </w:r>
      <w:r>
        <w:rPr>
          <w:rFonts w:ascii="Arial" w:cs="Arial" w:eastAsia="Arial" w:hAnsi="Arial"/>
          <w:sz w:val="21"/>
          <w:szCs w:val="21"/>
          <w:color w:val="auto"/>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62" w:lineRule="exact"/>
        <w:rPr>
          <w:rFonts w:ascii="Arial" w:cs="Arial" w:eastAsia="Arial" w:hAnsi="Arial"/>
          <w:sz w:val="21"/>
          <w:szCs w:val="21"/>
          <w:color w:val="auto"/>
        </w:rPr>
      </w:pPr>
    </w:p>
    <w:p>
      <w:pPr>
        <w:jc w:val="both"/>
        <w:ind w:firstLine="1304"/>
        <w:spacing w:after="0" w:line="275" w:lineRule="exact"/>
        <w:tabs>
          <w:tab w:leader="none" w:pos="2278"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9.01(h)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 (ii) 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w:t>
      </w:r>
      <w:r>
        <w:rPr>
          <w:rFonts w:ascii="MS PGothic" w:cs="MS PGothic" w:eastAsia="MS PGothic" w:hAnsi="MS PGothic"/>
          <w:sz w:val="19"/>
          <w:szCs w:val="19"/>
          <w:color w:val="auto"/>
        </w:rPr>
        <w:t>‑</w:t>
      </w:r>
      <w:r>
        <w:rPr>
          <w:rFonts w:ascii="Arial" w:cs="Arial" w:eastAsia="Arial" w:hAnsi="Arial"/>
          <w:sz w:val="19"/>
          <w:szCs w:val="19"/>
          <w:color w:val="auto"/>
        </w:rPr>
        <w:t>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Borrower and the Administrative Agent, in each case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1" w:name="page302"/>
    <w:bookmarkEnd w:id="301"/>
    <w:p>
      <w:pPr>
        <w:jc w:val="both"/>
        <w:spacing w:after="0" w:line="301" w:lineRule="auto"/>
        <w:rPr>
          <w:sz w:val="20"/>
          <w:szCs w:val="20"/>
          <w:color w:val="auto"/>
        </w:rPr>
      </w:pPr>
      <w:r>
        <w:rPr>
          <w:rFonts w:ascii="Arial" w:cs="Arial" w:eastAsia="Arial" w:hAnsi="Arial"/>
          <w:sz w:val="19"/>
          <w:szCs w:val="19"/>
          <w:color w:val="auto"/>
        </w:rPr>
        <w:t>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119" w:lineRule="exact"/>
        <w:rPr>
          <w:sz w:val="20"/>
          <w:szCs w:val="20"/>
          <w:color w:val="auto"/>
        </w:rPr>
      </w:pPr>
    </w:p>
    <w:p>
      <w:pPr>
        <w:jc w:val="both"/>
        <w:ind w:firstLine="1304"/>
        <w:spacing w:after="0" w:line="302" w:lineRule="auto"/>
        <w:tabs>
          <w:tab w:leader="none" w:pos="2146"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Arial" w:cs="Arial" w:eastAsia="Arial" w:hAnsi="Arial"/>
          <w:sz w:val="19"/>
          <w:szCs w:val="19"/>
          <w:u w:val="single" w:color="auto"/>
          <w:color w:val="auto"/>
        </w:rPr>
        <w:t>Section 11.05(c)</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paragraph (f)</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jc w:val="both"/>
        <w:ind w:firstLine="1304"/>
        <w:spacing w:after="0" w:line="261" w:lineRule="auto"/>
        <w:tabs>
          <w:tab w:leader="none" w:pos="2547"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49" w:lineRule="exact"/>
        <w:rPr>
          <w:rFonts w:ascii="Arial" w:cs="Arial" w:eastAsia="Arial" w:hAnsi="Arial"/>
          <w:sz w:val="22"/>
          <w:szCs w:val="22"/>
          <w:color w:val="auto"/>
        </w:rPr>
      </w:pPr>
    </w:p>
    <w:p>
      <w:pPr>
        <w:jc w:val="both"/>
        <w:ind w:firstLine="1304"/>
        <w:spacing w:after="0" w:line="317" w:lineRule="auto"/>
        <w:tabs>
          <w:tab w:leader="none" w:pos="229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to the contrary (including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4.02</w:t>
      </w:r>
      <w:r>
        <w:rPr>
          <w:rFonts w:ascii="Arial" w:cs="Arial" w:eastAsia="Arial" w:hAnsi="Arial"/>
          <w:sz w:val="19"/>
          <w:szCs w:val="19"/>
          <w:color w:val="auto"/>
        </w:rPr>
        <w:t>),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2" w:name="page303"/>
    <w:bookmarkEnd w:id="302"/>
    <w:p>
      <w:pPr>
        <w:jc w:val="both"/>
        <w:spacing w:after="0" w:line="272" w:lineRule="auto"/>
        <w:rPr>
          <w:sz w:val="20"/>
          <w:szCs w:val="20"/>
          <w:color w:val="auto"/>
        </w:rPr>
      </w:pPr>
      <w:r>
        <w:rPr>
          <w:rFonts w:ascii="Arial" w:cs="Arial" w:eastAsia="Arial" w:hAnsi="Arial"/>
          <w:sz w:val="21"/>
          <w:szCs w:val="21"/>
          <w:color w:val="auto"/>
        </w:rPr>
        <w:t xml:space="preserve">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142" w:lineRule="exact"/>
        <w:rPr>
          <w:sz w:val="20"/>
          <w:szCs w:val="20"/>
          <w:color w:val="auto"/>
        </w:rPr>
      </w:pPr>
    </w:p>
    <w:p>
      <w:pPr>
        <w:ind w:left="2040" w:hanging="736"/>
        <w:spacing w:after="0"/>
        <w:tabs>
          <w:tab w:leader="none" w:pos="2040"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VAT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1292"/>
        <w:spacing w:after="0" w:line="273" w:lineRule="auto"/>
        <w:tabs>
          <w:tab w:leader="none" w:pos="2929" w:val="left"/>
        </w:tabs>
        <w:numPr>
          <w:ilvl w:val="1"/>
          <w:numId w:val="300"/>
        </w:numPr>
        <w:rPr>
          <w:rFonts w:ascii="Arial" w:cs="Arial" w:eastAsia="Arial" w:hAnsi="Arial"/>
          <w:sz w:val="21"/>
          <w:szCs w:val="21"/>
          <w:color w:val="auto"/>
        </w:rPr>
      </w:pPr>
      <w:r>
        <w:rPr>
          <w:rFonts w:ascii="Arial" w:cs="Arial" w:eastAsia="Arial" w:hAnsi="Arial"/>
          <w:sz w:val="21"/>
          <w:szCs w:val="21"/>
          <w:color w:val="auto"/>
        </w:rPr>
        <w:t xml:space="preserve">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38" w:lineRule="exact"/>
        <w:rPr>
          <w:rFonts w:ascii="Arial" w:cs="Arial" w:eastAsia="Arial" w:hAnsi="Arial"/>
          <w:sz w:val="21"/>
          <w:szCs w:val="21"/>
          <w:color w:val="auto"/>
        </w:rPr>
      </w:pPr>
    </w:p>
    <w:p>
      <w:pPr>
        <w:jc w:val="both"/>
        <w:ind w:left="660" w:firstLine="1292"/>
        <w:spacing w:after="0" w:line="261" w:lineRule="auto"/>
        <w:tabs>
          <w:tab w:leader="none" w:pos="2760" w:val="left"/>
        </w:tabs>
        <w:numPr>
          <w:ilvl w:val="1"/>
          <w:numId w:val="300"/>
        </w:numPr>
        <w:rPr>
          <w:rFonts w:ascii="Arial" w:cs="Arial" w:eastAsia="Arial" w:hAnsi="Arial"/>
          <w:sz w:val="22"/>
          <w:szCs w:val="22"/>
          <w:color w:val="auto"/>
        </w:rPr>
      </w:pPr>
      <w:r>
        <w:rPr>
          <w:rFonts w:ascii="Arial" w:cs="Arial" w:eastAsia="Arial" w:hAnsi="Arial"/>
          <w:sz w:val="22"/>
          <w:szCs w:val="22"/>
          <w:color w:val="auto"/>
        </w:rPr>
        <w:t>If VAT is or becomes chargeable on any supply made by any Lender or Administrative Agent (the “</w:t>
      </w:r>
      <w:r>
        <w:rPr>
          <w:rFonts w:ascii="Arial" w:cs="Arial" w:eastAsia="Arial" w:hAnsi="Arial"/>
          <w:sz w:val="22"/>
          <w:szCs w:val="22"/>
          <w:u w:val="single" w:color="auto"/>
          <w:color w:val="auto"/>
        </w:rPr>
        <w:t>Supplier</w:t>
      </w:r>
      <w:r>
        <w:rPr>
          <w:rFonts w:ascii="Arial" w:cs="Arial" w:eastAsia="Arial" w:hAnsi="Arial"/>
          <w:sz w:val="22"/>
          <w:szCs w:val="22"/>
          <w:color w:val="auto"/>
        </w:rPr>
        <w:t>”) to any other Lender or Administrative Agent (the “</w:t>
      </w:r>
      <w:r>
        <w:rPr>
          <w:rFonts w:ascii="Arial" w:cs="Arial" w:eastAsia="Arial" w:hAnsi="Arial"/>
          <w:sz w:val="22"/>
          <w:szCs w:val="22"/>
          <w:u w:val="single" w:color="auto"/>
          <w:color w:val="auto"/>
        </w:rPr>
        <w:t>Supply Recipient</w:t>
      </w:r>
      <w:r>
        <w:rPr>
          <w:rFonts w:ascii="Arial" w:cs="Arial" w:eastAsia="Arial" w:hAnsi="Arial"/>
          <w:sz w:val="22"/>
          <w:szCs w:val="22"/>
          <w:color w:val="auto"/>
        </w:rPr>
        <w:t>”) under a Loan Document, and any party other than the Supply Recipient (the “</w:t>
      </w:r>
      <w:r>
        <w:rPr>
          <w:rFonts w:ascii="Arial" w:cs="Arial" w:eastAsia="Arial" w:hAnsi="Arial"/>
          <w:sz w:val="22"/>
          <w:szCs w:val="22"/>
          <w:u w:val="single" w:color="auto"/>
          <w:color w:val="auto"/>
        </w:rPr>
        <w:t>Relevant Party</w:t>
      </w:r>
      <w:r>
        <w:rPr>
          <w:rFonts w:ascii="Arial" w:cs="Arial" w:eastAsia="Arial" w:hAnsi="Arial"/>
          <w:sz w:val="22"/>
          <w:szCs w:val="22"/>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50" w:lineRule="exact"/>
        <w:rPr>
          <w:sz w:val="20"/>
          <w:szCs w:val="20"/>
          <w:color w:val="auto"/>
        </w:rPr>
      </w:pPr>
    </w:p>
    <w:p>
      <w:pPr>
        <w:jc w:val="both"/>
        <w:ind w:left="1300" w:firstLine="652"/>
        <w:spacing w:after="0" w:line="260" w:lineRule="auto"/>
        <w:tabs>
          <w:tab w:leader="none" w:pos="2855" w:val="left"/>
        </w:tabs>
        <w:numPr>
          <w:ilvl w:val="0"/>
          <w:numId w:val="301"/>
        </w:numPr>
        <w:rPr>
          <w:rFonts w:ascii="Arial" w:cs="Arial" w:eastAsia="Arial" w:hAnsi="Arial"/>
          <w:sz w:val="22"/>
          <w:szCs w:val="22"/>
          <w:color w:val="010000"/>
        </w:rPr>
      </w:pPr>
      <w:r>
        <w:rPr>
          <w:rFonts w:ascii="Arial" w:cs="Arial" w:eastAsia="Arial" w:hAnsi="Arial"/>
          <w:sz w:val="22"/>
          <w:szCs w:val="22"/>
          <w:color w:val="auto"/>
        </w:rPr>
        <w:t xml:space="preserve">where the Supplier is the person required to account to the relevant Governmental Authority for the VAT, the Relevant Party must also pay to the Supplier (at the same time as paying that amount) an additional amount equal to the amount of VAT; the Supply Recipient must (where this </w:t>
      </w:r>
      <w:r>
        <w:rPr>
          <w:rFonts w:ascii="Arial" w:cs="Arial" w:eastAsia="Arial" w:hAnsi="Arial"/>
          <w:sz w:val="22"/>
          <w:szCs w:val="22"/>
          <w:u w:val="single" w:color="auto"/>
          <w:color w:val="auto"/>
        </w:rPr>
        <w:t>subsection (ii)(A)</w:t>
      </w:r>
      <w:r>
        <w:rPr>
          <w:rFonts w:ascii="Arial" w:cs="Arial" w:eastAsia="Arial" w:hAnsi="Arial"/>
          <w:sz w:val="22"/>
          <w:szCs w:val="22"/>
          <w:color w:val="auto"/>
        </w:rPr>
        <w:t xml:space="preserve">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164" w:lineRule="exact"/>
        <w:rPr>
          <w:rFonts w:ascii="Arial" w:cs="Arial" w:eastAsia="Arial" w:hAnsi="Arial"/>
          <w:sz w:val="22"/>
          <w:szCs w:val="22"/>
          <w:color w:val="010000"/>
        </w:rPr>
      </w:pPr>
    </w:p>
    <w:p>
      <w:pPr>
        <w:jc w:val="both"/>
        <w:ind w:left="1300" w:firstLine="652"/>
        <w:spacing w:after="0" w:line="261" w:lineRule="auto"/>
        <w:tabs>
          <w:tab w:leader="none" w:pos="3032" w:val="left"/>
        </w:tabs>
        <w:numPr>
          <w:ilvl w:val="0"/>
          <w:numId w:val="301"/>
        </w:numPr>
        <w:rPr>
          <w:rFonts w:ascii="Arial" w:cs="Arial" w:eastAsia="Arial" w:hAnsi="Arial"/>
          <w:sz w:val="22"/>
          <w:szCs w:val="22"/>
          <w:color w:val="010000"/>
        </w:rPr>
      </w:pPr>
      <w:r>
        <w:rPr>
          <w:rFonts w:ascii="Arial" w:cs="Arial" w:eastAsia="Arial" w:hAnsi="Arial"/>
          <w:sz w:val="22"/>
          <w:szCs w:val="22"/>
          <w:color w:val="auto"/>
        </w:rPr>
        <w:t>where the Supply Recipient is the person required to account to the relevant Governmental Authority for the 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3" w:name="page304"/>
    <w:bookmarkEnd w:id="303"/>
    <w:p>
      <w:pPr>
        <w:jc w:val="both"/>
        <w:ind w:left="660" w:firstLine="1292"/>
        <w:spacing w:after="0" w:line="261" w:lineRule="auto"/>
        <w:tabs>
          <w:tab w:leader="none" w:pos="336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spacing w:after="0" w:line="150" w:lineRule="exact"/>
        <w:rPr>
          <w:rFonts w:ascii="Arial" w:cs="Arial" w:eastAsia="Arial" w:hAnsi="Arial"/>
          <w:sz w:val="22"/>
          <w:szCs w:val="22"/>
          <w:color w:val="auto"/>
        </w:rPr>
      </w:pPr>
    </w:p>
    <w:p>
      <w:pPr>
        <w:jc w:val="both"/>
        <w:ind w:left="660" w:firstLine="1292"/>
        <w:spacing w:after="0" w:line="272" w:lineRule="auto"/>
        <w:tabs>
          <w:tab w:leader="none" w:pos="2848" w:val="left"/>
        </w:tabs>
        <w:numPr>
          <w:ilvl w:val="0"/>
          <w:numId w:val="302"/>
        </w:numPr>
        <w:rPr>
          <w:rFonts w:ascii="Arial" w:cs="Arial" w:eastAsia="Arial" w:hAnsi="Arial"/>
          <w:sz w:val="21"/>
          <w:szCs w:val="21"/>
          <w:color w:val="auto"/>
        </w:rPr>
      </w:pPr>
      <w:r>
        <w:rPr>
          <w:rFonts w:ascii="Arial" w:cs="Arial" w:eastAsia="Arial" w:hAnsi="Arial"/>
          <w:sz w:val="21"/>
          <w:szCs w:val="21"/>
          <w:color w:val="auto"/>
        </w:rPr>
        <w:t xml:space="preserve">Any reference in this </w:t>
      </w:r>
      <w:r>
        <w:rPr>
          <w:rFonts w:ascii="Arial" w:cs="Arial" w:eastAsia="Arial" w:hAnsi="Arial"/>
          <w:sz w:val="21"/>
          <w:szCs w:val="21"/>
          <w:u w:val="single" w:color="auto"/>
          <w:color w:val="auto"/>
        </w:rPr>
        <w:t>Section 4.02(i)</w:t>
      </w:r>
      <w:r>
        <w:rPr>
          <w:rFonts w:ascii="Arial" w:cs="Arial" w:eastAsia="Arial" w:hAnsi="Arial"/>
          <w:sz w:val="21"/>
          <w:szCs w:val="21"/>
          <w:color w:val="auto"/>
        </w:rPr>
        <w:t xml:space="preserve">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spacing w:after="0" w:line="155" w:lineRule="exact"/>
        <w:rPr>
          <w:rFonts w:ascii="Arial" w:cs="Arial" w:eastAsia="Arial" w:hAnsi="Arial"/>
          <w:sz w:val="21"/>
          <w:szCs w:val="21"/>
          <w:color w:val="auto"/>
        </w:rPr>
      </w:pPr>
    </w:p>
    <w:p>
      <w:pPr>
        <w:jc w:val="both"/>
        <w:ind w:left="660" w:firstLine="1292"/>
        <w:spacing w:after="0" w:line="261" w:lineRule="auto"/>
        <w:tabs>
          <w:tab w:leader="none" w:pos="2869" w:val="left"/>
        </w:tabs>
        <w:numPr>
          <w:ilvl w:val="0"/>
          <w:numId w:val="302"/>
        </w:numPr>
        <w:rPr>
          <w:rFonts w:ascii="Arial" w:cs="Arial" w:eastAsia="Arial" w:hAnsi="Arial"/>
          <w:sz w:val="22"/>
          <w:szCs w:val="22"/>
          <w:color w:val="auto"/>
        </w:rPr>
      </w:pPr>
      <w:r>
        <w:rPr>
          <w:rFonts w:ascii="Arial" w:cs="Arial" w:eastAsia="Arial" w:hAnsi="Arial"/>
          <w:sz w:val="22"/>
          <w:szCs w:val="22"/>
          <w:color w:val="auto"/>
        </w:rPr>
        <w:t>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50" w:lineRule="exact"/>
        <w:rPr>
          <w:rFonts w:ascii="Arial" w:cs="Arial" w:eastAsia="Arial" w:hAnsi="Arial"/>
          <w:sz w:val="22"/>
          <w:szCs w:val="22"/>
          <w:color w:val="auto"/>
        </w:rPr>
      </w:pPr>
    </w:p>
    <w:p>
      <w:pPr>
        <w:jc w:val="both"/>
        <w:ind w:left="660" w:firstLine="1292"/>
        <w:spacing w:after="0" w:line="266" w:lineRule="auto"/>
        <w:tabs>
          <w:tab w:leader="none" w:pos="2821" w:val="left"/>
        </w:tabs>
        <w:numPr>
          <w:ilvl w:val="0"/>
          <w:numId w:val="302"/>
        </w:numPr>
        <w:rPr>
          <w:rFonts w:ascii="Arial" w:cs="Arial" w:eastAsia="Arial" w:hAnsi="Arial"/>
          <w:sz w:val="22"/>
          <w:szCs w:val="22"/>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Section 4.02(i)</w:t>
      </w:r>
      <w:r>
        <w:rPr>
          <w:rFonts w:ascii="Arial" w:cs="Arial" w:eastAsia="Arial" w:hAnsi="Arial"/>
          <w:sz w:val="22"/>
          <w:szCs w:val="22"/>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44"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Mitigation Obligations; Replacement of Lenders.</w:t>
      </w:r>
    </w:p>
    <w:p>
      <w:pPr>
        <w:spacing w:after="0" w:line="206" w:lineRule="exact"/>
        <w:rPr>
          <w:sz w:val="20"/>
          <w:szCs w:val="20"/>
          <w:color w:val="auto"/>
        </w:rPr>
      </w:pPr>
    </w:p>
    <w:p>
      <w:pPr>
        <w:jc w:val="both"/>
        <w:ind w:firstLine="1304"/>
        <w:spacing w:after="0" w:line="305" w:lineRule="auto"/>
        <w:tabs>
          <w:tab w:leader="none" w:pos="2413" w:val="left"/>
        </w:tabs>
        <w:numPr>
          <w:ilvl w:val="0"/>
          <w:numId w:val="303"/>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then such Lender shall use reasonable efforts to designate a different lending office for funding or booking its Letters of Credit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4" w:name="page305"/>
    <w:bookmarkEnd w:id="304"/>
    <w:p>
      <w:pPr>
        <w:jc w:val="both"/>
        <w:ind w:firstLine="1304"/>
        <w:spacing w:after="0" w:line="297" w:lineRule="auto"/>
        <w:tabs>
          <w:tab w:leader="none" w:pos="2209" w:val="left"/>
        </w:tabs>
        <w:numPr>
          <w:ilvl w:val="1"/>
          <w:numId w:val="304"/>
        </w:numPr>
        <w:rPr>
          <w:rFonts w:ascii="Arial" w:cs="Arial" w:eastAsia="Arial" w:hAnsi="Arial"/>
          <w:sz w:val="19"/>
          <w:szCs w:val="19"/>
          <w:color w:val="auto"/>
        </w:rPr>
      </w:pPr>
      <w:r>
        <w:rPr>
          <w:rFonts w:ascii="Arial" w:cs="Arial" w:eastAsia="Arial" w:hAnsi="Arial"/>
          <w:sz w:val="19"/>
          <w:szCs w:val="19"/>
          <w:color w:val="auto"/>
        </w:rPr>
        <w:t xml:space="preserve">If (i) any Lender requests compensation under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(including for Taxes under </w:t>
      </w:r>
      <w:r>
        <w:rPr>
          <w:rFonts w:ascii="Arial" w:cs="Arial" w:eastAsia="Arial" w:hAnsi="Arial"/>
          <w:sz w:val="19"/>
          <w:szCs w:val="19"/>
          <w:u w:val="single" w:color="auto"/>
          <w:color w:val="auto"/>
        </w:rPr>
        <w:t>Section 2.07(a)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or (ii) a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or (iii) any Lender becomes a Defaulting Lender, or (iv) any Lender becomes a Swiss Non-Qualifying Lender (but only if such event causes a breach of the Swiss Non-Bank Rules), or (v) any Lender fails to provide its consent to a Redomestication under the laws of a jurisdiction (other than England and Wales, Scotland and Northern Ireland, The Kingdom of the Netherlands, Luxembourg, or Switzerland) outside of the United States, or</w:t>
      </w:r>
    </w:p>
    <w:p>
      <w:pPr>
        <w:spacing w:after="0" w:line="2" w:lineRule="exact"/>
        <w:rPr>
          <w:rFonts w:ascii="Arial" w:cs="Arial" w:eastAsia="Arial" w:hAnsi="Arial"/>
          <w:sz w:val="19"/>
          <w:szCs w:val="19"/>
          <w:color w:val="auto"/>
        </w:rPr>
      </w:pPr>
    </w:p>
    <w:p>
      <w:pPr>
        <w:jc w:val="both"/>
        <w:ind w:firstLine="8"/>
        <w:spacing w:after="0" w:line="300" w:lineRule="auto"/>
        <w:tabs>
          <w:tab w:leader="none" w:pos="366" w:val="left"/>
        </w:tabs>
        <w:numPr>
          <w:ilvl w:val="0"/>
          <w:numId w:val="305"/>
        </w:numPr>
        <w:rPr>
          <w:rFonts w:ascii="Arial" w:cs="Arial" w:eastAsia="Arial" w:hAnsi="Arial"/>
          <w:sz w:val="19"/>
          <w:szCs w:val="19"/>
          <w:color w:val="auto"/>
        </w:rPr>
      </w:pPr>
      <w:r>
        <w:rPr>
          <w:rFonts w:ascii="Arial" w:cs="Arial" w:eastAsia="Arial" w:hAnsi="Arial"/>
          <w:sz w:val="19"/>
          <w:szCs w:val="19"/>
          <w:color w:val="auto"/>
        </w:rPr>
        <w:t xml:space="preserve">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its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if it does not execute and deliver an Assignment and Assumption to the Administrative Agent within one Business Day after having received a written request therefor.</w:t>
      </w:r>
    </w:p>
    <w:p>
      <w:pPr>
        <w:spacing w:after="0" w:line="118"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u w:val="single" w:color="auto"/>
          <w:color w:val="auto"/>
        </w:rPr>
        <w:t>Financial Assistance.</w:t>
      </w:r>
    </w:p>
    <w:p>
      <w:pPr>
        <w:spacing w:after="0" w:line="206" w:lineRule="exact"/>
        <w:rPr>
          <w:sz w:val="20"/>
          <w:szCs w:val="20"/>
          <w:color w:val="auto"/>
        </w:rPr>
      </w:pPr>
    </w:p>
    <w:p>
      <w:pPr>
        <w:jc w:val="both"/>
        <w:ind w:firstLine="1304"/>
        <w:spacing w:after="0" w:line="258" w:lineRule="auto"/>
        <w:tabs>
          <w:tab w:leader="none" w:pos="217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If and to the extent a Swiss Obligor becomes liable under this Agreement or any other Loan Document for obligations of any other Obligor (other than the wholly owned direct or indirect subsidiaries of such Swiss Obligor) (the “</w:t>
      </w:r>
      <w:r>
        <w:rPr>
          <w:rFonts w:ascii="Arial" w:cs="Arial" w:eastAsia="Arial" w:hAnsi="Arial"/>
          <w:sz w:val="22"/>
          <w:szCs w:val="22"/>
          <w:u w:val="single" w:color="auto"/>
          <w:color w:val="auto"/>
        </w:rPr>
        <w:t>Restricted Obligations</w:t>
      </w:r>
      <w:r>
        <w:rPr>
          <w:rFonts w:ascii="Arial" w:cs="Arial" w:eastAsia="Arial" w:hAnsi="Arial"/>
          <w:sz w:val="22"/>
          <w:szCs w:val="22"/>
          <w:color w:val="auto"/>
        </w:rPr>
        <w:t>”) and if complying with such obligations would constitute a repayment of capital (</w:t>
      </w:r>
      <w:r>
        <w:rPr>
          <w:rFonts w:ascii="Arial" w:cs="Arial" w:eastAsia="Arial" w:hAnsi="Arial"/>
          <w:sz w:val="22"/>
          <w:szCs w:val="22"/>
          <w:i w:val="1"/>
          <w:iCs w:val="1"/>
          <w:color w:val="auto"/>
        </w:rPr>
        <w:t>Einlagerückgewähr</w:t>
      </w:r>
      <w:r>
        <w:rPr>
          <w:rFonts w:ascii="Arial" w:cs="Arial" w:eastAsia="Arial" w:hAnsi="Arial"/>
          <w:sz w:val="22"/>
          <w:szCs w:val="22"/>
          <w:color w:val="auto"/>
        </w:rPr>
        <w:t>), a violation of the legally protected reserves (</w:t>
      </w:r>
      <w:r>
        <w:rPr>
          <w:rFonts w:ascii="Arial" w:cs="Arial" w:eastAsia="Arial" w:hAnsi="Arial"/>
          <w:sz w:val="22"/>
          <w:szCs w:val="22"/>
          <w:i w:val="1"/>
          <w:iCs w:val="1"/>
          <w:color w:val="auto"/>
        </w:rPr>
        <w:t>gesetzlich geschützte Reserven</w:t>
      </w:r>
      <w:r>
        <w:rPr>
          <w:rFonts w:ascii="Arial" w:cs="Arial" w:eastAsia="Arial" w:hAnsi="Arial"/>
          <w:sz w:val="22"/>
          <w:szCs w:val="22"/>
          <w:color w:val="auto"/>
        </w:rPr>
        <w:t>) or the payment of a (constructive) dividend (</w:t>
      </w:r>
      <w:r>
        <w:rPr>
          <w:rFonts w:ascii="Arial" w:cs="Arial" w:eastAsia="Arial" w:hAnsi="Arial"/>
          <w:sz w:val="22"/>
          <w:szCs w:val="22"/>
          <w:i w:val="1"/>
          <w:iCs w:val="1"/>
          <w:color w:val="auto"/>
        </w:rPr>
        <w:t>Gewinnausschüttung</w:t>
      </w:r>
      <w:r>
        <w:rPr>
          <w:rFonts w:ascii="Arial" w:cs="Arial" w:eastAsia="Arial" w:hAnsi="Arial"/>
          <w:sz w:val="22"/>
          <w:szCs w:val="22"/>
          <w:color w:val="auto"/>
        </w:rPr>
        <w:t>) by such Swiss Obligor or would otherwise be restricted under Swiss law and practice then applicable, such Swiss Obligor’s aggregate liability for Restricted Obligations shall not exceed the amount of the Swiss Obligor’s freely disposable equity (</w:t>
      </w:r>
      <w:r>
        <w:rPr>
          <w:rFonts w:ascii="Arial" w:cs="Arial" w:eastAsia="Arial" w:hAnsi="Arial"/>
          <w:sz w:val="22"/>
          <w:szCs w:val="22"/>
          <w:i w:val="1"/>
          <w:iCs w:val="1"/>
          <w:color w:val="auto"/>
        </w:rPr>
        <w:t>frei verfügbares Eigenkapital</w:t>
      </w:r>
      <w:r>
        <w:rPr>
          <w:rFonts w:ascii="Arial" w:cs="Arial" w:eastAsia="Arial" w:hAnsi="Arial"/>
          <w:sz w:val="22"/>
          <w:szCs w:val="22"/>
          <w:color w:val="auto"/>
        </w:rPr>
        <w:t>) at the time it becomes liable including, without limitation, any statutory reserves which can be transferred into unrestricted, distributable reserves, in accordance with Swiss law (the “</w:t>
      </w:r>
      <w:r>
        <w:rPr>
          <w:rFonts w:ascii="Arial" w:cs="Arial" w:eastAsia="Arial" w:hAnsi="Arial"/>
          <w:sz w:val="22"/>
          <w:szCs w:val="22"/>
          <w:u w:val="single" w:color="auto"/>
          <w:color w:val="auto"/>
        </w:rPr>
        <w:t>Freely Disposable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w:t>
      </w:r>
      <w:r>
        <w:rPr>
          <w:rFonts w:ascii="Arial" w:cs="Arial" w:eastAsia="Arial" w:hAnsi="Arial"/>
          <w:sz w:val="22"/>
          <w:szCs w:val="22"/>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5" w:name="page306"/>
    <w:bookmarkEnd w:id="305"/>
    <w:p>
      <w:pPr>
        <w:ind w:right="60" w:firstLine="1304"/>
        <w:spacing w:after="0" w:line="308" w:lineRule="auto"/>
        <w:tabs>
          <w:tab w:leader="none" w:pos="2088" w:val="left"/>
        </w:tabs>
        <w:numPr>
          <w:ilvl w:val="1"/>
          <w:numId w:val="307"/>
        </w:numPr>
        <w:rPr>
          <w:rFonts w:ascii="Arial" w:cs="Arial" w:eastAsia="Arial" w:hAnsi="Arial"/>
          <w:sz w:val="19"/>
          <w:szCs w:val="19"/>
          <w:color w:val="auto"/>
        </w:rPr>
      </w:pPr>
      <w:r>
        <w:rPr>
          <w:rFonts w:ascii="Arial" w:cs="Arial" w:eastAsia="Arial" w:hAnsi="Arial"/>
          <w:sz w:val="19"/>
          <w:szCs w:val="19"/>
          <w:color w:val="auto"/>
        </w:rPr>
        <w:t>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 amounts borrowed under any Loan Document which are on-lent to the Swiss Obligor or to wholly owned direct or indirect subsidiaries of the Swiss Obligor.</w:t>
      </w:r>
    </w:p>
    <w:p>
      <w:pPr>
        <w:spacing w:after="0" w:line="113" w:lineRule="exact"/>
        <w:rPr>
          <w:rFonts w:ascii="Arial" w:cs="Arial" w:eastAsia="Arial" w:hAnsi="Arial"/>
          <w:sz w:val="19"/>
          <w:szCs w:val="19"/>
          <w:color w:val="auto"/>
        </w:rPr>
      </w:pPr>
    </w:p>
    <w:p>
      <w:pPr>
        <w:jc w:val="both"/>
        <w:ind w:firstLine="1304"/>
        <w:spacing w:after="0" w:line="308" w:lineRule="auto"/>
        <w:tabs>
          <w:tab w:leader="none" w:pos="2157" w:val="left"/>
        </w:tabs>
        <w:numPr>
          <w:ilvl w:val="1"/>
          <w:numId w:val="307"/>
        </w:numPr>
        <w:rPr>
          <w:rFonts w:ascii="Arial" w:cs="Arial" w:eastAsia="Arial" w:hAnsi="Arial"/>
          <w:sz w:val="19"/>
          <w:szCs w:val="19"/>
          <w:color w:val="auto"/>
        </w:rPr>
      </w:pPr>
      <w:r>
        <w:rPr>
          <w:rFonts w:ascii="Arial" w:cs="Arial" w:eastAsia="Arial" w:hAnsi="Arial"/>
          <w:sz w:val="19"/>
          <w:szCs w:val="19"/>
          <w:color w:val="auto"/>
        </w:rPr>
        <w:t>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Arial" w:cs="Arial" w:eastAsia="Arial" w:hAnsi="Arial"/>
          <w:sz w:val="19"/>
          <w:szCs w:val="19"/>
          <w:i w:val="1"/>
          <w:iCs w:val="1"/>
          <w:color w:val="auto"/>
        </w:rPr>
        <w:t>nicht betriebsnotwendig</w:t>
      </w:r>
      <w:r>
        <w:rPr>
          <w:rFonts w:ascii="Arial" w:cs="Arial" w:eastAsia="Arial" w:hAnsi="Arial"/>
          <w:sz w:val="19"/>
          <w:szCs w:val="19"/>
          <w:color w:val="auto"/>
        </w:rPr>
        <w:t xml:space="preserve">) and (ii) reduce its share capital to the minimum allowed under then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steps are permitted under the Loan Documents.</w:t>
      </w:r>
    </w:p>
    <w:p>
      <w:pPr>
        <w:spacing w:after="0" w:line="126" w:lineRule="exact"/>
        <w:rPr>
          <w:rFonts w:ascii="Arial" w:cs="Arial" w:eastAsia="Arial" w:hAnsi="Arial"/>
          <w:sz w:val="19"/>
          <w:szCs w:val="19"/>
          <w:color w:val="auto"/>
        </w:rPr>
      </w:pPr>
    </w:p>
    <w:p>
      <w:pPr>
        <w:jc w:val="both"/>
        <w:ind w:firstLine="1304"/>
        <w:spacing w:after="0" w:line="298" w:lineRule="auto"/>
        <w:tabs>
          <w:tab w:leader="none" w:pos="2277" w:val="left"/>
        </w:tabs>
        <w:numPr>
          <w:ilvl w:val="1"/>
          <w:numId w:val="307"/>
        </w:numPr>
        <w:rPr>
          <w:rFonts w:ascii="Arial" w:cs="Arial" w:eastAsia="Arial" w:hAnsi="Arial"/>
          <w:sz w:val="19"/>
          <w:szCs w:val="19"/>
          <w:color w:val="auto"/>
        </w:rPr>
      </w:pPr>
      <w:r>
        <w:rPr>
          <w:rFonts w:ascii="Arial" w:cs="Arial" w:eastAsia="Arial" w:hAnsi="Arial"/>
          <w:sz w:val="19"/>
          <w:szCs w:val="19"/>
          <w:color w:val="auto"/>
        </w:rPr>
        <w:t>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w:t>
      </w:r>
    </w:p>
    <w:p>
      <w:pPr>
        <w:jc w:val="both"/>
        <w:ind w:firstLine="8"/>
        <w:spacing w:after="0" w:line="271" w:lineRule="auto"/>
        <w:tabs>
          <w:tab w:leader="none" w:pos="266" w:val="left"/>
        </w:tabs>
        <w:numPr>
          <w:ilvl w:val="0"/>
          <w:numId w:val="308"/>
        </w:numPr>
        <w:rPr>
          <w:rFonts w:ascii="Arial" w:cs="Arial" w:eastAsia="Arial" w:hAnsi="Arial"/>
          <w:sz w:val="21"/>
          <w:szCs w:val="21"/>
          <w:color w:val="auto"/>
        </w:rPr>
      </w:pPr>
      <w:r>
        <w:rPr>
          <w:rFonts w:ascii="Arial" w:cs="Arial" w:eastAsia="Arial" w:hAnsi="Arial"/>
          <w:sz w:val="21"/>
          <w:szCs w:val="21"/>
          <w:color w:val="auto"/>
        </w:rPr>
        <w:t>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spacing w:after="0" w:line="146" w:lineRule="exact"/>
        <w:rPr>
          <w:rFonts w:ascii="Arial" w:cs="Arial" w:eastAsia="Arial" w:hAnsi="Arial"/>
          <w:sz w:val="21"/>
          <w:szCs w:val="21"/>
          <w:color w:val="auto"/>
        </w:rPr>
      </w:pPr>
    </w:p>
    <w:p>
      <w:pPr>
        <w:ind w:firstLine="1304"/>
        <w:spacing w:after="0" w:line="276" w:lineRule="auto"/>
        <w:tabs>
          <w:tab w:leader="none" w:pos="2184" w:val="left"/>
        </w:tabs>
        <w:numPr>
          <w:ilvl w:val="1"/>
          <w:numId w:val="308"/>
        </w:numPr>
        <w:rPr>
          <w:rFonts w:ascii="Arial" w:cs="Arial" w:eastAsia="Arial" w:hAnsi="Arial"/>
          <w:sz w:val="22"/>
          <w:szCs w:val="22"/>
          <w:color w:val="auto"/>
        </w:rPr>
      </w:pPr>
      <w:r>
        <w:rPr>
          <w:rFonts w:ascii="Arial" w:cs="Arial" w:eastAsia="Arial" w:hAnsi="Arial"/>
          <w:sz w:val="22"/>
          <w:szCs w:val="22"/>
          <w:color w:val="auto"/>
        </w:rPr>
        <w:t>If so required under applicable law (including tax treaties) at the time it is required to make a payment under this Agreement, the Swiss Obligor:</w:t>
      </w:r>
    </w:p>
    <w:p>
      <w:pPr>
        <w:spacing w:after="0" w:line="133" w:lineRule="exact"/>
        <w:rPr>
          <w:rFonts w:ascii="Arial" w:cs="Arial" w:eastAsia="Arial" w:hAnsi="Arial"/>
          <w:sz w:val="22"/>
          <w:szCs w:val="22"/>
          <w:color w:val="auto"/>
        </w:rPr>
      </w:pPr>
    </w:p>
    <w:p>
      <w:pPr>
        <w:jc w:val="both"/>
        <w:ind w:left="660" w:firstLine="1292"/>
        <w:spacing w:after="0" w:line="284" w:lineRule="auto"/>
        <w:tabs>
          <w:tab w:leader="none" w:pos="2862" w:val="left"/>
        </w:tabs>
        <w:numPr>
          <w:ilvl w:val="2"/>
          <w:numId w:val="308"/>
        </w:numPr>
        <w:rPr>
          <w:rFonts w:ascii="Arial" w:cs="Arial" w:eastAsia="Arial" w:hAnsi="Arial"/>
          <w:sz w:val="21"/>
          <w:szCs w:val="21"/>
          <w:color w:val="auto"/>
        </w:rPr>
      </w:pPr>
      <w:r>
        <w:rPr>
          <w:rFonts w:ascii="Arial" w:cs="Arial" w:eastAsia="Arial" w:hAnsi="Arial"/>
          <w:sz w:val="21"/>
          <w:szCs w:val="21"/>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41" w:lineRule="exact"/>
        <w:rPr>
          <w:rFonts w:ascii="Arial" w:cs="Arial" w:eastAsia="Arial" w:hAnsi="Arial"/>
          <w:sz w:val="21"/>
          <w:szCs w:val="21"/>
          <w:color w:val="auto"/>
        </w:rPr>
      </w:pPr>
    </w:p>
    <w:p>
      <w:pPr>
        <w:jc w:val="both"/>
        <w:ind w:left="660" w:firstLine="1292"/>
        <w:spacing w:after="0" w:line="279" w:lineRule="auto"/>
        <w:tabs>
          <w:tab w:leader="none" w:pos="2908" w:val="left"/>
        </w:tabs>
        <w:numPr>
          <w:ilvl w:val="2"/>
          <w:numId w:val="308"/>
        </w:numPr>
        <w:rPr>
          <w:rFonts w:ascii="Arial" w:cs="Arial" w:eastAsia="Arial" w:hAnsi="Arial"/>
          <w:sz w:val="21"/>
          <w:szCs w:val="21"/>
          <w:color w:val="auto"/>
        </w:rPr>
      </w:pPr>
      <w:r>
        <w:rPr>
          <w:rFonts w:ascii="Arial" w:cs="Arial" w:eastAsia="Arial" w:hAnsi="Arial"/>
          <w:sz w:val="21"/>
          <w:szCs w:val="21"/>
          <w:color w:val="auto"/>
        </w:rPr>
        <w:t xml:space="preserve">shall deduct the Swiss withholding tax at such rate (being 35% on the date hereof) as in force from time to time if the notification procedure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above does not apply; or shall deduct the Swiss withholding tax at the reduced rate resulting after discharge of part of such tax by notification if the notification procedure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applies for a part of the Swiss withholding tax only; and shall pay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6" w:name="page307"/>
    <w:bookmarkEnd w:id="306"/>
    <w:p>
      <w:pPr>
        <w:ind w:left="660"/>
        <w:spacing w:after="0"/>
        <w:rPr>
          <w:sz w:val="20"/>
          <w:szCs w:val="20"/>
          <w:color w:val="auto"/>
        </w:rPr>
      </w:pPr>
      <w:r>
        <w:rPr>
          <w:rFonts w:ascii="Arial" w:cs="Arial" w:eastAsia="Arial" w:hAnsi="Arial"/>
          <w:sz w:val="22"/>
          <w:szCs w:val="22"/>
          <w:color w:val="auto"/>
        </w:rPr>
        <w:t>within the time allowed any such taxes deducted to the Swiss Federal Tax Administration; and</w:t>
      </w:r>
    </w:p>
    <w:p>
      <w:pPr>
        <w:spacing w:after="0" w:line="193" w:lineRule="exact"/>
        <w:rPr>
          <w:sz w:val="20"/>
          <w:szCs w:val="20"/>
          <w:color w:val="auto"/>
        </w:rPr>
      </w:pPr>
    </w:p>
    <w:p>
      <w:pPr>
        <w:jc w:val="both"/>
        <w:ind w:left="660" w:firstLine="1292"/>
        <w:spacing w:after="0" w:line="262" w:lineRule="auto"/>
        <w:tabs>
          <w:tab w:leader="none" w:pos="3009" w:val="left"/>
        </w:tabs>
        <w:numPr>
          <w:ilvl w:val="1"/>
          <w:numId w:val="309"/>
        </w:numPr>
        <w:rPr>
          <w:rFonts w:ascii="Arial" w:cs="Arial" w:eastAsia="Arial" w:hAnsi="Arial"/>
          <w:sz w:val="22"/>
          <w:szCs w:val="22"/>
          <w:color w:val="auto"/>
        </w:rPr>
      </w:pPr>
      <w:r>
        <w:rPr>
          <w:rFonts w:ascii="Arial" w:cs="Arial" w:eastAsia="Arial" w:hAnsi="Arial"/>
          <w:sz w:val="22"/>
          <w:szCs w:val="22"/>
          <w:color w:val="auto"/>
        </w:rPr>
        <w:t>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spacing w:after="0" w:line="164" w:lineRule="exact"/>
        <w:rPr>
          <w:rFonts w:ascii="Arial" w:cs="Arial" w:eastAsia="Arial" w:hAnsi="Arial"/>
          <w:sz w:val="22"/>
          <w:szCs w:val="22"/>
          <w:color w:val="auto"/>
        </w:rPr>
      </w:pPr>
    </w:p>
    <w:p>
      <w:pPr>
        <w:jc w:val="both"/>
        <w:ind w:firstLine="1304"/>
        <w:spacing w:after="0" w:line="266" w:lineRule="auto"/>
        <w:tabs>
          <w:tab w:leader="none" w:pos="2106" w:val="left"/>
        </w:tabs>
        <w:numPr>
          <w:ilvl w:val="0"/>
          <w:numId w:val="310"/>
        </w:numPr>
        <w:rPr>
          <w:rFonts w:ascii="Arial" w:cs="Arial" w:eastAsia="Arial" w:hAnsi="Arial"/>
          <w:sz w:val="22"/>
          <w:szCs w:val="22"/>
          <w:color w:val="auto"/>
        </w:rPr>
      </w:pPr>
      <w:r>
        <w:rPr>
          <w:rFonts w:ascii="Arial" w:cs="Arial" w:eastAsia="Arial" w:hAnsi="Arial"/>
          <w:sz w:val="22"/>
          <w:szCs w:val="22"/>
          <w:color w:val="auto"/>
        </w:rPr>
        <w:t>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144" w:lineRule="exact"/>
        <w:rPr>
          <w:rFonts w:ascii="Arial" w:cs="Arial" w:eastAsia="Arial" w:hAnsi="Arial"/>
          <w:sz w:val="22"/>
          <w:szCs w:val="22"/>
          <w:color w:val="auto"/>
        </w:rPr>
      </w:pPr>
    </w:p>
    <w:p>
      <w:pPr>
        <w:ind w:left="2700" w:hanging="748"/>
        <w:spacing w:after="0"/>
        <w:tabs>
          <w:tab w:leader="none" w:pos="2700" w:val="left"/>
        </w:tabs>
        <w:numPr>
          <w:ilvl w:val="1"/>
          <w:numId w:val="310"/>
        </w:numPr>
        <w:rPr>
          <w:rFonts w:ascii="Arial" w:cs="Arial" w:eastAsia="Arial" w:hAnsi="Arial"/>
          <w:sz w:val="19"/>
          <w:szCs w:val="19"/>
          <w:color w:val="auto"/>
        </w:rPr>
      </w:pPr>
      <w:r>
        <w:rPr>
          <w:rFonts w:ascii="Arial" w:cs="Arial" w:eastAsia="Arial" w:hAnsi="Arial"/>
          <w:sz w:val="19"/>
          <w:szCs w:val="19"/>
          <w:color w:val="auto"/>
        </w:rPr>
        <w:t>request a refund of the Swiss withholding tax under applicable law (including tax treaties), and</w:t>
      </w:r>
    </w:p>
    <w:p>
      <w:pPr>
        <w:spacing w:after="0" w:line="227" w:lineRule="exact"/>
        <w:rPr>
          <w:sz w:val="20"/>
          <w:szCs w:val="20"/>
          <w:color w:val="auto"/>
        </w:rPr>
      </w:pPr>
    </w:p>
    <w:p>
      <w:pPr>
        <w:ind w:left="2760" w:hanging="808"/>
        <w:spacing w:after="0"/>
        <w:tabs>
          <w:tab w:leader="none" w:pos="2760" w:val="left"/>
        </w:tabs>
        <w:numPr>
          <w:ilvl w:val="1"/>
          <w:numId w:val="311"/>
        </w:numPr>
        <w:rPr>
          <w:rFonts w:ascii="Arial" w:cs="Arial" w:eastAsia="Arial" w:hAnsi="Arial"/>
          <w:sz w:val="22"/>
          <w:szCs w:val="22"/>
          <w:color w:val="auto"/>
        </w:rPr>
      </w:pPr>
      <w:r>
        <w:rPr>
          <w:rFonts w:ascii="Arial" w:cs="Arial" w:eastAsia="Arial" w:hAnsi="Arial"/>
          <w:sz w:val="22"/>
          <w:szCs w:val="22"/>
          <w:color w:val="auto"/>
        </w:rPr>
        <w:t>pay to the Administrative Agent upon receipt any amount so refunded.</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The Administrative Agent shall co-operate with the Swiss Obligor to secure such refund.</w:t>
      </w:r>
    </w:p>
    <w:p>
      <w:pPr>
        <w:spacing w:after="0" w:line="192" w:lineRule="exact"/>
        <w:rPr>
          <w:rFonts w:ascii="Arial" w:cs="Arial" w:eastAsia="Arial" w:hAnsi="Arial"/>
          <w:sz w:val="22"/>
          <w:szCs w:val="22"/>
          <w:color w:val="auto"/>
        </w:rPr>
      </w:pPr>
    </w:p>
    <w:p>
      <w:pPr>
        <w:jc w:val="both"/>
        <w:ind w:firstLine="1304"/>
        <w:spacing w:after="0" w:line="273" w:lineRule="auto"/>
        <w:tabs>
          <w:tab w:leader="none" w:pos="2142" w:val="left"/>
        </w:tabs>
        <w:numPr>
          <w:ilvl w:val="0"/>
          <w:numId w:val="312"/>
        </w:numPr>
        <w:rPr>
          <w:rFonts w:ascii="Arial" w:cs="Arial" w:eastAsia="Arial" w:hAnsi="Arial"/>
          <w:sz w:val="21"/>
          <w:szCs w:val="21"/>
          <w:color w:val="auto"/>
        </w:rPr>
      </w:pPr>
      <w:r>
        <w:rPr>
          <w:rFonts w:ascii="Arial" w:cs="Arial" w:eastAsia="Arial" w:hAnsi="Arial"/>
          <w:sz w:val="21"/>
          <w:szCs w:val="21"/>
          <w:color w:val="auto"/>
        </w:rPr>
        <w:t xml:space="preserve">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u w:val="single" w:color="auto"/>
          <w:color w:val="auto"/>
        </w:rPr>
        <w:t>UK Limitation</w:t>
      </w:r>
      <w:r>
        <w:rPr>
          <w:rFonts w:ascii="Arial" w:cs="Arial" w:eastAsia="Arial" w:hAnsi="Arial"/>
          <w:sz w:val="22"/>
          <w:szCs w:val="22"/>
          <w:color w:val="auto"/>
        </w:rPr>
        <w:t>. Notwithstanding anything to the contrary in this Agreement, this guarantee, indemnity or other obligation provided under this Agreement by a Guarantor incorporated under the laws of England and Wales does not apply to any liability to 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PRECEDENT</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Conditions Precedent to the Effective Date</w:t>
      </w:r>
      <w:r>
        <w:rPr>
          <w:rFonts w:ascii="Arial" w:cs="Arial" w:eastAsia="Arial" w:hAnsi="Arial"/>
          <w:sz w:val="22"/>
          <w:szCs w:val="22"/>
          <w:color w:val="auto"/>
        </w:rPr>
        <w:t>. The obligation of each Issuing Bank to issue any Letter of Credit (including any deemed issuance of Existing Letters of Credit), on or after the Effective Date for the account of any Borrower is subject to satisfaction of the following conditions: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7" w:name="page308"/>
    <w:bookmarkEnd w:id="307"/>
    <w:p>
      <w:pPr>
        <w:ind w:right="20" w:firstLine="1304"/>
        <w:spacing w:after="0" w:line="276" w:lineRule="auto"/>
        <w:tabs>
          <w:tab w:leader="none" w:pos="2373"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following, all in form and substance reasonably satisfactory to the Administrative Agent:</w:t>
      </w:r>
    </w:p>
    <w:p>
      <w:pPr>
        <w:spacing w:after="0" w:line="133" w:lineRule="exact"/>
        <w:rPr>
          <w:rFonts w:ascii="Arial" w:cs="Arial" w:eastAsia="Arial" w:hAnsi="Arial"/>
          <w:sz w:val="22"/>
          <w:szCs w:val="22"/>
          <w:color w:val="auto"/>
        </w:rPr>
      </w:pPr>
    </w:p>
    <w:p>
      <w:pPr>
        <w:ind w:left="2700" w:hanging="748"/>
        <w:spacing w:after="0"/>
        <w:tabs>
          <w:tab w:leader="none" w:pos="2700"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this Agreement executed by each Person listed on the signature pages hereof;</w:t>
      </w:r>
    </w:p>
    <w:p>
      <w:pPr>
        <w:spacing w:after="0" w:line="206" w:lineRule="exact"/>
        <w:rPr>
          <w:rFonts w:ascii="Arial" w:cs="Arial" w:eastAsia="Arial" w:hAnsi="Arial"/>
          <w:sz w:val="22"/>
          <w:szCs w:val="22"/>
          <w:color w:val="auto"/>
        </w:rPr>
      </w:pPr>
    </w:p>
    <w:p>
      <w:pPr>
        <w:ind w:left="2760" w:hanging="808"/>
        <w:spacing w:after="0"/>
        <w:tabs>
          <w:tab w:leader="none" w:pos="2760"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Affiliate Guaranty executed by each Guarantor existing as of the Effective Date;</w:t>
      </w:r>
    </w:p>
    <w:p>
      <w:pPr>
        <w:spacing w:after="0" w:line="192" w:lineRule="exact"/>
        <w:rPr>
          <w:rFonts w:ascii="Arial" w:cs="Arial" w:eastAsia="Arial" w:hAnsi="Arial"/>
          <w:sz w:val="22"/>
          <w:szCs w:val="22"/>
          <w:color w:val="auto"/>
        </w:rPr>
      </w:pPr>
    </w:p>
    <w:p>
      <w:pPr>
        <w:ind w:left="2820" w:hanging="868"/>
        <w:spacing w:after="0"/>
        <w:tabs>
          <w:tab w:leader="none" w:pos="282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the Intercreditor Agreement executed by each Person listed on the signature pages thereof;</w:t>
      </w:r>
    </w:p>
    <w:p>
      <w:pPr>
        <w:spacing w:after="0" w:line="227" w:lineRule="exact"/>
        <w:rPr>
          <w:rFonts w:ascii="Arial" w:cs="Arial" w:eastAsia="Arial" w:hAnsi="Arial"/>
          <w:sz w:val="19"/>
          <w:szCs w:val="19"/>
          <w:color w:val="auto"/>
        </w:rPr>
      </w:pPr>
    </w:p>
    <w:p>
      <w:pPr>
        <w:jc w:val="both"/>
        <w:ind w:left="660" w:firstLine="1292"/>
        <w:spacing w:after="0" w:line="302" w:lineRule="auto"/>
        <w:tabs>
          <w:tab w:leader="none" w:pos="2889"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issuance (or deemed issuance) of any Letter of Credit, (C) that it and each other Obligor constitute a group of companies for the purposes of section 243 of the Companies Act 2014 of Ireland, (D) confirming that its entry into the Loan Documents does not constitute unlawful financial assistance for the purposes of Section 82 of the Companies Act 2014 of Ireland, and (E) that no notice pursuant to Section 1002 of the Taxes Consolidation Act 1997 (as from time to time amended, replaced or re-enacted) has been served on Parent by the Irish Revenue Commissioners;</w:t>
      </w:r>
    </w:p>
    <w:p>
      <w:pPr>
        <w:spacing w:after="0" w:line="129" w:lineRule="exact"/>
        <w:rPr>
          <w:rFonts w:ascii="Arial" w:cs="Arial" w:eastAsia="Arial" w:hAnsi="Arial"/>
          <w:sz w:val="19"/>
          <w:szCs w:val="19"/>
          <w:color w:val="auto"/>
        </w:rPr>
      </w:pPr>
    </w:p>
    <w:p>
      <w:pPr>
        <w:jc w:val="both"/>
        <w:ind w:left="660" w:firstLine="1292"/>
        <w:spacing w:after="0" w:line="301" w:lineRule="auto"/>
        <w:tabs>
          <w:tab w:leader="none" w:pos="2761"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 certificate of the secretary or an assistant secretary or other Responsible Officer of each Obligor (other than any Obligor incorporated in England and Wales) (and in the case of a Luxembourg Obligor, a manager (</w:t>
      </w:r>
      <w:r>
        <w:rPr>
          <w:rFonts w:ascii="Arial" w:cs="Arial" w:eastAsia="Arial" w:hAnsi="Arial"/>
          <w:sz w:val="19"/>
          <w:szCs w:val="19"/>
          <w:i w:val="1"/>
          <w:iCs w:val="1"/>
          <w:color w:val="auto"/>
        </w:rPr>
        <w:t>gérant</w:t>
      </w:r>
      <w:r>
        <w:rPr>
          <w:rFonts w:ascii="Arial" w:cs="Arial" w:eastAsia="Arial" w:hAnsi="Arial"/>
          <w:sz w:val="19"/>
          <w:szCs w:val="19"/>
          <w:color w:val="auto"/>
        </w:rPr>
        <w:t>)), dated the Effective Date and certifying (A) true and complete copies of the constitution or memorandum, articles of association or memorandum of association, by-laws, the deed or certificate of incorporation, certified or original excerpt from the commercial register and any other organizational documents, as applicable, each as amended and in effect on the Effective Date, of such Obligor (other than any Obligor incorporated in England and Wales),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8" w:name="page309"/>
    <w:bookmarkEnd w:id="308"/>
    <w:p>
      <w:pPr>
        <w:jc w:val="both"/>
        <w:ind w:left="4"/>
        <w:spacing w:after="0" w:line="271" w:lineRule="auto"/>
        <w:rPr>
          <w:sz w:val="20"/>
          <w:szCs w:val="20"/>
          <w:color w:val="auto"/>
        </w:rPr>
      </w:pPr>
      <w:r>
        <w:rPr>
          <w:rFonts w:ascii="Arial" w:cs="Arial" w:eastAsia="Arial" w:hAnsi="Arial"/>
          <w:sz w:val="21"/>
          <w:szCs w:val="21"/>
          <w:color w:val="auto"/>
        </w:rPr>
        <w:t>this Agreement, (C) the absence of any proceedings for the bankruptcy, dissolution, liquidation or winding up of such Obligor (and in the case of a Luxembourg Obligor, that it is not subject to insolvency proceedings such as bankruptcy (</w:t>
      </w:r>
      <w:r>
        <w:rPr>
          <w:rFonts w:ascii="Arial" w:cs="Arial" w:eastAsia="Arial" w:hAnsi="Arial"/>
          <w:sz w:val="21"/>
          <w:szCs w:val="21"/>
          <w:i w:val="1"/>
          <w:iCs w:val="1"/>
          <w:color w:val="auto"/>
        </w:rPr>
        <w:t>faillite</w:t>
      </w:r>
      <w:r>
        <w:rPr>
          <w:rFonts w:ascii="Arial" w:cs="Arial" w:eastAsia="Arial" w:hAnsi="Arial"/>
          <w:sz w:val="21"/>
          <w:szCs w:val="21"/>
          <w:color w:val="auto"/>
        </w:rPr>
        <w:t>), compulsory liquidation (</w:t>
      </w:r>
      <w:r>
        <w:rPr>
          <w:rFonts w:ascii="Arial" w:cs="Arial" w:eastAsia="Arial" w:hAnsi="Arial"/>
          <w:sz w:val="21"/>
          <w:szCs w:val="21"/>
          <w:i w:val="1"/>
          <w:iCs w:val="1"/>
          <w:color w:val="auto"/>
        </w:rPr>
        <w:t>liquidation judiciaire</w:t>
      </w:r>
      <w:r>
        <w:rPr>
          <w:rFonts w:ascii="Arial" w:cs="Arial" w:eastAsia="Arial" w:hAnsi="Arial"/>
          <w:sz w:val="21"/>
          <w:szCs w:val="21"/>
          <w:color w:val="auto"/>
        </w:rPr>
        <w:t>), voluntary liquidation (</w:t>
      </w:r>
      <w:r>
        <w:rPr>
          <w:rFonts w:ascii="Arial" w:cs="Arial" w:eastAsia="Arial" w:hAnsi="Arial"/>
          <w:sz w:val="21"/>
          <w:szCs w:val="21"/>
          <w:i w:val="1"/>
          <w:iCs w:val="1"/>
          <w:color w:val="auto"/>
        </w:rPr>
        <w:t>liquidation volontaire</w:t>
      </w:r>
      <w:r>
        <w:rPr>
          <w:rFonts w:ascii="Arial" w:cs="Arial" w:eastAsia="Arial" w:hAnsi="Arial"/>
          <w:sz w:val="21"/>
          <w:szCs w:val="21"/>
          <w:color w:val="auto"/>
        </w:rPr>
        <w:t>), winding-up, moratorium, composition with creditors (</w:t>
      </w:r>
      <w:r>
        <w:rPr>
          <w:rFonts w:ascii="Arial" w:cs="Arial" w:eastAsia="Arial" w:hAnsi="Arial"/>
          <w:sz w:val="21"/>
          <w:szCs w:val="21"/>
          <w:i w:val="1"/>
          <w:iCs w:val="1"/>
          <w:color w:val="auto"/>
        </w:rPr>
        <w:t>gestion contrôlé</w:t>
      </w:r>
      <w:r>
        <w:rPr>
          <w:rFonts w:ascii="Arial" w:cs="Arial" w:eastAsia="Arial" w:hAnsi="Arial"/>
          <w:sz w:val="21"/>
          <w:szCs w:val="21"/>
          <w:color w:val="auto"/>
        </w:rPr>
        <w:t>), suspension of payments (</w:t>
      </w:r>
      <w:r>
        <w:rPr>
          <w:rFonts w:ascii="Arial" w:cs="Arial" w:eastAsia="Arial" w:hAnsi="Arial"/>
          <w:sz w:val="21"/>
          <w:szCs w:val="21"/>
          <w:i w:val="1"/>
          <w:iCs w:val="1"/>
          <w:color w:val="auto"/>
        </w:rPr>
        <w:t>sursis de paiement</w:t>
      </w:r>
      <w:r>
        <w:rPr>
          <w:rFonts w:ascii="Arial" w:cs="Arial" w:eastAsia="Arial" w:hAnsi="Arial"/>
          <w:sz w:val="21"/>
          <w:szCs w:val="21"/>
          <w:color w:val="auto"/>
        </w:rPr>
        <w:t>), voluntary arrangement with creditors (</w:t>
      </w:r>
      <w:r>
        <w:rPr>
          <w:rFonts w:ascii="Arial" w:cs="Arial" w:eastAsia="Arial" w:hAnsi="Arial"/>
          <w:sz w:val="21"/>
          <w:szCs w:val="21"/>
          <w:i w:val="1"/>
          <w:iCs w:val="1"/>
          <w:color w:val="auto"/>
        </w:rPr>
        <w:t>concordate préventif de la faillite</w:t>
      </w:r>
      <w:r>
        <w:rPr>
          <w:rFonts w:ascii="Arial" w:cs="Arial" w:eastAsia="Arial" w:hAnsi="Arial"/>
          <w:sz w:val="21"/>
          <w:szCs w:val="21"/>
          <w:color w:val="auto"/>
        </w:rPr>
        <w:t xml:space="preserve">), fraudulent conveyance, general settlement with creditors, 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 (E) if required by applicable law or customary market practice in the jurisdiction, certifying that the guaranteeing or securing of the Commitments would not cause a guarantee or security limit binding on such Obligor to be exceeded, and (F) that each document provided by such Obligor pursuant to </w:t>
      </w:r>
      <w:r>
        <w:rPr>
          <w:rFonts w:ascii="Arial" w:cs="Arial" w:eastAsia="Arial" w:hAnsi="Arial"/>
          <w:sz w:val="21"/>
          <w:szCs w:val="21"/>
          <w:u w:val="single" w:color="auto"/>
          <w:color w:val="auto"/>
        </w:rPr>
        <w:t>Section 5.01(a)(i)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5.01(a)(xi)</w:t>
      </w:r>
      <w:r>
        <w:rPr>
          <w:rFonts w:ascii="Arial" w:cs="Arial" w:eastAsia="Arial" w:hAnsi="Arial"/>
          <w:sz w:val="21"/>
          <w:szCs w:val="21"/>
          <w:color w:val="auto"/>
        </w:rPr>
        <w:t xml:space="preserve"> is correct, complete and in full force and effect as at a date no earlier than the date of this Agreement;</w:t>
      </w:r>
    </w:p>
    <w:p>
      <w:pPr>
        <w:spacing w:after="0" w:line="141" w:lineRule="exact"/>
        <w:rPr>
          <w:sz w:val="20"/>
          <w:szCs w:val="20"/>
          <w:color w:val="auto"/>
        </w:rPr>
      </w:pPr>
    </w:p>
    <w:p>
      <w:pPr>
        <w:jc w:val="both"/>
        <w:ind w:left="4" w:firstLine="1292"/>
        <w:spacing w:after="0" w:line="297" w:lineRule="auto"/>
        <w:tabs>
          <w:tab w:leader="none" w:pos="2273" w:val="left"/>
        </w:tabs>
        <w:numPr>
          <w:ilvl w:val="1"/>
          <w:numId w:val="314"/>
        </w:numPr>
        <w:rPr>
          <w:rFonts w:ascii="Arial" w:cs="Arial" w:eastAsia="Arial" w:hAnsi="Arial"/>
          <w:sz w:val="19"/>
          <w:szCs w:val="19"/>
          <w:color w:val="auto"/>
        </w:rPr>
      </w:pPr>
      <w:r>
        <w:rPr>
          <w:rFonts w:ascii="Arial" w:cs="Arial" w:eastAsia="Arial" w:hAnsi="Arial"/>
          <w:sz w:val="19"/>
          <w:szCs w:val="19"/>
          <w:color w:val="auto"/>
        </w:rPr>
        <w:t>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 (2) authorizing a specified person or persons to execute the Loan Documents to which it is a party on its behalf;</w:t>
      </w:r>
    </w:p>
    <w:p>
      <w:pPr>
        <w:spacing w:after="0" w:line="2" w:lineRule="exact"/>
        <w:rPr>
          <w:rFonts w:ascii="Arial" w:cs="Arial" w:eastAsia="Arial" w:hAnsi="Arial"/>
          <w:sz w:val="19"/>
          <w:szCs w:val="19"/>
          <w:color w:val="auto"/>
        </w:rPr>
      </w:pPr>
    </w:p>
    <w:p>
      <w:pPr>
        <w:jc w:val="both"/>
        <w:ind w:left="4" w:hanging="4"/>
        <w:spacing w:after="0" w:line="296" w:lineRule="auto"/>
        <w:tabs>
          <w:tab w:leader="none" w:pos="315" w:val="left"/>
        </w:tabs>
        <w:numPr>
          <w:ilvl w:val="0"/>
          <w:numId w:val="315"/>
        </w:numPr>
        <w:rPr>
          <w:rFonts w:ascii="Arial" w:cs="Arial" w:eastAsia="Arial" w:hAnsi="Arial"/>
          <w:sz w:val="19"/>
          <w:szCs w:val="19"/>
          <w:color w:val="auto"/>
        </w:rPr>
      </w:pPr>
      <w:r>
        <w:rPr>
          <w:rFonts w:ascii="Arial" w:cs="Arial" w:eastAsia="Arial" w:hAnsi="Arial"/>
          <w:sz w:val="19"/>
          <w:szCs w:val="19"/>
          <w:color w:val="auto"/>
        </w:rPr>
        <w:t>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w:t>
      </w:r>
    </w:p>
    <w:p>
      <w:pPr>
        <w:spacing w:after="0" w:line="2" w:lineRule="exact"/>
        <w:rPr>
          <w:rFonts w:ascii="Arial" w:cs="Arial" w:eastAsia="Arial" w:hAnsi="Arial"/>
          <w:sz w:val="19"/>
          <w:szCs w:val="19"/>
          <w:color w:val="auto"/>
        </w:rPr>
      </w:pPr>
    </w:p>
    <w:p>
      <w:pPr>
        <w:jc w:val="both"/>
        <w:ind w:left="4"/>
        <w:spacing w:after="0" w:line="304" w:lineRule="auto"/>
        <w:rPr>
          <w:rFonts w:ascii="Arial" w:cs="Arial" w:eastAsia="Arial" w:hAnsi="Arial"/>
          <w:sz w:val="19"/>
          <w:szCs w:val="19"/>
          <w:color w:val="auto"/>
        </w:rPr>
      </w:pPr>
      <w:r>
        <w:rPr>
          <w:rFonts w:ascii="Arial" w:cs="Arial" w:eastAsia="Arial" w:hAnsi="Arial"/>
          <w:sz w:val="19"/>
          <w:szCs w:val="19"/>
          <w:color w:val="auto"/>
        </w:rPr>
        <w:t xml:space="preserve">(D) a specimen of the signature of each person authorised by the resolution referred to in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Arial" w:cs="Arial" w:eastAsia="Arial" w:hAnsi="Arial"/>
          <w:sz w:val="19"/>
          <w:szCs w:val="19"/>
          <w:u w:val="single" w:color="auto"/>
          <w:color w:val="auto"/>
        </w:rPr>
        <w:t>paragraph (vi)</w:t>
      </w:r>
      <w:r>
        <w:rPr>
          <w:rFonts w:ascii="Arial" w:cs="Arial" w:eastAsia="Arial" w:hAnsi="Arial"/>
          <w:sz w:val="19"/>
          <w:szCs w:val="19"/>
          <w:color w:val="auto"/>
        </w:rPr>
        <w:t xml:space="preserve"> is correct, complete and (to the extent executed) in full force and effect and has not been amended or superseded as at a date no earlier than the Effective Date;</w:t>
      </w:r>
    </w:p>
    <w:p>
      <w:pPr>
        <w:spacing w:after="0" w:line="130" w:lineRule="exact"/>
        <w:rPr>
          <w:rFonts w:ascii="Arial" w:cs="Arial" w:eastAsia="Arial" w:hAnsi="Arial"/>
          <w:sz w:val="19"/>
          <w:szCs w:val="19"/>
          <w:color w:val="auto"/>
        </w:rPr>
      </w:pPr>
    </w:p>
    <w:p>
      <w:pPr>
        <w:jc w:val="both"/>
        <w:ind w:left="4" w:firstLine="1292"/>
        <w:spacing w:after="0" w:line="261" w:lineRule="auto"/>
        <w:tabs>
          <w:tab w:leader="none" w:pos="2401" w:val="left"/>
        </w:tabs>
        <w:numPr>
          <w:ilvl w:val="1"/>
          <w:numId w:val="315"/>
        </w:numPr>
        <w:rPr>
          <w:rFonts w:ascii="Arial" w:cs="Arial" w:eastAsia="Arial" w:hAnsi="Arial"/>
          <w:sz w:val="22"/>
          <w:szCs w:val="22"/>
          <w:color w:val="auto"/>
        </w:rPr>
      </w:pPr>
      <w:r>
        <w:rPr>
          <w:rFonts w:ascii="Arial" w:cs="Arial" w:eastAsia="Arial" w:hAnsi="Arial"/>
          <w:sz w:val="22"/>
          <w:szCs w:val="22"/>
          <w:color w:val="auto"/>
        </w:rPr>
        <w:t>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WIL-Bermuda, (C) Baker McKenzie, Geneva, special Swiss counsel to certain of the Obligors, (D) Matheson, special Irish counsel to Parent, (E) Dentons Canada LLP,</w:t>
      </w:r>
    </w:p>
    <w:p>
      <w:pPr>
        <w:spacing w:after="0" w:line="136"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sectPr>
      </w:pPr>
    </w:p>
    <w:bookmarkStart w:id="309" w:name="page310"/>
    <w:bookmarkEnd w:id="309"/>
    <w:p>
      <w:pPr>
        <w:jc w:val="both"/>
        <w:spacing w:after="0" w:line="302" w:lineRule="auto"/>
        <w:rPr>
          <w:sz w:val="20"/>
          <w:szCs w:val="20"/>
          <w:color w:val="auto"/>
        </w:rPr>
      </w:pPr>
      <w:r>
        <w:rPr>
          <w:rFonts w:ascii="Arial" w:cs="Arial" w:eastAsia="Arial" w:hAnsi="Arial"/>
          <w:sz w:val="19"/>
          <w:szCs w:val="19"/>
          <w:color w:val="auto"/>
        </w:rPr>
        <w:t>special British Columbia, Alberta and Ontario counsel to certain of the Obligors, Stewart McKelvey, special Nova Scotia and Newfoundland counsel to certain of the Obligors, MLT Aikins LLP, special Saskatchewan counsel to certain of the Obligors and Thompson Dorfman Sweatman LLP, special Manitoba counsel to certain of the Obligors, (F) Baker &amp; McKenzie LLP, special Luxembourg counsel to certain of the Obligors, (G) Conyers Dill &amp; Pearman, special British Virgin Islands counsel to certain of the Obligors, (H) Sidley Austin LLP, special English counsel to the Administrative Agent, (I) Jones Walker LLP, special Louisiana counsel to Weatherford U.S., L.P., (J) Norton Rose Fulbright, special Australian counsel to the Administrative Agent, (K) BAHR, special Norwegian counsel to the Administrative Agent, (L) Baker &amp; McKenzie Amsterdam N.V., special Dutch counsel to certain of the Obligors, (M) Holland &amp; Hart LLP, special Nevada and Wyoming counsel to certain of the Obligors, (N) Baker &amp; McKenzie, special German counsel to certain of the Obligors, and (O) Arias, Fábrega &amp; Fábrega, special Panamanian counsel to certain of the Obligors, in each case, given upon the express instruction of the applicable Obligor(s), as applicable;</w:t>
      </w:r>
    </w:p>
    <w:p>
      <w:pPr>
        <w:spacing w:after="0" w:line="121" w:lineRule="exact"/>
        <w:rPr>
          <w:sz w:val="20"/>
          <w:szCs w:val="20"/>
          <w:color w:val="auto"/>
        </w:rPr>
      </w:pPr>
    </w:p>
    <w:p>
      <w:pPr>
        <w:ind w:right="160" w:firstLine="1292"/>
        <w:spacing w:after="0" w:line="266" w:lineRule="auto"/>
        <w:tabs>
          <w:tab w:leader="none" w:pos="2268" w:val="left"/>
        </w:tabs>
        <w:numPr>
          <w:ilvl w:val="0"/>
          <w:numId w:val="316"/>
        </w:numPr>
        <w:rPr>
          <w:rFonts w:ascii="Arial" w:cs="Arial" w:eastAsia="Arial" w:hAnsi="Arial"/>
          <w:sz w:val="22"/>
          <w:szCs w:val="22"/>
          <w:color w:val="auto"/>
        </w:rPr>
      </w:pPr>
      <w:r>
        <w:rPr>
          <w:rFonts w:ascii="Arial" w:cs="Arial" w:eastAsia="Arial" w:hAnsi="Arial"/>
          <w:sz w:val="22"/>
          <w:szCs w:val="22"/>
          <w:color w:val="auto"/>
        </w:rPr>
        <w:t>a certificate of a Principal Financial Officer of Parent certifying that, after giving effect to the Transactions (as defined in this Agreement on the Effective Date), the Parent and its Subsidiaries on a consolidated basis are Solvent as of the Effective Date;</w:t>
      </w:r>
    </w:p>
    <w:p>
      <w:pPr>
        <w:spacing w:after="0" w:line="157" w:lineRule="exact"/>
        <w:rPr>
          <w:rFonts w:ascii="Arial" w:cs="Arial" w:eastAsia="Arial" w:hAnsi="Arial"/>
          <w:sz w:val="22"/>
          <w:szCs w:val="22"/>
          <w:color w:val="auto"/>
        </w:rPr>
      </w:pPr>
    </w:p>
    <w:p>
      <w:pPr>
        <w:jc w:val="both"/>
        <w:ind w:firstLine="1292"/>
        <w:spacing w:after="0" w:line="300" w:lineRule="auto"/>
        <w:tabs>
          <w:tab w:leader="none" w:pos="2161"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good standing and qualification to do business as a foreign entity, of each Obligor (other than any Obligor incorporated in England and Wales) in each jurisdiction in which the ownership of its properties or the conduct of its business requires such qualification and where the failure to so qualify would, individually or collectively, have a Material Adverse Effect, (C) to the extent not covered by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Arial" w:cs="Arial" w:eastAsia="Arial" w:hAnsi="Arial"/>
          <w:sz w:val="19"/>
          <w:szCs w:val="19"/>
          <w:i w:val="1"/>
          <w:iCs w:val="1"/>
          <w:color w:val="auto"/>
        </w:rPr>
        <w:t>Registre de Commerce et des Sociétés</w:t>
      </w:r>
      <w:r>
        <w:rPr>
          <w:rFonts w:ascii="Arial" w:cs="Arial" w:eastAsia="Arial" w:hAnsi="Arial"/>
          <w:sz w:val="19"/>
          <w:szCs w:val="19"/>
          <w:color w:val="auto"/>
        </w:rPr>
        <w:t>) in Luxembourg (the “</w:t>
      </w:r>
      <w:r>
        <w:rPr>
          <w:rFonts w:ascii="Arial" w:cs="Arial" w:eastAsia="Arial" w:hAnsi="Arial"/>
          <w:sz w:val="19"/>
          <w:szCs w:val="19"/>
          <w:u w:val="single" w:color="auto"/>
          <w:color w:val="auto"/>
        </w:rPr>
        <w:t>RCS</w:t>
      </w:r>
      <w:r>
        <w:rPr>
          <w:rFonts w:ascii="Arial" w:cs="Arial" w:eastAsia="Arial" w:hAnsi="Arial"/>
          <w:sz w:val="19"/>
          <w:szCs w:val="19"/>
          <w:color w:val="auto"/>
        </w:rPr>
        <w:t>”) as at a date no earlier than the Effective Date and an up-to-date, true and complete electronic excerpt of the RCS as at a date no earlier than the Effective Date;</w:t>
      </w:r>
    </w:p>
    <w:p>
      <w:pPr>
        <w:spacing w:after="0" w:line="37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310" w:name="page311"/>
    <w:bookmarkEnd w:id="310"/>
    <w:p>
      <w:pPr>
        <w:ind w:firstLine="1292"/>
        <w:spacing w:after="0" w:line="276" w:lineRule="auto"/>
        <w:tabs>
          <w:tab w:leader="none" w:pos="2088" w:val="left"/>
        </w:tabs>
        <w:numPr>
          <w:ilvl w:val="0"/>
          <w:numId w:val="317"/>
        </w:numPr>
        <w:rPr>
          <w:rFonts w:ascii="Arial" w:cs="Arial" w:eastAsia="Arial" w:hAnsi="Arial"/>
          <w:sz w:val="22"/>
          <w:szCs w:val="22"/>
          <w:color w:val="auto"/>
        </w:rPr>
      </w:pPr>
      <w:r>
        <w:rPr>
          <w:rFonts w:ascii="Arial" w:cs="Arial" w:eastAsia="Arial" w:hAnsi="Arial"/>
          <w:sz w:val="22"/>
          <w:szCs w:val="22"/>
          <w:color w:val="auto"/>
        </w:rPr>
        <w:t>the U.S. Security Agreement and the Canadian Security Agreement dated as of the Effective Date, in each case executed by each Obligor listed on the signature pages thereof;</w:t>
      </w:r>
    </w:p>
    <w:p>
      <w:pPr>
        <w:spacing w:after="0" w:line="133" w:lineRule="exact"/>
        <w:rPr>
          <w:rFonts w:ascii="Arial" w:cs="Arial" w:eastAsia="Arial" w:hAnsi="Arial"/>
          <w:sz w:val="22"/>
          <w:szCs w:val="22"/>
          <w:color w:val="auto"/>
        </w:rPr>
      </w:pPr>
    </w:p>
    <w:p>
      <w:pPr>
        <w:ind w:firstLine="1292"/>
        <w:spacing w:after="0" w:line="276" w:lineRule="auto"/>
        <w:tabs>
          <w:tab w:leader="none" w:pos="2256" w:val="left"/>
        </w:tabs>
        <w:numPr>
          <w:ilvl w:val="0"/>
          <w:numId w:val="317"/>
        </w:numPr>
        <w:rPr>
          <w:rFonts w:ascii="Arial" w:cs="Arial" w:eastAsia="Arial" w:hAnsi="Arial"/>
          <w:sz w:val="22"/>
          <w:szCs w:val="22"/>
          <w:color w:val="auto"/>
        </w:rPr>
      </w:pPr>
      <w:r>
        <w:rPr>
          <w:rFonts w:ascii="Arial" w:cs="Arial" w:eastAsia="Arial" w:hAnsi="Arial"/>
          <w:sz w:val="22"/>
          <w:szCs w:val="22"/>
          <w:color w:val="auto"/>
        </w:rPr>
        <w:t>a Pledge Agreement governed by the laws of the Province of Alberta executed by Weatherford Holdings (Switzerland) Gmbh and pledging the Capital Stock of Weatherford Canada Ltd.;</w:t>
      </w:r>
    </w:p>
    <w:p>
      <w:pPr>
        <w:spacing w:after="0" w:line="147" w:lineRule="exact"/>
        <w:rPr>
          <w:rFonts w:ascii="Arial" w:cs="Arial" w:eastAsia="Arial" w:hAnsi="Arial"/>
          <w:sz w:val="22"/>
          <w:szCs w:val="22"/>
          <w:color w:val="auto"/>
        </w:rPr>
      </w:pPr>
    </w:p>
    <w:p>
      <w:pPr>
        <w:ind w:left="2320" w:hanging="1028"/>
        <w:spacing w:after="0"/>
        <w:tabs>
          <w:tab w:leader="none" w:pos="232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all English Security Documents, in each case executed by each Obligor listed on the signature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pages thereof;</w:t>
      </w:r>
    </w:p>
    <w:p>
      <w:pPr>
        <w:spacing w:after="0" w:line="188" w:lineRule="exact"/>
        <w:rPr>
          <w:rFonts w:ascii="Arial" w:cs="Arial" w:eastAsia="Arial" w:hAnsi="Arial"/>
          <w:sz w:val="19"/>
          <w:szCs w:val="19"/>
          <w:color w:val="auto"/>
        </w:rPr>
      </w:pPr>
    </w:p>
    <w:p>
      <w:pPr>
        <w:ind w:firstLine="1292"/>
        <w:spacing w:after="0" w:line="276" w:lineRule="auto"/>
        <w:tabs>
          <w:tab w:leader="none" w:pos="2335" w:val="left"/>
        </w:tabs>
        <w:numPr>
          <w:ilvl w:val="0"/>
          <w:numId w:val="317"/>
        </w:numPr>
        <w:rPr>
          <w:rFonts w:ascii="Arial" w:cs="Arial" w:eastAsia="Arial" w:hAnsi="Arial"/>
          <w:sz w:val="22"/>
          <w:szCs w:val="22"/>
          <w:color w:val="auto"/>
        </w:rPr>
      </w:pPr>
      <w:r>
        <w:rPr>
          <w:rFonts w:ascii="Arial" w:cs="Arial" w:eastAsia="Arial" w:hAnsi="Arial"/>
          <w:sz w:val="22"/>
          <w:szCs w:val="22"/>
          <w:color w:val="auto"/>
        </w:rPr>
        <w:t>all British Virgin Islands Security Documents, in each case executed by each Obligor listed on the signature pages thereof;</w:t>
      </w:r>
    </w:p>
    <w:p>
      <w:pPr>
        <w:spacing w:after="0" w:line="133" w:lineRule="exact"/>
        <w:rPr>
          <w:rFonts w:ascii="Arial" w:cs="Arial" w:eastAsia="Arial" w:hAnsi="Arial"/>
          <w:sz w:val="22"/>
          <w:szCs w:val="22"/>
          <w:color w:val="auto"/>
        </w:rPr>
      </w:pPr>
    </w:p>
    <w:p>
      <w:pPr>
        <w:jc w:val="both"/>
        <w:ind w:firstLine="1292"/>
        <w:spacing w:after="0" w:line="273" w:lineRule="auto"/>
        <w:tabs>
          <w:tab w:leader="none" w:pos="2539" w:val="left"/>
        </w:tabs>
        <w:numPr>
          <w:ilvl w:val="0"/>
          <w:numId w:val="317"/>
        </w:numPr>
        <w:rPr>
          <w:rFonts w:ascii="Arial" w:cs="Arial" w:eastAsia="Arial" w:hAnsi="Arial"/>
          <w:sz w:val="21"/>
          <w:szCs w:val="21"/>
          <w:color w:val="auto"/>
        </w:rPr>
      </w:pPr>
      <w:r>
        <w:rPr>
          <w:rFonts w:ascii="Arial" w:cs="Arial" w:eastAsia="Arial" w:hAnsi="Arial"/>
          <w:sz w:val="21"/>
          <w:szCs w:val="21"/>
          <w:color w:val="auto"/>
        </w:rPr>
        <w:t>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spacing w:after="0" w:line="156" w:lineRule="exact"/>
        <w:rPr>
          <w:rFonts w:ascii="Arial" w:cs="Arial" w:eastAsia="Arial" w:hAnsi="Arial"/>
          <w:sz w:val="21"/>
          <w:szCs w:val="21"/>
          <w:color w:val="auto"/>
        </w:rPr>
      </w:pPr>
    </w:p>
    <w:p>
      <w:pPr>
        <w:ind w:right="120" w:firstLine="1292"/>
        <w:spacing w:after="0" w:line="317" w:lineRule="auto"/>
        <w:tabs>
          <w:tab w:leader="none" w:pos="2196" w:val="left"/>
        </w:tabs>
        <w:numPr>
          <w:ilvl w:val="0"/>
          <w:numId w:val="317"/>
        </w:numPr>
        <w:rPr>
          <w:rFonts w:ascii="Arial" w:cs="Arial" w:eastAsia="Arial" w:hAnsi="Arial"/>
          <w:sz w:val="19"/>
          <w:szCs w:val="19"/>
          <w:color w:val="auto"/>
        </w:rPr>
      </w:pPr>
      <w:r>
        <w:rPr>
          <w:rFonts w:ascii="Arial" w:cs="Arial" w:eastAsia="Arial" w:hAnsi="Arial"/>
          <w:sz w:val="19"/>
          <w:szCs w:val="19"/>
          <w:color w:val="auto"/>
        </w:rPr>
        <w:t>to the extent available in the applicable jurisdiction(s), 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w:t>
      </w:r>
    </w:p>
    <w:p>
      <w:pPr>
        <w:spacing w:after="0" w:line="101" w:lineRule="exact"/>
        <w:rPr>
          <w:rFonts w:ascii="Arial" w:cs="Arial" w:eastAsia="Arial" w:hAnsi="Arial"/>
          <w:sz w:val="19"/>
          <w:szCs w:val="19"/>
          <w:color w:val="auto"/>
        </w:rPr>
      </w:pPr>
    </w:p>
    <w:p>
      <w:pPr>
        <w:jc w:val="both"/>
        <w:ind w:firstLine="1292"/>
        <w:spacing w:after="0" w:line="262" w:lineRule="auto"/>
        <w:tabs>
          <w:tab w:leader="none" w:pos="2269" w:val="left"/>
        </w:tabs>
        <w:numPr>
          <w:ilvl w:val="0"/>
          <w:numId w:val="317"/>
        </w:numPr>
        <w:rPr>
          <w:rFonts w:ascii="Arial" w:cs="Arial" w:eastAsia="Arial" w:hAnsi="Arial"/>
          <w:sz w:val="22"/>
          <w:szCs w:val="22"/>
          <w:color w:val="auto"/>
        </w:rPr>
      </w:pPr>
      <w:r>
        <w:rPr>
          <w:rFonts w:ascii="Arial" w:cs="Arial" w:eastAsia="Arial" w:hAnsi="Arial"/>
          <w:sz w:val="22"/>
          <w:szCs w:val="22"/>
          <w:color w:val="auto"/>
        </w:rPr>
        <w:t>a statement from the principal representative and insurance manager of WOFS, addressed to the board of directors of WOFS confirming, in connection with WOFS’ entry into the Affiliate Guaranty, compliance with the solvency margins and ratios applicable to WOFS in accordance with the Bermuda Insurance Act 1978 (as amended) and regulations promulgated thereunder;</w:t>
      </w:r>
    </w:p>
    <w:p>
      <w:pPr>
        <w:spacing w:after="0" w:line="150" w:lineRule="exact"/>
        <w:rPr>
          <w:rFonts w:ascii="Arial" w:cs="Arial" w:eastAsia="Arial" w:hAnsi="Arial"/>
          <w:sz w:val="22"/>
          <w:szCs w:val="22"/>
          <w:color w:val="auto"/>
        </w:rPr>
      </w:pPr>
    </w:p>
    <w:p>
      <w:pPr>
        <w:jc w:val="both"/>
        <w:ind w:firstLine="1292"/>
        <w:spacing w:after="0" w:line="272" w:lineRule="auto"/>
        <w:tabs>
          <w:tab w:leader="none" w:pos="2437" w:val="left"/>
        </w:tabs>
        <w:numPr>
          <w:ilvl w:val="0"/>
          <w:numId w:val="317"/>
        </w:numPr>
        <w:rPr>
          <w:rFonts w:ascii="Arial" w:cs="Arial" w:eastAsia="Arial" w:hAnsi="Arial"/>
          <w:sz w:val="21"/>
          <w:szCs w:val="21"/>
          <w:color w:val="auto"/>
        </w:rPr>
      </w:pPr>
      <w:r>
        <w:rPr>
          <w:rFonts w:ascii="Arial" w:cs="Arial" w:eastAsia="Arial" w:hAnsi="Arial"/>
          <w:sz w:val="21"/>
          <w:szCs w:val="21"/>
          <w:color w:val="auto"/>
        </w:rPr>
        <w:t xml:space="preserve">a certificate of a director of Weatherford Australia Pty Limited, dated the Effective Date and confirming that (A) the resolutions referred to in </w:t>
      </w:r>
      <w:r>
        <w:rPr>
          <w:rFonts w:ascii="Arial" w:cs="Arial" w:eastAsia="Arial" w:hAnsi="Arial"/>
          <w:sz w:val="21"/>
          <w:szCs w:val="21"/>
          <w:u w:val="single" w:color="auto"/>
          <w:color w:val="auto"/>
        </w:rPr>
        <w:t>Section 5.01(a)(v)</w:t>
      </w:r>
      <w:r>
        <w:rPr>
          <w:rFonts w:ascii="Arial" w:cs="Arial" w:eastAsia="Arial" w:hAnsi="Arial"/>
          <w:sz w:val="21"/>
          <w:szCs w:val="21"/>
          <w:color w:val="auto"/>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w:t>
      </w:r>
    </w:p>
    <w:p>
      <w:pPr>
        <w:spacing w:after="0" w:line="14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311" w:name="page312"/>
    <w:bookmarkEnd w:id="311"/>
    <w:p>
      <w:pPr>
        <w:jc w:val="both"/>
        <w:ind w:left="660"/>
        <w:spacing w:after="0" w:line="317" w:lineRule="auto"/>
        <w:rPr>
          <w:sz w:val="20"/>
          <w:szCs w:val="20"/>
          <w:color w:val="auto"/>
        </w:rPr>
      </w:pPr>
      <w:r>
        <w:rPr>
          <w:rFonts w:ascii="Arial" w:cs="Arial" w:eastAsia="Arial" w:hAnsi="Arial"/>
          <w:sz w:val="19"/>
          <w:szCs w:val="19"/>
          <w:color w:val="auto"/>
        </w:rPr>
        <w:t>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spacing w:after="0" w:line="101" w:lineRule="exact"/>
        <w:rPr>
          <w:sz w:val="20"/>
          <w:szCs w:val="20"/>
          <w:color w:val="auto"/>
        </w:rPr>
      </w:pPr>
    </w:p>
    <w:p>
      <w:pPr>
        <w:jc w:val="both"/>
        <w:ind w:left="660" w:firstLine="1292"/>
        <w:spacing w:after="0" w:line="284" w:lineRule="auto"/>
        <w:tabs>
          <w:tab w:leader="none" w:pos="3103" w:val="left"/>
        </w:tabs>
        <w:numPr>
          <w:ilvl w:val="1"/>
          <w:numId w:val="318"/>
        </w:numPr>
        <w:rPr>
          <w:rFonts w:ascii="Arial" w:cs="Arial" w:eastAsia="Arial" w:hAnsi="Arial"/>
          <w:sz w:val="21"/>
          <w:szCs w:val="21"/>
          <w:color w:val="auto"/>
        </w:rPr>
      </w:pPr>
      <w:r>
        <w:rPr>
          <w:rFonts w:ascii="Arial" w:cs="Arial" w:eastAsia="Arial" w:hAnsi="Arial"/>
          <w:sz w:val="21"/>
          <w:szCs w:val="21"/>
          <w:color w:val="auto"/>
        </w:rPr>
        <w:t>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w:t>
      </w:r>
    </w:p>
    <w:p>
      <w:pPr>
        <w:spacing w:after="0" w:line="141" w:lineRule="exact"/>
        <w:rPr>
          <w:rFonts w:ascii="Arial" w:cs="Arial" w:eastAsia="Arial" w:hAnsi="Arial"/>
          <w:sz w:val="21"/>
          <w:szCs w:val="21"/>
          <w:color w:val="auto"/>
        </w:rPr>
      </w:pPr>
    </w:p>
    <w:p>
      <w:pPr>
        <w:jc w:val="both"/>
        <w:ind w:left="660" w:firstLine="1292"/>
        <w:spacing w:after="0" w:line="311" w:lineRule="auto"/>
        <w:tabs>
          <w:tab w:leader="none" w:pos="3091" w:val="left"/>
        </w:tabs>
        <w:numPr>
          <w:ilvl w:val="1"/>
          <w:numId w:val="318"/>
        </w:numPr>
        <w:rPr>
          <w:rFonts w:ascii="Arial" w:cs="Arial" w:eastAsia="Arial" w:hAnsi="Arial"/>
          <w:sz w:val="19"/>
          <w:szCs w:val="19"/>
          <w:color w:val="auto"/>
        </w:rPr>
      </w:pPr>
      <w:r>
        <w:rPr>
          <w:rFonts w:ascii="Arial" w:cs="Arial" w:eastAsia="Arial" w:hAnsi="Arial"/>
          <w:sz w:val="19"/>
          <w:szCs w:val="19"/>
          <w:color w:val="auto"/>
        </w:rPr>
        <w:t>to the extent available in the applicable jurisdiction(s), (I) 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searches against Parent in the Companies Registration Office, Dublin, the High Court Central Office and all other relevant registries;</w:t>
      </w:r>
    </w:p>
    <w:p>
      <w:pPr>
        <w:spacing w:after="0" w:line="109" w:lineRule="exact"/>
        <w:rPr>
          <w:rFonts w:ascii="Arial" w:cs="Arial" w:eastAsia="Arial" w:hAnsi="Arial"/>
          <w:sz w:val="19"/>
          <w:szCs w:val="19"/>
          <w:color w:val="auto"/>
        </w:rPr>
      </w:pPr>
    </w:p>
    <w:p>
      <w:pPr>
        <w:ind w:firstLine="1304"/>
        <w:spacing w:after="0" w:line="358" w:lineRule="auto"/>
        <w:tabs>
          <w:tab w:leader="none" w:pos="2128" w:val="left"/>
        </w:tabs>
        <w:numPr>
          <w:ilvl w:val="0"/>
          <w:numId w:val="319"/>
        </w:numPr>
        <w:rPr>
          <w:rFonts w:ascii="Arial" w:cs="Arial" w:eastAsia="Arial" w:hAnsi="Arial"/>
          <w:sz w:val="19"/>
          <w:szCs w:val="19"/>
          <w:color w:val="auto"/>
        </w:rPr>
      </w:pPr>
      <w:r>
        <w:rPr>
          <w:rFonts w:ascii="Arial" w:cs="Arial" w:eastAsia="Arial" w:hAnsi="Arial"/>
          <w:sz w:val="19"/>
          <w:szCs w:val="19"/>
          <w:color w:val="auto"/>
        </w:rPr>
        <w:t>The Aggregate Commitments on the Effective Date shall be at least $150,000,000 (or such other amount as may be agreed by the Required Consenting Noteholders (as such term is defined in the Plan of Reorganization)).</w:t>
      </w:r>
    </w:p>
    <w:p>
      <w:pPr>
        <w:spacing w:after="0" w:line="63" w:lineRule="exact"/>
        <w:rPr>
          <w:rFonts w:ascii="Arial" w:cs="Arial" w:eastAsia="Arial" w:hAnsi="Arial"/>
          <w:sz w:val="19"/>
          <w:szCs w:val="19"/>
          <w:color w:val="auto"/>
        </w:rPr>
      </w:pPr>
    </w:p>
    <w:p>
      <w:pPr>
        <w:jc w:val="both"/>
        <w:ind w:firstLine="1304"/>
        <w:spacing w:after="0" w:line="279" w:lineRule="auto"/>
        <w:tabs>
          <w:tab w:leader="none" w:pos="2292" w:val="left"/>
        </w:tabs>
        <w:numPr>
          <w:ilvl w:val="0"/>
          <w:numId w:val="319"/>
        </w:numPr>
        <w:rPr>
          <w:rFonts w:ascii="Arial" w:cs="Arial" w:eastAsia="Arial" w:hAnsi="Arial"/>
          <w:sz w:val="21"/>
          <w:szCs w:val="21"/>
          <w:color w:val="auto"/>
        </w:rPr>
      </w:pPr>
      <w:r>
        <w:rPr>
          <w:rFonts w:ascii="Arial" w:cs="Arial" w:eastAsia="Arial" w:hAnsi="Arial"/>
          <w:sz w:val="21"/>
          <w:szCs w:val="21"/>
          <w:color w:val="auto"/>
        </w:rPr>
        <w:t>The Administrative Agent shall have received evidence reasonably satisfactory to it that all material consents of (i) each Governmental Authority and (ii) each other Person, if any, including any lenders under any bilateral credit facility of Parent and its Subsidiaries, in each case required to be received by the Obligors in connection with the Letters of Credit issued or to be issued hereunder, and the execution, delivery and performance of this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Agreement and the other Loan Documents to which any Obligor is a party, have been satisfactorily obtained.</w:t>
      </w:r>
    </w:p>
    <w:p>
      <w:pPr>
        <w:spacing w:after="0" w:line="193" w:lineRule="exact"/>
        <w:rPr>
          <w:sz w:val="20"/>
          <w:szCs w:val="20"/>
          <w:color w:val="auto"/>
        </w:rPr>
      </w:pPr>
    </w:p>
    <w:p>
      <w:pPr>
        <w:ind w:firstLine="1304"/>
        <w:spacing w:after="0" w:line="358" w:lineRule="auto"/>
        <w:tabs>
          <w:tab w:leader="none" w:pos="2196"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Administrative Agent shall have received evidence reasonably satisfactory to it that the conditions precedent to the effectiveness of the ABL Credit Agreement as set forth in Section 3.1 thereof have been satisfied or waived.</w:t>
      </w:r>
    </w:p>
    <w:p>
      <w:pPr>
        <w:spacing w:after="0" w:line="63" w:lineRule="exact"/>
        <w:rPr>
          <w:rFonts w:ascii="Arial" w:cs="Arial" w:eastAsia="Arial" w:hAnsi="Arial"/>
          <w:sz w:val="19"/>
          <w:szCs w:val="19"/>
          <w:color w:val="auto"/>
        </w:rPr>
      </w:pPr>
    </w:p>
    <w:p>
      <w:pPr>
        <w:jc w:val="both"/>
        <w:ind w:firstLine="1304"/>
        <w:spacing w:after="0" w:line="262" w:lineRule="auto"/>
        <w:tabs>
          <w:tab w:leader="none" w:pos="2076"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Administrative Agent shall have received evidence reasonably satisfactory to it that (i) the conditions precedent to the effectiveness of the Plan of Reorganization as set forth therein shall have been satisfied or waived in accordance with the terms of the Plan of Reorganization, and (ii) the Plan Effective Date shall have occurred, or shall have occurred concurrently with the effectiveness of this Agreement.</w:t>
      </w:r>
    </w:p>
    <w:p>
      <w:pPr>
        <w:spacing w:after="0" w:line="164" w:lineRule="exact"/>
        <w:rPr>
          <w:rFonts w:ascii="Arial" w:cs="Arial" w:eastAsia="Arial" w:hAnsi="Arial"/>
          <w:sz w:val="22"/>
          <w:szCs w:val="22"/>
          <w:color w:val="auto"/>
        </w:rPr>
      </w:pPr>
    </w:p>
    <w:p>
      <w:pPr>
        <w:jc w:val="both"/>
        <w:ind w:firstLine="1304"/>
        <w:spacing w:after="0" w:line="262" w:lineRule="auto"/>
        <w:tabs>
          <w:tab w:leader="none" w:pos="2268"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Joint Lead Arrangers shall have received evidence reasonably satisfactory to them that the Irish Scheme shall have been approved by the Irish High Court, or such other structure as is reasonably acceptable to the Joint Lead Arrangers, and has become effective in accordance with its terms, or will become effective concurrently with the effectiveness of this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2" w:name="page313"/>
    <w:bookmarkEnd w:id="312"/>
    <w:p>
      <w:pPr>
        <w:jc w:val="both"/>
        <w:ind w:firstLine="1304"/>
        <w:spacing w:after="0" w:line="279" w:lineRule="auto"/>
        <w:tabs>
          <w:tab w:leader="none" w:pos="2128" w:val="left"/>
        </w:tabs>
        <w:numPr>
          <w:ilvl w:val="0"/>
          <w:numId w:val="321"/>
        </w:numPr>
        <w:rPr>
          <w:rFonts w:ascii="Arial" w:cs="Arial" w:eastAsia="Arial" w:hAnsi="Arial"/>
          <w:sz w:val="21"/>
          <w:szCs w:val="21"/>
          <w:color w:val="auto"/>
        </w:rPr>
      </w:pPr>
      <w:r>
        <w:rPr>
          <w:rFonts w:ascii="Arial" w:cs="Arial" w:eastAsia="Arial" w:hAnsi="Arial"/>
          <w:sz w:val="21"/>
          <w:szCs w:val="21"/>
          <w:color w:val="auto"/>
        </w:rPr>
        <w:t>The Joint Lead Arrangers shall have received evidence reasonably satisfactory to them that a provisional liquidator of WIL-Bermuda has been appointed and the Bermuda Scheme has been sanctioned by the Bermuda court, or such other structure as is reasonably acceptable to the Joint Lead Arrangers, and has become effective in accordance with its terms, or will become effective concurrently with the effectiveness of this Agreement.</w:t>
      </w:r>
    </w:p>
    <w:p>
      <w:pPr>
        <w:spacing w:after="0" w:line="132" w:lineRule="exact"/>
        <w:rPr>
          <w:rFonts w:ascii="Arial" w:cs="Arial" w:eastAsia="Arial" w:hAnsi="Arial"/>
          <w:sz w:val="21"/>
          <w:szCs w:val="21"/>
          <w:color w:val="auto"/>
        </w:rPr>
      </w:pPr>
    </w:p>
    <w:p>
      <w:pPr>
        <w:jc w:val="both"/>
        <w:ind w:firstLine="1304"/>
        <w:spacing w:after="0" w:line="272" w:lineRule="auto"/>
        <w:tabs>
          <w:tab w:leader="none" w:pos="2115" w:val="left"/>
        </w:tabs>
        <w:numPr>
          <w:ilvl w:val="0"/>
          <w:numId w:val="321"/>
        </w:numPr>
        <w:rPr>
          <w:rFonts w:ascii="Arial" w:cs="Arial" w:eastAsia="Arial" w:hAnsi="Arial"/>
          <w:sz w:val="21"/>
          <w:szCs w:val="21"/>
          <w:color w:val="auto"/>
        </w:rPr>
      </w:pPr>
      <w:r>
        <w:rPr>
          <w:rFonts w:ascii="Arial" w:cs="Arial" w:eastAsia="Arial" w:hAnsi="Arial"/>
          <w:sz w:val="21"/>
          <w:szCs w:val="21"/>
          <w:color w:val="auto"/>
        </w:rPr>
        <w:t xml:space="preserve">(i) All commitments and other obligations (other than contingent indemnification obligations as to which no claim has been received) with respect to the Prepetition Revolving Credit Claims, the Prepetition Term Loan Claims, the Prepetition A&amp;R Claims and the DIP Facility Claims (as each term is defined in the Plan of Reorganization) have been cancelled, and Indebtedness in respect of such Prepetition Revolving Credit Claims, Prepetition Term Loan Claims, Prepetition A&amp;R Claims and DIP Facility Claims has been satisfied in full, and (ii) all existing Liens in favor of the Prepetition Agents, the Prepetition Lenders, the DIP Agent and the DIP Lenders (as each term is defined in the Plan of Reorganization) and any other creditor with a Lien on the Collateral (except for Liens permitted by </w:t>
      </w:r>
      <w:r>
        <w:rPr>
          <w:rFonts w:ascii="Arial" w:cs="Arial" w:eastAsia="Arial" w:hAnsi="Arial"/>
          <w:sz w:val="21"/>
          <w:szCs w:val="21"/>
          <w:u w:val="single" w:color="auto"/>
          <w:color w:val="auto"/>
        </w:rPr>
        <w:t>Section 6.18</w:t>
      </w:r>
      <w:r>
        <w:rPr>
          <w:rFonts w:ascii="Arial" w:cs="Arial" w:eastAsia="Arial" w:hAnsi="Arial"/>
          <w:sz w:val="21"/>
          <w:szCs w:val="21"/>
          <w:color w:val="auto"/>
        </w:rPr>
        <w:t>) (subject to arrangements reasonably satisfactory to the Administrative Agent having been made for the applicable filings of terminations) have terminated, in each case effective prior to or concurrently with the effectiveness of this Agreement.</w:t>
      </w:r>
    </w:p>
    <w:p>
      <w:pPr>
        <w:spacing w:after="0" w:line="155" w:lineRule="exact"/>
        <w:rPr>
          <w:rFonts w:ascii="Arial" w:cs="Arial" w:eastAsia="Arial" w:hAnsi="Arial"/>
          <w:sz w:val="21"/>
          <w:szCs w:val="21"/>
          <w:color w:val="auto"/>
        </w:rPr>
      </w:pPr>
    </w:p>
    <w:p>
      <w:pPr>
        <w:jc w:val="both"/>
        <w:ind w:firstLine="1304"/>
        <w:spacing w:after="0" w:line="261" w:lineRule="auto"/>
        <w:tabs>
          <w:tab w:leader="none" w:pos="2202" w:val="left"/>
        </w:tabs>
        <w:numPr>
          <w:ilvl w:val="0"/>
          <w:numId w:val="321"/>
        </w:numPr>
        <w:rPr>
          <w:rFonts w:ascii="Arial" w:cs="Arial" w:eastAsia="Arial" w:hAnsi="Arial"/>
          <w:sz w:val="22"/>
          <w:szCs w:val="22"/>
          <w:color w:val="auto"/>
        </w:rPr>
      </w:pPr>
      <w:r>
        <w:rPr>
          <w:rFonts w:ascii="Arial" w:cs="Arial" w:eastAsia="Arial" w:hAnsi="Arial"/>
          <w:sz w:val="22"/>
          <w:szCs w:val="22"/>
          <w:color w:val="auto"/>
        </w:rPr>
        <w:t>After giving effect to the initial use of proceeds of the ABL Credit Facility and the Exit Senior Notes (including the payment of all amounts associated with the Chapter 11 Cases), (a) minimum availability under the ABL Credit Facility on the Effective Date is not less than $150,000,000, and (b) minimum availability under the ABL Credit Facility plus unrestricted cash of the Obligors on the Effective Date (located in the United States, England, Canada, Norway, United Arab Emirates and Germany), is not less than $350,000,000.</w:t>
      </w:r>
    </w:p>
    <w:p>
      <w:pPr>
        <w:spacing w:after="0" w:line="150" w:lineRule="exact"/>
        <w:rPr>
          <w:rFonts w:ascii="Arial" w:cs="Arial" w:eastAsia="Arial" w:hAnsi="Arial"/>
          <w:sz w:val="22"/>
          <w:szCs w:val="22"/>
          <w:color w:val="auto"/>
        </w:rPr>
      </w:pPr>
    </w:p>
    <w:p>
      <w:pPr>
        <w:jc w:val="both"/>
        <w:ind w:firstLine="1304"/>
        <w:spacing w:after="0" w:line="276" w:lineRule="auto"/>
        <w:tabs>
          <w:tab w:leader="none" w:pos="2080" w:val="left"/>
        </w:tabs>
        <w:numPr>
          <w:ilvl w:val="0"/>
          <w:numId w:val="321"/>
        </w:numPr>
        <w:rPr>
          <w:rFonts w:ascii="Arial" w:cs="Arial" w:eastAsia="Arial" w:hAnsi="Arial"/>
          <w:sz w:val="21"/>
          <w:szCs w:val="21"/>
          <w:color w:val="auto"/>
        </w:rPr>
      </w:pPr>
      <w:r>
        <w:rPr>
          <w:rFonts w:ascii="Arial" w:cs="Arial" w:eastAsia="Arial" w:hAnsi="Arial"/>
          <w:sz w:val="21"/>
          <w:szCs w:val="21"/>
          <w:color w:val="auto"/>
        </w:rPr>
        <w:t>The order confirming the Plan of Reorganization shall have become a Final Order (as defined in the Plan of Reorganization)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solely for purposes of this </w:t>
      </w:r>
      <w:r>
        <w:rPr>
          <w:rFonts w:ascii="Arial" w:cs="Arial" w:eastAsia="Arial" w:hAnsi="Arial"/>
          <w:sz w:val="21"/>
          <w:szCs w:val="21"/>
          <w:u w:val="single" w:color="auto"/>
          <w:color w:val="auto"/>
        </w:rPr>
        <w:t>clause (j)</w:t>
      </w:r>
      <w:r>
        <w:rPr>
          <w:rFonts w:ascii="Arial" w:cs="Arial" w:eastAsia="Arial" w:hAnsi="Arial"/>
          <w:sz w:val="21"/>
          <w:szCs w:val="21"/>
          <w:color w:val="auto"/>
        </w:rPr>
        <w:t>, that certain appeal filed by GAMCO Asset Management Inc. in the United States District Court, docketed as 4:19-cv-4324 (the “</w:t>
      </w:r>
      <w:r>
        <w:rPr>
          <w:rFonts w:ascii="Arial" w:cs="Arial" w:eastAsia="Arial" w:hAnsi="Arial"/>
          <w:sz w:val="21"/>
          <w:szCs w:val="21"/>
          <w:u w:val="single" w:color="auto"/>
          <w:color w:val="auto"/>
        </w:rPr>
        <w:t>GAMCO Appeal</w:t>
      </w:r>
      <w:r>
        <w:rPr>
          <w:rFonts w:ascii="Arial" w:cs="Arial" w:eastAsia="Arial" w:hAnsi="Arial"/>
          <w:sz w:val="21"/>
          <w:szCs w:val="21"/>
          <w:color w:val="auto"/>
        </w:rPr>
        <w:t>”), shall not prevent such order from becoming a Final Order to the extent such order would otherwise be a Final Order but for the GAMCO Appeal), and such order shall not have been amended, modified, vacated, stayed or reversed.</w:t>
      </w:r>
    </w:p>
    <w:p>
      <w:pPr>
        <w:spacing w:after="0" w:line="136" w:lineRule="exact"/>
        <w:rPr>
          <w:rFonts w:ascii="Arial" w:cs="Arial" w:eastAsia="Arial" w:hAnsi="Arial"/>
          <w:sz w:val="21"/>
          <w:szCs w:val="21"/>
          <w:color w:val="auto"/>
        </w:rPr>
      </w:pPr>
    </w:p>
    <w:p>
      <w:pPr>
        <w:ind w:firstLine="1304"/>
        <w:spacing w:after="0" w:line="276" w:lineRule="auto"/>
        <w:tabs>
          <w:tab w:leader="none" w:pos="2358" w:val="left"/>
        </w:tabs>
        <w:numPr>
          <w:ilvl w:val="0"/>
          <w:numId w:val="321"/>
        </w:numPr>
        <w:rPr>
          <w:rFonts w:ascii="Arial" w:cs="Arial" w:eastAsia="Arial" w:hAnsi="Arial"/>
          <w:sz w:val="22"/>
          <w:szCs w:val="22"/>
          <w:color w:val="auto"/>
        </w:rPr>
      </w:pPr>
      <w:r>
        <w:rPr>
          <w:rFonts w:ascii="Arial" w:cs="Arial" w:eastAsia="Arial" w:hAnsi="Arial"/>
          <w:sz w:val="22"/>
          <w:szCs w:val="22"/>
          <w:color w:val="auto"/>
        </w:rPr>
        <w:t>There shall be no adversary proceeding pending in the Bankruptcy Court, or litigation commenced outside of the Chapter 11 Cases that is not stayed pursuant to Section 362</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of the Bankruptcy Code, seeking to enjoin or prevent the financing or the transactions contemplated under this Agreement.</w:t>
      </w:r>
    </w:p>
    <w:p>
      <w:pPr>
        <w:spacing w:after="0" w:line="227" w:lineRule="exact"/>
        <w:rPr>
          <w:sz w:val="20"/>
          <w:szCs w:val="20"/>
          <w:color w:val="auto"/>
        </w:rPr>
      </w:pPr>
    </w:p>
    <w:p>
      <w:pPr>
        <w:jc w:val="both"/>
        <w:ind w:firstLine="1304"/>
        <w:spacing w:after="0" w:line="297" w:lineRule="auto"/>
        <w:tabs>
          <w:tab w:leader="none" w:pos="2067" w:val="left"/>
        </w:tabs>
        <w:numPr>
          <w:ilvl w:val="1"/>
          <w:numId w:val="322"/>
        </w:numPr>
        <w:rPr>
          <w:rFonts w:ascii="Arial" w:cs="Arial" w:eastAsia="Arial" w:hAnsi="Arial"/>
          <w:sz w:val="19"/>
          <w:szCs w:val="19"/>
          <w:color w:val="auto"/>
        </w:rPr>
      </w:pPr>
      <w:r>
        <w:rPr>
          <w:rFonts w:ascii="Arial" w:cs="Arial" w:eastAsia="Arial" w:hAnsi="Arial"/>
          <w:sz w:val="19"/>
          <w:szCs w:val="19"/>
          <w:color w:val="auto"/>
        </w:rPr>
        <w:t>The Joint Lead Arrangers shall have received evidence reasonably satisfactory to them that Parent and its Subsidiaries shall have no Indebtedness for borrowed money outstanding or otherwise incurred, or any letters of credit outstanding, other than in respect of (i) the ABL Credit Agreement and this Agreement and the facilities thereunder and hereunder, (ii) the Exit Senior Notes in an aggregate principal amount not to exceed $2,100,000,000, (iii) up to $415,000,000 of outstanding letters of credit or reimbursement obligations under letters of credit, pursuant to bilateral facilities or otherwise, and</w:t>
      </w:r>
    </w:p>
    <w:p>
      <w:pPr>
        <w:spacing w:after="0" w:line="2" w:lineRule="exact"/>
        <w:rPr>
          <w:rFonts w:ascii="Arial" w:cs="Arial" w:eastAsia="Arial" w:hAnsi="Arial"/>
          <w:sz w:val="19"/>
          <w:szCs w:val="19"/>
          <w:color w:val="auto"/>
        </w:rPr>
      </w:pPr>
    </w:p>
    <w:p>
      <w:pPr>
        <w:ind w:firstLine="8"/>
        <w:spacing w:after="0" w:line="272" w:lineRule="auto"/>
        <w:tabs>
          <w:tab w:leader="none" w:pos="376" w:val="left"/>
        </w:tabs>
        <w:numPr>
          <w:ilvl w:val="0"/>
          <w:numId w:val="323"/>
        </w:numPr>
        <w:rPr>
          <w:rFonts w:ascii="Arial" w:cs="Arial" w:eastAsia="Arial" w:hAnsi="Arial"/>
          <w:sz w:val="22"/>
          <w:szCs w:val="22"/>
          <w:color w:val="auto"/>
        </w:rPr>
      </w:pPr>
      <w:r>
        <w:rPr>
          <w:rFonts w:ascii="Arial" w:cs="Arial" w:eastAsia="Arial" w:hAnsi="Arial"/>
          <w:sz w:val="22"/>
          <w:szCs w:val="22"/>
          <w:color w:val="auto"/>
        </w:rPr>
        <w:t>certain Indebtedness in respect of Weatherford Industria e Comercio Ltd. in respect of an equipment loan, in an amount not exceeding $500,000.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3" w:name="page314"/>
    <w:bookmarkEnd w:id="313"/>
    <w:p>
      <w:pPr>
        <w:jc w:val="both"/>
        <w:ind w:firstLine="1304"/>
        <w:spacing w:after="0" w:line="306" w:lineRule="auto"/>
        <w:tabs>
          <w:tab w:leader="none" w:pos="2296" w:val="left"/>
        </w:tabs>
        <w:numPr>
          <w:ilvl w:val="0"/>
          <w:numId w:val="324"/>
        </w:numPr>
        <w:rPr>
          <w:rFonts w:ascii="Arial" w:cs="Arial" w:eastAsia="Arial" w:hAnsi="Arial"/>
          <w:sz w:val="19"/>
          <w:szCs w:val="19"/>
          <w:color w:val="auto"/>
        </w:rPr>
      </w:pPr>
      <w:r>
        <w:rPr>
          <w:rFonts w:ascii="Arial" w:cs="Arial" w:eastAsia="Arial" w:hAnsi="Arial"/>
          <w:sz w:val="19"/>
          <w:szCs w:val="19"/>
          <w:color w:val="auto"/>
        </w:rPr>
        <w:t>The Lenders shall have received (i) audited consolidated financial statements of Parent for the Fiscal Years ended December 31, 2018 and December 31, 2017,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 quarterly period ended subsequent to December 31, 2018,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spacing w:after="0" w:line="115" w:lineRule="exact"/>
        <w:rPr>
          <w:rFonts w:ascii="Arial" w:cs="Arial" w:eastAsia="Arial" w:hAnsi="Arial"/>
          <w:sz w:val="19"/>
          <w:szCs w:val="19"/>
          <w:color w:val="auto"/>
        </w:rPr>
      </w:pPr>
    </w:p>
    <w:p>
      <w:pPr>
        <w:jc w:val="both"/>
        <w:ind w:firstLine="1304"/>
        <w:spacing w:after="0" w:line="317" w:lineRule="auto"/>
        <w:tabs>
          <w:tab w:leader="none" w:pos="2088" w:val="left"/>
        </w:tabs>
        <w:numPr>
          <w:ilvl w:val="0"/>
          <w:numId w:val="324"/>
        </w:numPr>
        <w:rPr>
          <w:rFonts w:ascii="Arial" w:cs="Arial" w:eastAsia="Arial" w:hAnsi="Arial"/>
          <w:sz w:val="19"/>
          <w:szCs w:val="19"/>
          <w:color w:val="auto"/>
        </w:rPr>
      </w:pPr>
      <w:r>
        <w:rPr>
          <w:rFonts w:ascii="Arial" w:cs="Arial" w:eastAsia="Arial" w:hAnsi="Arial"/>
          <w:sz w:val="19"/>
          <w:szCs w:val="19"/>
          <w:color w:val="auto"/>
        </w:rPr>
        <w:t xml:space="preserve">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or any other Loan Document.</w:t>
      </w:r>
    </w:p>
    <w:p>
      <w:pPr>
        <w:spacing w:after="0" w:line="114" w:lineRule="exact"/>
        <w:rPr>
          <w:rFonts w:ascii="Arial" w:cs="Arial" w:eastAsia="Arial" w:hAnsi="Arial"/>
          <w:sz w:val="19"/>
          <w:szCs w:val="19"/>
          <w:color w:val="auto"/>
        </w:rPr>
      </w:pPr>
    </w:p>
    <w:p>
      <w:pPr>
        <w:jc w:val="both"/>
        <w:ind w:firstLine="1304"/>
        <w:spacing w:after="0" w:line="262" w:lineRule="auto"/>
        <w:tabs>
          <w:tab w:leader="none" w:pos="2088" w:val="left"/>
        </w:tabs>
        <w:numPr>
          <w:ilvl w:val="0"/>
          <w:numId w:val="324"/>
        </w:numPr>
        <w:rPr>
          <w:rFonts w:ascii="Arial" w:cs="Arial" w:eastAsia="Arial" w:hAnsi="Arial"/>
          <w:sz w:val="22"/>
          <w:szCs w:val="22"/>
          <w:color w:val="auto"/>
        </w:rPr>
      </w:pPr>
      <w:r>
        <w:rPr>
          <w:rFonts w:ascii="Arial" w:cs="Arial" w:eastAsia="Arial" w:hAnsi="Arial"/>
          <w:sz w:val="22"/>
          <w:szCs w:val="22"/>
          <w:color w:val="auto"/>
        </w:rPr>
        <w:t>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w:t>
      </w:r>
    </w:p>
    <w:p>
      <w:pPr>
        <w:spacing w:after="0" w:line="150" w:lineRule="exact"/>
        <w:rPr>
          <w:rFonts w:ascii="Arial" w:cs="Arial" w:eastAsia="Arial" w:hAnsi="Arial"/>
          <w:sz w:val="22"/>
          <w:szCs w:val="22"/>
          <w:color w:val="auto"/>
        </w:rPr>
      </w:pPr>
    </w:p>
    <w:p>
      <w:pPr>
        <w:jc w:val="both"/>
        <w:ind w:firstLine="1304"/>
        <w:spacing w:after="0" w:line="279" w:lineRule="auto"/>
        <w:tabs>
          <w:tab w:leader="none" w:pos="2317" w:val="left"/>
        </w:tabs>
        <w:numPr>
          <w:ilvl w:val="0"/>
          <w:numId w:val="324"/>
        </w:numPr>
        <w:rPr>
          <w:rFonts w:ascii="Arial" w:cs="Arial" w:eastAsia="Arial" w:hAnsi="Arial"/>
          <w:sz w:val="21"/>
          <w:szCs w:val="21"/>
          <w:color w:val="auto"/>
        </w:rPr>
      </w:pPr>
      <w:r>
        <w:rPr>
          <w:rFonts w:ascii="Arial" w:cs="Arial" w:eastAsia="Arial" w:hAnsi="Arial"/>
          <w:sz w:val="21"/>
          <w:szCs w:val="21"/>
          <w:color w:val="auto"/>
        </w:rPr>
        <w:t>Certificates of insurance (other than for any Obligor incorporated in England and Wales) listing the Administrative Agent as (x) loss payee for the property casualty insurance policies of the Obligors (other than the UK Obligors), together with loss payable endorsements and (y) additional insured with respect to the liability insurance of the Obligors (other than the UK Obligors), together with additional insured endorsements, shall have been provided.</w:t>
      </w:r>
    </w:p>
    <w:p>
      <w:pPr>
        <w:spacing w:after="0" w:line="1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Conditions Precedent to All Credit Events. The obligation of any Issuing Bank to issue, amend,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renew or extend (including deemed issuance) any Letter of Credit on or after the Effective Date is subject to the further conditions precedent that, on the date such Letter of Credit is issued, amended, renewed or extended:</w:t>
      </w:r>
    </w:p>
    <w:p>
      <w:pPr>
        <w:spacing w:after="0" w:line="144" w:lineRule="exact"/>
        <w:rPr>
          <w:sz w:val="20"/>
          <w:szCs w:val="20"/>
          <w:color w:val="auto"/>
        </w:rPr>
      </w:pPr>
    </w:p>
    <w:p>
      <w:pPr>
        <w:ind w:right="120" w:firstLine="1304"/>
        <w:spacing w:after="0" w:line="276" w:lineRule="auto"/>
        <w:tabs>
          <w:tab w:leader="none" w:pos="2076" w:val="left"/>
        </w:tabs>
        <w:numPr>
          <w:ilvl w:val="0"/>
          <w:numId w:val="325"/>
        </w:numPr>
        <w:rPr>
          <w:rFonts w:ascii="Arial" w:cs="Arial" w:eastAsia="Arial" w:hAnsi="Arial"/>
          <w:sz w:val="21"/>
          <w:szCs w:val="21"/>
          <w:color w:val="auto"/>
        </w:rPr>
      </w:pPr>
      <w:r>
        <w:rPr>
          <w:rFonts w:ascii="Arial" w:cs="Arial" w:eastAsia="Arial" w:hAnsi="Arial"/>
          <w:sz w:val="21"/>
          <w:szCs w:val="21"/>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issuance, amendment, renewal or extension of such Letter of Credit, except to the extent any such representations and warranties are expressly limited to an earlier date, in which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4" w:name="page315"/>
    <w:bookmarkEnd w:id="314"/>
    <w:p>
      <w:pPr>
        <w:jc w:val="both"/>
        <w:ind w:right="120"/>
        <w:spacing w:after="0" w:line="262" w:lineRule="auto"/>
        <w:rPr>
          <w:sz w:val="20"/>
          <w:szCs w:val="20"/>
          <w:color w:val="auto"/>
        </w:rPr>
      </w:pPr>
      <w:r>
        <w:rPr>
          <w:rFonts w:ascii="Arial" w:cs="Arial" w:eastAsia="Arial" w:hAnsi="Arial"/>
          <w:sz w:val="22"/>
          <w:szCs w:val="22"/>
          <w:color w:val="auto"/>
        </w:rPr>
        <w:t>case, on and as of the date of such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51" w:lineRule="exact"/>
        <w:rPr>
          <w:sz w:val="20"/>
          <w:szCs w:val="20"/>
          <w:color w:val="auto"/>
        </w:rPr>
      </w:pPr>
    </w:p>
    <w:p>
      <w:pPr>
        <w:jc w:val="both"/>
        <w:ind w:firstLine="1304"/>
        <w:spacing w:after="0" w:line="276" w:lineRule="auto"/>
        <w:tabs>
          <w:tab w:leader="none" w:pos="2331" w:val="left"/>
        </w:tabs>
        <w:numPr>
          <w:ilvl w:val="0"/>
          <w:numId w:val="326"/>
        </w:numPr>
        <w:rPr>
          <w:rFonts w:ascii="Arial" w:cs="Arial" w:eastAsia="Arial" w:hAnsi="Arial"/>
          <w:sz w:val="21"/>
          <w:szCs w:val="21"/>
          <w:color w:val="auto"/>
        </w:rPr>
      </w:pPr>
      <w:r>
        <w:rPr>
          <w:rFonts w:ascii="Arial" w:cs="Arial" w:eastAsia="Arial" w:hAnsi="Arial"/>
          <w:sz w:val="21"/>
          <w:szCs w:val="21"/>
          <w:color w:val="auto"/>
        </w:rPr>
        <w:t xml:space="preserve">The Administrative Agent and the applicable Issuing Bank shall have received (i) in the case of an issuance, amendment, renewal or extension of a Letter of Credit, a Letter of Credit Request as required by </w:t>
      </w:r>
      <w:r>
        <w:rPr>
          <w:rFonts w:ascii="Arial" w:cs="Arial" w:eastAsia="Arial" w:hAnsi="Arial"/>
          <w:sz w:val="21"/>
          <w:szCs w:val="21"/>
          <w:u w:val="single" w:color="auto"/>
          <w:color w:val="auto"/>
        </w:rPr>
        <w:t>Section 3.01(b)</w:t>
      </w:r>
      <w:r>
        <w:rPr>
          <w:rFonts w:ascii="Arial" w:cs="Arial" w:eastAsia="Arial" w:hAnsi="Arial"/>
          <w:sz w:val="21"/>
          <w:szCs w:val="21"/>
          <w:color w:val="auto"/>
        </w:rPr>
        <w:t xml:space="preserve"> by the time and on the Business Day specified in </w:t>
      </w:r>
      <w:r>
        <w:rPr>
          <w:rFonts w:ascii="Arial" w:cs="Arial" w:eastAsia="Arial" w:hAnsi="Arial"/>
          <w:sz w:val="21"/>
          <w:szCs w:val="21"/>
          <w:u w:val="single" w:color="auto"/>
          <w:color w:val="auto"/>
        </w:rPr>
        <w:t>Section 3.01(b)</w:t>
      </w:r>
      <w:r>
        <w:rPr>
          <w:rFonts w:ascii="Arial" w:cs="Arial" w:eastAsia="Arial" w:hAnsi="Arial"/>
          <w:sz w:val="21"/>
          <w:szCs w:val="21"/>
          <w:color w:val="auto"/>
        </w:rPr>
        <w:t xml:space="preserve"> and (ii)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spacing w:after="0" w:line="150" w:lineRule="exact"/>
        <w:rPr>
          <w:rFonts w:ascii="Arial" w:cs="Arial" w:eastAsia="Arial" w:hAnsi="Arial"/>
          <w:sz w:val="21"/>
          <w:szCs w:val="21"/>
          <w:color w:val="auto"/>
        </w:rPr>
      </w:pPr>
    </w:p>
    <w:p>
      <w:pPr>
        <w:ind w:right="20" w:firstLine="1304"/>
        <w:spacing w:after="0" w:line="276" w:lineRule="auto"/>
        <w:tabs>
          <w:tab w:leader="none" w:pos="213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After giving effect to the issuance, amendment, renewal or extension of such Letter of Credit, the Dollar Equivalent of the Total LC Exposure shall not exceed the Aggregate Commitments.</w:t>
      </w:r>
    </w:p>
    <w:p>
      <w:pPr>
        <w:spacing w:after="0" w:line="133" w:lineRule="exact"/>
        <w:rPr>
          <w:rFonts w:ascii="Arial" w:cs="Arial" w:eastAsia="Arial" w:hAnsi="Arial"/>
          <w:sz w:val="22"/>
          <w:szCs w:val="22"/>
          <w:color w:val="auto"/>
        </w:rPr>
      </w:pPr>
    </w:p>
    <w:p>
      <w:pPr>
        <w:jc w:val="both"/>
        <w:ind w:firstLine="1304"/>
        <w:spacing w:after="0" w:line="327" w:lineRule="auto"/>
        <w:tabs>
          <w:tab w:leader="none" w:pos="2142" w:val="left"/>
        </w:tabs>
        <w:numPr>
          <w:ilvl w:val="0"/>
          <w:numId w:val="326"/>
        </w:numPr>
        <w:rPr>
          <w:rFonts w:ascii="Arial" w:cs="Arial" w:eastAsia="Arial" w:hAnsi="Arial"/>
          <w:sz w:val="19"/>
          <w:szCs w:val="19"/>
          <w:color w:val="auto"/>
        </w:rPr>
      </w:pPr>
      <w:r>
        <w:rPr>
          <w:rFonts w:ascii="Arial" w:cs="Arial" w:eastAsia="Arial" w:hAnsi="Arial"/>
          <w:sz w:val="19"/>
          <w:szCs w:val="19"/>
          <w:color w:val="auto"/>
        </w:rPr>
        <w:t xml:space="preserve">To the extent a Defaulting Lender exists at the time of such issuance, amendment, renewal or extension, such Defaulting Lender’s LC Exposure in respect of such Letter of Credit shall be cash collateralized to the extent required by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of this Agreement, or otherwise secured to the reasonable satisfaction of the applicable Issuing Bank.</w:t>
      </w:r>
    </w:p>
    <w:p>
      <w:pPr>
        <w:spacing w:after="0" w:line="92" w:lineRule="exact"/>
        <w:rPr>
          <w:rFonts w:ascii="Arial" w:cs="Arial" w:eastAsia="Arial" w:hAnsi="Arial"/>
          <w:sz w:val="19"/>
          <w:szCs w:val="19"/>
          <w:color w:val="auto"/>
        </w:rPr>
      </w:pPr>
    </w:p>
    <w:p>
      <w:pPr>
        <w:ind w:firstLine="1304"/>
        <w:spacing w:after="0" w:line="276" w:lineRule="auto"/>
        <w:tabs>
          <w:tab w:leader="none" w:pos="2116" w:val="left"/>
        </w:tabs>
        <w:numPr>
          <w:ilvl w:val="0"/>
          <w:numId w:val="326"/>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or would result from the issuance, amendment, renewal or extension of such Letter of Credit.</w:t>
      </w:r>
    </w:p>
    <w:p>
      <w:pPr>
        <w:spacing w:after="0" w:line="147" w:lineRule="exact"/>
        <w:rPr>
          <w:rFonts w:ascii="Arial" w:cs="Arial" w:eastAsia="Arial" w:hAnsi="Arial"/>
          <w:sz w:val="22"/>
          <w:szCs w:val="22"/>
          <w:color w:val="auto"/>
        </w:rPr>
      </w:pPr>
    </w:p>
    <w:p>
      <w:pPr>
        <w:jc w:val="both"/>
        <w:ind w:firstLine="1304"/>
        <w:spacing w:after="0" w:line="261" w:lineRule="auto"/>
        <w:tabs>
          <w:tab w:leader="none" w:pos="2065" w:val="left"/>
        </w:tabs>
        <w:numPr>
          <w:ilvl w:val="0"/>
          <w:numId w:val="326"/>
        </w:numPr>
        <w:rPr>
          <w:rFonts w:ascii="Arial" w:cs="Arial" w:eastAsia="Arial" w:hAnsi="Arial"/>
          <w:sz w:val="22"/>
          <w:szCs w:val="22"/>
          <w:color w:val="auto"/>
        </w:rPr>
      </w:pPr>
      <w:r>
        <w:rPr>
          <w:rFonts w:ascii="Arial" w:cs="Arial" w:eastAsia="Arial" w:hAnsi="Arial"/>
          <w:sz w:val="22"/>
          <w:szCs w:val="22"/>
          <w:color w:val="auto"/>
        </w:rPr>
        <w:t>If such Letter of Credit is denominated in an Alternative Currency, the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such applicable Issuing Bank, would make it impractical for such Letter of Credit to be denominated in the relevant Alternative Currency.</w:t>
      </w:r>
    </w:p>
    <w:p>
      <w:pPr>
        <w:spacing w:after="0" w:line="150" w:lineRule="exact"/>
        <w:rPr>
          <w:rFonts w:ascii="Arial" w:cs="Arial" w:eastAsia="Arial" w:hAnsi="Arial"/>
          <w:sz w:val="22"/>
          <w:szCs w:val="22"/>
          <w:color w:val="auto"/>
        </w:rPr>
      </w:pPr>
    </w:p>
    <w:p>
      <w:pPr>
        <w:jc w:val="both"/>
        <w:ind w:firstLine="1304"/>
        <w:spacing w:after="0" w:line="266" w:lineRule="auto"/>
        <w:tabs>
          <w:tab w:leader="none" w:pos="2547"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issuance, amendment, renewal or extension of such Letter of Credit shall not violate any Requirement of Law nor any policy of the applicable Issuing Bank in effect at such time and generally applicable to letters of credit.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The acceptance of the benefits of each Letter of Credit and any amendment, renewal, or extension thereof shall constitute a representation and warranty by each of the Obligors to each of the Lenders that all of the conditions specified in </w:t>
      </w:r>
      <w:r>
        <w:rPr>
          <w:rFonts w:ascii="Arial" w:cs="Arial" w:eastAsia="Arial" w:hAnsi="Arial"/>
          <w:sz w:val="22"/>
          <w:szCs w:val="22"/>
          <w:u w:val="single" w:color="auto"/>
          <w:color w:val="auto"/>
        </w:rPr>
        <w:t>Section 5.02(a)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5.02(c)</w:t>
      </w:r>
      <w:r>
        <w:rPr>
          <w:rFonts w:ascii="Arial" w:cs="Arial" w:eastAsia="Arial" w:hAnsi="Arial"/>
          <w:sz w:val="22"/>
          <w:szCs w:val="22"/>
          <w:color w:val="auto"/>
        </w:rPr>
        <w:t xml:space="preserve"> have been satisfied as of that time.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22"/>
          <w:szCs w:val="22"/>
          <w:color w:val="010000"/>
        </w:rPr>
        <w:t>ARTICLE VI</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REPRESENTATIONS AND WARRANTIES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Obligor Party represents and warrants to the Lenders, the Issuing Banks and the Administrative Agent as follows:</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Each Obligor and each Restricted Subsidiary (a) is a company, corporation, partnership 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Arial" w:cs="Arial" w:eastAsia="Arial" w:hAnsi="Arial"/>
          <w:sz w:val="19"/>
          <w:szCs w:val="19"/>
          <w:i w:val="1"/>
          <w:iCs w:val="1"/>
          <w:color w:val="auto"/>
        </w:rPr>
        <w:t>siège statutaire</w:t>
      </w:r>
      <w:r>
        <w:rPr>
          <w:rFonts w:ascii="Arial" w:cs="Arial" w:eastAsia="Arial" w:hAnsi="Arial"/>
          <w:sz w:val="19"/>
          <w:szCs w:val="19"/>
          <w:color w:val="auto"/>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Authorization, Validity, Etc</w:t>
      </w:r>
      <w:r>
        <w:rPr>
          <w:rFonts w:ascii="Arial" w:cs="Arial" w:eastAsia="Arial" w:hAnsi="Arial"/>
          <w:sz w:val="19"/>
          <w:szCs w:val="19"/>
          <w:color w:val="auto"/>
        </w:rPr>
        <w:t>. Each Obligor has the corporate and, as applicable, any other power and authority to execute, deliver and perform its obligations hereunder and under the other Loan Documents to which it is a party and to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u w:val="single" w:color="auto"/>
          <w:color w:val="auto"/>
        </w:rPr>
        <w:t>Governmental Consents, Etc</w:t>
      </w:r>
      <w:r>
        <w:rPr>
          <w:rFonts w:ascii="Arial" w:cs="Arial" w:eastAsia="Arial" w:hAnsi="Arial"/>
          <w:sz w:val="21"/>
          <w:szCs w:val="21"/>
          <w:color w:val="auto"/>
        </w:rPr>
        <w:t>.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6" w:name="page317"/>
    <w:bookmarkEnd w:id="316"/>
    <w:p>
      <w:pPr>
        <w:spacing w:after="0"/>
        <w:rPr>
          <w:sz w:val="20"/>
          <w:szCs w:val="20"/>
          <w:color w:val="auto"/>
        </w:rPr>
      </w:pPr>
      <w:r>
        <w:rPr>
          <w:rFonts w:ascii="Arial" w:cs="Arial" w:eastAsia="Arial" w:hAnsi="Arial"/>
          <w:sz w:val="22"/>
          <w:szCs w:val="22"/>
          <w:color w:val="auto"/>
        </w:rPr>
        <w:t>relating to performance as would ordinarily be done in the ordinary course of business after the Effective Date.</w:t>
      </w:r>
    </w:p>
    <w:p>
      <w:pPr>
        <w:spacing w:after="0" w:line="1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No Breach or Violation of Law or Agreements</w:t>
      </w:r>
      <w:r>
        <w:rPr>
          <w:rFonts w:ascii="Arial" w:cs="Arial" w:eastAsia="Arial" w:hAnsi="Arial"/>
          <w:sz w:val="19"/>
          <w:szCs w:val="19"/>
          <w:color w:val="auto"/>
        </w:rPr>
        <w:t>.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Exit Senior Notes or the Exit Senior Notes Indenture, the Senior Secured Notes or the Senior Secured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clauses (a) and (b)(ii) that collectively for the Obligors would not have a Material Adverse Effect, or (c) will violate any provision of the organizational documents or by-laws of any Obligor.</w:t>
      </w:r>
    </w:p>
    <w:p>
      <w:pPr>
        <w:spacing w:after="0" w:line="1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Litigation</w:t>
      </w:r>
      <w:r>
        <w:rPr>
          <w:rFonts w:ascii="Arial" w:cs="Arial" w:eastAsia="Arial" w:hAnsi="Arial"/>
          <w:sz w:val="22"/>
          <w:szCs w:val="22"/>
          <w:color w:val="auto"/>
        </w:rPr>
        <w:t>. Except as set forth on Schedule 6.05,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spacing w:after="0" w:line="150"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Information; No Material Adverse Change.</w:t>
      </w:r>
    </w:p>
    <w:p>
      <w:pPr>
        <w:spacing w:after="0" w:line="193" w:lineRule="exact"/>
        <w:rPr>
          <w:sz w:val="20"/>
          <w:szCs w:val="20"/>
          <w:color w:val="auto"/>
        </w:rPr>
      </w:pPr>
    </w:p>
    <w:p>
      <w:pPr>
        <w:jc w:val="both"/>
        <w:ind w:firstLine="1304"/>
        <w:spacing w:after="0" w:line="305" w:lineRule="auto"/>
        <w:tabs>
          <w:tab w:leader="none" w:pos="2157"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127" w:lineRule="exact"/>
        <w:rPr>
          <w:rFonts w:ascii="Arial" w:cs="Arial" w:eastAsia="Arial" w:hAnsi="Arial"/>
          <w:sz w:val="19"/>
          <w:szCs w:val="19"/>
          <w:color w:val="auto"/>
        </w:rPr>
      </w:pPr>
    </w:p>
    <w:p>
      <w:pPr>
        <w:jc w:val="both"/>
        <w:ind w:firstLine="1304"/>
        <w:spacing w:after="0" w:line="261" w:lineRule="auto"/>
        <w:tabs>
          <w:tab w:leader="none" w:pos="2169" w:val="left"/>
        </w:tabs>
        <w:numPr>
          <w:ilvl w:val="0"/>
          <w:numId w:val="327"/>
        </w:numPr>
        <w:rPr>
          <w:rFonts w:ascii="Arial" w:cs="Arial" w:eastAsia="Arial" w:hAnsi="Arial"/>
          <w:sz w:val="22"/>
          <w:szCs w:val="22"/>
          <w:color w:val="auto"/>
        </w:rPr>
      </w:pPr>
      <w:r>
        <w:rPr>
          <w:rFonts w:ascii="Arial" w:cs="Arial" w:eastAsia="Arial" w:hAnsi="Arial"/>
          <w:sz w:val="22"/>
          <w:szCs w:val="22"/>
          <w:color w:val="auto"/>
        </w:rPr>
        <w:t>Parent has heretofore furnished to the Lenders its consolidated balance sheet and statements of income, stockholders equity and cash flows as of and for the Fiscal Years ended December 31, 2018 and December 31, 2017,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7" w:name="page318"/>
    <w:bookmarkEnd w:id="317"/>
    <w:p>
      <w:pPr>
        <w:ind w:firstLine="1304"/>
        <w:spacing w:after="0" w:line="276" w:lineRule="auto"/>
        <w:tabs>
          <w:tab w:leader="none" w:pos="213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There has been no material adverse change since July 3, 2019 in the financial condition, business, assets or operations of Parent and its Restricted Subsidiaries, taken as a whole.</w:t>
      </w:r>
    </w:p>
    <w:p>
      <w:pPr>
        <w:spacing w:after="0" w:line="134"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Investment Company Act; Margin Regulations.</w:t>
      </w:r>
    </w:p>
    <w:p>
      <w:pPr>
        <w:spacing w:after="0" w:line="206" w:lineRule="exact"/>
        <w:rPr>
          <w:sz w:val="20"/>
          <w:szCs w:val="20"/>
          <w:color w:val="auto"/>
        </w:rPr>
      </w:pPr>
    </w:p>
    <w:p>
      <w:pPr>
        <w:ind w:firstLine="1304"/>
        <w:spacing w:after="0" w:line="358" w:lineRule="auto"/>
        <w:tabs>
          <w:tab w:leader="none" w:pos="2467" w:val="left"/>
        </w:tabs>
        <w:numPr>
          <w:ilvl w:val="0"/>
          <w:numId w:val="329"/>
        </w:numPr>
        <w:rPr>
          <w:rFonts w:ascii="Arial" w:cs="Arial" w:eastAsia="Arial" w:hAnsi="Arial"/>
          <w:sz w:val="19"/>
          <w:szCs w:val="19"/>
          <w:color w:val="auto"/>
        </w:rPr>
      </w:pPr>
      <w:r>
        <w:rPr>
          <w:rFonts w:ascii="Arial" w:cs="Arial" w:eastAsia="Arial" w:hAnsi="Arial"/>
          <w:sz w:val="19"/>
          <w:szCs w:val="19"/>
          <w:color w:val="auto"/>
        </w:rPr>
        <w:t>Neither any Obligor nor any of its Restricted Subsidiaries is, or is regulated as, an “investment company”, as such term is defined in the Investment Company Act of 1940 (as adopted in the United States), as amended.</w:t>
      </w:r>
    </w:p>
    <w:p>
      <w:pPr>
        <w:spacing w:after="0" w:line="63" w:lineRule="exact"/>
        <w:rPr>
          <w:rFonts w:ascii="Arial" w:cs="Arial" w:eastAsia="Arial" w:hAnsi="Arial"/>
          <w:sz w:val="19"/>
          <w:szCs w:val="19"/>
          <w:color w:val="auto"/>
        </w:rPr>
      </w:pPr>
    </w:p>
    <w:p>
      <w:pPr>
        <w:jc w:val="both"/>
        <w:ind w:firstLine="1304"/>
        <w:spacing w:after="0" w:line="261" w:lineRule="auto"/>
        <w:tabs>
          <w:tab w:leader="none" w:pos="2398" w:val="left"/>
        </w:tabs>
        <w:numPr>
          <w:ilvl w:val="0"/>
          <w:numId w:val="329"/>
        </w:numPr>
        <w:rPr>
          <w:rFonts w:ascii="Arial" w:cs="Arial" w:eastAsia="Arial" w:hAnsi="Arial"/>
          <w:sz w:val="22"/>
          <w:szCs w:val="22"/>
          <w:color w:val="auto"/>
        </w:rPr>
      </w:pPr>
      <w:r>
        <w:rPr>
          <w:rFonts w:ascii="Arial" w:cs="Arial" w:eastAsia="Arial" w:hAnsi="Arial"/>
          <w:sz w:val="22"/>
          <w:szCs w:val="22"/>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any Letters of Credit issued hereunder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150"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ERISA; Canadian Defined Benefit Plans.</w:t>
      </w:r>
    </w:p>
    <w:p>
      <w:pPr>
        <w:spacing w:after="0" w:line="206" w:lineRule="exact"/>
        <w:rPr>
          <w:sz w:val="20"/>
          <w:szCs w:val="20"/>
          <w:color w:val="auto"/>
        </w:rPr>
      </w:pPr>
    </w:p>
    <w:p>
      <w:pPr>
        <w:jc w:val="both"/>
        <w:ind w:firstLine="1304"/>
        <w:spacing w:after="0" w:line="262" w:lineRule="auto"/>
        <w:tabs>
          <w:tab w:leader="none" w:pos="2143" w:val="left"/>
        </w:tabs>
        <w:numPr>
          <w:ilvl w:val="0"/>
          <w:numId w:val="330"/>
        </w:numPr>
        <w:rPr>
          <w:rFonts w:ascii="Arial" w:cs="Arial" w:eastAsia="Arial" w:hAnsi="Arial"/>
          <w:sz w:val="22"/>
          <w:szCs w:val="22"/>
          <w:color w:val="auto"/>
        </w:rPr>
      </w:pPr>
      <w:r>
        <w:rPr>
          <w:rFonts w:ascii="Arial" w:cs="Arial" w:eastAsia="Arial" w:hAnsi="Arial"/>
          <w:sz w:val="22"/>
          <w:szCs w:val="22"/>
          <w:color w:val="auto"/>
        </w:rPr>
        <w:t>Each Obligor and each ERISA Affiliate has maintained and administered each Plan and Foreign Plan in compliance with all applicable laws and the terms of each such Plan or Foreign Plan, except for such instances of noncompliance that, when taken together with all other such instances of noncompliance, have not resulted in and would not reasonably be expected to have a Material Adverse Effect.</w:t>
      </w:r>
    </w:p>
    <w:p>
      <w:pPr>
        <w:spacing w:after="0" w:line="150" w:lineRule="exact"/>
        <w:rPr>
          <w:rFonts w:ascii="Arial" w:cs="Arial" w:eastAsia="Arial" w:hAnsi="Arial"/>
          <w:sz w:val="22"/>
          <w:szCs w:val="22"/>
          <w:color w:val="auto"/>
        </w:rPr>
      </w:pPr>
    </w:p>
    <w:p>
      <w:pPr>
        <w:ind w:right="20" w:firstLine="1304"/>
        <w:spacing w:after="0" w:line="358" w:lineRule="auto"/>
        <w:tabs>
          <w:tab w:leader="none" w:pos="2101" w:val="left"/>
        </w:tabs>
        <w:numPr>
          <w:ilvl w:val="0"/>
          <w:numId w:val="330"/>
        </w:numPr>
        <w:rPr>
          <w:rFonts w:ascii="Arial" w:cs="Arial" w:eastAsia="Arial" w:hAnsi="Arial"/>
          <w:sz w:val="19"/>
          <w:szCs w:val="19"/>
          <w:color w:val="auto"/>
        </w:rPr>
      </w:pPr>
      <w:r>
        <w:rPr>
          <w:rFonts w:ascii="Arial" w:cs="Arial" w:eastAsia="Arial" w:hAnsi="Arial"/>
          <w:sz w:val="19"/>
          <w:szCs w:val="19"/>
          <w:color w:val="auto"/>
        </w:rPr>
        <w:t>No ERISA Event has occurred or is reasonably expected to occur that, when taken together with all other such ERISA Events that are reasonably expected to occur, could reasonably be expected to have a Material Adverse Effect.</w:t>
      </w:r>
    </w:p>
    <w:p>
      <w:pPr>
        <w:spacing w:after="0" w:line="63" w:lineRule="exact"/>
        <w:rPr>
          <w:rFonts w:ascii="Arial" w:cs="Arial" w:eastAsia="Arial" w:hAnsi="Arial"/>
          <w:sz w:val="19"/>
          <w:szCs w:val="19"/>
          <w:color w:val="auto"/>
        </w:rPr>
      </w:pPr>
    </w:p>
    <w:p>
      <w:pPr>
        <w:jc w:val="both"/>
        <w:ind w:firstLine="1304"/>
        <w:spacing w:after="0" w:line="284" w:lineRule="auto"/>
        <w:tabs>
          <w:tab w:leader="none" w:pos="2103" w:val="left"/>
        </w:tabs>
        <w:numPr>
          <w:ilvl w:val="0"/>
          <w:numId w:val="330"/>
        </w:numPr>
        <w:rPr>
          <w:rFonts w:ascii="Arial" w:cs="Arial" w:eastAsia="Arial" w:hAnsi="Arial"/>
          <w:sz w:val="21"/>
          <w:szCs w:val="21"/>
          <w:color w:val="auto"/>
        </w:rPr>
      </w:pPr>
      <w:r>
        <w:rPr>
          <w:rFonts w:ascii="Arial" w:cs="Arial" w:eastAsia="Arial" w:hAnsi="Arial"/>
          <w:sz w:val="21"/>
          <w:szCs w:val="21"/>
          <w:color w:val="auto"/>
        </w:rPr>
        <w:t>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spacing w:after="0" w:line="141" w:lineRule="exact"/>
        <w:rPr>
          <w:rFonts w:ascii="Arial" w:cs="Arial" w:eastAsia="Arial" w:hAnsi="Arial"/>
          <w:sz w:val="21"/>
          <w:szCs w:val="21"/>
          <w:color w:val="auto"/>
        </w:rPr>
      </w:pPr>
    </w:p>
    <w:p>
      <w:pPr>
        <w:ind w:left="2400" w:hanging="1096"/>
        <w:spacing w:after="0"/>
        <w:tabs>
          <w:tab w:leader="none" w:pos="240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None of the assets of the Obligors constitute “plan assets” (within the meaning of the Plan Asset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Regulations).</w:t>
      </w:r>
    </w:p>
    <w:p>
      <w:pPr>
        <w:spacing w:after="0" w:line="188" w:lineRule="exact"/>
        <w:rPr>
          <w:rFonts w:ascii="Arial" w:cs="Arial" w:eastAsia="Arial" w:hAnsi="Arial"/>
          <w:sz w:val="19"/>
          <w:szCs w:val="19"/>
          <w:color w:val="auto"/>
        </w:rPr>
      </w:pPr>
    </w:p>
    <w:p>
      <w:pPr>
        <w:ind w:right="20" w:firstLine="1304"/>
        <w:spacing w:after="0" w:line="276" w:lineRule="auto"/>
        <w:tabs>
          <w:tab w:leader="none" w:pos="2116" w:val="left"/>
        </w:tabs>
        <w:numPr>
          <w:ilvl w:val="0"/>
          <w:numId w:val="330"/>
        </w:numPr>
        <w:rPr>
          <w:rFonts w:ascii="Arial" w:cs="Arial" w:eastAsia="Arial" w:hAnsi="Arial"/>
          <w:sz w:val="22"/>
          <w:szCs w:val="22"/>
          <w:color w:val="auto"/>
        </w:rPr>
      </w:pPr>
      <w:r>
        <w:rPr>
          <w:rFonts w:ascii="Arial" w:cs="Arial" w:eastAsia="Arial" w:hAnsi="Arial"/>
          <w:sz w:val="22"/>
          <w:szCs w:val="22"/>
          <w:color w:val="auto"/>
        </w:rPr>
        <w:t>No Obligor sponsors, administers, participates in or contributes to, or has any liabilities or obligations in respect of, any Canadian Defined Benefit Plan.</w:t>
      </w:r>
    </w:p>
    <w:p>
      <w:pPr>
        <w:spacing w:after="0" w:line="13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Tax Returns and Payments</w:t>
      </w:r>
      <w:r>
        <w:rPr>
          <w:rFonts w:ascii="Arial" w:cs="Arial" w:eastAsia="Arial" w:hAnsi="Arial"/>
          <w:sz w:val="19"/>
          <w:szCs w:val="19"/>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8" w:name="page319"/>
    <w:bookmarkEnd w:id="318"/>
    <w:p>
      <w:pPr>
        <w:spacing w:after="0" w:line="276" w:lineRule="auto"/>
        <w:rPr>
          <w:sz w:val="20"/>
          <w:szCs w:val="20"/>
          <w:color w:val="auto"/>
        </w:rPr>
      </w:pPr>
      <w:r>
        <w:rPr>
          <w:rFonts w:ascii="Arial" w:cs="Arial" w:eastAsia="Arial" w:hAnsi="Arial"/>
          <w:sz w:val="22"/>
          <w:szCs w:val="22"/>
          <w:color w:val="auto"/>
        </w:rPr>
        <w:t>failure to pay such Taxes (collectively for the Obligors and the Restricted Subsidiaries, taken as a whole) would not have a Material Adverse Effect.</w:t>
      </w:r>
    </w:p>
    <w:p>
      <w:pPr>
        <w:spacing w:after="0" w:line="134"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Requirements of Law.</w:t>
      </w:r>
    </w:p>
    <w:p>
      <w:pPr>
        <w:spacing w:after="0" w:line="206" w:lineRule="exact"/>
        <w:rPr>
          <w:sz w:val="20"/>
          <w:szCs w:val="20"/>
          <w:color w:val="auto"/>
        </w:rPr>
      </w:pPr>
    </w:p>
    <w:p>
      <w:pPr>
        <w:jc w:val="both"/>
        <w:ind w:firstLine="1304"/>
        <w:spacing w:after="0" w:line="279" w:lineRule="auto"/>
        <w:tabs>
          <w:tab w:leader="none" w:pos="2157" w:val="left"/>
        </w:tabs>
        <w:numPr>
          <w:ilvl w:val="0"/>
          <w:numId w:val="331"/>
        </w:numPr>
        <w:rPr>
          <w:rFonts w:ascii="Arial" w:cs="Arial" w:eastAsia="Arial" w:hAnsi="Arial"/>
          <w:sz w:val="21"/>
          <w:szCs w:val="21"/>
          <w:color w:val="auto"/>
        </w:rPr>
      </w:pPr>
      <w:r>
        <w:rPr>
          <w:rFonts w:ascii="Arial" w:cs="Arial" w:eastAsia="Arial" w:hAnsi="Arial"/>
          <w:sz w:val="21"/>
          <w:szCs w:val="21"/>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32" w:lineRule="exact"/>
        <w:rPr>
          <w:rFonts w:ascii="Arial" w:cs="Arial" w:eastAsia="Arial" w:hAnsi="Arial"/>
          <w:sz w:val="21"/>
          <w:szCs w:val="21"/>
          <w:color w:val="auto"/>
        </w:rPr>
      </w:pPr>
    </w:p>
    <w:p>
      <w:pPr>
        <w:ind w:right="60" w:firstLine="1358"/>
        <w:spacing w:after="0" w:line="274" w:lineRule="auto"/>
        <w:tabs>
          <w:tab w:leader="none" w:pos="2142" w:val="left"/>
        </w:tabs>
        <w:numPr>
          <w:ilvl w:val="1"/>
          <w:numId w:val="331"/>
        </w:numPr>
        <w:rPr>
          <w:rFonts w:ascii="Arial" w:cs="Arial" w:eastAsia="Arial" w:hAnsi="Arial"/>
          <w:sz w:val="21"/>
          <w:szCs w:val="21"/>
          <w:color w:val="auto"/>
        </w:rPr>
      </w:pPr>
      <w:r>
        <w:rPr>
          <w:rFonts w:ascii="Arial" w:cs="Arial" w:eastAsia="Arial" w:hAnsi="Arial"/>
          <w:sz w:val="21"/>
          <w:szCs w:val="21"/>
          <w:color w:val="auto"/>
        </w:rPr>
        <w:t>Except with respect to any matters that, individually or in the aggregate, could not reasonably be expected to result in a Material Adverse Effect, neither Parent nor any of its Subsidiaries (i) has failed to comply with any Environmental Law or to obtain, maintain or comply with any permit, license or other approval required for the conduct of Parent’s or any of its Subsidiaries’ business under any Environmental Law, (ii) is liable for any Environmental Liability, (iii) has received notice of any claim against or affecting it with respect to any Environmental Liability or (iv) has knowledge of any facts or circumstances that would give rise to any Environmental Liability against or affecting it.</w:t>
      </w:r>
    </w:p>
    <w:p>
      <w:pPr>
        <w:spacing w:after="0" w:line="141" w:lineRule="exact"/>
        <w:rPr>
          <w:sz w:val="20"/>
          <w:szCs w:val="20"/>
          <w:color w:val="auto"/>
        </w:rPr>
      </w:pPr>
    </w:p>
    <w:p>
      <w:pPr>
        <w:jc w:val="both"/>
        <w:ind w:firstLine="1304"/>
        <w:spacing w:after="0" w:line="266" w:lineRule="auto"/>
        <w:tabs>
          <w:tab w:leader="none" w:pos="2116" w:val="left"/>
        </w:tabs>
        <w:numPr>
          <w:ilvl w:val="0"/>
          <w:numId w:val="332"/>
        </w:numPr>
        <w:rPr>
          <w:rFonts w:ascii="Arial" w:cs="Arial" w:eastAsia="Arial" w:hAnsi="Arial"/>
          <w:sz w:val="22"/>
          <w:szCs w:val="22"/>
          <w:color w:val="auto"/>
        </w:rPr>
      </w:pPr>
      <w:r>
        <w:rPr>
          <w:rFonts w:ascii="Arial" w:cs="Arial" w:eastAsia="Arial" w:hAnsi="Arial"/>
          <w:sz w:val="22"/>
          <w:szCs w:val="22"/>
          <w:color w:val="auto"/>
        </w:rPr>
        <w:t>As of the Effective Date, the information included in the Beneficial Ownership Certification (if any such certificate was required to be delivered by any Borrower under the Beneficial Ownership Regulation) is true and correct in all respects.</w:t>
      </w:r>
    </w:p>
    <w:p>
      <w:pPr>
        <w:spacing w:after="0" w:line="158"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No Default. No Default or Event of Default has occurred and is continuing.</w:t>
      </w:r>
    </w:p>
    <w:p>
      <w:pPr>
        <w:spacing w:after="0" w:line="193"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Anti-Corruption Laws and Sanctions.</w:t>
      </w:r>
    </w:p>
    <w:p>
      <w:pPr>
        <w:spacing w:after="0" w:line="193" w:lineRule="exact"/>
        <w:rPr>
          <w:sz w:val="20"/>
          <w:szCs w:val="20"/>
          <w:color w:val="auto"/>
        </w:rPr>
      </w:pPr>
    </w:p>
    <w:p>
      <w:pPr>
        <w:jc w:val="both"/>
        <w:ind w:firstLine="1304"/>
        <w:spacing w:after="0" w:line="304" w:lineRule="auto"/>
        <w:tabs>
          <w:tab w:leader="none" w:pos="2373"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Arial" w:cs="Arial" w:eastAsia="Arial" w:hAnsi="Arial"/>
          <w:sz w:val="19"/>
          <w:szCs w:val="19"/>
          <w:u w:val="single" w:color="auto"/>
          <w:color w:val="auto"/>
        </w:rPr>
        <w:t>Schedule 6.12</w:t>
      </w:r>
      <w:r>
        <w:rPr>
          <w:rFonts w:ascii="Arial" w:cs="Arial" w:eastAsia="Arial" w:hAnsi="Arial"/>
          <w:sz w:val="19"/>
          <w:szCs w:val="19"/>
          <w:color w:val="auto"/>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established hereby, is a Sanctioned Person. No issuance of the Letters of Credit or any other transaction contemplated by this Agreement will violate any Anti-Corruption Laws or any Sanctions applicable to any party hereto.</w:t>
      </w:r>
    </w:p>
    <w:p>
      <w:pPr>
        <w:spacing w:after="0" w:line="128" w:lineRule="exact"/>
        <w:rPr>
          <w:rFonts w:ascii="Arial" w:cs="Arial" w:eastAsia="Arial" w:hAnsi="Arial"/>
          <w:sz w:val="19"/>
          <w:szCs w:val="19"/>
          <w:color w:val="auto"/>
        </w:rPr>
      </w:pPr>
    </w:p>
    <w:p>
      <w:pPr>
        <w:jc w:val="both"/>
        <w:ind w:firstLine="1304"/>
        <w:spacing w:after="0" w:line="311" w:lineRule="auto"/>
        <w:tabs>
          <w:tab w:leader="none" w:pos="2128"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To the extent that any representation contained in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made by any Obligor incorporated or organized under the laws of Germany or a resident (</w:t>
      </w:r>
      <w:r>
        <w:rPr>
          <w:rFonts w:ascii="Arial" w:cs="Arial" w:eastAsia="Arial" w:hAnsi="Arial"/>
          <w:sz w:val="19"/>
          <w:szCs w:val="19"/>
          <w:i w:val="1"/>
          <w:iCs w:val="1"/>
          <w:color w:val="auto"/>
        </w:rPr>
        <w:t>Inländer</w:t>
      </w:r>
      <w:r>
        <w:rPr>
          <w:rFonts w:ascii="Arial" w:cs="Arial" w:eastAsia="Arial" w:hAnsi="Arial"/>
          <w:sz w:val="19"/>
          <w:szCs w:val="19"/>
          <w:color w:val="auto"/>
        </w:rPr>
        <w:t>) (within the meaning of section 2 paragraph 15 of the German Foreign Trade Act (</w:t>
      </w:r>
      <w:r>
        <w:rPr>
          <w:rFonts w:ascii="Arial" w:cs="Arial" w:eastAsia="Arial" w:hAnsi="Arial"/>
          <w:sz w:val="19"/>
          <w:szCs w:val="19"/>
          <w:i w:val="1"/>
          <w:iCs w:val="1"/>
          <w:color w:val="auto"/>
        </w:rPr>
        <w:t>Auβenwirtschaftgesetz</w:t>
      </w:r>
      <w:r>
        <w:rPr>
          <w:rFonts w:ascii="Arial" w:cs="Arial" w:eastAsia="Arial" w:hAnsi="Arial"/>
          <w:sz w:val="19"/>
          <w:szCs w:val="19"/>
          <w:color w:val="auto"/>
        </w:rPr>
        <w:t>)) would result in a violation of or conflict with or liability under either EU Regulation (EC) 2271/96 or section 7 of the German Foreign Trade Ordinance (</w:t>
      </w:r>
      <w:r>
        <w:rPr>
          <w:rFonts w:ascii="Arial" w:cs="Arial" w:eastAsia="Arial" w:hAnsi="Arial"/>
          <w:sz w:val="19"/>
          <w:szCs w:val="19"/>
          <w:i w:val="1"/>
          <w:iCs w:val="1"/>
          <w:color w:val="auto"/>
        </w:rPr>
        <w:t>Außenwirtschaftsverordnung</w:t>
      </w:r>
      <w:r>
        <w:rPr>
          <w:rFonts w:ascii="Arial" w:cs="Arial" w:eastAsia="Arial" w:hAnsi="Arial"/>
          <w:sz w:val="19"/>
          <w:szCs w:val="19"/>
          <w:color w:val="auto"/>
        </w:rPr>
        <w:t>) (in connection with the German Foreign Trade Act (</w:t>
      </w:r>
      <w:r>
        <w:rPr>
          <w:rFonts w:ascii="Arial" w:cs="Arial" w:eastAsia="Arial" w:hAnsi="Arial"/>
          <w:sz w:val="19"/>
          <w:szCs w:val="19"/>
          <w:i w:val="1"/>
          <w:iCs w:val="1"/>
          <w:color w:val="auto"/>
        </w:rPr>
        <w:t>Außenwirtschaftsgesetz</w:t>
      </w:r>
      <w:r>
        <w:rPr>
          <w:rFonts w:ascii="Arial" w:cs="Arial" w:eastAsia="Arial" w:hAnsi="Arial"/>
          <w:sz w:val="19"/>
          <w:szCs w:val="19"/>
          <w:color w:val="auto"/>
        </w:rPr>
        <w:t xml:space="preserve"> (AWG)) or any similar anti-boycott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9" w:name="page320"/>
    <w:bookmarkEnd w:id="319"/>
    <w:p>
      <w:pPr>
        <w:spacing w:after="0" w:line="276" w:lineRule="auto"/>
        <w:rPr>
          <w:sz w:val="20"/>
          <w:szCs w:val="20"/>
          <w:color w:val="auto"/>
        </w:rPr>
      </w:pPr>
      <w:r>
        <w:rPr>
          <w:rFonts w:ascii="Arial" w:cs="Arial" w:eastAsia="Arial" w:hAnsi="Arial"/>
          <w:sz w:val="22"/>
          <w:szCs w:val="22"/>
          <w:color w:val="auto"/>
        </w:rPr>
        <w:t>statute, the Required Lenders will, upon the request of the respective Obligor, enter into bona fide discussions with such Obligor regarding the implementation of procedures to mitigate any such conflict or violation.</w:t>
      </w:r>
    </w:p>
    <w:p>
      <w:pPr>
        <w:spacing w:after="0" w:line="134"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u w:val="single" w:color="auto"/>
          <w:color w:val="auto"/>
        </w:rPr>
        <w:t>Properties.</w:t>
      </w:r>
    </w:p>
    <w:p>
      <w:pPr>
        <w:spacing w:after="0" w:line="206" w:lineRule="exact"/>
        <w:rPr>
          <w:sz w:val="20"/>
          <w:szCs w:val="20"/>
          <w:color w:val="auto"/>
        </w:rPr>
      </w:pPr>
    </w:p>
    <w:p>
      <w:pPr>
        <w:jc w:val="both"/>
        <w:ind w:firstLine="1304"/>
        <w:spacing w:after="0" w:line="262" w:lineRule="auto"/>
        <w:tabs>
          <w:tab w:leader="none" w:pos="2373" w:val="left"/>
        </w:tabs>
        <w:numPr>
          <w:ilvl w:val="0"/>
          <w:numId w:val="334"/>
        </w:numPr>
        <w:rPr>
          <w:rFonts w:ascii="Arial" w:cs="Arial" w:eastAsia="Arial" w:hAnsi="Arial"/>
          <w:sz w:val="22"/>
          <w:szCs w:val="22"/>
          <w:color w:val="auto"/>
        </w:rPr>
      </w:pPr>
      <w:r>
        <w:rPr>
          <w:rFonts w:ascii="Arial" w:cs="Arial" w:eastAsia="Arial" w:hAnsi="Arial"/>
          <w:sz w:val="22"/>
          <w:szCs w:val="22"/>
          <w:color w:val="auto"/>
        </w:rPr>
        <w:t xml:space="preserve">Each of Parent and its Restricted Subsidiaries has good and marketable title to, or valid leasehold interests in, all its real and personal property material to its business, except for (i) Liens permitted by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and (ii) minor defects in title that do not, and could not reasonably be expected to, interfere with its ability to conduct its business as currently conducted or to utilize such properties for their intended purposes.</w:t>
      </w:r>
    </w:p>
    <w:p>
      <w:pPr>
        <w:spacing w:after="0" w:line="150" w:lineRule="exact"/>
        <w:rPr>
          <w:rFonts w:ascii="Arial" w:cs="Arial" w:eastAsia="Arial" w:hAnsi="Arial"/>
          <w:sz w:val="22"/>
          <w:szCs w:val="22"/>
          <w:color w:val="auto"/>
        </w:rPr>
      </w:pPr>
    </w:p>
    <w:p>
      <w:pPr>
        <w:jc w:val="both"/>
        <w:ind w:firstLine="1304"/>
        <w:spacing w:after="0" w:line="317" w:lineRule="auto"/>
        <w:tabs>
          <w:tab w:leader="none" w:pos="2371" w:val="left"/>
        </w:tabs>
        <w:numPr>
          <w:ilvl w:val="0"/>
          <w:numId w:val="334"/>
        </w:numPr>
        <w:rPr>
          <w:rFonts w:ascii="Arial" w:cs="Arial" w:eastAsia="Arial" w:hAnsi="Arial"/>
          <w:sz w:val="19"/>
          <w:szCs w:val="19"/>
          <w:color w:val="auto"/>
        </w:rPr>
      </w:pPr>
      <w:r>
        <w:rPr>
          <w:rFonts w:ascii="Arial" w:cs="Arial" w:eastAsia="Arial" w:hAnsi="Arial"/>
          <w:sz w:val="19"/>
          <w:szCs w:val="19"/>
          <w:color w:val="auto"/>
        </w:rPr>
        <w:t>Each of Parent and its Restricted Subsidiaries owns, or is licensed to use, all Intellectual Property material to its business, and the use thereof and the operation of their 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0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No Restrictive Agreements. Parent and its Restricted Subsidiaries are not subject to any Restrictive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 other than Restrictive Agreements permitted by Section 8.11.</w:t>
      </w:r>
    </w:p>
    <w:p>
      <w:pPr>
        <w:spacing w:after="0" w:line="14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Solvency. Immediately after the consummation of the Transactions to occur on the Effective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Parent and its Subsidiaries, taken as a whole, are and will be Solvent.</w:t>
      </w:r>
    </w:p>
    <w:p>
      <w:pPr>
        <w:spacing w:after="0" w:line="134" w:lineRule="exact"/>
        <w:rPr>
          <w:sz w:val="20"/>
          <w:szCs w:val="20"/>
          <w:color w:val="auto"/>
        </w:rPr>
      </w:pPr>
    </w:p>
    <w:p>
      <w:pPr>
        <w:jc w:val="both"/>
        <w:ind w:firstLine="648"/>
        <w:spacing w:after="0" w:line="271" w:lineRule="exact"/>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Parent and its Subsidiaries maintain, including through self</w:t>
      </w:r>
      <w:r>
        <w:rPr>
          <w:rFonts w:ascii="MS PGothic" w:cs="MS PGothic" w:eastAsia="MS PGothic" w:hAnsi="MS PGothic"/>
          <w:sz w:val="22"/>
          <w:szCs w:val="22"/>
          <w:color w:val="auto"/>
        </w:rPr>
        <w:t>‑</w:t>
      </w:r>
      <w:r>
        <w:rPr>
          <w:rFonts w:ascii="Arial" w:cs="Arial" w:eastAsia="Arial" w:hAnsi="Arial"/>
          <w:sz w:val="22"/>
          <w:szCs w:val="22"/>
          <w:color w:val="auto"/>
        </w:rPr>
        <w:t>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Rank of Obligations</w:t>
      </w:r>
      <w:r>
        <w:rPr>
          <w:rFonts w:ascii="Arial" w:cs="Arial" w:eastAsia="Arial" w:hAnsi="Arial"/>
          <w:sz w:val="22"/>
          <w:szCs w:val="22"/>
          <w:color w:val="auto"/>
        </w:rPr>
        <w:t>. The Indebtedness of each Obligor under the Loan Documents to which it is a party rank at least equally with all of the senior and unsecured unsubordinated Indebtedness of such Obligor, except Indebtedness mandatorily (and not consensually) preferred by applicable law, and ahead of all Subordinated Indebtedness, if any, of such Obligor.</w:t>
      </w:r>
    </w:p>
    <w:p>
      <w:pPr>
        <w:spacing w:after="0" w:line="16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u w:val="single" w:color="auto"/>
          <w:color w:val="auto"/>
        </w:rPr>
        <w:t>Liens</w:t>
      </w:r>
      <w:r>
        <w:rPr>
          <w:rFonts w:ascii="Arial" w:cs="Arial" w:eastAsia="Arial" w:hAnsi="Arial"/>
          <w:sz w:val="22"/>
          <w:szCs w:val="22"/>
          <w:color w:val="auto"/>
        </w:rPr>
        <w:t>. There are no Liens on any of the assets of Parent or any Restricted Subsidiary other than Liens permitted by Section 8.04 and Liens that are being released on the Effective Date.</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 xml:space="preserve">SECTION 6.19 </w:t>
      </w:r>
      <w:r>
        <w:rPr>
          <w:rFonts w:ascii="Arial" w:cs="Arial" w:eastAsia="Arial" w:hAnsi="Arial"/>
          <w:sz w:val="21"/>
          <w:szCs w:val="21"/>
          <w:u w:val="single" w:color="auto"/>
          <w:color w:val="auto"/>
        </w:rPr>
        <w:t>Security Interest in Collateral</w:t>
      </w:r>
      <w:r>
        <w:rPr>
          <w:rFonts w:ascii="Arial" w:cs="Arial" w:eastAsia="Arial" w:hAnsi="Arial"/>
          <w:sz w:val="21"/>
          <w:szCs w:val="21"/>
          <w:color w:val="auto"/>
        </w:rPr>
        <w:t>. The provisions of this Agreement and the other Loan Documents, including but not limited to the English Security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0" w:name="page321"/>
    <w:bookmarkEnd w:id="320"/>
    <w:p>
      <w:pPr>
        <w:jc w:val="both"/>
        <w:spacing w:after="0" w:line="271" w:lineRule="auto"/>
        <w:rPr>
          <w:sz w:val="20"/>
          <w:szCs w:val="20"/>
          <w:color w:val="auto"/>
        </w:rPr>
      </w:pPr>
      <w:r>
        <w:rPr>
          <w:rFonts w:ascii="Arial" w:cs="Arial" w:eastAsia="Arial" w:hAnsi="Arial"/>
          <w:sz w:val="21"/>
          <w:szCs w:val="21"/>
          <w:color w:val="auto"/>
        </w:rPr>
        <w:t>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and recordation contemplated by the Collateral Documents, in each case, in the appropriate filing offices), and having priority over all other Liens on the Collateral except in the case of (a) Liens permitted by Section 8.04 and (b) Liens perfected only by possession (including possession of any certificate of title) to the extent the Administrative Agent has not obtained or does not maintain possession of such Collateral.</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u w:val="single" w:color="auto"/>
          <w:color w:val="auto"/>
        </w:rPr>
        <w:t>Capital Stock</w:t>
      </w:r>
      <w:r>
        <w:rPr>
          <w:rFonts w:ascii="Arial" w:cs="Arial" w:eastAsia="Arial" w:hAnsi="Arial"/>
          <w:sz w:val="21"/>
          <w:szCs w:val="21"/>
          <w:color w:val="auto"/>
        </w:rPr>
        <w:t>. Schedule 6.20(a) sets forth a complete and accurate description of the authorized Capital Stock of Parent as of the Effective Date immediately after giving effect to the Transactions, by class, and, as of the Effective Date immediately after giving effect to the Transactions, a description of the number of shares of each such class that are issued and outstanding. Schedule 6.20(b) (as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(ii) the number and the percentage of the outstanding shares of each class of Capital Stock owned directly by the parent (or parents) of each such Obligor and (iii) the number and the percentage of the outstanding shares of each class of Capital Stock held by any Obligor in any other Subsidiary. All of the outstanding Capital Stock of each Obligor has been validly issued and is fully paid and non-assessable.</w:t>
      </w:r>
    </w:p>
    <w:p>
      <w:pPr>
        <w:spacing w:after="0" w:line="162"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6.21</w:t>
      </w:r>
      <w:r>
        <w:rPr>
          <w:sz w:val="20"/>
          <w:szCs w:val="20"/>
          <w:color w:val="auto"/>
        </w:rPr>
        <w:tab/>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 No Obligor is an EEA Financial Institution.</w:t>
      </w:r>
    </w:p>
    <w:p>
      <w:pPr>
        <w:spacing w:after="0" w:line="193"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6.22</w:t>
      </w:r>
      <w:r>
        <w:rPr>
          <w:sz w:val="20"/>
          <w:szCs w:val="20"/>
          <w:color w:val="auto"/>
        </w:rPr>
        <w:tab/>
      </w:r>
      <w:r>
        <w:rPr>
          <w:rFonts w:ascii="Arial" w:cs="Arial" w:eastAsia="Arial" w:hAnsi="Arial"/>
          <w:sz w:val="19"/>
          <w:szCs w:val="19"/>
          <w:u w:val="single" w:color="auto"/>
          <w:color w:val="auto"/>
        </w:rPr>
        <w:t>Compliance with the Swiss Non-Bank Rules.</w:t>
      </w:r>
    </w:p>
    <w:p>
      <w:pPr>
        <w:spacing w:after="0" w:line="193" w:lineRule="exact"/>
        <w:rPr>
          <w:sz w:val="20"/>
          <w:szCs w:val="20"/>
          <w:color w:val="auto"/>
        </w:rPr>
      </w:pPr>
    </w:p>
    <w:p>
      <w:pPr>
        <w:jc w:val="both"/>
        <w:ind w:firstLine="1304"/>
        <w:spacing w:after="0" w:line="266" w:lineRule="auto"/>
        <w:tabs>
          <w:tab w:leader="none" w:pos="2184" w:val="left"/>
        </w:tabs>
        <w:numPr>
          <w:ilvl w:val="0"/>
          <w:numId w:val="335"/>
        </w:numPr>
        <w:rPr>
          <w:rFonts w:ascii="Arial" w:cs="Arial" w:eastAsia="Arial" w:hAnsi="Arial"/>
          <w:sz w:val="22"/>
          <w:szCs w:val="22"/>
          <w:color w:val="auto"/>
        </w:rPr>
      </w:pPr>
      <w:r>
        <w:rPr>
          <w:rFonts w:ascii="Arial" w:cs="Arial" w:eastAsia="Arial" w:hAnsi="Arial"/>
          <w:sz w:val="22"/>
          <w:szCs w:val="22"/>
          <w:color w:val="auto"/>
        </w:rPr>
        <w:t xml:space="preserve">Each Swiss Obligor is in compliance with the Swiss Non-Bank Rules;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Swiss Obligor shall not be in breach of this representation if the permitted number of Swiss Non-Qualifying Lenders is exceeded solely by reason of:</w:t>
      </w:r>
    </w:p>
    <w:p>
      <w:pPr>
        <w:spacing w:after="0" w:line="157" w:lineRule="exact"/>
        <w:rPr>
          <w:rFonts w:ascii="Arial" w:cs="Arial" w:eastAsia="Arial" w:hAnsi="Arial"/>
          <w:sz w:val="22"/>
          <w:szCs w:val="22"/>
          <w:color w:val="auto"/>
        </w:rPr>
      </w:pPr>
    </w:p>
    <w:p>
      <w:pPr>
        <w:ind w:left="3120" w:hanging="1168"/>
        <w:spacing w:after="0"/>
        <w:tabs>
          <w:tab w:leader="none" w:pos="3120" w:val="left"/>
        </w:tabs>
        <w:numPr>
          <w:ilvl w:val="1"/>
          <w:numId w:val="335"/>
        </w:numPr>
        <w:rPr>
          <w:rFonts w:ascii="Arial" w:cs="Arial" w:eastAsia="Arial" w:hAnsi="Arial"/>
          <w:sz w:val="21"/>
          <w:szCs w:val="21"/>
          <w:color w:val="auto"/>
        </w:rPr>
      </w:pPr>
      <w:r>
        <w:rPr>
          <w:rFonts w:ascii="Arial" w:cs="Arial" w:eastAsia="Arial" w:hAnsi="Arial"/>
          <w:sz w:val="21"/>
          <w:szCs w:val="21"/>
          <w:color w:val="auto"/>
        </w:rPr>
        <w:t>a failure by one or more Lenders or Participants to comply with their obligations under</w:t>
      </w:r>
    </w:p>
    <w:p>
      <w:pPr>
        <w:spacing w:after="0" w:line="3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u w:val="single" w:color="auto"/>
          <w:color w:val="auto"/>
        </w:rPr>
        <w:t>Section 11.05</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left="660" w:firstLine="1292"/>
        <w:spacing w:after="0" w:line="276" w:lineRule="auto"/>
        <w:tabs>
          <w:tab w:leader="none" w:pos="307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a confirmation made by one or more Lenders or Participants to be one single Swiss Non-Qualifying Lender is incorrect;</w:t>
      </w:r>
    </w:p>
    <w:p>
      <w:pPr>
        <w:spacing w:after="0" w:line="133" w:lineRule="exact"/>
        <w:rPr>
          <w:rFonts w:ascii="Arial" w:cs="Arial" w:eastAsia="Arial" w:hAnsi="Arial"/>
          <w:sz w:val="22"/>
          <w:szCs w:val="22"/>
          <w:color w:val="auto"/>
        </w:rPr>
      </w:pPr>
    </w:p>
    <w:p>
      <w:pPr>
        <w:jc w:val="both"/>
        <w:ind w:left="660" w:firstLine="1292"/>
        <w:spacing w:after="0" w:line="266" w:lineRule="auto"/>
        <w:tabs>
          <w:tab w:leader="none" w:pos="286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one or more Lenders or Participants ceasing to be a Swiss Qualifying Lender (to the extent such Lender or Participant is confirmed to be a Swiss Qualifying Lender) as a result of any reason attributable to such Lender or Participant; 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1" w:name="page322"/>
    <w:bookmarkEnd w:id="321"/>
    <w:p>
      <w:pPr>
        <w:ind w:left="660" w:firstLine="1292"/>
        <w:spacing w:after="0" w:line="276" w:lineRule="auto"/>
        <w:tabs>
          <w:tab w:leader="none" w:pos="2889" w:val="left"/>
        </w:tabs>
        <w:numPr>
          <w:ilvl w:val="1"/>
          <w:numId w:val="336"/>
        </w:numPr>
        <w:rPr>
          <w:rFonts w:ascii="Arial" w:cs="Arial" w:eastAsia="Arial" w:hAnsi="Arial"/>
          <w:sz w:val="22"/>
          <w:szCs w:val="22"/>
          <w:color w:val="auto"/>
        </w:rPr>
      </w:pPr>
      <w:r>
        <w:rPr>
          <w:rFonts w:ascii="Arial" w:cs="Arial" w:eastAsia="Arial" w:hAnsi="Arial"/>
          <w:sz w:val="22"/>
          <w:szCs w:val="22"/>
          <w:color w:val="auto"/>
        </w:rPr>
        <w:t>an assignment or participation of any Commitments or LC Exposure under this Agreement to a Swiss Non-Qualifying Lender after the occurrence of an Event of Default.</w:t>
      </w:r>
    </w:p>
    <w:p>
      <w:pPr>
        <w:spacing w:after="0" w:line="133" w:lineRule="exact"/>
        <w:rPr>
          <w:rFonts w:ascii="Arial" w:cs="Arial" w:eastAsia="Arial" w:hAnsi="Arial"/>
          <w:sz w:val="22"/>
          <w:szCs w:val="22"/>
          <w:color w:val="auto"/>
        </w:rPr>
      </w:pPr>
    </w:p>
    <w:p>
      <w:pPr>
        <w:ind w:firstLine="1304"/>
        <w:spacing w:after="0" w:line="276" w:lineRule="auto"/>
        <w:tabs>
          <w:tab w:leader="none" w:pos="2277" w:val="left"/>
        </w:tabs>
        <w:numPr>
          <w:ilvl w:val="0"/>
          <w:numId w:val="337"/>
        </w:numPr>
        <w:rPr>
          <w:rFonts w:ascii="Arial" w:cs="Arial" w:eastAsia="Arial" w:hAnsi="Arial"/>
          <w:sz w:val="22"/>
          <w:szCs w:val="22"/>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6.22</w:t>
      </w:r>
      <w:r>
        <w:rPr>
          <w:rFonts w:ascii="Arial" w:cs="Arial" w:eastAsia="Arial" w:hAnsi="Arial"/>
          <w:sz w:val="22"/>
          <w:szCs w:val="22"/>
          <w:color w:val="auto"/>
        </w:rPr>
        <w:t>, each Swiss Obligor shall assume that the aggregate number of Lenders or Participants under this Agreement which are Swiss Non-Qualifying Lenders is ten (10).</w:t>
      </w:r>
    </w:p>
    <w:p>
      <w:pPr>
        <w:spacing w:after="0" w:line="14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6.23 </w:t>
      </w:r>
      <w:r>
        <w:rPr>
          <w:rFonts w:ascii="Arial" w:cs="Arial" w:eastAsia="Arial" w:hAnsi="Arial"/>
          <w:sz w:val="22"/>
          <w:szCs w:val="22"/>
          <w:u w:val="single" w:color="auto"/>
          <w:color w:val="auto"/>
        </w:rPr>
        <w:t>Dutch Fiscal Unity. Any fiscal unity (</w:t>
      </w:r>
      <w:r>
        <w:rPr>
          <w:rFonts w:ascii="Arial" w:cs="Arial" w:eastAsia="Arial" w:hAnsi="Arial"/>
          <w:sz w:val="22"/>
          <w:szCs w:val="22"/>
          <w:i w:val="1"/>
          <w:iCs w:val="1"/>
          <w:u w:val="single" w:color="auto"/>
          <w:color w:val="auto"/>
        </w:rPr>
        <w:t>fiscale eenheid</w:t>
      </w:r>
      <w:r>
        <w:rPr>
          <w:rFonts w:ascii="Arial" w:cs="Arial" w:eastAsia="Arial" w:hAnsi="Arial"/>
          <w:sz w:val="22"/>
          <w:szCs w:val="22"/>
          <w:u w:val="single" w:color="auto"/>
          <w:color w:val="auto"/>
        </w:rPr>
        <w:t>) for Dutch tax purposes of which an Obligor</w:t>
      </w:r>
      <w:r>
        <w:rPr>
          <w:rFonts w:ascii="Arial" w:cs="Arial" w:eastAsia="Arial" w:hAnsi="Arial"/>
          <w:sz w:val="22"/>
          <w:szCs w:val="22"/>
          <w:color w:val="auto"/>
        </w:rPr>
        <w:t xml:space="preserve"> </w:t>
      </w:r>
      <w:r>
        <w:rPr>
          <w:rFonts w:ascii="Arial" w:cs="Arial" w:eastAsia="Arial" w:hAnsi="Arial"/>
          <w:sz w:val="22"/>
          <w:szCs w:val="22"/>
          <w:u w:val="single" w:color="auto"/>
          <w:color w:val="auto"/>
        </w:rPr>
        <w:t>forms part consists of Obligors and/or Restricted Subsidiaries only.</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6.24 </w:t>
      </w:r>
      <w:r>
        <w:rPr>
          <w:rFonts w:ascii="Arial" w:cs="Arial" w:eastAsia="Arial" w:hAnsi="Arial"/>
          <w:sz w:val="22"/>
          <w:szCs w:val="22"/>
          <w:u w:val="single" w:color="auto"/>
          <w:color w:val="auto"/>
        </w:rPr>
        <w:t>Tax Residency. Each Obligor organized under the laws of the Netherlands is resident for tax</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purposes in the Netherlands only and does not have a permanent establishment or other taxable presence outside the Netherlands, unless with the prior written consent of the Administrative Agent.</w:t>
      </w:r>
    </w:p>
    <w:p>
      <w:pPr>
        <w:spacing w:after="0" w:line="1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6.25 </w:t>
      </w:r>
      <w:r>
        <w:rPr>
          <w:rFonts w:ascii="Arial" w:cs="Arial" w:eastAsia="Arial" w:hAnsi="Arial"/>
          <w:sz w:val="22"/>
          <w:szCs w:val="22"/>
          <w:u w:val="single" w:color="auto"/>
          <w:color w:val="auto"/>
        </w:rPr>
        <w:t>Status as a Holding Company</w:t>
      </w:r>
      <w:r>
        <w:rPr>
          <w:rFonts w:ascii="Arial" w:cs="Arial" w:eastAsia="Arial" w:hAnsi="Arial"/>
          <w:sz w:val="22"/>
          <w:szCs w:val="22"/>
          <w:color w:val="auto"/>
        </w:rPr>
        <w:t>. Parent does not have any operating assets or engage in any business other than any customary business of a holding company and ordinary course business operations of Parent in existence prior to the Effective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10000"/>
        </w:rPr>
        <w:t>ARTICLE VII</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AFFIRMATIVE COVENANTS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Payment in Full, the Obligor Parties covenant and agree that:</w:t>
      </w:r>
    </w:p>
    <w:p>
      <w:pPr>
        <w:spacing w:after="0" w:line="193" w:lineRule="exact"/>
        <w:rPr>
          <w:sz w:val="20"/>
          <w:szCs w:val="20"/>
          <w:color w:val="auto"/>
        </w:rPr>
      </w:pPr>
    </w:p>
    <w:p>
      <w:pPr>
        <w:ind w:left="660"/>
        <w:spacing w:after="0"/>
        <w:tabs>
          <w:tab w:leader="none" w:pos="3000" w:val="left"/>
          <w:tab w:leader="none" w:pos="528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22"/>
          <w:szCs w:val="22"/>
          <w:u w:val="single" w:color="auto"/>
          <w:color w:val="auto"/>
        </w:rPr>
        <w:t>Information Covenants.</w:t>
      </w:r>
      <w:r>
        <w:rPr>
          <w:sz w:val="20"/>
          <w:szCs w:val="20"/>
          <w:color w:val="auto"/>
        </w:rPr>
        <w:tab/>
      </w:r>
      <w:r>
        <w:rPr>
          <w:rFonts w:ascii="Arial" w:cs="Arial" w:eastAsia="Arial" w:hAnsi="Arial"/>
          <w:sz w:val="21"/>
          <w:szCs w:val="21"/>
          <w:u w:val="single" w:color="auto"/>
          <w:color w:val="auto"/>
        </w:rPr>
        <w:t>Each Obligor Party shall furnish or cause to be furnished to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Administrative Agent:</w:t>
      </w:r>
    </w:p>
    <w:p>
      <w:pPr>
        <w:spacing w:after="0" w:line="202" w:lineRule="exact"/>
        <w:rPr>
          <w:sz w:val="20"/>
          <w:szCs w:val="20"/>
          <w:color w:val="auto"/>
        </w:rPr>
      </w:pPr>
    </w:p>
    <w:p>
      <w:pPr>
        <w:jc w:val="both"/>
        <w:ind w:firstLine="1304"/>
        <w:spacing w:after="0" w:line="302" w:lineRule="auto"/>
        <w:tabs>
          <w:tab w:leader="none" w:pos="2116" w:val="left"/>
        </w:tabs>
        <w:numPr>
          <w:ilvl w:val="0"/>
          <w:numId w:val="338"/>
        </w:numPr>
        <w:rPr>
          <w:rFonts w:ascii="Arial" w:cs="Arial" w:eastAsia="Arial" w:hAnsi="Arial"/>
          <w:sz w:val="19"/>
          <w:szCs w:val="19"/>
          <w:color w:val="auto"/>
        </w:rPr>
      </w:pPr>
      <w:r>
        <w:rPr>
          <w:rFonts w:ascii="Arial" w:cs="Arial" w:eastAsia="Arial" w:hAnsi="Arial"/>
          <w:sz w:val="19"/>
          <w:szCs w:val="19"/>
          <w:color w:val="auto"/>
        </w:rPr>
        <w:t xml:space="preserve">Upon the earlier to occur of (i) five Business Days after being filed with the SEC and (ii) the date that is the deadline to file with SEC, the quarterly report on Form 10-Q, or its equivalent, of Parent for such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Obligor Parties shall be deemed to have furnished said quarterly report on Form 10-Q for purposes of this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spacing w:after="0" w:line="116" w:lineRule="exact"/>
        <w:rPr>
          <w:rFonts w:ascii="Arial" w:cs="Arial" w:eastAsia="Arial" w:hAnsi="Arial"/>
          <w:sz w:val="19"/>
          <w:szCs w:val="19"/>
          <w:color w:val="auto"/>
        </w:rPr>
      </w:pPr>
    </w:p>
    <w:p>
      <w:pPr>
        <w:jc w:val="both"/>
        <w:ind w:firstLine="1304"/>
        <w:spacing w:after="0" w:line="266" w:lineRule="auto"/>
        <w:tabs>
          <w:tab w:leader="none" w:pos="2115" w:val="left"/>
        </w:tabs>
        <w:numPr>
          <w:ilvl w:val="0"/>
          <w:numId w:val="338"/>
        </w:numPr>
        <w:rPr>
          <w:rFonts w:ascii="Arial" w:cs="Arial" w:eastAsia="Arial" w:hAnsi="Arial"/>
          <w:sz w:val="22"/>
          <w:szCs w:val="22"/>
          <w:color w:val="auto"/>
        </w:rPr>
      </w:pPr>
      <w:r>
        <w:rPr>
          <w:rFonts w:ascii="Arial" w:cs="Arial" w:eastAsia="Arial" w:hAnsi="Arial"/>
          <w:sz w:val="22"/>
          <w:szCs w:val="22"/>
          <w:color w:val="auto"/>
        </w:rPr>
        <w:t>Upon the earlier to occur of (i) five Business Days after being filed with the SEC and (ii) the date that is the deadline to file with the SEC, the annual report on Form 10-K, or its equivalent, of Parent for such Fiscal Year, certified by KPMG LLP or other independent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2" w:name="page323"/>
    <w:bookmarkEnd w:id="322"/>
    <w:p>
      <w:pPr>
        <w:jc w:val="both"/>
        <w:spacing w:after="0" w:line="301" w:lineRule="auto"/>
        <w:rPr>
          <w:sz w:val="20"/>
          <w:szCs w:val="20"/>
          <w:color w:val="auto"/>
        </w:rPr>
      </w:pPr>
      <w:r>
        <w:rPr>
          <w:rFonts w:ascii="Arial" w:cs="Arial" w:eastAsia="Arial" w:hAnsi="Arial"/>
          <w:sz w:val="19"/>
          <w:szCs w:val="19"/>
          <w:color w:val="auto"/>
        </w:rPr>
        <w:t xml:space="preserve">certified public accountants of recognized national standing reasonably acceptable to the Administrative Agent and the Required Lenders, whose certification shall be without qualification or scope limitation;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Obligor Parties shall be deemed to have furnished said annual report on Form 10-K for purposes of this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Parent’s audited consolidated balance sheet, income statement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123" w:lineRule="exact"/>
        <w:rPr>
          <w:sz w:val="20"/>
          <w:szCs w:val="20"/>
          <w:color w:val="auto"/>
        </w:rPr>
      </w:pPr>
    </w:p>
    <w:p>
      <w:pPr>
        <w:jc w:val="both"/>
        <w:ind w:firstLine="1304"/>
        <w:spacing w:after="0" w:line="273" w:lineRule="auto"/>
        <w:tabs>
          <w:tab w:leader="none" w:pos="2143" w:val="left"/>
        </w:tabs>
        <w:numPr>
          <w:ilvl w:val="0"/>
          <w:numId w:val="339"/>
        </w:numPr>
        <w:rPr>
          <w:rFonts w:ascii="Arial" w:cs="Arial" w:eastAsia="Arial" w:hAnsi="Arial"/>
          <w:sz w:val="21"/>
          <w:szCs w:val="21"/>
          <w:color w:val="auto"/>
        </w:rPr>
      </w:pPr>
      <w:r>
        <w:rPr>
          <w:rFonts w:ascii="Arial" w:cs="Arial" w:eastAsia="Arial" w:hAnsi="Arial"/>
          <w:sz w:val="21"/>
          <w:szCs w:val="21"/>
          <w:color w:val="auto"/>
        </w:rPr>
        <w:t>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spacing w:after="0" w:line="156" w:lineRule="exact"/>
        <w:rPr>
          <w:rFonts w:ascii="Arial" w:cs="Arial" w:eastAsia="Arial" w:hAnsi="Arial"/>
          <w:sz w:val="21"/>
          <w:szCs w:val="21"/>
          <w:color w:val="auto"/>
        </w:rPr>
      </w:pPr>
    </w:p>
    <w:p>
      <w:pPr>
        <w:ind w:left="2100" w:hanging="796"/>
        <w:spacing w:after="0"/>
        <w:tabs>
          <w:tab w:leader="none" w:pos="2100" w:val="left"/>
        </w:tabs>
        <w:numPr>
          <w:ilvl w:val="0"/>
          <w:numId w:val="339"/>
        </w:numPr>
        <w:rPr>
          <w:rFonts w:ascii="Arial" w:cs="Arial" w:eastAsia="Arial" w:hAnsi="Arial"/>
          <w:sz w:val="22"/>
          <w:szCs w:val="22"/>
          <w:color w:val="auto"/>
        </w:rPr>
      </w:pPr>
      <w:r>
        <w:rPr>
          <w:rFonts w:ascii="Arial" w:cs="Arial" w:eastAsia="Arial" w:hAnsi="Arial"/>
          <w:sz w:val="22"/>
          <w:szCs w:val="22"/>
          <w:color w:val="auto"/>
        </w:rPr>
        <w:t>Promptly, and in any event within five (5) Business Days after:</w:t>
      </w:r>
    </w:p>
    <w:p>
      <w:pPr>
        <w:spacing w:after="0" w:line="192" w:lineRule="exact"/>
        <w:rPr>
          <w:rFonts w:ascii="Arial" w:cs="Arial" w:eastAsia="Arial" w:hAnsi="Arial"/>
          <w:sz w:val="22"/>
          <w:szCs w:val="22"/>
          <w:color w:val="auto"/>
        </w:rPr>
      </w:pPr>
    </w:p>
    <w:p>
      <w:pPr>
        <w:jc w:val="both"/>
        <w:ind w:left="660" w:firstLine="1292"/>
        <w:spacing w:after="0" w:line="271" w:lineRule="auto"/>
        <w:tabs>
          <w:tab w:leader="none" w:pos="2997" w:val="left"/>
        </w:tabs>
        <w:numPr>
          <w:ilvl w:val="1"/>
          <w:numId w:val="339"/>
        </w:numPr>
        <w:rPr>
          <w:rFonts w:ascii="Arial" w:cs="Arial" w:eastAsia="Arial" w:hAnsi="Arial"/>
          <w:sz w:val="21"/>
          <w:szCs w:val="21"/>
          <w:color w:val="auto"/>
        </w:rPr>
      </w:pPr>
      <w:r>
        <w:rPr>
          <w:rFonts w:ascii="Arial" w:cs="Arial" w:eastAsia="Arial" w:hAnsi="Arial"/>
          <w:sz w:val="21"/>
          <w:szCs w:val="21"/>
          <w:color w:val="auto"/>
        </w:rPr>
        <w:t>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 (B) 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spacing w:after="0" w:line="148" w:lineRule="exact"/>
        <w:rPr>
          <w:rFonts w:ascii="Arial" w:cs="Arial" w:eastAsia="Arial" w:hAnsi="Arial"/>
          <w:sz w:val="21"/>
          <w:szCs w:val="21"/>
          <w:color w:val="auto"/>
        </w:rPr>
      </w:pPr>
    </w:p>
    <w:p>
      <w:pPr>
        <w:ind w:left="660" w:firstLine="1292"/>
        <w:spacing w:after="0" w:line="276" w:lineRule="auto"/>
        <w:tabs>
          <w:tab w:leader="none" w:pos="3138" w:val="left"/>
        </w:tabs>
        <w:numPr>
          <w:ilvl w:val="1"/>
          <w:numId w:val="339"/>
        </w:numPr>
        <w:rPr>
          <w:rFonts w:ascii="Arial" w:cs="Arial" w:eastAsia="Arial" w:hAnsi="Arial"/>
          <w:sz w:val="22"/>
          <w:szCs w:val="22"/>
          <w:color w:val="auto"/>
        </w:rPr>
      </w:pPr>
      <w:r>
        <w:rPr>
          <w:rFonts w:ascii="Arial" w:cs="Arial" w:eastAsia="Arial" w:hAnsi="Arial"/>
          <w:sz w:val="22"/>
          <w:szCs w:val="22"/>
          <w:color w:val="auto"/>
        </w:rPr>
        <w:t>any Obligor Party obtains knowledge of the occurrence of any event or condition which constitutes a Default or an Event of Default;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3" w:name="page324"/>
    <w:bookmarkEnd w:id="323"/>
    <w:p>
      <w:pPr>
        <w:ind w:left="2820" w:hanging="868"/>
        <w:spacing w:after="0"/>
        <w:tabs>
          <w:tab w:leader="none" w:pos="2820" w:val="left"/>
        </w:tabs>
        <w:numPr>
          <w:ilvl w:val="1"/>
          <w:numId w:val="340"/>
        </w:numPr>
        <w:rPr>
          <w:rFonts w:ascii="Arial" w:cs="Arial" w:eastAsia="Arial" w:hAnsi="Arial"/>
          <w:sz w:val="22"/>
          <w:szCs w:val="22"/>
          <w:color w:val="auto"/>
        </w:rPr>
      </w:pPr>
      <w:r>
        <w:rPr>
          <w:rFonts w:ascii="Arial" w:cs="Arial" w:eastAsia="Arial" w:hAnsi="Arial"/>
          <w:sz w:val="22"/>
          <w:szCs w:val="22"/>
          <w:color w:val="auto"/>
        </w:rPr>
        <w:t>any Obligor Party obtains knowledge of the occurrence of a Change of Control;</w:t>
      </w:r>
    </w:p>
    <w:p>
      <w:pPr>
        <w:spacing w:after="0" w:line="19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 notice of such event, condition, occurrence or development, specifying the nature thereof.</w:t>
      </w:r>
    </w:p>
    <w:p>
      <w:pPr>
        <w:spacing w:after="0" w:line="206" w:lineRule="exact"/>
        <w:rPr>
          <w:rFonts w:ascii="Arial" w:cs="Arial" w:eastAsia="Arial" w:hAnsi="Arial"/>
          <w:sz w:val="22"/>
          <w:szCs w:val="22"/>
          <w:color w:val="auto"/>
        </w:rPr>
      </w:pPr>
    </w:p>
    <w:p>
      <w:pPr>
        <w:jc w:val="both"/>
        <w:ind w:firstLine="1304"/>
        <w:spacing w:after="0" w:line="262" w:lineRule="auto"/>
        <w:tabs>
          <w:tab w:leader="none" w:pos="2184" w:val="left"/>
        </w:tabs>
        <w:numPr>
          <w:ilvl w:val="0"/>
          <w:numId w:val="341"/>
        </w:numPr>
        <w:rPr>
          <w:rFonts w:ascii="Arial" w:cs="Arial" w:eastAsia="Arial" w:hAnsi="Arial"/>
          <w:sz w:val="22"/>
          <w:szCs w:val="22"/>
          <w:color w:val="auto"/>
        </w:rPr>
      </w:pPr>
      <w:r>
        <w:rPr>
          <w:rFonts w:ascii="Arial" w:cs="Arial" w:eastAsia="Arial" w:hAnsi="Arial"/>
          <w:sz w:val="22"/>
          <w:szCs w:val="22"/>
          <w:color w:val="auto"/>
        </w:rPr>
        <w:t xml:space="preserve">Within five Business Days after the delivery of the financial statements provided for in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7.01(b)</w:t>
      </w:r>
      <w:r>
        <w:rPr>
          <w:rFonts w:ascii="Arial" w:cs="Arial" w:eastAsia="Arial" w:hAnsi="Arial"/>
          <w:sz w:val="22"/>
          <w:szCs w:val="22"/>
          <w:color w:val="auto"/>
        </w:rPr>
        <w:t>, (i) a Compliance Certificate with respect to the fiscal period covered by such financial statements and (ii) a report setting forth the amount of cash and Unrestricted Cash of Parent on a consolidated basis as of the date of such financial statements.</w:t>
      </w:r>
    </w:p>
    <w:p>
      <w:pPr>
        <w:spacing w:after="0" w:line="150" w:lineRule="exact"/>
        <w:rPr>
          <w:rFonts w:ascii="Arial" w:cs="Arial" w:eastAsia="Arial" w:hAnsi="Arial"/>
          <w:sz w:val="22"/>
          <w:szCs w:val="22"/>
          <w:color w:val="auto"/>
        </w:rPr>
      </w:pPr>
    </w:p>
    <w:p>
      <w:pPr>
        <w:ind w:firstLine="1304"/>
        <w:spacing w:after="0" w:line="276" w:lineRule="auto"/>
        <w:tabs>
          <w:tab w:leader="none" w:pos="2173" w:val="left"/>
        </w:tabs>
        <w:numPr>
          <w:ilvl w:val="0"/>
          <w:numId w:val="341"/>
        </w:numPr>
        <w:rPr>
          <w:rFonts w:ascii="Arial" w:cs="Arial" w:eastAsia="Arial" w:hAnsi="Arial"/>
          <w:sz w:val="22"/>
          <w:szCs w:val="22"/>
          <w:color w:val="auto"/>
        </w:rPr>
      </w:pPr>
      <w:r>
        <w:rPr>
          <w:rFonts w:ascii="Arial" w:cs="Arial" w:eastAsia="Arial" w:hAnsi="Arial"/>
          <w:sz w:val="22"/>
          <w:szCs w:val="22"/>
          <w:color w:val="auto"/>
        </w:rPr>
        <w:t>Promptly, and in any event within 30 days after any Responsible Officer of such Obligor Party obtains knowledge thereof, notice of:</w:t>
      </w:r>
    </w:p>
    <w:p>
      <w:pPr>
        <w:spacing w:after="0" w:line="133" w:lineRule="exact"/>
        <w:rPr>
          <w:rFonts w:ascii="Arial" w:cs="Arial" w:eastAsia="Arial" w:hAnsi="Arial"/>
          <w:sz w:val="22"/>
          <w:szCs w:val="22"/>
          <w:color w:val="auto"/>
        </w:rPr>
      </w:pPr>
    </w:p>
    <w:p>
      <w:pPr>
        <w:jc w:val="both"/>
        <w:ind w:left="660" w:firstLine="1292"/>
        <w:spacing w:after="0" w:line="262" w:lineRule="auto"/>
        <w:tabs>
          <w:tab w:leader="none" w:pos="2808"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occurrence or expected occurrence of (A) any ERISA Event with respect to any Plan or any Multiemployer Plan, (B) 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spacing w:after="0" w:line="164" w:lineRule="exact"/>
        <w:rPr>
          <w:sz w:val="20"/>
          <w:szCs w:val="20"/>
          <w:color w:val="auto"/>
        </w:rPr>
      </w:pPr>
    </w:p>
    <w:p>
      <w:pPr>
        <w:jc w:val="both"/>
        <w:ind w:left="660" w:firstLine="1292"/>
        <w:spacing w:after="0" w:line="311" w:lineRule="auto"/>
        <w:tabs>
          <w:tab w:leader="none" w:pos="2935" w:val="left"/>
        </w:tabs>
        <w:numPr>
          <w:ilvl w:val="2"/>
          <w:numId w:val="342"/>
        </w:numPr>
        <w:rPr>
          <w:rFonts w:ascii="Arial" w:cs="Arial" w:eastAsia="Arial" w:hAnsi="Arial"/>
          <w:sz w:val="19"/>
          <w:szCs w:val="19"/>
          <w:color w:val="auto"/>
        </w:rPr>
      </w:pPr>
      <w:r>
        <w:rPr>
          <w:rFonts w:ascii="Arial" w:cs="Arial" w:eastAsia="Arial" w:hAnsi="Arial"/>
          <w:sz w:val="19"/>
          <w:szCs w:val="19"/>
          <w:color w:val="auto"/>
        </w:rPr>
        <w:t>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spacing w:after="0" w:line="109" w:lineRule="exact"/>
        <w:rPr>
          <w:rFonts w:ascii="Arial" w:cs="Arial" w:eastAsia="Arial" w:hAnsi="Arial"/>
          <w:sz w:val="19"/>
          <w:szCs w:val="19"/>
          <w:color w:val="auto"/>
        </w:rPr>
      </w:pPr>
    </w:p>
    <w:p>
      <w:pPr>
        <w:jc w:val="both"/>
        <w:ind w:firstLine="1304"/>
        <w:spacing w:after="0" w:line="262" w:lineRule="auto"/>
        <w:tabs>
          <w:tab w:leader="none" w:pos="2331" w:val="left"/>
        </w:tabs>
        <w:numPr>
          <w:ilvl w:val="0"/>
          <w:numId w:val="343"/>
        </w:numPr>
        <w:rPr>
          <w:rFonts w:ascii="Arial" w:cs="Arial" w:eastAsia="Arial" w:hAnsi="Arial"/>
          <w:sz w:val="22"/>
          <w:szCs w:val="22"/>
          <w:color w:val="auto"/>
        </w:rPr>
      </w:pPr>
      <w:r>
        <w:rPr>
          <w:rFonts w:ascii="Arial" w:cs="Arial" w:eastAsia="Arial" w:hAnsi="Arial"/>
          <w:sz w:val="22"/>
          <w:szCs w:val="22"/>
          <w:color w:val="auto"/>
        </w:rPr>
        <w:t>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spacing w:after="0" w:line="150" w:lineRule="exact"/>
        <w:rPr>
          <w:rFonts w:ascii="Arial" w:cs="Arial" w:eastAsia="Arial" w:hAnsi="Arial"/>
          <w:sz w:val="22"/>
          <w:szCs w:val="22"/>
          <w:color w:val="auto"/>
        </w:rPr>
      </w:pPr>
    </w:p>
    <w:p>
      <w:pPr>
        <w:jc w:val="both"/>
        <w:ind w:firstLine="1365"/>
        <w:spacing w:after="0" w:line="259" w:lineRule="auto"/>
        <w:tabs>
          <w:tab w:leader="none" w:pos="2219" w:val="left"/>
        </w:tabs>
        <w:numPr>
          <w:ilvl w:val="1"/>
          <w:numId w:val="343"/>
        </w:numPr>
        <w:rPr>
          <w:rFonts w:ascii="Arial" w:cs="Arial" w:eastAsia="Arial" w:hAnsi="Arial"/>
          <w:sz w:val="22"/>
          <w:szCs w:val="22"/>
          <w:color w:val="auto"/>
        </w:rPr>
      </w:pPr>
      <w:r>
        <w:rPr>
          <w:rFonts w:ascii="Arial" w:cs="Arial" w:eastAsia="Arial" w:hAnsi="Arial"/>
          <w:sz w:val="22"/>
          <w:szCs w:val="22"/>
          <w:color w:val="auto"/>
        </w:rPr>
        <w:t xml:space="preserve">(i) Within 30 days after the consummation of any Collateral Transfer resulting in Book Value of Assets of greater than $25,000,000 ceasing to be LC Priority Collateral, (A) written notice of such Collateral Transfer (including the book value of the LC Priority Collateral so transferred), (B) a certificate of a Principal Financial Officer of an Obligor Party, certifying that after giving effect to such Collateral Transfer, the Book Value of Assets with respect to all remaining LC Priority Collateral is no less than $1,250,000,000 and (C) a reasonably detailed calculation demonstrating Parent’s calculation of such Book Value of Assets and (ii) within five Business Days after the delivery of the financial statements provided for in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7.01(b)</w:t>
      </w:r>
      <w:r>
        <w:rPr>
          <w:rFonts w:ascii="Arial" w:cs="Arial" w:eastAsia="Arial" w:hAnsi="Arial"/>
          <w:sz w:val="22"/>
          <w:szCs w:val="22"/>
          <w:color w:val="auto"/>
        </w:rPr>
        <w:t>, a calculation of the Book Value of Assets as of the end of the fiscal period covered by such financial statements.</w:t>
      </w:r>
    </w:p>
    <w:p>
      <w:pPr>
        <w:spacing w:after="0" w:line="165" w:lineRule="exact"/>
        <w:rPr>
          <w:sz w:val="20"/>
          <w:szCs w:val="20"/>
          <w:color w:val="auto"/>
        </w:rPr>
      </w:pPr>
    </w:p>
    <w:p>
      <w:pPr>
        <w:jc w:val="both"/>
        <w:ind w:firstLine="1304"/>
        <w:spacing w:after="0" w:line="262" w:lineRule="auto"/>
        <w:tabs>
          <w:tab w:leader="none" w:pos="2229" w:val="left"/>
        </w:tabs>
        <w:numPr>
          <w:ilvl w:val="0"/>
          <w:numId w:val="344"/>
        </w:numPr>
        <w:rPr>
          <w:rFonts w:ascii="Arial" w:cs="Arial" w:eastAsia="Arial" w:hAnsi="Arial"/>
          <w:sz w:val="22"/>
          <w:szCs w:val="22"/>
          <w:color w:val="auto"/>
        </w:rPr>
      </w:pPr>
      <w:r>
        <w:rPr>
          <w:rFonts w:ascii="Arial" w:cs="Arial" w:eastAsia="Arial" w:hAnsi="Arial"/>
          <w:sz w:val="22"/>
          <w:szCs w:val="22"/>
          <w:color w:val="auto"/>
        </w:rPr>
        <w:t>Promptly, and in any event within five (5) Business Days after, notices of default sent to or from the Obligors in connection with the Senior Secured Notes, Exit Senior Notes Indenture or any amendment, supplement or other modification to the Senior Secured Notes Indenture, the Exit Senior Notes Indenture or any documents related to either of the foregoing.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4" w:name="page325"/>
    <w:bookmarkEnd w:id="324"/>
    <w:p>
      <w:pPr>
        <w:jc w:val="both"/>
        <w:ind w:firstLine="1304"/>
        <w:spacing w:after="0" w:line="271" w:lineRule="auto"/>
        <w:tabs>
          <w:tab w:leader="none" w:pos="2067" w:val="left"/>
        </w:tabs>
        <w:numPr>
          <w:ilvl w:val="0"/>
          <w:numId w:val="345"/>
        </w:numPr>
        <w:rPr>
          <w:rFonts w:ascii="Arial" w:cs="Arial" w:eastAsia="Arial" w:hAnsi="Arial"/>
          <w:sz w:val="21"/>
          <w:szCs w:val="21"/>
          <w:color w:val="auto"/>
        </w:rPr>
      </w:pPr>
      <w:r>
        <w:rPr>
          <w:rFonts w:ascii="Arial" w:cs="Arial" w:eastAsia="Arial" w:hAnsi="Arial"/>
          <w:sz w:val="21"/>
          <w:szCs w:val="21"/>
          <w:color w:val="auto"/>
        </w:rPr>
        <w:t xml:space="preserve">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non-public information obtained by any Person pursuant to such request shall be treated as confidential information in accordance with </w:t>
      </w:r>
      <w:r>
        <w:rPr>
          <w:rFonts w:ascii="Arial" w:cs="Arial" w:eastAsia="Arial" w:hAnsi="Arial"/>
          <w:sz w:val="21"/>
          <w:szCs w:val="21"/>
          <w:u w:val="single" w:color="auto"/>
          <w:color w:val="auto"/>
        </w:rPr>
        <w:t>Section 11.06</w:t>
      </w:r>
      <w:r>
        <w:rPr>
          <w:rFonts w:ascii="Arial" w:cs="Arial" w:eastAsia="Arial" w:hAnsi="Arial"/>
          <w:sz w:val="21"/>
          <w:szCs w:val="21"/>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spacing w:after="0" w:line="14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Books, Records and Inspections</w:t>
      </w:r>
      <w:r>
        <w:rPr>
          <w:rFonts w:ascii="Arial" w:cs="Arial" w:eastAsia="Arial" w:hAnsi="Arial"/>
          <w:sz w:val="19"/>
          <w:szCs w:val="19"/>
          <w:color w:val="auto"/>
        </w:rPr>
        <w:t>.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provided that any non-public information obtained by any Person during any such visitation, inspection, examination or discussion shall be treated as confidential information in accordance with Section 11.06.</w:t>
      </w:r>
    </w:p>
    <w:p>
      <w:pPr>
        <w:spacing w:after="0" w:line="128"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Insurance</w:t>
      </w:r>
      <w:r>
        <w:rPr>
          <w:rFonts w:ascii="Arial" w:cs="Arial" w:eastAsia="Arial" w:hAnsi="Arial"/>
          <w:sz w:val="19"/>
          <w:szCs w:val="19"/>
          <w:color w:val="auto"/>
        </w:rPr>
        <w:t>. Parent and its Restricted Subsidiaries shall maintain or cause to be maintained (including through self</w:t>
      </w:r>
      <w:r>
        <w:rPr>
          <w:rFonts w:ascii="MS PGothic" w:cs="MS PGothic" w:eastAsia="MS PGothic" w:hAnsi="MS PGothic"/>
          <w:sz w:val="19"/>
          <w:szCs w:val="19"/>
          <w:color w:val="auto"/>
        </w:rPr>
        <w:t>‑</w:t>
      </w:r>
      <w:r>
        <w:rPr>
          <w:rFonts w:ascii="Arial" w:cs="Arial" w:eastAsia="Arial" w:hAnsi="Arial"/>
          <w:sz w:val="19"/>
          <w:szCs w:val="19"/>
          <w:color w:val="auto"/>
        </w:rPr>
        <w:t>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Subsidiaries (taken as a whole), as such customary industry practice may change from time to time; provided, however,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5" w:name="page326"/>
    <w:bookmarkEnd w:id="325"/>
    <w:p>
      <w:pPr>
        <w:jc w:val="both"/>
        <w:spacing w:after="0" w:line="273" w:lineRule="auto"/>
        <w:rPr>
          <w:sz w:val="20"/>
          <w:szCs w:val="20"/>
          <w:color w:val="auto"/>
        </w:rPr>
      </w:pPr>
      <w:r>
        <w:rPr>
          <w:rFonts w:ascii="Arial" w:cs="Arial" w:eastAsia="Arial" w:hAnsi="Arial"/>
          <w:sz w:val="21"/>
          <w:szCs w:val="21"/>
          <w:color w:val="auto"/>
        </w:rPr>
        <w:t>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 the meaning of Section 9-104 of the UCC) with respect to such deposit account by the Administrative Agent on behalf of the Secured Parties.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Payment of Taxes and other Claims</w:t>
      </w:r>
      <w:r>
        <w:rPr>
          <w:rFonts w:ascii="Arial" w:cs="Arial" w:eastAsia="Arial" w:hAnsi="Arial"/>
          <w:sz w:val="22"/>
          <w:szCs w:val="22"/>
          <w:color w:val="auto"/>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 Party or such Restricted Subsidiary, as applicable, except for (i) 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6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Existence</w:t>
      </w:r>
      <w:r>
        <w:rPr>
          <w:rFonts w:ascii="Arial" w:cs="Arial" w:eastAsia="Arial" w:hAnsi="Arial"/>
          <w:sz w:val="19"/>
          <w:szCs w:val="19"/>
          <w:color w:val="auto"/>
        </w:rPr>
        <w:t>. Except as expressly permitted pursuant to Section 8.02 or Section 8.05,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provided that this clause (b) 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ERISA Compliance</w:t>
      </w:r>
      <w:r>
        <w:rPr>
          <w:rFonts w:ascii="Arial" w:cs="Arial" w:eastAsia="Arial" w:hAnsi="Arial"/>
          <w:sz w:val="22"/>
          <w:szCs w:val="22"/>
          <w:color w:val="auto"/>
        </w:rPr>
        <w:t>. Parent and each Borrower shall, and shall cause each ERISA Affiliate to, comply with respect to each Plan, Multiemployer Plan and Foreign Plan, with all applicable provisions of applicable laws and the terms of each such Plan, Multiemployer Plan or Foreign Plan, except to the extent that any failure to comply would not reasonably be expected to have a Material Adverse Effect.</w:t>
      </w:r>
    </w:p>
    <w:p>
      <w:pPr>
        <w:spacing w:after="0" w:line="15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u w:val="single" w:color="auto"/>
          <w:color w:val="auto"/>
        </w:rPr>
        <w:t>Compliance with Laws and Material Contractual Obligations.</w:t>
      </w:r>
    </w:p>
    <w:p>
      <w:pPr>
        <w:spacing w:after="0" w:line="206" w:lineRule="exact"/>
        <w:rPr>
          <w:sz w:val="20"/>
          <w:szCs w:val="20"/>
          <w:color w:val="auto"/>
        </w:rPr>
      </w:pPr>
    </w:p>
    <w:p>
      <w:pPr>
        <w:jc w:val="both"/>
        <w:ind w:firstLine="1304"/>
        <w:spacing w:after="0" w:line="270" w:lineRule="auto"/>
        <w:tabs>
          <w:tab w:leader="none" w:pos="2400" w:val="left"/>
        </w:tabs>
        <w:numPr>
          <w:ilvl w:val="1"/>
          <w:numId w:val="346"/>
        </w:numPr>
        <w:rPr>
          <w:rFonts w:ascii="Arial" w:cs="Arial" w:eastAsia="Arial" w:hAnsi="Arial"/>
          <w:sz w:val="21"/>
          <w:szCs w:val="21"/>
          <w:color w:val="auto"/>
        </w:rPr>
      </w:pPr>
      <w:r>
        <w:rPr>
          <w:rFonts w:ascii="Arial" w:cs="Arial" w:eastAsia="Arial" w:hAnsi="Arial"/>
          <w:sz w:val="21"/>
          <w:szCs w:val="21"/>
          <w:color w:val="auto"/>
        </w:rPr>
        <w:t>Parent will, and will cause each of its Restricted Subsidiaries to, (i) comply with the laws, rules, regulations and orders of any Governmental Authority applicable to it or its property (including Environmental Laws) and</w:t>
      </w:r>
    </w:p>
    <w:p>
      <w:pPr>
        <w:spacing w:after="0" w:line="1" w:lineRule="exact"/>
        <w:rPr>
          <w:rFonts w:ascii="Arial" w:cs="Arial" w:eastAsia="Arial" w:hAnsi="Arial"/>
          <w:sz w:val="21"/>
          <w:szCs w:val="21"/>
          <w:color w:val="auto"/>
        </w:rPr>
      </w:pPr>
    </w:p>
    <w:p>
      <w:pPr>
        <w:jc w:val="both"/>
        <w:ind w:firstLine="8"/>
        <w:spacing w:after="0" w:line="264" w:lineRule="auto"/>
        <w:tabs>
          <w:tab w:leader="none" w:pos="338" w:val="left"/>
        </w:tabs>
        <w:numPr>
          <w:ilvl w:val="0"/>
          <w:numId w:val="347"/>
        </w:numPr>
        <w:rPr>
          <w:rFonts w:ascii="Arial" w:cs="Arial" w:eastAsia="Arial" w:hAnsi="Arial"/>
          <w:sz w:val="22"/>
          <w:szCs w:val="22"/>
          <w:color w:val="auto"/>
        </w:rPr>
      </w:pPr>
      <w:r>
        <w:rPr>
          <w:rFonts w:ascii="Arial" w:cs="Arial" w:eastAsia="Arial" w:hAnsi="Arial"/>
          <w:sz w:val="22"/>
          <w:szCs w:val="22"/>
          <w:color w:val="auto"/>
        </w:rPr>
        <w:t xml:space="preserve">perform its obligations under agreements to which it is a party, except in the case of each of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where the failure to do so, individually or in the aggregate, could not reasonably be expected to result in a Material Adverse Effect. Parent will maintain in effect and enforce policies and procedures designed to ensure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6" w:name="page327"/>
    <w:bookmarkEnd w:id="326"/>
    <w:p>
      <w:pPr>
        <w:spacing w:after="0" w:line="276" w:lineRule="auto"/>
        <w:rPr>
          <w:sz w:val="20"/>
          <w:szCs w:val="20"/>
          <w:color w:val="auto"/>
        </w:rPr>
      </w:pPr>
      <w:r>
        <w:rPr>
          <w:rFonts w:ascii="Arial" w:cs="Arial" w:eastAsia="Arial" w:hAnsi="Arial"/>
          <w:sz w:val="22"/>
          <w:szCs w:val="22"/>
          <w:color w:val="auto"/>
        </w:rPr>
        <w:t>compliance by Parent, its Subsidiaries and their respective directors, officers, employees and agents with Anti-Corruption Laws and applicable Sanctions.</w:t>
      </w:r>
    </w:p>
    <w:p>
      <w:pPr>
        <w:spacing w:after="0" w:line="134" w:lineRule="exact"/>
        <w:rPr>
          <w:sz w:val="20"/>
          <w:szCs w:val="20"/>
          <w:color w:val="auto"/>
        </w:rPr>
      </w:pPr>
    </w:p>
    <w:p>
      <w:pPr>
        <w:jc w:val="both"/>
        <w:ind w:firstLine="1304"/>
        <w:spacing w:after="0" w:line="308" w:lineRule="auto"/>
        <w:tabs>
          <w:tab w:leader="none" w:pos="2263"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To the extent that any obligation contained in this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made by any Obligor incorporated or organized under the laws of Germany or a resident (</w:t>
      </w:r>
      <w:r>
        <w:rPr>
          <w:rFonts w:ascii="Arial" w:cs="Arial" w:eastAsia="Arial" w:hAnsi="Arial"/>
          <w:sz w:val="19"/>
          <w:szCs w:val="19"/>
          <w:i w:val="1"/>
          <w:iCs w:val="1"/>
          <w:color w:val="auto"/>
        </w:rPr>
        <w:t>Inländer</w:t>
      </w:r>
      <w:r>
        <w:rPr>
          <w:rFonts w:ascii="Arial" w:cs="Arial" w:eastAsia="Arial" w:hAnsi="Arial"/>
          <w:sz w:val="19"/>
          <w:szCs w:val="19"/>
          <w:color w:val="auto"/>
        </w:rPr>
        <w:t>) (within the meaning of section 2 paragraph 15 of the German Foreign Trade Act (</w:t>
      </w:r>
      <w:r>
        <w:rPr>
          <w:rFonts w:ascii="Arial" w:cs="Arial" w:eastAsia="Arial" w:hAnsi="Arial"/>
          <w:sz w:val="19"/>
          <w:szCs w:val="19"/>
          <w:i w:val="1"/>
          <w:iCs w:val="1"/>
          <w:color w:val="auto"/>
        </w:rPr>
        <w:t>Auβenwirtschaftgesetz</w:t>
      </w:r>
      <w:r>
        <w:rPr>
          <w:rFonts w:ascii="Arial" w:cs="Arial" w:eastAsia="Arial" w:hAnsi="Arial"/>
          <w:sz w:val="19"/>
          <w:szCs w:val="19"/>
          <w:color w:val="auto"/>
        </w:rPr>
        <w:t>)) would result in a violation of or conflict with or liability under either EU Regulation (EC) 2271/96 or section 7 of the German Foreign Trade Ordinance (</w:t>
      </w:r>
      <w:r>
        <w:rPr>
          <w:rFonts w:ascii="Arial" w:cs="Arial" w:eastAsia="Arial" w:hAnsi="Arial"/>
          <w:sz w:val="19"/>
          <w:szCs w:val="19"/>
          <w:i w:val="1"/>
          <w:iCs w:val="1"/>
          <w:u w:val="single" w:color="auto"/>
          <w:color w:val="auto"/>
        </w:rPr>
        <w:t>Außenwirtschaftsverordnung</w:t>
      </w:r>
      <w:r>
        <w:rPr>
          <w:rFonts w:ascii="Arial" w:cs="Arial" w:eastAsia="Arial" w:hAnsi="Arial"/>
          <w:sz w:val="19"/>
          <w:szCs w:val="19"/>
          <w:color w:val="auto"/>
        </w:rPr>
        <w:t>) (in connection with the German Foreign Trade Act (</w:t>
      </w:r>
      <w:r>
        <w:rPr>
          <w:rFonts w:ascii="Arial" w:cs="Arial" w:eastAsia="Arial" w:hAnsi="Arial"/>
          <w:sz w:val="19"/>
          <w:szCs w:val="19"/>
          <w:i w:val="1"/>
          <w:iCs w:val="1"/>
          <w:color w:val="auto"/>
        </w:rPr>
        <w:t>Außenwirtschaftsgesetz</w:t>
      </w:r>
      <w:r>
        <w:rPr>
          <w:rFonts w:ascii="Arial" w:cs="Arial" w:eastAsia="Arial" w:hAnsi="Arial"/>
          <w:sz w:val="19"/>
          <w:szCs w:val="19"/>
          <w:color w:val="auto"/>
        </w:rPr>
        <w:t xml:space="preserve"> (AWG)) or any similar anti-boycott statute, such Obligor shall implement procedures to mitigate any such conflict or violation to the reasonable satisfaction of the Required Lenders.</w:t>
      </w:r>
    </w:p>
    <w:p>
      <w:pPr>
        <w:spacing w:after="0" w:line="127"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9"/>
          <w:szCs w:val="19"/>
          <w:u w:val="single" w:color="auto"/>
          <w:color w:val="auto"/>
        </w:rPr>
        <w:t>Additional Guarantors; Additional Specified Jurisdictions.</w:t>
      </w:r>
    </w:p>
    <w:p>
      <w:pPr>
        <w:spacing w:after="0" w:line="193" w:lineRule="exact"/>
        <w:rPr>
          <w:sz w:val="20"/>
          <w:szCs w:val="20"/>
          <w:color w:val="auto"/>
        </w:rPr>
      </w:pPr>
    </w:p>
    <w:p>
      <w:pPr>
        <w:jc w:val="both"/>
        <w:ind w:firstLine="1304"/>
        <w:spacing w:after="0" w:line="300" w:lineRule="auto"/>
        <w:tabs>
          <w:tab w:leader="none" w:pos="2157"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If (i) as of the time of delivery of a Compliance Certificate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it is determined that any Restricted Subsidiary is a Material Specified Subsidiary that is organized in a Specified Jurisdiction, or (ii) any Restricted Subsidiary Guarantees or otherwise becomes an obligor in respect of Indebtedness or other obligations in respect of the Senior Secured Notes or any other third party Indebtedness for borrowed money of an Obligor in an aggregate principal amount in excess of $20,000,000, Parent shall (A) with respect to a determination made pursuant to </w:t>
      </w:r>
      <w:r>
        <w:rPr>
          <w:rFonts w:ascii="Arial" w:cs="Arial" w:eastAsia="Arial" w:hAnsi="Arial"/>
          <w:sz w:val="19"/>
          <w:szCs w:val="19"/>
          <w:u w:val="single" w:color="auto"/>
          <w:color w:val="auto"/>
        </w:rPr>
        <w:t>Section 7.08(a)(i)</w:t>
      </w:r>
      <w:r>
        <w:rPr>
          <w:rFonts w:ascii="Arial" w:cs="Arial" w:eastAsia="Arial" w:hAnsi="Arial"/>
          <w:sz w:val="19"/>
          <w:szCs w:val="19"/>
          <w:color w:val="auto"/>
        </w:rPr>
        <w:t xml:space="preserve"> 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Arial" w:cs="Arial" w:eastAsia="Arial" w:hAnsi="Arial"/>
          <w:sz w:val="19"/>
          <w:szCs w:val="19"/>
          <w:u w:val="single" w:color="auto"/>
          <w:color w:val="auto"/>
        </w:rPr>
        <w:t>Section 7.08(b)</w:t>
      </w:r>
      <w:r>
        <w:rPr>
          <w:rFonts w:ascii="Arial" w:cs="Arial" w:eastAsia="Arial" w:hAnsi="Arial"/>
          <w:sz w:val="19"/>
          <w:szCs w:val="19"/>
          <w:color w:val="auto"/>
        </w:rPr>
        <w:t xml:space="preserve">, as such time period may be extended by the Administrative Agent in its sole discretion), or (B) with respect to any Guarantee provided pursuant to </w:t>
      </w:r>
      <w:r>
        <w:rPr>
          <w:rFonts w:ascii="Arial" w:cs="Arial" w:eastAsia="Arial" w:hAnsi="Arial"/>
          <w:sz w:val="19"/>
          <w:szCs w:val="19"/>
          <w:u w:val="single" w:color="auto"/>
          <w:color w:val="auto"/>
        </w:rPr>
        <w:t>Section 7.08(a)(</w:t>
      </w:r>
      <w:r>
        <w:rPr>
          <w:rFonts w:ascii="Arial" w:cs="Arial" w:eastAsia="Arial" w:hAnsi="Arial"/>
          <w:sz w:val="19"/>
          <w:szCs w:val="19"/>
          <w:color w:val="auto"/>
        </w:rPr>
        <w:t xml:space="preserve">ii) 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395" w:lineRule="exact"/>
        <w:rPr>
          <w:rFonts w:ascii="Arial" w:cs="Arial" w:eastAsia="Arial" w:hAnsi="Arial"/>
          <w:sz w:val="19"/>
          <w:szCs w:val="19"/>
          <w:color w:val="auto"/>
        </w:rPr>
      </w:pPr>
    </w:p>
    <w:p>
      <w:pPr>
        <w:jc w:val="both"/>
        <w:ind w:firstLine="1304"/>
        <w:spacing w:after="0" w:line="276" w:lineRule="auto"/>
        <w:tabs>
          <w:tab w:leader="none" w:pos="2142" w:val="left"/>
        </w:tabs>
        <w:numPr>
          <w:ilvl w:val="0"/>
          <w:numId w:val="349"/>
        </w:numPr>
        <w:rPr>
          <w:rFonts w:ascii="Arial" w:cs="Arial" w:eastAsia="Arial" w:hAnsi="Arial"/>
          <w:sz w:val="21"/>
          <w:szCs w:val="21"/>
          <w:color w:val="auto"/>
        </w:rPr>
      </w:pPr>
      <w:r>
        <w:rPr>
          <w:rFonts w:ascii="Arial" w:cs="Arial" w:eastAsia="Arial" w:hAnsi="Arial"/>
          <w:sz w:val="21"/>
          <w:szCs w:val="21"/>
          <w:color w:val="auto"/>
        </w:rPr>
        <w:t xml:space="preserve">If, in the most recent Compliance Certificate delivered pursuant to </w:t>
      </w:r>
      <w:r>
        <w:rPr>
          <w:rFonts w:ascii="Arial" w:cs="Arial" w:eastAsia="Arial" w:hAnsi="Arial"/>
          <w:sz w:val="21"/>
          <w:szCs w:val="21"/>
          <w:u w:val="single" w:color="auto"/>
          <w:color w:val="auto"/>
        </w:rPr>
        <w:t>Section 7.01(e)</w:t>
      </w:r>
      <w:r>
        <w:rPr>
          <w:rFonts w:ascii="Arial" w:cs="Arial" w:eastAsia="Arial" w:hAnsi="Arial"/>
          <w:sz w:val="21"/>
          <w:szCs w:val="21"/>
          <w:color w:val="auto"/>
        </w:rPr>
        <w:t>,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Parent, which designation shall be deemed to take effect on the Business Day such designation is made.</w:t>
      </w:r>
    </w:p>
    <w:p>
      <w:pPr>
        <w:spacing w:after="0" w:line="150" w:lineRule="exact"/>
        <w:rPr>
          <w:rFonts w:ascii="Arial" w:cs="Arial" w:eastAsia="Arial" w:hAnsi="Arial"/>
          <w:sz w:val="21"/>
          <w:szCs w:val="21"/>
          <w:color w:val="auto"/>
        </w:rPr>
      </w:pPr>
    </w:p>
    <w:p>
      <w:pPr>
        <w:ind w:right="20" w:firstLine="1304"/>
        <w:spacing w:after="0" w:line="276" w:lineRule="auto"/>
        <w:tabs>
          <w:tab w:leader="none" w:pos="2089" w:val="left"/>
        </w:tabs>
        <w:numPr>
          <w:ilvl w:val="0"/>
          <w:numId w:val="349"/>
        </w:numPr>
        <w:rPr>
          <w:rFonts w:ascii="Arial" w:cs="Arial" w:eastAsia="Arial" w:hAnsi="Arial"/>
          <w:sz w:val="22"/>
          <w:szCs w:val="22"/>
          <w:color w:val="auto"/>
        </w:rPr>
      </w:pPr>
      <w:r>
        <w:rPr>
          <w:rFonts w:ascii="Arial" w:cs="Arial" w:eastAsia="Arial" w:hAnsi="Arial"/>
          <w:sz w:val="22"/>
          <w:szCs w:val="22"/>
          <w:color w:val="auto"/>
        </w:rPr>
        <w:t>As promptly as possible but in any event within 45 days (or such later date as may be agreed upon by the Administrative Agent) after any Person becomes an Obligor pursuant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7" w:name="page328"/>
    <w:bookmarkEnd w:id="327"/>
    <w:p>
      <w:pPr>
        <w:jc w:val="both"/>
        <w:spacing w:after="0" w:line="302" w:lineRule="auto"/>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Section 7.08(a)</w:t>
      </w:r>
      <w:r>
        <w:rPr>
          <w:rFonts w:ascii="Arial" w:cs="Arial" w:eastAsia="Arial" w:hAnsi="Arial"/>
          <w:sz w:val="19"/>
          <w:szCs w:val="19"/>
          <w:color w:val="auto"/>
        </w:rPr>
        <w:t xml:space="preserve"> 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 (ii) subject to the Intercreditor Agreement, all of the issued and outstanding 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116" w:lineRule="exact"/>
        <w:rPr>
          <w:sz w:val="20"/>
          <w:szCs w:val="20"/>
          <w:color w:val="auto"/>
        </w:rPr>
      </w:pPr>
    </w:p>
    <w:p>
      <w:pPr>
        <w:jc w:val="both"/>
        <w:ind w:firstLine="1304"/>
        <w:spacing w:after="0" w:line="300" w:lineRule="auto"/>
        <w:tabs>
          <w:tab w:leader="none" w:pos="2101"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As promptly as possible but in any event within 45 days (or such later date as may be agreed upon by the Administrative Agent) after (i) an Obligor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 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(ii) to the extent not covered by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immediately above, an Obligor acquires or holds Capital Stock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each Pledged 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133" w:lineRule="exact"/>
        <w:rPr>
          <w:rFonts w:ascii="Arial" w:cs="Arial" w:eastAsia="Arial" w:hAnsi="Arial"/>
          <w:sz w:val="19"/>
          <w:szCs w:val="19"/>
          <w:color w:val="auto"/>
        </w:rPr>
      </w:pPr>
    </w:p>
    <w:p>
      <w:pPr>
        <w:jc w:val="both"/>
        <w:ind w:right="20" w:firstLine="1304"/>
        <w:spacing w:after="0" w:line="327" w:lineRule="auto"/>
        <w:tabs>
          <w:tab w:leader="none" w:pos="2116" w:val="left"/>
        </w:tabs>
        <w:numPr>
          <w:ilvl w:val="0"/>
          <w:numId w:val="350"/>
        </w:numPr>
        <w:rPr>
          <w:rFonts w:ascii="Arial" w:cs="Arial" w:eastAsia="Arial" w:hAnsi="Arial"/>
          <w:sz w:val="19"/>
          <w:szCs w:val="19"/>
          <w:color w:val="auto"/>
        </w:rPr>
      </w:pPr>
      <w:r>
        <w:rPr>
          <w:rFonts w:ascii="Arial" w:cs="Arial" w:eastAsia="Arial" w:hAnsi="Arial"/>
          <w:sz w:val="19"/>
          <w:szCs w:val="19"/>
          <w:color w:val="auto"/>
        </w:rPr>
        <w:t>Within 120 days after the Effective Date (or such later date as the Administrative Agent may agree in its sole discretion), Parent shall, and shall cause each Obligor that owns Material Real Property as of the Effective Date to, deliver Mortgages and Real Estate Deliverables with respect to such Material Real Property (and, to the extent not constituting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8" w:name="page329"/>
    <w:bookmarkEnd w:id="328"/>
    <w:p>
      <w:pPr>
        <w:jc w:val="both"/>
        <w:spacing w:after="0" w:line="272" w:lineRule="auto"/>
        <w:rPr>
          <w:sz w:val="20"/>
          <w:szCs w:val="20"/>
          <w:color w:val="auto"/>
        </w:rPr>
      </w:pPr>
      <w:r>
        <w:rPr>
          <w:rFonts w:ascii="Arial" w:cs="Arial" w:eastAsia="Arial" w:hAnsi="Arial"/>
          <w:sz w:val="21"/>
          <w:szCs w:val="21"/>
          <w:color w:val="auto"/>
        </w:rPr>
        <w:t xml:space="preserve">Material Real Property, the Effective Date Real Property) to the Administrative Agent. Notwithstanding the foregoing, the Administrative Agent (in consultation with the Lenders) may waive the requirement contained in this </w:t>
      </w:r>
      <w:r>
        <w:rPr>
          <w:rFonts w:ascii="Arial" w:cs="Arial" w:eastAsia="Arial" w:hAnsi="Arial"/>
          <w:sz w:val="21"/>
          <w:szCs w:val="21"/>
          <w:u w:val="single" w:color="auto"/>
          <w:color w:val="auto"/>
        </w:rPr>
        <w:t>Section 7.08(e)</w:t>
      </w:r>
      <w:r>
        <w:rPr>
          <w:rFonts w:ascii="Arial" w:cs="Arial" w:eastAsia="Arial" w:hAnsi="Arial"/>
          <w:sz w:val="21"/>
          <w:szCs w:val="21"/>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42" w:lineRule="exact"/>
        <w:rPr>
          <w:sz w:val="20"/>
          <w:szCs w:val="20"/>
          <w:color w:val="auto"/>
        </w:rPr>
      </w:pPr>
    </w:p>
    <w:p>
      <w:pPr>
        <w:jc w:val="both"/>
        <w:ind w:firstLine="1304"/>
        <w:spacing w:after="0" w:line="302" w:lineRule="auto"/>
        <w:tabs>
          <w:tab w:leader="none" w:pos="2187"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Arial" w:cs="Arial" w:eastAsia="Arial" w:hAnsi="Arial"/>
          <w:sz w:val="19"/>
          <w:szCs w:val="19"/>
          <w:u w:val="single" w:color="auto"/>
          <w:color w:val="auto"/>
        </w:rPr>
        <w:t>Section 7.08(f)</w:t>
      </w:r>
      <w:r>
        <w:rPr>
          <w:rFonts w:ascii="Arial" w:cs="Arial" w:eastAsia="Arial" w:hAnsi="Arial"/>
          <w:sz w:val="19"/>
          <w:szCs w:val="19"/>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34" w:lineRule="exact"/>
        <w:rPr>
          <w:rFonts w:ascii="Arial" w:cs="Arial" w:eastAsia="Arial" w:hAnsi="Arial"/>
          <w:sz w:val="19"/>
          <w:szCs w:val="19"/>
          <w:color w:val="auto"/>
        </w:rPr>
      </w:pPr>
    </w:p>
    <w:p>
      <w:pPr>
        <w:jc w:val="both"/>
        <w:ind w:firstLine="1304"/>
        <w:spacing w:after="0" w:line="302" w:lineRule="auto"/>
        <w:tabs>
          <w:tab w:leader="none" w:pos="2277"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21" w:lineRule="exact"/>
        <w:rPr>
          <w:rFonts w:ascii="Arial" w:cs="Arial" w:eastAsia="Arial" w:hAnsi="Arial"/>
          <w:sz w:val="19"/>
          <w:szCs w:val="19"/>
          <w:color w:val="auto"/>
        </w:rPr>
      </w:pPr>
    </w:p>
    <w:p>
      <w:pPr>
        <w:jc w:val="both"/>
        <w:ind w:firstLine="1304"/>
        <w:spacing w:after="0" w:line="266" w:lineRule="auto"/>
        <w:tabs>
          <w:tab w:leader="none" w:pos="241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If any Intellectual Property registration or application is acquired or filed by an Obligor after the Effective Date, Parent will notify the Administrative Agent thereof, and, within 60 days after such acquisition or filing (or such later date as the Administrative Agent may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9" w:name="page330"/>
    <w:bookmarkEnd w:id="329"/>
    <w:p>
      <w:pPr>
        <w:spacing w:after="0" w:line="276" w:lineRule="auto"/>
        <w:rPr>
          <w:sz w:val="20"/>
          <w:szCs w:val="20"/>
          <w:color w:val="auto"/>
        </w:rPr>
      </w:pPr>
      <w:r>
        <w:rPr>
          <w:rFonts w:ascii="Arial" w:cs="Arial" w:eastAsia="Arial" w:hAnsi="Arial"/>
          <w:sz w:val="22"/>
          <w:szCs w:val="22"/>
          <w:color w:val="auto"/>
        </w:rPr>
        <w:t>agree in its sole discretion), to the extent reasonably requested by the Administrative Agent, such Obligor shall execute and deliver the related IP Short Forms to the Administrative Agent.</w:t>
      </w:r>
    </w:p>
    <w:p>
      <w:pPr>
        <w:spacing w:after="0" w:line="134" w:lineRule="exact"/>
        <w:rPr>
          <w:sz w:val="20"/>
          <w:szCs w:val="20"/>
          <w:color w:val="auto"/>
        </w:rPr>
      </w:pPr>
    </w:p>
    <w:p>
      <w:pPr>
        <w:jc w:val="both"/>
        <w:ind w:firstLine="1304"/>
        <w:spacing w:after="0" w:line="301" w:lineRule="auto"/>
        <w:tabs>
          <w:tab w:leader="none" w:pos="2256" w:val="left"/>
        </w:tabs>
        <w:numPr>
          <w:ilvl w:val="0"/>
          <w:numId w:val="352"/>
        </w:numPr>
        <w:rPr>
          <w:rFonts w:ascii="Arial" w:cs="Arial" w:eastAsia="Arial" w:hAnsi="Arial"/>
          <w:sz w:val="19"/>
          <w:szCs w:val="19"/>
          <w:color w:val="auto"/>
        </w:rPr>
      </w:pPr>
      <w:r>
        <w:rPr>
          <w:rFonts w:ascii="Arial" w:cs="Arial" w:eastAsia="Arial" w:hAnsi="Arial"/>
          <w:sz w:val="19"/>
          <w:szCs w:val="19"/>
          <w:color w:val="auto"/>
        </w:rPr>
        <w:t xml:space="preserve">At any time, at its option, and with the consent of the Administrative Agent (such consent not to be unreasonably withheld or delayed), Parent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Arial" w:cs="Arial" w:eastAsia="Arial" w:hAnsi="Arial"/>
          <w:sz w:val="19"/>
          <w:szCs w:val="19"/>
          <w:u w:val="single" w:color="auto"/>
          <w:color w:val="auto"/>
        </w:rPr>
        <w:t>Section 5.02(a)</w:t>
      </w:r>
      <w:r>
        <w:rPr>
          <w:rFonts w:ascii="Arial" w:cs="Arial" w:eastAsia="Arial" w:hAnsi="Arial"/>
          <w:sz w:val="19"/>
          <w:szCs w:val="19"/>
          <w:color w:val="auto"/>
        </w:rPr>
        <w:t>, and (iii) 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19"/>
          <w:szCs w:val="19"/>
          <w:u w:val="single" w:color="auto"/>
          <w:color w:val="auto"/>
        </w:rPr>
        <w:t>Added Guarantor</w:t>
      </w:r>
      <w:r>
        <w:rPr>
          <w:rFonts w:ascii="Arial" w:cs="Arial" w:eastAsia="Arial" w:hAnsi="Arial"/>
          <w:sz w:val="19"/>
          <w:szCs w:val="19"/>
          <w:color w:val="auto"/>
        </w:rPr>
        <w:t>”). Notwithstanding anything to the contrary herein, no Added Guarantor shall become a party to any Collateral Document except as elected by Parent and consented to by the Administrative Agent.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firstLine="1304"/>
        <w:spacing w:after="0" w:line="302" w:lineRule="auto"/>
        <w:tabs>
          <w:tab w:leader="none" w:pos="2161" w:val="left"/>
        </w:tabs>
        <w:numPr>
          <w:ilvl w:val="0"/>
          <w:numId w:val="35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(including this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Patriot Act searches, OFAC/PEP searches and customary individual background checks for such Surviving Person or Subsidiary, the results of which shall be satisfactory to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delays with respect to the delivery, execution or effectiveness of any Loan Document or other deliverable caused by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shall not constitute a Default or an Event of Default.</w:t>
      </w:r>
    </w:p>
    <w:p>
      <w:pPr>
        <w:spacing w:after="0" w:line="386" w:lineRule="exact"/>
        <w:rPr>
          <w:rFonts w:ascii="Arial" w:cs="Arial" w:eastAsia="Arial" w:hAnsi="Arial"/>
          <w:sz w:val="19"/>
          <w:szCs w:val="19"/>
          <w:color w:val="auto"/>
        </w:rPr>
      </w:pPr>
    </w:p>
    <w:p>
      <w:pPr>
        <w:ind w:right="60" w:firstLine="1304"/>
        <w:spacing w:after="0" w:line="262" w:lineRule="auto"/>
        <w:tabs>
          <w:tab w:leader="none" w:pos="2088" w:val="left"/>
        </w:tabs>
        <w:numPr>
          <w:ilvl w:val="0"/>
          <w:numId w:val="352"/>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Collateral Document, the Obligors shall not be required to take any actions to grant or perfect the security interests of the Administrative Agent in any Capital Stock in any Foreign Subsidiary, joint venture or non-Wholly-Owned Subsidiary that is a Subsidiary of an Obligor in any jurisdiction other than a Specified Jurisdiction.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0" w:name="page331"/>
    <w:bookmarkEnd w:id="330"/>
    <w:p>
      <w:pPr>
        <w:jc w:val="both"/>
        <w:ind w:firstLine="648"/>
        <w:spacing w:after="0" w:line="262" w:lineRule="auto"/>
        <w:rPr>
          <w:sz w:val="20"/>
          <w:szCs w:val="20"/>
          <w:color w:val="auto"/>
        </w:rPr>
      </w:pPr>
      <w:r>
        <w:rPr>
          <w:rFonts w:ascii="Arial" w:cs="Arial" w:eastAsia="Arial" w:hAnsi="Arial"/>
          <w:sz w:val="22"/>
          <w:szCs w:val="22"/>
          <w:color w:val="auto"/>
        </w:rPr>
        <w:t>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Arial" w:cs="Arial" w:eastAsia="Arial" w:hAnsi="Arial"/>
          <w:sz w:val="22"/>
          <w:szCs w:val="22"/>
          <w:u w:val="single" w:color="auto"/>
          <w:color w:val="auto"/>
        </w:rPr>
        <w:t>Insurance Act</w:t>
      </w:r>
      <w:r>
        <w:rPr>
          <w:rFonts w:ascii="Arial" w:cs="Arial" w:eastAsia="Arial" w:hAnsi="Arial"/>
          <w:sz w:val="22"/>
          <w:szCs w:val="22"/>
          <w:color w:val="auto"/>
        </w:rPr>
        <w:t>”) and remains in compliance with sections 31A through 31C of the Insurance Act.</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Designation of Unrestricted Subsidiaries; Redesignation of Unrestricted Subsidiaries as Restricted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Subsidiaries.</w:t>
      </w:r>
    </w:p>
    <w:p>
      <w:pPr>
        <w:spacing w:after="0" w:line="147" w:lineRule="exact"/>
        <w:rPr>
          <w:sz w:val="20"/>
          <w:szCs w:val="20"/>
          <w:color w:val="auto"/>
        </w:rPr>
      </w:pPr>
    </w:p>
    <w:p>
      <w:pPr>
        <w:ind w:firstLine="1304"/>
        <w:spacing w:after="0" w:line="276" w:lineRule="auto"/>
        <w:tabs>
          <w:tab w:leader="none" w:pos="218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 xml:space="preserve">Unless designated as an Unrestricted Subsidiary pursuant to this </w:t>
      </w:r>
      <w:r>
        <w:rPr>
          <w:rFonts w:ascii="Arial" w:cs="Arial" w:eastAsia="Arial" w:hAnsi="Arial"/>
          <w:sz w:val="22"/>
          <w:szCs w:val="22"/>
          <w:u w:val="single" w:color="auto"/>
          <w:color w:val="auto"/>
        </w:rPr>
        <w:t>Section 7.09</w:t>
      </w:r>
      <w:r>
        <w:rPr>
          <w:rFonts w:ascii="Arial" w:cs="Arial" w:eastAsia="Arial" w:hAnsi="Arial"/>
          <w:sz w:val="22"/>
          <w:szCs w:val="22"/>
          <w:color w:val="auto"/>
        </w:rPr>
        <w:t>, each Subsidiary shall be classified as a Restricted Subsidiary.</w:t>
      </w:r>
    </w:p>
    <w:p>
      <w:pPr>
        <w:spacing w:after="0" w:line="133" w:lineRule="exact"/>
        <w:rPr>
          <w:rFonts w:ascii="Arial" w:cs="Arial" w:eastAsia="Arial" w:hAnsi="Arial"/>
          <w:sz w:val="22"/>
          <w:szCs w:val="22"/>
          <w:color w:val="auto"/>
        </w:rPr>
      </w:pPr>
    </w:p>
    <w:p>
      <w:pPr>
        <w:jc w:val="both"/>
        <w:ind w:firstLine="1304"/>
        <w:spacing w:after="0" w:line="266" w:lineRule="auto"/>
        <w:tabs>
          <w:tab w:leader="none" w:pos="2101" w:val="left"/>
        </w:tabs>
        <w:numPr>
          <w:ilvl w:val="0"/>
          <w:numId w:val="353"/>
        </w:numPr>
        <w:rPr>
          <w:rFonts w:ascii="Arial" w:cs="Arial" w:eastAsia="Arial" w:hAnsi="Arial"/>
          <w:sz w:val="22"/>
          <w:szCs w:val="22"/>
          <w:color w:val="auto"/>
        </w:rPr>
      </w:pPr>
      <w:r>
        <w:rPr>
          <w:rFonts w:ascii="Arial" w:cs="Arial" w:eastAsia="Arial" w:hAnsi="Arial"/>
          <w:sz w:val="22"/>
          <w:szCs w:val="22"/>
          <w:color w:val="auto"/>
        </w:rPr>
        <w:t xml:space="preserve">If Parent designates any Subsidiary as an Unrestricted Subsidiary pursuant to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below, Parent shall be deemed to have made an Investment in such Unrestricted Subsidiary in an amount equal to the fair market value as of the date of such designation of the consolidated assets of such Subsidiary.</w:t>
      </w:r>
    </w:p>
    <w:p>
      <w:pPr>
        <w:spacing w:after="0" w:line="144" w:lineRule="exact"/>
        <w:rPr>
          <w:rFonts w:ascii="Arial" w:cs="Arial" w:eastAsia="Arial" w:hAnsi="Arial"/>
          <w:sz w:val="22"/>
          <w:szCs w:val="22"/>
          <w:color w:val="auto"/>
        </w:rPr>
      </w:pPr>
    </w:p>
    <w:p>
      <w:pPr>
        <w:ind w:firstLine="1304"/>
        <w:spacing w:after="0" w:line="276" w:lineRule="auto"/>
        <w:tabs>
          <w:tab w:leader="none" w:pos="222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On and after the Amendment No. 1 Effective Date, Parent may not designate any Subsidiary to be an Unrestricted Subsidiary without the written consent of the Administrative Agent.</w:t>
      </w:r>
    </w:p>
    <w:p>
      <w:pPr>
        <w:spacing w:after="0" w:line="147" w:lineRule="exact"/>
        <w:rPr>
          <w:rFonts w:ascii="Arial" w:cs="Arial" w:eastAsia="Arial" w:hAnsi="Arial"/>
          <w:sz w:val="22"/>
          <w:szCs w:val="22"/>
          <w:color w:val="auto"/>
        </w:rPr>
      </w:pPr>
    </w:p>
    <w:p>
      <w:pPr>
        <w:jc w:val="both"/>
        <w:ind w:firstLine="1304"/>
        <w:spacing w:after="0" w:line="262" w:lineRule="auto"/>
        <w:tabs>
          <w:tab w:leader="none" w:pos="2209" w:val="left"/>
        </w:tabs>
        <w:numPr>
          <w:ilvl w:val="0"/>
          <w:numId w:val="353"/>
        </w:numPr>
        <w:rPr>
          <w:rFonts w:ascii="Arial" w:cs="Arial" w:eastAsia="Arial" w:hAnsi="Arial"/>
          <w:sz w:val="22"/>
          <w:szCs w:val="22"/>
          <w:color w:val="auto"/>
        </w:rPr>
      </w:pPr>
      <w:r>
        <w:rPr>
          <w:rFonts w:ascii="Arial" w:cs="Arial" w:eastAsia="Arial" w:hAnsi="Arial"/>
          <w:sz w:val="22"/>
          <w:szCs w:val="22"/>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22"/>
          <w:szCs w:val="22"/>
          <w:u w:val="single" w:color="auto"/>
          <w:color w:val="auto"/>
        </w:rPr>
        <w:t>Section 7.09(d)</w:t>
      </w:r>
      <w:r>
        <w:rPr>
          <w:rFonts w:ascii="Arial" w:cs="Arial" w:eastAsia="Arial" w:hAnsi="Arial"/>
          <w:sz w:val="22"/>
          <w:szCs w:val="22"/>
          <w:color w:val="auto"/>
        </w:rPr>
        <w:t xml:space="preserve"> (in addition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and any other relevant provisions herein).</w:t>
      </w:r>
    </w:p>
    <w:p>
      <w:pPr>
        <w:spacing w:after="0" w:line="150" w:lineRule="exact"/>
        <w:rPr>
          <w:rFonts w:ascii="Arial" w:cs="Arial" w:eastAsia="Arial" w:hAnsi="Arial"/>
          <w:sz w:val="22"/>
          <w:szCs w:val="22"/>
          <w:color w:val="auto"/>
        </w:rPr>
      </w:pPr>
    </w:p>
    <w:p>
      <w:pPr>
        <w:ind w:left="2360" w:hanging="1056"/>
        <w:spacing w:after="0"/>
        <w:tabs>
          <w:tab w:leader="none" w:pos="236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Notwithstanding the foregoing or anything to the contrary contained herein, no Obligor may be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Unrestricted Subsidiary.</w:t>
      </w:r>
    </w:p>
    <w:p>
      <w:pPr>
        <w:spacing w:after="0" w:line="188"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u w:val="single" w:color="auto"/>
          <w:color w:val="auto"/>
        </w:rPr>
        <w:t>Compliance with the Swiss Non-Bank Rules.</w:t>
      </w:r>
    </w:p>
    <w:p>
      <w:pPr>
        <w:spacing w:after="0" w:line="206" w:lineRule="exact"/>
        <w:rPr>
          <w:sz w:val="20"/>
          <w:szCs w:val="20"/>
          <w:color w:val="auto"/>
        </w:rPr>
      </w:pPr>
    </w:p>
    <w:p>
      <w:pPr>
        <w:jc w:val="both"/>
        <w:ind w:firstLine="1304"/>
        <w:spacing w:after="0" w:line="266" w:lineRule="auto"/>
        <w:tabs>
          <w:tab w:leader="none" w:pos="2319" w:val="left"/>
        </w:tabs>
        <w:numPr>
          <w:ilvl w:val="0"/>
          <w:numId w:val="354"/>
        </w:numPr>
        <w:rPr>
          <w:rFonts w:ascii="Arial" w:cs="Arial" w:eastAsia="Arial" w:hAnsi="Arial"/>
          <w:sz w:val="22"/>
          <w:szCs w:val="22"/>
          <w:color w:val="auto"/>
        </w:rPr>
      </w:pPr>
      <w:r>
        <w:rPr>
          <w:rFonts w:ascii="Arial" w:cs="Arial" w:eastAsia="Arial" w:hAnsi="Arial"/>
          <w:sz w:val="22"/>
          <w:szCs w:val="22"/>
          <w:color w:val="auto"/>
        </w:rPr>
        <w:t xml:space="preserve">Each Swiss Obligor shall comply with the Swiss Non-Bank Rules;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Swiss Obligor shall not be in breach of this covenant if the permitted number of Swiss Non-Qualifying Lenders is exceeded solely by reason of:</w:t>
      </w:r>
    </w:p>
    <w:p>
      <w:pPr>
        <w:spacing w:after="0" w:line="144" w:lineRule="exact"/>
        <w:rPr>
          <w:rFonts w:ascii="Arial" w:cs="Arial" w:eastAsia="Arial" w:hAnsi="Arial"/>
          <w:sz w:val="22"/>
          <w:szCs w:val="22"/>
          <w:color w:val="auto"/>
        </w:rPr>
      </w:pPr>
    </w:p>
    <w:p>
      <w:pPr>
        <w:ind w:left="660" w:firstLine="1292"/>
        <w:spacing w:after="0" w:line="276" w:lineRule="auto"/>
        <w:tabs>
          <w:tab w:leader="none" w:pos="3118" w:val="left"/>
        </w:tabs>
        <w:numPr>
          <w:ilvl w:val="1"/>
          <w:numId w:val="354"/>
        </w:numPr>
        <w:rPr>
          <w:rFonts w:ascii="Arial" w:cs="Arial" w:eastAsia="Arial" w:hAnsi="Arial"/>
          <w:sz w:val="22"/>
          <w:szCs w:val="22"/>
          <w:color w:val="auto"/>
        </w:rPr>
      </w:pPr>
      <w:r>
        <w:rPr>
          <w:rFonts w:ascii="Arial" w:cs="Arial" w:eastAsia="Arial" w:hAnsi="Arial"/>
          <w:sz w:val="22"/>
          <w:szCs w:val="22"/>
          <w:color w:val="auto"/>
        </w:rPr>
        <w:t xml:space="preserve">a failure by one or more Lenders or Participants to comply with their obligations under </w:t>
      </w:r>
      <w:r>
        <w:rPr>
          <w:rFonts w:ascii="Arial" w:cs="Arial" w:eastAsia="Arial" w:hAnsi="Arial"/>
          <w:sz w:val="22"/>
          <w:szCs w:val="22"/>
          <w:u w:val="single" w:color="auto"/>
          <w:color w:val="auto"/>
        </w:rPr>
        <w:t>Section 11.05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11.25</w:t>
      </w:r>
      <w:r>
        <w:rPr>
          <w:rFonts w:ascii="Arial" w:cs="Arial" w:eastAsia="Arial" w:hAnsi="Arial"/>
          <w:sz w:val="22"/>
          <w:szCs w:val="22"/>
          <w:color w:val="auto"/>
        </w:rPr>
        <w:t>;</w:t>
      </w:r>
    </w:p>
    <w:p>
      <w:pPr>
        <w:spacing w:after="0" w:line="133" w:lineRule="exact"/>
        <w:rPr>
          <w:rFonts w:ascii="Arial" w:cs="Arial" w:eastAsia="Arial" w:hAnsi="Arial"/>
          <w:sz w:val="22"/>
          <w:szCs w:val="22"/>
          <w:color w:val="auto"/>
        </w:rPr>
      </w:pPr>
    </w:p>
    <w:p>
      <w:pPr>
        <w:ind w:left="660" w:firstLine="1292"/>
        <w:spacing w:after="0" w:line="276" w:lineRule="auto"/>
        <w:tabs>
          <w:tab w:leader="none" w:pos="3070" w:val="left"/>
        </w:tabs>
        <w:numPr>
          <w:ilvl w:val="1"/>
          <w:numId w:val="354"/>
        </w:numPr>
        <w:rPr>
          <w:rFonts w:ascii="Arial" w:cs="Arial" w:eastAsia="Arial" w:hAnsi="Arial"/>
          <w:sz w:val="22"/>
          <w:szCs w:val="22"/>
          <w:color w:val="auto"/>
        </w:rPr>
      </w:pPr>
      <w:r>
        <w:rPr>
          <w:rFonts w:ascii="Arial" w:cs="Arial" w:eastAsia="Arial" w:hAnsi="Arial"/>
          <w:sz w:val="22"/>
          <w:szCs w:val="22"/>
          <w:color w:val="auto"/>
        </w:rPr>
        <w:t>a confirmation made by one or more Lenders or Participants to be one single Swiss Non-Qualifying Lender is incorrect;</w:t>
      </w:r>
    </w:p>
    <w:p>
      <w:pPr>
        <w:spacing w:after="0" w:line="147" w:lineRule="exact"/>
        <w:rPr>
          <w:rFonts w:ascii="Arial" w:cs="Arial" w:eastAsia="Arial" w:hAnsi="Arial"/>
          <w:sz w:val="22"/>
          <w:szCs w:val="22"/>
          <w:color w:val="auto"/>
        </w:rPr>
      </w:pPr>
    </w:p>
    <w:p>
      <w:pPr>
        <w:jc w:val="both"/>
        <w:ind w:left="660" w:firstLine="1292"/>
        <w:spacing w:after="0" w:line="317" w:lineRule="auto"/>
        <w:tabs>
          <w:tab w:leader="none" w:pos="2860" w:val="left"/>
        </w:tabs>
        <w:numPr>
          <w:ilvl w:val="1"/>
          <w:numId w:val="354"/>
        </w:numPr>
        <w:rPr>
          <w:rFonts w:ascii="Arial" w:cs="Arial" w:eastAsia="Arial" w:hAnsi="Arial"/>
          <w:sz w:val="19"/>
          <w:szCs w:val="19"/>
          <w:color w:val="auto"/>
        </w:rPr>
      </w:pPr>
      <w:r>
        <w:rPr>
          <w:rFonts w:ascii="Arial" w:cs="Arial" w:eastAsia="Arial" w:hAnsi="Arial"/>
          <w:sz w:val="19"/>
          <w:szCs w:val="19"/>
          <w:color w:val="auto"/>
        </w:rPr>
        <w:t>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1" w:name="page332"/>
    <w:bookmarkEnd w:id="331"/>
    <w:p>
      <w:pPr>
        <w:ind w:left="660" w:firstLine="1292"/>
        <w:spacing w:after="0" w:line="276" w:lineRule="auto"/>
        <w:tabs>
          <w:tab w:leader="none" w:pos="2889" w:val="left"/>
        </w:tabs>
        <w:numPr>
          <w:ilvl w:val="1"/>
          <w:numId w:val="355"/>
        </w:numPr>
        <w:rPr>
          <w:rFonts w:ascii="Arial" w:cs="Arial" w:eastAsia="Arial" w:hAnsi="Arial"/>
          <w:sz w:val="22"/>
          <w:szCs w:val="22"/>
          <w:color w:val="auto"/>
        </w:rPr>
      </w:pPr>
      <w:r>
        <w:rPr>
          <w:rFonts w:ascii="Arial" w:cs="Arial" w:eastAsia="Arial" w:hAnsi="Arial"/>
          <w:sz w:val="22"/>
          <w:szCs w:val="22"/>
          <w:color w:val="auto"/>
        </w:rPr>
        <w:t>an assignment or participation of any Commitments or LC Exposure under this Agreement to a Swiss Non-Qualifying Lender after the occurrence of an Event of Default.</w:t>
      </w:r>
    </w:p>
    <w:p>
      <w:pPr>
        <w:spacing w:after="0" w:line="133" w:lineRule="exact"/>
        <w:rPr>
          <w:rFonts w:ascii="Arial" w:cs="Arial" w:eastAsia="Arial" w:hAnsi="Arial"/>
          <w:sz w:val="22"/>
          <w:szCs w:val="22"/>
          <w:color w:val="auto"/>
        </w:rPr>
      </w:pPr>
    </w:p>
    <w:p>
      <w:pPr>
        <w:ind w:left="660" w:right="440" w:firstLine="698"/>
        <w:spacing w:after="0" w:line="301" w:lineRule="auto"/>
        <w:tabs>
          <w:tab w:leader="none" w:pos="2154" w:val="left"/>
        </w:tabs>
        <w:numPr>
          <w:ilvl w:val="0"/>
          <w:numId w:val="356"/>
        </w:numPr>
        <w:rPr>
          <w:rFonts w:ascii="Arial" w:cs="Arial" w:eastAsia="Arial" w:hAnsi="Arial"/>
          <w:sz w:val="21"/>
          <w:szCs w:val="21"/>
          <w:color w:val="auto"/>
        </w:rPr>
      </w:pPr>
      <w:r>
        <w:rPr>
          <w:rFonts w:ascii="Arial" w:cs="Arial" w:eastAsia="Arial" w:hAnsi="Arial"/>
          <w:sz w:val="21"/>
          <w:szCs w:val="21"/>
          <w:color w:val="auto"/>
        </w:rPr>
        <w:t xml:space="preserve">For the purposes of this </w:t>
      </w:r>
      <w:r>
        <w:rPr>
          <w:rFonts w:ascii="Arial" w:cs="Arial" w:eastAsia="Arial" w:hAnsi="Arial"/>
          <w:sz w:val="21"/>
          <w:szCs w:val="21"/>
          <w:u w:val="single" w:color="auto"/>
          <w:color w:val="auto"/>
        </w:rPr>
        <w:t>Section 7.10</w:t>
      </w:r>
      <w:r>
        <w:rPr>
          <w:rFonts w:ascii="Arial" w:cs="Arial" w:eastAsia="Arial" w:hAnsi="Arial"/>
          <w:sz w:val="21"/>
          <w:szCs w:val="21"/>
          <w:color w:val="auto"/>
        </w:rPr>
        <w:t>, each Swiss Obligor shall assume that the aggregate number of Lenders and Participants under this Agreement which are Swiss Non-Qualifying Lenders is ten.</w:t>
      </w:r>
    </w:p>
    <w:p>
      <w:pPr>
        <w:spacing w:after="0" w:line="1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Post-Closing Grant and Perfection Requirements Matters</w:t>
      </w:r>
      <w:r>
        <w:rPr>
          <w:rFonts w:ascii="Arial" w:cs="Arial" w:eastAsia="Arial" w:hAnsi="Arial"/>
          <w:sz w:val="22"/>
          <w:szCs w:val="22"/>
          <w:color w:val="auto"/>
        </w:rPr>
        <w:t xml:space="preserve">. Parent shall, and shall cause each Restricted Subsidiary to, satisfy each requirement set forth on </w:t>
      </w:r>
      <w:r>
        <w:rPr>
          <w:rFonts w:ascii="Arial" w:cs="Arial" w:eastAsia="Arial" w:hAnsi="Arial"/>
          <w:sz w:val="22"/>
          <w:szCs w:val="22"/>
          <w:u w:val="single" w:color="auto"/>
          <w:color w:val="auto"/>
        </w:rPr>
        <w:t>Schedule 7.11</w:t>
      </w:r>
      <w:r>
        <w:rPr>
          <w:rFonts w:ascii="Arial" w:cs="Arial" w:eastAsia="Arial" w:hAnsi="Arial"/>
          <w:sz w:val="22"/>
          <w:szCs w:val="22"/>
          <w:color w:val="auto"/>
        </w:rPr>
        <w:t xml:space="preserve"> on or before the date set forth on such Schedule (or such later date as the Administrative Agent may agree in its sole discretion).</w:t>
      </w:r>
    </w:p>
    <w:p>
      <w:pPr>
        <w:spacing w:after="0" w:line="1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Status as a Holding Company</w:t>
      </w:r>
      <w:r>
        <w:rPr>
          <w:rFonts w:ascii="Arial" w:cs="Arial" w:eastAsia="Arial" w:hAnsi="Arial"/>
          <w:sz w:val="22"/>
          <w:szCs w:val="22"/>
          <w:color w:val="auto"/>
        </w:rPr>
        <w:t>. Parent shall not have any operating assets or engage in any business other than any customary business of a holding company and ordinary course business operations of Parent in existence prior to the Effective Date.</w:t>
      </w:r>
    </w:p>
    <w:p>
      <w:pPr>
        <w:spacing w:after="0" w:line="1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SECTION 7.13 </w:t>
      </w:r>
      <w:r>
        <w:rPr>
          <w:rFonts w:ascii="Arial" w:cs="Arial" w:eastAsia="Arial" w:hAnsi="Arial"/>
          <w:sz w:val="21"/>
          <w:szCs w:val="21"/>
          <w:u w:val="single" w:color="auto"/>
          <w:color w:val="auto"/>
        </w:rPr>
        <w:t>Lender Meeting</w:t>
      </w:r>
      <w:r>
        <w:rPr>
          <w:rFonts w:ascii="Arial" w:cs="Arial" w:eastAsia="Arial" w:hAnsi="Arial"/>
          <w:sz w:val="21"/>
          <w:szCs w:val="21"/>
          <w:color w:val="auto"/>
        </w:rPr>
        <w:t>. Parent will, within 90 days after the close of each Fiscal Year of Parent, at the request of Administrative Agent or of the Required Lenders and upon reasonable prior notice, hold a conference call (at a mutually agreeable time) with all Lenders who choose to attend such conference call during which the financial results of the previous Fiscal Year and the financial condition of the Obligors and their Subsidiaries and the projections presented for the current Fiscal Year shall be reviewed; provided that the foregoing requirement may be satisfied by public earnings calls for all shareholders that are open to the Administrative Agent and the Lenders.</w:t>
      </w:r>
    </w:p>
    <w:p>
      <w:pPr>
        <w:spacing w:after="0" w:line="15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Section 8.05 excepted (except where the failure to so maintain and preserve assets could not reasonably be expected to result in a Material Adverse Effect).</w:t>
      </w:r>
    </w:p>
    <w:p>
      <w:pPr>
        <w:spacing w:after="0" w:line="10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SECTION 7.15 </w:t>
      </w:r>
      <w:r>
        <w:rPr>
          <w:rFonts w:ascii="Arial" w:cs="Arial" w:eastAsia="Arial" w:hAnsi="Arial"/>
          <w:sz w:val="21"/>
          <w:szCs w:val="21"/>
          <w:u w:val="single" w:color="auto"/>
          <w:color w:val="auto"/>
        </w:rPr>
        <w:t>Morgan Stanley Letters of Credit</w:t>
      </w:r>
      <w:r>
        <w:rPr>
          <w:rFonts w:ascii="Arial" w:cs="Arial" w:eastAsia="Arial" w:hAnsi="Arial"/>
          <w:sz w:val="21"/>
          <w:szCs w:val="21"/>
          <w:color w:val="auto"/>
        </w:rPr>
        <w:t>. The Borrowers agree that within 180 days of the Amendment No. 1 Effective Date (or such later date as Morgan Stanley may agree), they shall, or shall cause their applicable subsidiaries to, replace, terminate or otherwise modify Letters of Credit issued by Morgan Stanley as Issuing Bank such that Morgan Stanley’s LC Commitment shall be equal or greater than the Dollar Equivalent of the aggregate undrawn amount of all outstanding Letters of Credit at such time issued by Morgan Stanley (plus any Dollar Equivalent amounts of LC Disbursements by Morgan Stanley that have not yet been reimbursed by or on behalf of the Borrowers at such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VIII</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NEGATIVE COVENANTS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Payment in Full, the Obligor Parties covenant and agree that: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2" w:name="page333"/>
    <w:bookmarkEnd w:id="332"/>
    <w:p>
      <w:pPr>
        <w:ind w:firstLine="648"/>
        <w:spacing w:after="0" w:line="276"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Indebtedness. Parent shall not, and shall not permit any Restricted Subsidiary to, create, incur,</w:t>
      </w:r>
      <w:r>
        <w:rPr>
          <w:rFonts w:ascii="Arial" w:cs="Arial" w:eastAsia="Arial" w:hAnsi="Arial"/>
          <w:sz w:val="22"/>
          <w:szCs w:val="22"/>
          <w:color w:val="auto"/>
        </w:rPr>
        <w:t xml:space="preserve"> </w:t>
      </w:r>
      <w:r>
        <w:rPr>
          <w:rFonts w:ascii="Arial" w:cs="Arial" w:eastAsia="Arial" w:hAnsi="Arial"/>
          <w:sz w:val="22"/>
          <w:szCs w:val="22"/>
          <w:u w:val="single" w:color="auto"/>
          <w:color w:val="auto"/>
        </w:rPr>
        <w:t>assume or permit to exist any Indebtedness, except:</w:t>
      </w:r>
    </w:p>
    <w:p>
      <w:pPr>
        <w:spacing w:after="0" w:line="134" w:lineRule="exact"/>
        <w:rPr>
          <w:sz w:val="20"/>
          <w:szCs w:val="20"/>
          <w:color w:val="auto"/>
        </w:rPr>
      </w:pPr>
    </w:p>
    <w:p>
      <w:pPr>
        <w:ind w:left="2080" w:hanging="776"/>
        <w:spacing w:after="0"/>
        <w:tabs>
          <w:tab w:leader="none" w:pos="20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[reserved];</w:t>
      </w:r>
    </w:p>
    <w:p>
      <w:pPr>
        <w:spacing w:after="0" w:line="192" w:lineRule="exact"/>
        <w:rPr>
          <w:rFonts w:ascii="Arial" w:cs="Arial" w:eastAsia="Arial" w:hAnsi="Arial"/>
          <w:sz w:val="22"/>
          <w:szCs w:val="22"/>
          <w:color w:val="auto"/>
        </w:rPr>
      </w:pPr>
    </w:p>
    <w:p>
      <w:pPr>
        <w:ind w:left="2080" w:hanging="776"/>
        <w:spacing w:after="0"/>
        <w:tabs>
          <w:tab w:leader="none" w:pos="20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Permitted Existing Indebtedness and Permitted Refinancing Indebtedness in respect thereof;</w:t>
      </w:r>
    </w:p>
    <w:p>
      <w:pPr>
        <w:spacing w:after="0" w:line="192" w:lineRule="exact"/>
        <w:rPr>
          <w:rFonts w:ascii="Arial" w:cs="Arial" w:eastAsia="Arial" w:hAnsi="Arial"/>
          <w:sz w:val="22"/>
          <w:szCs w:val="22"/>
          <w:color w:val="auto"/>
        </w:rPr>
      </w:pPr>
    </w:p>
    <w:p>
      <w:pPr>
        <w:jc w:val="both"/>
        <w:ind w:firstLine="1304"/>
        <w:spacing w:after="0" w:line="302" w:lineRule="auto"/>
        <w:tabs>
          <w:tab w:leader="none" w:pos="2317" w:val="left"/>
        </w:tabs>
        <w:numPr>
          <w:ilvl w:val="0"/>
          <w:numId w:val="357"/>
        </w:numPr>
        <w:rPr>
          <w:rFonts w:ascii="Arial" w:cs="Arial" w:eastAsia="Arial" w:hAnsi="Arial"/>
          <w:sz w:val="19"/>
          <w:szCs w:val="19"/>
          <w:color w:val="auto"/>
        </w:rPr>
      </w:pPr>
      <w:r>
        <w:rPr>
          <w:rFonts w:ascii="Arial" w:cs="Arial" w:eastAsia="Arial" w:hAnsi="Arial"/>
          <w:sz w:val="19"/>
          <w:szCs w:val="19"/>
          <w:color w:val="auto"/>
        </w:rPr>
        <w:t xml:space="preserve">Indebtedness arising from intercompany loans and advances owing by (i) any Obligor to any other Obligor, (ii) 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 the aggregate amount of all such loans (by type, not by the borrower) made from and after the Effective Date, together with all such loans made from and after the Effective Date pursuant to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 the aggregate amount of all such loans (by type, not by the borrower) made from and after the Effective Date, together with all such loans made from and after the Effective Date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does not exceed $55,000,000 outstanding at any one time, and (B) at the time of the making of such loan, no Event of Default has occurred and is continuing or would result therefrom;</w:t>
      </w:r>
    </w:p>
    <w:p>
      <w:pPr>
        <w:spacing w:after="0" w:line="129" w:lineRule="exact"/>
        <w:rPr>
          <w:rFonts w:ascii="Arial" w:cs="Arial" w:eastAsia="Arial" w:hAnsi="Arial"/>
          <w:sz w:val="19"/>
          <w:szCs w:val="19"/>
          <w:color w:val="auto"/>
        </w:rPr>
      </w:pPr>
    </w:p>
    <w:p>
      <w:pPr>
        <w:ind w:right="20" w:firstLine="1304"/>
        <w:spacing w:after="0" w:line="358" w:lineRule="auto"/>
        <w:tabs>
          <w:tab w:leader="none" w:pos="2157" w:val="left"/>
        </w:tabs>
        <w:numPr>
          <w:ilvl w:val="0"/>
          <w:numId w:val="357"/>
        </w:numPr>
        <w:rPr>
          <w:rFonts w:ascii="Arial" w:cs="Arial" w:eastAsia="Arial" w:hAnsi="Arial"/>
          <w:sz w:val="19"/>
          <w:szCs w:val="19"/>
          <w:color w:val="auto"/>
        </w:rPr>
      </w:pPr>
      <w:r>
        <w:rPr>
          <w:rFonts w:ascii="Arial" w:cs="Arial" w:eastAsia="Arial" w:hAnsi="Arial"/>
          <w:sz w:val="19"/>
          <w:szCs w:val="19"/>
          <w:color w:val="auto"/>
        </w:rPr>
        <w:t>Indebtedness of the Obligors incurred under the Exit Senior Notes in an aggregate principal amount not to exceed at any time outstanding $2,100,000,000 and Permitted Refinancing Indebtedness in respect thereof;</w:t>
      </w:r>
    </w:p>
    <w:p>
      <w:pPr>
        <w:spacing w:after="0" w:line="63" w:lineRule="exact"/>
        <w:rPr>
          <w:rFonts w:ascii="Arial" w:cs="Arial" w:eastAsia="Arial" w:hAnsi="Arial"/>
          <w:sz w:val="19"/>
          <w:szCs w:val="19"/>
          <w:color w:val="auto"/>
        </w:rPr>
      </w:pPr>
    </w:p>
    <w:p>
      <w:pPr>
        <w:jc w:val="both"/>
        <w:ind w:firstLine="1304"/>
        <w:spacing w:after="0" w:line="266" w:lineRule="auto"/>
        <w:tabs>
          <w:tab w:leader="none" w:pos="2443" w:val="left"/>
        </w:tabs>
        <w:numPr>
          <w:ilvl w:val="0"/>
          <w:numId w:val="357"/>
        </w:numPr>
        <w:rPr>
          <w:rFonts w:ascii="Arial" w:cs="Arial" w:eastAsia="Arial" w:hAnsi="Arial"/>
          <w:sz w:val="22"/>
          <w:szCs w:val="22"/>
          <w:color w:val="auto"/>
        </w:rPr>
      </w:pPr>
      <w:r>
        <w:rPr>
          <w:rFonts w:ascii="Arial" w:cs="Arial" w:eastAsia="Arial" w:hAnsi="Arial"/>
          <w:sz w:val="22"/>
          <w:szCs w:val="22"/>
          <w:color w:val="auto"/>
        </w:rPr>
        <w:t>unsecured guarantees with respect to the Indebtedness of any Obligor or one of their Restricted Subsidiaries, to the extent that the Person that is obligated under such guaranty could have incurred such underlying Indebtedness;</w:t>
      </w:r>
    </w:p>
    <w:p>
      <w:pPr>
        <w:spacing w:after="0" w:line="144" w:lineRule="exact"/>
        <w:rPr>
          <w:rFonts w:ascii="Arial" w:cs="Arial" w:eastAsia="Arial" w:hAnsi="Arial"/>
          <w:sz w:val="22"/>
          <w:szCs w:val="22"/>
          <w:color w:val="auto"/>
        </w:rPr>
      </w:pPr>
    </w:p>
    <w:p>
      <w:pPr>
        <w:jc w:val="both"/>
        <w:ind w:firstLine="1304"/>
        <w:spacing w:after="0" w:line="317" w:lineRule="auto"/>
        <w:tabs>
          <w:tab w:leader="none" w:pos="2007" w:val="left"/>
        </w:tabs>
        <w:numPr>
          <w:ilvl w:val="0"/>
          <w:numId w:val="357"/>
        </w:numPr>
        <w:rPr>
          <w:rFonts w:ascii="Arial" w:cs="Arial" w:eastAsia="Arial" w:hAnsi="Arial"/>
          <w:sz w:val="19"/>
          <w:szCs w:val="19"/>
          <w:color w:val="auto"/>
        </w:rPr>
      </w:pPr>
      <w:r>
        <w:rPr>
          <w:rFonts w:ascii="Arial" w:cs="Arial" w:eastAsia="Arial" w:hAnsi="Arial"/>
          <w:sz w:val="19"/>
          <w:szCs w:val="19"/>
          <w:color w:val="auto"/>
        </w:rPr>
        <w:t xml:space="preserve">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amount of such Indebtedness does not at any time exceed $200,000,000;</w:t>
      </w:r>
    </w:p>
    <w:p>
      <w:pPr>
        <w:spacing w:after="0" w:line="114" w:lineRule="exact"/>
        <w:rPr>
          <w:rFonts w:ascii="Arial" w:cs="Arial" w:eastAsia="Arial" w:hAnsi="Arial"/>
          <w:sz w:val="19"/>
          <w:szCs w:val="19"/>
          <w:color w:val="auto"/>
        </w:rPr>
      </w:pPr>
    </w:p>
    <w:p>
      <w:pPr>
        <w:jc w:val="both"/>
        <w:ind w:firstLine="1304"/>
        <w:spacing w:after="0" w:line="276" w:lineRule="auto"/>
        <w:tabs>
          <w:tab w:leader="none" w:pos="2101" w:val="left"/>
        </w:tabs>
        <w:numPr>
          <w:ilvl w:val="0"/>
          <w:numId w:val="357"/>
        </w:numPr>
        <w:rPr>
          <w:rFonts w:ascii="Arial" w:cs="Arial" w:eastAsia="Arial" w:hAnsi="Arial"/>
          <w:sz w:val="21"/>
          <w:szCs w:val="21"/>
          <w:color w:val="auto"/>
        </w:rPr>
      </w:pPr>
      <w:r>
        <w:rPr>
          <w:rFonts w:ascii="Arial" w:cs="Arial" w:eastAsia="Arial" w:hAnsi="Arial"/>
          <w:sz w:val="21"/>
          <w:szCs w:val="21"/>
          <w:color w:val="auto"/>
        </w:rPr>
        <w:t xml:space="preserve">Unsecured Specified Senior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as a condition to incurring any such Specified Senior Indebtedness, (A) 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21"/>
          <w:szCs w:val="21"/>
          <w:u w:val="single" w:color="auto"/>
          <w:color w:val="auto"/>
        </w:rPr>
        <w:t>Section 8.01(h)</w:t>
      </w:r>
      <w:r>
        <w:rPr>
          <w:rFonts w:ascii="Arial" w:cs="Arial" w:eastAsia="Arial" w:hAnsi="Arial"/>
          <w:sz w:val="21"/>
          <w:szCs w:val="21"/>
          <w:color w:val="auto"/>
        </w:rPr>
        <w:t xml:space="preserve"> would not exceed $200,000,000 at any time, and (C) after giving pro forma effect to the incurrence of such Indebtedness, the Leverage Ratio (calculated as of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3" w:name="page334"/>
    <w:bookmarkEnd w:id="333"/>
    <w:p>
      <w:pPr>
        <w:jc w:val="both"/>
        <w:spacing w:after="0" w:line="317" w:lineRule="auto"/>
        <w:rPr>
          <w:sz w:val="20"/>
          <w:szCs w:val="20"/>
          <w:color w:val="auto"/>
        </w:rPr>
      </w:pPr>
      <w:r>
        <w:rPr>
          <w:rFonts w:ascii="Arial" w:cs="Arial" w:eastAsia="Arial" w:hAnsi="Arial"/>
          <w:sz w:val="19"/>
          <w:szCs w:val="19"/>
          <w:color w:val="auto"/>
        </w:rPr>
        <w:t>last day of the most recently ended period for which financial statements are available as if such Indebtedness had been incurred on the last day of such period) would not exceed 4.25 to 1.00, if such Indebtedness is incurred on or prior to the second anniversary of the Effective Date, and 3.75 to 1.00 if such Indebtedness is incurred at any time thereafter, and (ii) as of the date of incurrence, such Indebtedness shall have a stated maturity date no sooner than 91 days after the Maturity Date;</w:t>
      </w:r>
    </w:p>
    <w:p>
      <w:pPr>
        <w:spacing w:after="0" w:line="101" w:lineRule="exact"/>
        <w:rPr>
          <w:sz w:val="20"/>
          <w:szCs w:val="20"/>
          <w:color w:val="auto"/>
        </w:rPr>
      </w:pPr>
    </w:p>
    <w:p>
      <w:pPr>
        <w:jc w:val="both"/>
        <w:ind w:firstLine="1304"/>
        <w:spacing w:after="0" w:line="271" w:lineRule="auto"/>
        <w:tabs>
          <w:tab w:leader="none" w:pos="2134" w:val="left"/>
        </w:tabs>
        <w:numPr>
          <w:ilvl w:val="1"/>
          <w:numId w:val="358"/>
        </w:numPr>
        <w:rPr>
          <w:rFonts w:ascii="Arial" w:cs="Arial" w:eastAsia="Arial" w:hAnsi="Arial"/>
          <w:sz w:val="21"/>
          <w:szCs w:val="21"/>
          <w:color w:val="auto"/>
        </w:rPr>
      </w:pPr>
      <w:r>
        <w:rPr>
          <w:rFonts w:ascii="Arial" w:cs="Arial" w:eastAsia="Arial" w:hAnsi="Arial"/>
          <w:sz w:val="21"/>
          <w:szCs w:val="21"/>
          <w:color w:val="auto"/>
        </w:rPr>
        <w:t xml:space="preserve">unsecured Indebtedness incurred by an Obligor or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4.25 to 1.00, if such Indebtedness is incurred on or prior to the second anniversary of the Effective Date, and 3.75 to 1.00 if such Indebtedness is incurred at any time thereafter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$45,000,000, as of the date of incurrence, such Indebtedness shall have a stated maturity date no sooner than 91 days after the Maturity Date;</w:t>
      </w:r>
    </w:p>
    <w:p>
      <w:pPr>
        <w:spacing w:after="0" w:line="162" w:lineRule="exact"/>
        <w:rPr>
          <w:rFonts w:ascii="Arial" w:cs="Arial" w:eastAsia="Arial" w:hAnsi="Arial"/>
          <w:sz w:val="21"/>
          <w:szCs w:val="21"/>
          <w:color w:val="auto"/>
        </w:rPr>
      </w:pPr>
    </w:p>
    <w:p>
      <w:pPr>
        <w:jc w:val="both"/>
        <w:ind w:firstLine="1304"/>
        <w:spacing w:after="0" w:line="261" w:lineRule="auto"/>
        <w:tabs>
          <w:tab w:leader="none" w:pos="2053" w:val="left"/>
        </w:tabs>
        <w:numPr>
          <w:ilvl w:val="1"/>
          <w:numId w:val="358"/>
        </w:numPr>
        <w:rPr>
          <w:rFonts w:ascii="Arial" w:cs="Arial" w:eastAsia="Arial" w:hAnsi="Arial"/>
          <w:sz w:val="22"/>
          <w:szCs w:val="22"/>
          <w:color w:val="auto"/>
        </w:rPr>
      </w:pPr>
      <w:r>
        <w:rPr>
          <w:rFonts w:ascii="Arial" w:cs="Arial" w:eastAsia="Arial" w:hAnsi="Arial"/>
          <w:sz w:val="22"/>
          <w:szCs w:val="22"/>
          <w:color w:val="auto"/>
        </w:rPr>
        <w:t xml:space="preserve">unsecured Subordinated Indebtedness of any Obligor (other than Subordinated Indebtedness consisting of Guarantees by any Obligor of Indebtedness incurred pursuant to </w:t>
      </w:r>
      <w:r>
        <w:rPr>
          <w:rFonts w:ascii="Arial" w:cs="Arial" w:eastAsia="Arial" w:hAnsi="Arial"/>
          <w:sz w:val="22"/>
          <w:szCs w:val="22"/>
          <w:u w:val="single" w:color="auto"/>
          <w:color w:val="auto"/>
        </w:rPr>
        <w:t>Section 8.01(c)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8.01(h)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8.01(i)</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Maturity Date;</w:t>
      </w:r>
    </w:p>
    <w:p>
      <w:pPr>
        <w:spacing w:after="0" w:line="150" w:lineRule="exact"/>
        <w:rPr>
          <w:rFonts w:ascii="Arial" w:cs="Arial" w:eastAsia="Arial" w:hAnsi="Arial"/>
          <w:sz w:val="22"/>
          <w:szCs w:val="22"/>
          <w:color w:val="auto"/>
        </w:rPr>
      </w:pPr>
    </w:p>
    <w:p>
      <w:pPr>
        <w:jc w:val="both"/>
        <w:ind w:firstLine="1304"/>
        <w:spacing w:after="0" w:line="297" w:lineRule="auto"/>
        <w:tabs>
          <w:tab w:leader="none" w:pos="2196" w:val="left"/>
        </w:tabs>
        <w:numPr>
          <w:ilvl w:val="1"/>
          <w:numId w:val="358"/>
        </w:numPr>
        <w:rPr>
          <w:rFonts w:ascii="Arial" w:cs="Arial" w:eastAsia="Arial" w:hAnsi="Arial"/>
          <w:sz w:val="19"/>
          <w:szCs w:val="19"/>
          <w:color w:val="auto"/>
        </w:rPr>
      </w:pPr>
      <w:r>
        <w:rPr>
          <w:rFonts w:ascii="Arial" w:cs="Arial" w:eastAsia="Arial" w:hAnsi="Arial"/>
          <w:sz w:val="19"/>
          <w:szCs w:val="19"/>
          <w:color w:val="auto"/>
        </w:rPr>
        <w:t xml:space="preserve">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 w:lineRule="exact"/>
        <w:rPr>
          <w:rFonts w:ascii="Arial" w:cs="Arial" w:eastAsia="Arial" w:hAnsi="Arial"/>
          <w:sz w:val="19"/>
          <w:szCs w:val="19"/>
          <w:color w:val="auto"/>
        </w:rPr>
      </w:pPr>
    </w:p>
    <w:p>
      <w:pPr>
        <w:jc w:val="both"/>
        <w:ind w:firstLine="8"/>
        <w:spacing w:after="0" w:line="264" w:lineRule="auto"/>
        <w:tabs>
          <w:tab w:leader="none" w:pos="29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 xml:space="preserve">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22"/>
          <w:szCs w:val="22"/>
          <w:u w:val="single" w:color="auto"/>
          <w:color w:val="auto"/>
        </w:rPr>
        <w:t>Section 8.01(k)</w:t>
      </w:r>
      <w:r>
        <w:rPr>
          <w:rFonts w:ascii="Arial" w:cs="Arial" w:eastAsia="Arial" w:hAnsi="Arial"/>
          <w:sz w:val="22"/>
          <w:szCs w:val="22"/>
          <w:color w:val="auto"/>
        </w:rPr>
        <w:t xml:space="preserve"> shall not at any time exceed $175,000,000;</w:t>
      </w:r>
    </w:p>
    <w:p>
      <w:pPr>
        <w:spacing w:after="0" w:line="146" w:lineRule="exact"/>
        <w:rPr>
          <w:rFonts w:ascii="Arial" w:cs="Arial" w:eastAsia="Arial" w:hAnsi="Arial"/>
          <w:sz w:val="22"/>
          <w:szCs w:val="22"/>
          <w:color w:val="auto"/>
        </w:rPr>
      </w:pPr>
    </w:p>
    <w:p>
      <w:pPr>
        <w:ind w:firstLine="1304"/>
        <w:spacing w:after="0" w:line="301" w:lineRule="auto"/>
        <w:tabs>
          <w:tab w:leader="none" w:pos="2094" w:val="left"/>
        </w:tabs>
        <w:numPr>
          <w:ilvl w:val="1"/>
          <w:numId w:val="359"/>
        </w:numPr>
        <w:rPr>
          <w:rFonts w:ascii="Arial" w:cs="Arial" w:eastAsia="Arial" w:hAnsi="Arial"/>
          <w:sz w:val="21"/>
          <w:szCs w:val="21"/>
          <w:color w:val="auto"/>
        </w:rPr>
      </w:pPr>
      <w:r>
        <w:rPr>
          <w:rFonts w:ascii="Arial" w:cs="Arial" w:eastAsia="Arial" w:hAnsi="Arial"/>
          <w:sz w:val="21"/>
          <w:szCs w:val="21"/>
          <w:color w:val="auto"/>
        </w:rPr>
        <w:t>Indebtedness incurred to finance insurance premiums of any Restricted Subsidiary in the ordinary course of business in an aggregate principal amount not to exceed the amount of such insurance premiums;</w:t>
      </w:r>
    </w:p>
    <w:p>
      <w:pPr>
        <w:spacing w:after="0" w:line="123" w:lineRule="exact"/>
        <w:rPr>
          <w:rFonts w:ascii="Arial" w:cs="Arial" w:eastAsia="Arial" w:hAnsi="Arial"/>
          <w:sz w:val="21"/>
          <w:szCs w:val="21"/>
          <w:color w:val="auto"/>
        </w:rPr>
      </w:pPr>
    </w:p>
    <w:p>
      <w:pPr>
        <w:jc w:val="both"/>
        <w:ind w:firstLine="1304"/>
        <w:spacing w:after="0" w:line="261" w:lineRule="auto"/>
        <w:tabs>
          <w:tab w:leader="none" w:pos="2350" w:val="left"/>
        </w:tabs>
        <w:numPr>
          <w:ilvl w:val="1"/>
          <w:numId w:val="359"/>
        </w:numPr>
        <w:rPr>
          <w:rFonts w:ascii="Arial" w:cs="Arial" w:eastAsia="Arial" w:hAnsi="Arial"/>
          <w:sz w:val="22"/>
          <w:szCs w:val="22"/>
          <w:color w:val="auto"/>
        </w:rPr>
      </w:pPr>
      <w:r>
        <w:rPr>
          <w:rFonts w:ascii="Arial" w:cs="Arial" w:eastAsia="Arial" w:hAnsi="Arial"/>
          <w:sz w:val="22"/>
          <w:szCs w:val="22"/>
          <w:color w:val="auto"/>
        </w:rPr>
        <w:t>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4" w:name="page335"/>
    <w:bookmarkEnd w:id="334"/>
    <w:p>
      <w:pPr>
        <w:ind w:right="20" w:firstLine="1304"/>
        <w:spacing w:after="0" w:line="276" w:lineRule="auto"/>
        <w:tabs>
          <w:tab w:leader="none" w:pos="2587" w:val="left"/>
        </w:tabs>
        <w:numPr>
          <w:ilvl w:val="1"/>
          <w:numId w:val="360"/>
        </w:numPr>
        <w:rPr>
          <w:rFonts w:ascii="Arial" w:cs="Arial" w:eastAsia="Arial" w:hAnsi="Arial"/>
          <w:sz w:val="22"/>
          <w:szCs w:val="22"/>
          <w:color w:val="auto"/>
        </w:rPr>
      </w:pPr>
      <w:r>
        <w:rPr>
          <w:rFonts w:ascii="Arial" w:cs="Arial" w:eastAsia="Arial" w:hAnsi="Arial"/>
          <w:sz w:val="22"/>
          <w:szCs w:val="22"/>
          <w:color w:val="auto"/>
        </w:rPr>
        <w:t xml:space="preserve">other Indebtedness in an aggregate principal amount at any time outstanding pursuant to this </w:t>
      </w:r>
      <w:r>
        <w:rPr>
          <w:rFonts w:ascii="Arial" w:cs="Arial" w:eastAsia="Arial" w:hAnsi="Arial"/>
          <w:sz w:val="22"/>
          <w:szCs w:val="22"/>
          <w:u w:val="single" w:color="auto"/>
          <w:color w:val="auto"/>
        </w:rPr>
        <w:t>Section 8.01(n)</w:t>
      </w:r>
      <w:r>
        <w:rPr>
          <w:rFonts w:ascii="Arial" w:cs="Arial" w:eastAsia="Arial" w:hAnsi="Arial"/>
          <w:sz w:val="22"/>
          <w:szCs w:val="22"/>
          <w:color w:val="auto"/>
        </w:rPr>
        <w:t xml:space="preserve"> not in excess of $10,000,000;</w:t>
      </w:r>
    </w:p>
    <w:p>
      <w:pPr>
        <w:spacing w:after="0" w:line="133" w:lineRule="exact"/>
        <w:rPr>
          <w:rFonts w:ascii="Arial" w:cs="Arial" w:eastAsia="Arial" w:hAnsi="Arial"/>
          <w:sz w:val="22"/>
          <w:szCs w:val="22"/>
          <w:color w:val="auto"/>
        </w:rPr>
      </w:pPr>
    </w:p>
    <w:p>
      <w:pPr>
        <w:jc w:val="both"/>
        <w:ind w:firstLine="1304"/>
        <w:spacing w:after="0" w:line="266" w:lineRule="auto"/>
        <w:tabs>
          <w:tab w:leader="none" w:pos="2101" w:val="left"/>
        </w:tabs>
        <w:numPr>
          <w:ilvl w:val="1"/>
          <w:numId w:val="360"/>
        </w:numPr>
        <w:rPr>
          <w:rFonts w:ascii="Arial" w:cs="Arial" w:eastAsia="Arial" w:hAnsi="Arial"/>
          <w:sz w:val="22"/>
          <w:szCs w:val="22"/>
          <w:color w:val="auto"/>
        </w:rPr>
      </w:pPr>
      <w:r>
        <w:rPr>
          <w:rFonts w:ascii="Arial" w:cs="Arial" w:eastAsia="Arial" w:hAnsi="Arial"/>
          <w:sz w:val="22"/>
          <w:szCs w:val="22"/>
          <w:color w:val="auto"/>
        </w:rPr>
        <w:t>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57" w:lineRule="exact"/>
        <w:rPr>
          <w:rFonts w:ascii="Arial" w:cs="Arial" w:eastAsia="Arial" w:hAnsi="Arial"/>
          <w:sz w:val="22"/>
          <w:szCs w:val="22"/>
          <w:color w:val="auto"/>
        </w:rPr>
      </w:pPr>
    </w:p>
    <w:p>
      <w:pPr>
        <w:jc w:val="both"/>
        <w:ind w:firstLine="1304"/>
        <w:spacing w:after="0" w:line="297" w:lineRule="auto"/>
        <w:tabs>
          <w:tab w:leader="none" w:pos="2128" w:val="left"/>
        </w:tabs>
        <w:numPr>
          <w:ilvl w:val="1"/>
          <w:numId w:val="360"/>
        </w:numPr>
        <w:rPr>
          <w:rFonts w:ascii="Arial" w:cs="Arial" w:eastAsia="Arial" w:hAnsi="Arial"/>
          <w:sz w:val="19"/>
          <w:szCs w:val="19"/>
          <w:color w:val="auto"/>
        </w:rPr>
      </w:pPr>
      <w:r>
        <w:rPr>
          <w:rFonts w:ascii="Arial" w:cs="Arial" w:eastAsia="Arial" w:hAnsi="Arial"/>
          <w:sz w:val="19"/>
          <w:szCs w:val="19"/>
          <w:color w:val="auto"/>
        </w:rPr>
        <w:t xml:space="preserve">Indebtedness of any Obligor, including pursuant to the Senior Secured Notes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Maturity Date, (iii) such Indebtedness shall not provide for any payment of principal or any scheduled or mandatory prepayments or redemptions on any date sooner than 91 days after the Maturity Date (other than any change of control offer, customary offers or prepayments with proceeds of asset sales or customary acceleration rights after an event of default),</w:t>
      </w:r>
    </w:p>
    <w:p>
      <w:pPr>
        <w:spacing w:after="0" w:line="2" w:lineRule="exact"/>
        <w:rPr>
          <w:rFonts w:ascii="Arial" w:cs="Arial" w:eastAsia="Arial" w:hAnsi="Arial"/>
          <w:sz w:val="19"/>
          <w:szCs w:val="19"/>
          <w:color w:val="auto"/>
        </w:rPr>
      </w:pPr>
    </w:p>
    <w:p>
      <w:pPr>
        <w:jc w:val="both"/>
        <w:ind w:firstLine="8"/>
        <w:spacing w:after="0" w:line="260" w:lineRule="auto"/>
        <w:tabs>
          <w:tab w:leader="none" w:pos="374" w:val="left"/>
        </w:tabs>
        <w:numPr>
          <w:ilvl w:val="0"/>
          <w:numId w:val="361"/>
        </w:numPr>
        <w:rPr>
          <w:rFonts w:ascii="Arial" w:cs="Arial" w:eastAsia="Arial" w:hAnsi="Arial"/>
          <w:sz w:val="22"/>
          <w:szCs w:val="22"/>
          <w:color w:val="auto"/>
        </w:rPr>
      </w:pPr>
      <w:r>
        <w:rPr>
          <w:rFonts w:ascii="Arial" w:cs="Arial" w:eastAsia="Arial" w:hAnsi="Arial"/>
          <w:sz w:val="22"/>
          <w:szCs w:val="22"/>
          <w:color w:val="auto"/>
        </w:rPr>
        <w:t xml:space="preserve">any secured Indebtedness incurred pursuant to this </w:t>
      </w:r>
      <w:r>
        <w:rPr>
          <w:rFonts w:ascii="Arial" w:cs="Arial" w:eastAsia="Arial" w:hAnsi="Arial"/>
          <w:sz w:val="22"/>
          <w:szCs w:val="22"/>
          <w:u w:val="single" w:color="auto"/>
          <w:color w:val="auto"/>
        </w:rPr>
        <w:t>Section 8.01(p)</w:t>
      </w:r>
      <w:r>
        <w:rPr>
          <w:rFonts w:ascii="Arial" w:cs="Arial" w:eastAsia="Arial" w:hAnsi="Arial"/>
          <w:sz w:val="22"/>
          <w:szCs w:val="22"/>
          <w:color w:val="auto"/>
        </w:rPr>
        <w:t xml:space="preserve"> may only be secured by a lien on the Collateral pursuant to an intercreditor agreement in form and substance reasonably satisfactory to the Administrative Agent (it being understood that the Intercreditor Agreements described in clause (a) of the definition thereof are reasonably satisfactory to the Administrative Agent), and (v) the aggregate principal amount of all Indebtedness incurred pursuant to this </w:t>
      </w:r>
      <w:r>
        <w:rPr>
          <w:rFonts w:ascii="Arial" w:cs="Arial" w:eastAsia="Arial" w:hAnsi="Arial"/>
          <w:sz w:val="22"/>
          <w:szCs w:val="22"/>
          <w:u w:val="single" w:color="auto"/>
          <w:color w:val="auto"/>
        </w:rPr>
        <w:t>Section 8.01(p)</w:t>
      </w:r>
      <w:r>
        <w:rPr>
          <w:rFonts w:ascii="Arial" w:cs="Arial" w:eastAsia="Arial" w:hAnsi="Arial"/>
          <w:sz w:val="22"/>
          <w:szCs w:val="22"/>
          <w:color w:val="auto"/>
        </w:rPr>
        <w:t xml:space="preserve"> would not exceed $600,000,000 at any time;</w:t>
      </w:r>
    </w:p>
    <w:p>
      <w:pPr>
        <w:spacing w:after="0" w:line="150" w:lineRule="exact"/>
        <w:rPr>
          <w:rFonts w:ascii="Arial" w:cs="Arial" w:eastAsia="Arial" w:hAnsi="Arial"/>
          <w:sz w:val="22"/>
          <w:szCs w:val="22"/>
          <w:color w:val="auto"/>
        </w:rPr>
      </w:pPr>
    </w:p>
    <w:p>
      <w:pPr>
        <w:jc w:val="both"/>
        <w:ind w:firstLine="1304"/>
        <w:spacing w:after="0" w:line="308" w:lineRule="auto"/>
        <w:tabs>
          <w:tab w:leader="none" w:pos="2331" w:val="left"/>
        </w:tabs>
        <w:numPr>
          <w:ilvl w:val="1"/>
          <w:numId w:val="361"/>
        </w:numPr>
        <w:rPr>
          <w:rFonts w:ascii="Arial" w:cs="Arial" w:eastAsia="Arial" w:hAnsi="Arial"/>
          <w:sz w:val="19"/>
          <w:szCs w:val="19"/>
          <w:color w:val="auto"/>
        </w:rPr>
      </w:pPr>
      <w:r>
        <w:rPr>
          <w:rFonts w:ascii="Arial" w:cs="Arial" w:eastAsia="Arial" w:hAnsi="Arial"/>
          <w:sz w:val="19"/>
          <w:szCs w:val="19"/>
          <w:color w:val="auto"/>
        </w:rPr>
        <w:t>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 (ii) 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13" w:lineRule="exact"/>
        <w:rPr>
          <w:rFonts w:ascii="Arial" w:cs="Arial" w:eastAsia="Arial" w:hAnsi="Arial"/>
          <w:sz w:val="19"/>
          <w:szCs w:val="19"/>
          <w:color w:val="auto"/>
        </w:rPr>
      </w:pPr>
    </w:p>
    <w:p>
      <w:pPr>
        <w:ind w:left="2060" w:hanging="756"/>
        <w:spacing w:after="0"/>
        <w:tabs>
          <w:tab w:leader="none" w:pos="2060" w:val="left"/>
        </w:tabs>
        <w:numPr>
          <w:ilvl w:val="1"/>
          <w:numId w:val="361"/>
        </w:numPr>
        <w:rPr>
          <w:rFonts w:ascii="Arial" w:cs="Arial" w:eastAsia="Arial" w:hAnsi="Arial"/>
          <w:sz w:val="22"/>
          <w:szCs w:val="22"/>
          <w:color w:val="auto"/>
        </w:rPr>
      </w:pPr>
      <w:r>
        <w:rPr>
          <w:rFonts w:ascii="Arial" w:cs="Arial" w:eastAsia="Arial" w:hAnsi="Arial"/>
          <w:sz w:val="22"/>
          <w:szCs w:val="22"/>
          <w:color w:val="auto"/>
        </w:rPr>
        <w:t>Indebtedness in the form of Permitted Intercompany Treasury Management Transactions; and</w:t>
      </w:r>
    </w:p>
    <w:p>
      <w:pPr>
        <w:spacing w:after="0" w:line="206" w:lineRule="exact"/>
        <w:rPr>
          <w:rFonts w:ascii="Arial" w:cs="Arial" w:eastAsia="Arial" w:hAnsi="Arial"/>
          <w:sz w:val="22"/>
          <w:szCs w:val="22"/>
          <w:color w:val="auto"/>
        </w:rPr>
      </w:pPr>
    </w:p>
    <w:p>
      <w:pPr>
        <w:ind w:firstLine="1304"/>
        <w:spacing w:after="0" w:line="301" w:lineRule="auto"/>
        <w:tabs>
          <w:tab w:leader="none" w:pos="2239" w:val="left"/>
        </w:tabs>
        <w:numPr>
          <w:ilvl w:val="1"/>
          <w:numId w:val="361"/>
        </w:numPr>
        <w:rPr>
          <w:rFonts w:ascii="Arial" w:cs="Arial" w:eastAsia="Arial" w:hAnsi="Arial"/>
          <w:sz w:val="21"/>
          <w:szCs w:val="21"/>
          <w:color w:val="auto"/>
        </w:rPr>
      </w:pPr>
      <w:r>
        <w:rPr>
          <w:rFonts w:ascii="Arial" w:cs="Arial" w:eastAsia="Arial" w:hAnsi="Arial"/>
          <w:sz w:val="21"/>
          <w:szCs w:val="21"/>
          <w:color w:val="auto"/>
        </w:rPr>
        <w:t>Indebtedness in the form of Permitted Intercompany Specified Transactions, so long as at the time of incurrence, no Default or Event of Default then exists or would arise as a result of the applicable transaction.</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8.01</w:t>
      </w:r>
      <w:r>
        <w:rPr>
          <w:rFonts w:ascii="Arial" w:cs="Arial" w:eastAsia="Arial" w:hAnsi="Arial"/>
          <w:sz w:val="22"/>
          <w:szCs w:val="22"/>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44"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Fundamental Changes.</w:t>
      </w:r>
    </w:p>
    <w:p>
      <w:pPr>
        <w:spacing w:after="0" w:line="206" w:lineRule="exact"/>
        <w:rPr>
          <w:sz w:val="20"/>
          <w:szCs w:val="20"/>
          <w:color w:val="auto"/>
        </w:rPr>
      </w:pPr>
    </w:p>
    <w:p>
      <w:pPr>
        <w:jc w:val="both"/>
        <w:ind w:firstLine="1304"/>
        <w:spacing w:after="0" w:line="262" w:lineRule="auto"/>
        <w:tabs>
          <w:tab w:leader="none" w:pos="2454" w:val="left"/>
        </w:tabs>
        <w:numPr>
          <w:ilvl w:val="0"/>
          <w:numId w:val="362"/>
        </w:numPr>
        <w:rPr>
          <w:rFonts w:ascii="Arial" w:cs="Arial" w:eastAsia="Arial" w:hAnsi="Arial"/>
          <w:sz w:val="22"/>
          <w:szCs w:val="22"/>
          <w:color w:val="auto"/>
        </w:rPr>
      </w:pPr>
      <w:r>
        <w:rPr>
          <w:rFonts w:ascii="Arial" w:cs="Arial" w:eastAsia="Arial" w:hAnsi="Arial"/>
          <w:sz w:val="22"/>
          <w:szCs w:val="22"/>
          <w:color w:val="auto"/>
        </w:rPr>
        <w:t>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5" w:name="page336"/>
    <w:bookmarkEnd w:id="335"/>
    <w:p>
      <w:pPr>
        <w:jc w:val="both"/>
        <w:spacing w:after="0" w:line="305" w:lineRule="auto"/>
        <w:rPr>
          <w:sz w:val="20"/>
          <w:szCs w:val="20"/>
          <w:color w:val="auto"/>
        </w:rPr>
      </w:pPr>
      <w:r>
        <w:rPr>
          <w:rFonts w:ascii="Arial" w:cs="Arial" w:eastAsia="Arial" w:hAnsi="Arial"/>
          <w:sz w:val="19"/>
          <w:szCs w:val="19"/>
          <w:color w:val="auto"/>
        </w:rPr>
        <w:t xml:space="preserve">Person may merge, consolidate or amalgamate with (i) any Obligor or Restricted Subsidiary or (ii) any non-Affiliate to facilitate any acquisition or Disposition otherwise permitted by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and, in the case of a Person that is an Unrestricted Subsidiary immediately prior to such merger, consolidation or amalgamation, </w:t>
      </w:r>
      <w:r>
        <w:rPr>
          <w:rFonts w:ascii="Arial" w:cs="Arial" w:eastAsia="Arial" w:hAnsi="Arial"/>
          <w:sz w:val="19"/>
          <w:szCs w:val="19"/>
          <w:u w:val="single" w:color="auto"/>
          <w:color w:val="auto"/>
        </w:rPr>
        <w:t>Section 7.09</w:t>
      </w:r>
      <w:r>
        <w:rPr>
          <w:rFonts w:ascii="Arial" w:cs="Arial" w:eastAsia="Arial" w:hAnsi="Arial"/>
          <w:sz w:val="19"/>
          <w:szCs w:val="19"/>
          <w:color w:val="auto"/>
        </w:rPr>
        <w:t>.</w:t>
      </w:r>
    </w:p>
    <w:p>
      <w:pPr>
        <w:spacing w:after="0" w:line="114" w:lineRule="exact"/>
        <w:rPr>
          <w:sz w:val="20"/>
          <w:szCs w:val="20"/>
          <w:color w:val="auto"/>
        </w:rPr>
      </w:pPr>
    </w:p>
    <w:p>
      <w:pPr>
        <w:jc w:val="both"/>
        <w:ind w:firstLine="1304"/>
        <w:spacing w:after="0" w:line="300" w:lineRule="auto"/>
        <w:tabs>
          <w:tab w:leader="none" w:pos="2331" w:val="left"/>
        </w:tabs>
        <w:numPr>
          <w:ilvl w:val="0"/>
          <w:numId w:val="363"/>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shall not prohibit any Redomestication;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case of a Redomestication of Parent of the type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 (A) Patriot Act searches, OFAC/PEP searches and customary individual background checks for each applicable Person and (B) customary certificates regarding beneficial ownership or control in connection with applicable “beneficial ownership” rules and regulations in respect of the Obligors, in each case, the results of which shall be satisfactory to the Administrative Agent.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304"/>
        <w:spacing w:after="0" w:line="303" w:lineRule="auto"/>
        <w:tabs>
          <w:tab w:leader="none" w:pos="2373" w:val="left"/>
        </w:tabs>
        <w:numPr>
          <w:ilvl w:val="0"/>
          <w:numId w:val="363"/>
        </w:numPr>
        <w:rPr>
          <w:rFonts w:ascii="Arial" w:cs="Arial" w:eastAsia="Arial" w:hAnsi="Arial"/>
          <w:sz w:val="19"/>
          <w:szCs w:val="19"/>
          <w:color w:val="auto"/>
        </w:rPr>
      </w:pPr>
      <w:r>
        <w:rPr>
          <w:rFonts w:ascii="Arial" w:cs="Arial" w:eastAsia="Arial" w:hAnsi="Arial"/>
          <w:sz w:val="19"/>
          <w:szCs w:val="19"/>
          <w:color w:val="auto"/>
        </w:rPr>
        <w:t xml:space="preserve">Parent shall not, and shall not permit any Restricted Subsidiary to, wind up, liquidate or dissolve;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thereof and immediately after giving effect 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6" w:name="page337"/>
    <w:bookmarkEnd w:id="336"/>
    <w:p>
      <w:pPr>
        <w:jc w:val="both"/>
        <w:spacing w:after="0" w:line="284" w:lineRule="auto"/>
        <w:rPr>
          <w:sz w:val="20"/>
          <w:szCs w:val="20"/>
          <w:color w:val="auto"/>
        </w:rPr>
      </w:pPr>
      <w:r>
        <w:rPr>
          <w:rFonts w:ascii="Arial" w:cs="Arial" w:eastAsia="Arial" w:hAnsi="Arial"/>
          <w:sz w:val="21"/>
          <w:szCs w:val="21"/>
          <w:color w:val="auto"/>
        </w:rPr>
        <w:t xml:space="preserve">such event as the Administrative Agent or any Lender may reasonably request, (3) the Collateral Documents (or such similar Collateral Documents as are necessary in the reasonable discretion of the Administrative Agent for such Person to comply with </w:t>
      </w:r>
      <w:r>
        <w:rPr>
          <w:rFonts w:ascii="Arial" w:cs="Arial" w:eastAsia="Arial" w:hAnsi="Arial"/>
          <w:sz w:val="21"/>
          <w:szCs w:val="21"/>
          <w:u w:val="single" w:color="auto"/>
          <w:color w:val="auto"/>
        </w:rPr>
        <w:t>Section 7.08(d)</w:t>
      </w:r>
      <w:r>
        <w:rPr>
          <w:rFonts w:ascii="Arial" w:cs="Arial" w:eastAsia="Arial" w:hAnsi="Arial"/>
          <w:sz w:val="21"/>
          <w:szCs w:val="21"/>
          <w:color w:val="auto"/>
        </w:rPr>
        <w:t>) and (4) such other documentation as the Administrative Agent may reasonably request.</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Material Change in Business</w:t>
      </w:r>
      <w:r>
        <w:rPr>
          <w:rFonts w:ascii="Arial" w:cs="Arial" w:eastAsia="Arial" w:hAnsi="Arial"/>
          <w:sz w:val="22"/>
          <w:szCs w:val="22"/>
          <w:color w:val="auto"/>
        </w:rPr>
        <w:t>. Parent and its Restricted Subsidiaries (taken as a whole) shall not engage in any material business substantially different from those businesses of Parent and its Subsidiaries described in the Form 10-K of Parent for the Fiscal Year ended December 31, 2018, and any business reasonably related, ancillary or complementary thereto.</w:t>
      </w:r>
    </w:p>
    <w:p>
      <w:pPr>
        <w:spacing w:after="0" w:line="1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Liens. Parent shall not, and shall not permit any Restricted Subsidiary to, create, incur, assume or</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permit to exist any Lien on any property or asset now owned or hereafter acquired by it, except:</w:t>
      </w:r>
    </w:p>
    <w:p>
      <w:pPr>
        <w:spacing w:after="0" w:line="134" w:lineRule="exact"/>
        <w:rPr>
          <w:sz w:val="20"/>
          <w:szCs w:val="20"/>
          <w:color w:val="auto"/>
        </w:rPr>
      </w:pPr>
    </w:p>
    <w:p>
      <w:pPr>
        <w:ind w:left="2080" w:hanging="776"/>
        <w:spacing w:after="0"/>
        <w:tabs>
          <w:tab w:leader="none" w:pos="2080" w:val="left"/>
        </w:tabs>
        <w:numPr>
          <w:ilvl w:val="0"/>
          <w:numId w:val="364"/>
        </w:numPr>
        <w:rPr>
          <w:rFonts w:ascii="Arial" w:cs="Arial" w:eastAsia="Arial" w:hAnsi="Arial"/>
          <w:sz w:val="22"/>
          <w:szCs w:val="22"/>
          <w:color w:val="auto"/>
        </w:rPr>
      </w:pPr>
      <w:r>
        <w:rPr>
          <w:rFonts w:ascii="Arial" w:cs="Arial" w:eastAsia="Arial" w:hAnsi="Arial"/>
          <w:sz w:val="22"/>
          <w:szCs w:val="22"/>
          <w:color w:val="auto"/>
        </w:rPr>
        <w:t>Liens created pursuant to any Loan Document;</w:t>
      </w:r>
    </w:p>
    <w:p>
      <w:pPr>
        <w:spacing w:after="0" w:line="192" w:lineRule="exact"/>
        <w:rPr>
          <w:rFonts w:ascii="Arial" w:cs="Arial" w:eastAsia="Arial" w:hAnsi="Arial"/>
          <w:sz w:val="22"/>
          <w:szCs w:val="22"/>
          <w:color w:val="auto"/>
        </w:rPr>
      </w:pPr>
    </w:p>
    <w:p>
      <w:pPr>
        <w:jc w:val="both"/>
        <w:ind w:right="20" w:firstLine="1304"/>
        <w:spacing w:after="0" w:line="284" w:lineRule="auto"/>
        <w:tabs>
          <w:tab w:leader="none" w:pos="2182" w:val="left"/>
        </w:tabs>
        <w:numPr>
          <w:ilvl w:val="0"/>
          <w:numId w:val="364"/>
        </w:numPr>
        <w:rPr>
          <w:rFonts w:ascii="Arial" w:cs="Arial" w:eastAsia="Arial" w:hAnsi="Arial"/>
          <w:sz w:val="21"/>
          <w:szCs w:val="21"/>
          <w:color w:val="auto"/>
        </w:rPr>
      </w:pPr>
      <w:r>
        <w:rPr>
          <w:rFonts w:ascii="Arial" w:cs="Arial" w:eastAsia="Arial" w:hAnsi="Arial"/>
          <w:sz w:val="21"/>
          <w:szCs w:val="21"/>
          <w:color w:val="auto"/>
        </w:rPr>
        <w:t>Liens arising under the ABL Credit Documents in respect of cash that is collateralizing letters of credit issued thereunder or letters of credit originally issued under the ABL Credit Documents that are cash collateralized directly with the issuing bank thereof or their designee through arrangements satisfactory to such parties;</w:t>
      </w:r>
    </w:p>
    <w:p>
      <w:pPr>
        <w:spacing w:after="0" w:line="141" w:lineRule="exact"/>
        <w:rPr>
          <w:rFonts w:ascii="Arial" w:cs="Arial" w:eastAsia="Arial" w:hAnsi="Arial"/>
          <w:sz w:val="21"/>
          <w:szCs w:val="21"/>
          <w:color w:val="auto"/>
        </w:rPr>
      </w:pPr>
    </w:p>
    <w:p>
      <w:pPr>
        <w:ind w:left="2080" w:hanging="776"/>
        <w:spacing w:after="0"/>
        <w:tabs>
          <w:tab w:leader="none" w:pos="2080" w:val="left"/>
        </w:tabs>
        <w:numPr>
          <w:ilvl w:val="0"/>
          <w:numId w:val="364"/>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192" w:lineRule="exact"/>
        <w:rPr>
          <w:rFonts w:ascii="Arial" w:cs="Arial" w:eastAsia="Arial" w:hAnsi="Arial"/>
          <w:sz w:val="22"/>
          <w:szCs w:val="22"/>
          <w:color w:val="auto"/>
        </w:rPr>
      </w:pPr>
    </w:p>
    <w:p>
      <w:pPr>
        <w:ind w:firstLine="1304"/>
        <w:spacing w:after="0" w:line="276" w:lineRule="auto"/>
        <w:tabs>
          <w:tab w:leader="none" w:pos="2155" w:val="left"/>
        </w:tabs>
        <w:numPr>
          <w:ilvl w:val="0"/>
          <w:numId w:val="364"/>
        </w:numPr>
        <w:rPr>
          <w:rFonts w:ascii="Arial" w:cs="Arial" w:eastAsia="Arial" w:hAnsi="Arial"/>
          <w:sz w:val="22"/>
          <w:szCs w:val="22"/>
          <w:color w:val="auto"/>
        </w:rPr>
      </w:pPr>
      <w:r>
        <w:rPr>
          <w:rFonts w:ascii="Arial" w:cs="Arial" w:eastAsia="Arial" w:hAnsi="Arial"/>
          <w:sz w:val="22"/>
          <w:szCs w:val="22"/>
          <w:color w:val="auto"/>
        </w:rPr>
        <w:t xml:space="preserve">any Lien on any property or asset of Parent or any Restricted Subsidiary existing on the date hereof and set forth in </w:t>
      </w:r>
      <w:r>
        <w:rPr>
          <w:rFonts w:ascii="Arial" w:cs="Arial" w:eastAsia="Arial" w:hAnsi="Arial"/>
          <w:sz w:val="22"/>
          <w:szCs w:val="22"/>
          <w:u w:val="single" w:color="auto"/>
          <w:color w:val="auto"/>
        </w:rPr>
        <w:t>Schedule 8.04</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 shall not</w:t>
      </w:r>
    </w:p>
    <w:p>
      <w:pPr>
        <w:spacing w:after="0" w:line="134"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apply to any other property or asset of Parent or any Restricted Subsidiary and (ii) such Lien shall secure only those obligations that it secures on the date hereof and Permitted Refinancing Indebtedness in respect thereof;</w:t>
      </w:r>
    </w:p>
    <w:p>
      <w:pPr>
        <w:spacing w:after="0" w:line="147" w:lineRule="exact"/>
        <w:rPr>
          <w:sz w:val="20"/>
          <w:szCs w:val="20"/>
          <w:color w:val="auto"/>
        </w:rPr>
      </w:pPr>
    </w:p>
    <w:p>
      <w:pPr>
        <w:ind w:firstLine="1304"/>
        <w:spacing w:after="0" w:line="276" w:lineRule="auto"/>
        <w:tabs>
          <w:tab w:leader="none" w:pos="2454" w:val="left"/>
        </w:tabs>
        <w:numPr>
          <w:ilvl w:val="0"/>
          <w:numId w:val="365"/>
        </w:numPr>
        <w:rPr>
          <w:rFonts w:ascii="Arial" w:cs="Arial" w:eastAsia="Arial" w:hAnsi="Arial"/>
          <w:sz w:val="22"/>
          <w:szCs w:val="22"/>
          <w:color w:val="auto"/>
        </w:rPr>
      </w:pPr>
      <w:r>
        <w:rPr>
          <w:rFonts w:ascii="Arial" w:cs="Arial" w:eastAsia="Arial" w:hAnsi="Arial"/>
          <w:sz w:val="22"/>
          <w:szCs w:val="22"/>
          <w:color w:val="auto"/>
        </w:rPr>
        <w:t>precautionary Liens on Receivables and Receivables Related Security arising in connection with Permitted Factoring Transactions;</w:t>
      </w:r>
    </w:p>
    <w:p>
      <w:pPr>
        <w:spacing w:after="0" w:line="133" w:lineRule="exact"/>
        <w:rPr>
          <w:rFonts w:ascii="Arial" w:cs="Arial" w:eastAsia="Arial" w:hAnsi="Arial"/>
          <w:sz w:val="22"/>
          <w:szCs w:val="22"/>
          <w:color w:val="auto"/>
        </w:rPr>
      </w:pPr>
    </w:p>
    <w:p>
      <w:pPr>
        <w:jc w:val="both"/>
        <w:ind w:firstLine="1304"/>
        <w:spacing w:after="0" w:line="311" w:lineRule="auto"/>
        <w:tabs>
          <w:tab w:leader="none" w:pos="2119" w:val="left"/>
        </w:tabs>
        <w:numPr>
          <w:ilvl w:val="0"/>
          <w:numId w:val="365"/>
        </w:numPr>
        <w:rPr>
          <w:rFonts w:ascii="Arial" w:cs="Arial" w:eastAsia="Arial" w:hAnsi="Arial"/>
          <w:sz w:val="19"/>
          <w:szCs w:val="19"/>
          <w:color w:val="auto"/>
        </w:rPr>
      </w:pPr>
      <w:r>
        <w:rPr>
          <w:rFonts w:ascii="Arial" w:cs="Arial" w:eastAsia="Arial" w:hAnsi="Arial"/>
          <w:sz w:val="19"/>
          <w:szCs w:val="19"/>
          <w:color w:val="auto"/>
        </w:rPr>
        <w:t xml:space="preserve">Liens on cash and Cash Equivalents (and deposit accounts in which such cash and Cash Equivalents are held), granted in the ordinary course of business,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pro forma effect to the application of such Lien, Parent would be in compliance with the covenant set forth in </w:t>
      </w:r>
      <w:r>
        <w:rPr>
          <w:rFonts w:ascii="Arial" w:cs="Arial" w:eastAsia="Arial" w:hAnsi="Arial"/>
          <w:sz w:val="19"/>
          <w:szCs w:val="19"/>
          <w:u w:val="single" w:color="auto"/>
          <w:color w:val="auto"/>
        </w:rPr>
        <w:t>Section 8.09</w:t>
      </w:r>
      <w:r>
        <w:rPr>
          <w:rFonts w:ascii="Arial" w:cs="Arial" w:eastAsia="Arial" w:hAnsi="Arial"/>
          <w:sz w:val="19"/>
          <w:szCs w:val="19"/>
          <w:color w:val="auto"/>
        </w:rPr>
        <w:t>;</w:t>
      </w:r>
    </w:p>
    <w:p>
      <w:pPr>
        <w:spacing w:after="0" w:line="109" w:lineRule="exact"/>
        <w:rPr>
          <w:rFonts w:ascii="Arial" w:cs="Arial" w:eastAsia="Arial" w:hAnsi="Arial"/>
          <w:sz w:val="19"/>
          <w:szCs w:val="19"/>
          <w:color w:val="auto"/>
        </w:rPr>
      </w:pPr>
    </w:p>
    <w:p>
      <w:pPr>
        <w:ind w:left="2100" w:hanging="796"/>
        <w:spacing w:after="0"/>
        <w:tabs>
          <w:tab w:leader="none" w:pos="210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 xml:space="preserve">Liens in accordance with, and securing Indebtedness permitted by, </w:t>
      </w:r>
      <w:r>
        <w:rPr>
          <w:rFonts w:ascii="Arial" w:cs="Arial" w:eastAsia="Arial" w:hAnsi="Arial"/>
          <w:sz w:val="22"/>
          <w:szCs w:val="22"/>
          <w:u w:val="single" w:color="auto"/>
          <w:color w:val="auto"/>
        </w:rPr>
        <w:t>Section 8.01(p)</w:t>
      </w: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firstLine="1304"/>
        <w:spacing w:after="0" w:line="276" w:lineRule="auto"/>
        <w:tabs>
          <w:tab w:leader="none" w:pos="2304" w:val="left"/>
        </w:tabs>
        <w:numPr>
          <w:ilvl w:val="0"/>
          <w:numId w:val="365"/>
        </w:numPr>
        <w:rPr>
          <w:rFonts w:ascii="Arial" w:cs="Arial" w:eastAsia="Arial" w:hAnsi="Arial"/>
          <w:sz w:val="22"/>
          <w:szCs w:val="22"/>
          <w:color w:val="auto"/>
        </w:rPr>
      </w:pPr>
      <w:r>
        <w:rPr>
          <w:rFonts w:ascii="Arial" w:cs="Arial" w:eastAsia="Arial" w:hAnsi="Arial"/>
          <w:sz w:val="22"/>
          <w:szCs w:val="22"/>
          <w:color w:val="auto"/>
        </w:rPr>
        <w:t>Liens on assets so long as the aggregate principal amount of the Indebtedness and other obligations secured by such Liens does not at any time exceed $15,000,000.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7" w:name="page338"/>
    <w:bookmarkEnd w:id="337"/>
    <w:p>
      <w:pPr>
        <w:ind w:firstLine="648"/>
        <w:spacing w:after="0" w:line="276"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Asset Dispositions. Parent shall not, and shall not permit any Restricted Subsidiary to, Dispose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any assets to any Person, except that:</w:t>
      </w:r>
    </w:p>
    <w:p>
      <w:pPr>
        <w:spacing w:after="0" w:line="134" w:lineRule="exact"/>
        <w:rPr>
          <w:sz w:val="20"/>
          <w:szCs w:val="20"/>
          <w:color w:val="auto"/>
        </w:rPr>
      </w:pPr>
    </w:p>
    <w:p>
      <w:pPr>
        <w:ind w:left="2080" w:hanging="776"/>
        <w:spacing w:after="0"/>
        <w:tabs>
          <w:tab w:leader="none" w:pos="208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any Obligor may Dispose of assets to any Obligor that is a Wholly-Owned Subsidiary;</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any Restricted Subsidiary that is not an Obligor may Dispose of assets to an Obligor;</w:t>
      </w:r>
    </w:p>
    <w:p>
      <w:pPr>
        <w:spacing w:after="0" w:line="192" w:lineRule="exact"/>
        <w:rPr>
          <w:rFonts w:ascii="Arial" w:cs="Arial" w:eastAsia="Arial" w:hAnsi="Arial"/>
          <w:sz w:val="22"/>
          <w:szCs w:val="22"/>
          <w:color w:val="auto"/>
        </w:rPr>
      </w:pPr>
    </w:p>
    <w:p>
      <w:pPr>
        <w:jc w:val="both"/>
        <w:ind w:firstLine="1304"/>
        <w:spacing w:after="0" w:line="276" w:lineRule="auto"/>
        <w:tabs>
          <w:tab w:leader="none" w:pos="2130" w:val="left"/>
        </w:tabs>
        <w:numPr>
          <w:ilvl w:val="0"/>
          <w:numId w:val="366"/>
        </w:numPr>
        <w:rPr>
          <w:rFonts w:ascii="Arial" w:cs="Arial" w:eastAsia="Arial" w:hAnsi="Arial"/>
          <w:sz w:val="21"/>
          <w:szCs w:val="21"/>
          <w:color w:val="auto"/>
        </w:rPr>
      </w:pPr>
      <w:r>
        <w:rPr>
          <w:rFonts w:ascii="Arial" w:cs="Arial" w:eastAsia="Arial" w:hAnsi="Arial"/>
          <w:sz w:val="21"/>
          <w:szCs w:val="21"/>
          <w:color w:val="auto"/>
        </w:rPr>
        <w:t xml:space="preserve">any Obligor may Dispose of assets to any other Obligor that is not a Wholly-Owned Subsidiary and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value of all assets Disposed of in reliance on this </w:t>
      </w:r>
      <w:r>
        <w:rPr>
          <w:rFonts w:ascii="Arial" w:cs="Arial" w:eastAsia="Arial" w:hAnsi="Arial"/>
          <w:sz w:val="21"/>
          <w:szCs w:val="21"/>
          <w:u w:val="single" w:color="auto"/>
          <w:color w:val="auto"/>
        </w:rPr>
        <w:t>Section 8.05(c)</w:t>
      </w:r>
      <w:r>
        <w:rPr>
          <w:rFonts w:ascii="Arial" w:cs="Arial" w:eastAsia="Arial" w:hAnsi="Arial"/>
          <w:sz w:val="21"/>
          <w:szCs w:val="21"/>
          <w:color w:val="auto"/>
        </w:rPr>
        <w:t xml:space="preserve"> (net of the value of any such assets subsequently transferred to any Obligor by an Obligor that is not a Wholly-Owned Subsidiary) since the Effective Date shall not exceed (i) $25,000,000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up to an additional $25,000,000 so long as, at the time of such Disposition, no Default or Event of Default shall have occurred and be continuing;</w:t>
      </w:r>
    </w:p>
    <w:p>
      <w:pPr>
        <w:spacing w:after="0" w:line="136" w:lineRule="exact"/>
        <w:rPr>
          <w:rFonts w:ascii="Arial" w:cs="Arial" w:eastAsia="Arial" w:hAnsi="Arial"/>
          <w:sz w:val="21"/>
          <w:szCs w:val="21"/>
          <w:color w:val="auto"/>
        </w:rPr>
      </w:pPr>
    </w:p>
    <w:p>
      <w:pPr>
        <w:ind w:left="2100" w:hanging="796"/>
        <w:spacing w:after="0"/>
        <w:tabs>
          <w:tab w:leader="none" w:pos="210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any Specified Disposition shall be permitted;</w:t>
      </w:r>
    </w:p>
    <w:p>
      <w:pPr>
        <w:spacing w:after="0" w:line="206" w:lineRule="exact"/>
        <w:rPr>
          <w:rFonts w:ascii="Arial" w:cs="Arial" w:eastAsia="Arial" w:hAnsi="Arial"/>
          <w:sz w:val="22"/>
          <w:szCs w:val="22"/>
          <w:color w:val="auto"/>
        </w:rPr>
      </w:pPr>
    </w:p>
    <w:p>
      <w:pPr>
        <w:ind w:firstLine="1304"/>
        <w:spacing w:after="0" w:line="276" w:lineRule="auto"/>
        <w:tabs>
          <w:tab w:leader="none" w:pos="217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Parent and its Restricted Subsidiaries may Dispose of inventory or obsolete or worn-out property in the ordinary course of business;</w:t>
      </w:r>
    </w:p>
    <w:p>
      <w:pPr>
        <w:spacing w:after="0" w:line="133" w:lineRule="exact"/>
        <w:rPr>
          <w:rFonts w:ascii="Arial" w:cs="Arial" w:eastAsia="Arial" w:hAnsi="Arial"/>
          <w:sz w:val="22"/>
          <w:szCs w:val="22"/>
          <w:color w:val="auto"/>
        </w:rPr>
      </w:pPr>
    </w:p>
    <w:p>
      <w:pPr>
        <w:ind w:firstLine="1304"/>
        <w:spacing w:after="0" w:line="276" w:lineRule="auto"/>
        <w:tabs>
          <w:tab w:leader="none" w:pos="2187" w:val="left"/>
        </w:tabs>
        <w:numPr>
          <w:ilvl w:val="0"/>
          <w:numId w:val="366"/>
        </w:numPr>
        <w:rPr>
          <w:rFonts w:ascii="Arial" w:cs="Arial" w:eastAsia="Arial" w:hAnsi="Arial"/>
          <w:sz w:val="22"/>
          <w:szCs w:val="22"/>
          <w:color w:val="auto"/>
        </w:rPr>
      </w:pPr>
      <w:r>
        <w:rPr>
          <w:rFonts w:ascii="Arial" w:cs="Arial" w:eastAsia="Arial" w:hAnsi="Arial"/>
          <w:sz w:val="22"/>
          <w:szCs w:val="22"/>
          <w:color w:val="auto"/>
        </w:rPr>
        <w:t xml:space="preserve">Parent and its Restricted Subsidiaries may make Investments permitted by </w:t>
      </w:r>
      <w:r>
        <w:rPr>
          <w:rFonts w:ascii="Arial" w:cs="Arial" w:eastAsia="Arial" w:hAnsi="Arial"/>
          <w:sz w:val="22"/>
          <w:szCs w:val="22"/>
          <w:u w:val="single" w:color="auto"/>
          <w:color w:val="auto"/>
        </w:rPr>
        <w:t>Section 8.06</w:t>
      </w:r>
      <w:r>
        <w:rPr>
          <w:rFonts w:ascii="Arial" w:cs="Arial" w:eastAsia="Arial" w:hAnsi="Arial"/>
          <w:sz w:val="22"/>
          <w:szCs w:val="22"/>
          <w:color w:val="auto"/>
        </w:rPr>
        <w:t xml:space="preserve"> and Restricted Payments permitted by </w:t>
      </w:r>
      <w:r>
        <w:rPr>
          <w:rFonts w:ascii="Arial" w:cs="Arial" w:eastAsia="Arial" w:hAnsi="Arial"/>
          <w:sz w:val="22"/>
          <w:szCs w:val="22"/>
          <w:u w:val="single" w:color="auto"/>
          <w:color w:val="auto"/>
        </w:rPr>
        <w:t>Section 8.08</w:t>
      </w:r>
      <w:r>
        <w:rPr>
          <w:rFonts w:ascii="Arial" w:cs="Arial" w:eastAsia="Arial" w:hAnsi="Arial"/>
          <w:sz w:val="22"/>
          <w:szCs w:val="22"/>
          <w:color w:val="auto"/>
        </w:rPr>
        <w:t>, in each case to the extent constituting Dispositions;</w:t>
      </w:r>
    </w:p>
    <w:p>
      <w:pPr>
        <w:spacing w:after="0" w:line="133"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w:t>
      </w:r>
    </w:p>
    <w:p>
      <w:pPr>
        <w:spacing w:after="0" w:line="164" w:lineRule="exact"/>
        <w:rPr>
          <w:rFonts w:ascii="Arial" w:cs="Arial" w:eastAsia="Arial" w:hAnsi="Arial"/>
          <w:sz w:val="22"/>
          <w:szCs w:val="22"/>
          <w:color w:val="auto"/>
        </w:rPr>
      </w:pPr>
    </w:p>
    <w:p>
      <w:pPr>
        <w:ind w:right="20" w:firstLine="1304"/>
        <w:spacing w:after="0" w:line="276" w:lineRule="auto"/>
        <w:tabs>
          <w:tab w:leader="none" w:pos="2182"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any Disposition of assets resulting from a casualty event or condemnation proceeding, expropriation or other involuntary taking by a Governmental Authority shall be permitted;</w:t>
      </w:r>
    </w:p>
    <w:p>
      <w:pPr>
        <w:spacing w:after="0" w:line="133" w:lineRule="exact"/>
        <w:rPr>
          <w:rFonts w:ascii="Arial" w:cs="Arial" w:eastAsia="Arial" w:hAnsi="Arial"/>
          <w:sz w:val="22"/>
          <w:szCs w:val="22"/>
          <w:color w:val="auto"/>
        </w:rPr>
      </w:pPr>
    </w:p>
    <w:p>
      <w:pPr>
        <w:jc w:val="both"/>
        <w:ind w:firstLine="1304"/>
        <w:spacing w:after="0" w:line="266" w:lineRule="auto"/>
        <w:tabs>
          <w:tab w:leader="none" w:pos="2364" w:val="left"/>
        </w:tabs>
        <w:numPr>
          <w:ilvl w:val="0"/>
          <w:numId w:val="366"/>
        </w:numPr>
        <w:rPr>
          <w:rFonts w:ascii="Arial" w:cs="Arial" w:eastAsia="Arial" w:hAnsi="Arial"/>
          <w:sz w:val="22"/>
          <w:szCs w:val="22"/>
          <w:color w:val="auto"/>
        </w:rPr>
      </w:pPr>
      <w:r>
        <w:rPr>
          <w:rFonts w:ascii="Arial" w:cs="Arial" w:eastAsia="Arial" w:hAnsi="Arial"/>
          <w:sz w:val="22"/>
          <w:szCs w:val="22"/>
          <w:color w:val="auto"/>
        </w:rPr>
        <w:t>Parent and its Restricted Subsidiaries may grant in the ordinary course of business any license of Intellectual Property that does not interfere in any material respect with the business of Parent or any of its Restricted Subsidiaries;</w:t>
      </w:r>
    </w:p>
    <w:p>
      <w:pPr>
        <w:spacing w:after="0" w:line="144" w:lineRule="exact"/>
        <w:rPr>
          <w:rFonts w:ascii="Arial" w:cs="Arial" w:eastAsia="Arial" w:hAnsi="Arial"/>
          <w:sz w:val="22"/>
          <w:szCs w:val="22"/>
          <w:color w:val="auto"/>
        </w:rPr>
      </w:pPr>
    </w:p>
    <w:p>
      <w:pPr>
        <w:ind w:right="40" w:firstLine="1304"/>
        <w:spacing w:after="0" w:line="259" w:lineRule="auto"/>
        <w:tabs>
          <w:tab w:leader="none" w:pos="204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Parent, and if requested by the Administrative Agent, Parent shall deliver a certificate of a Principal Financial Officer of Parent certifying as to the foregoing), and (iv) after giving pro forma effect to such Disposition,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8" w:name="page339"/>
    <w:bookmarkEnd w:id="338"/>
    <w:p>
      <w:pPr>
        <w:spacing w:after="0"/>
        <w:rPr>
          <w:sz w:val="20"/>
          <w:szCs w:val="20"/>
          <w:color w:val="auto"/>
        </w:rPr>
      </w:pPr>
      <w:r>
        <w:rPr>
          <w:rFonts w:ascii="Arial" w:cs="Arial" w:eastAsia="Arial" w:hAnsi="Arial"/>
          <w:sz w:val="22"/>
          <w:szCs w:val="22"/>
          <w:color w:val="auto"/>
        </w:rPr>
        <w:t>Parent and its Restricted Subsidiaries would be in compliance with the covenant set forth in Section 8.09;</w:t>
      </w:r>
    </w:p>
    <w:p>
      <w:pPr>
        <w:spacing w:after="0" w:line="193" w:lineRule="exact"/>
        <w:rPr>
          <w:sz w:val="20"/>
          <w:szCs w:val="20"/>
          <w:color w:val="auto"/>
        </w:rPr>
      </w:pPr>
    </w:p>
    <w:p>
      <w:pPr>
        <w:jc w:val="both"/>
        <w:ind w:firstLine="1304"/>
        <w:spacing w:after="0" w:line="262" w:lineRule="auto"/>
        <w:tabs>
          <w:tab w:leader="none" w:pos="2304" w:val="left"/>
        </w:tabs>
        <w:numPr>
          <w:ilvl w:val="0"/>
          <w:numId w:val="367"/>
        </w:numPr>
        <w:rPr>
          <w:rFonts w:ascii="Arial" w:cs="Arial" w:eastAsia="Arial" w:hAnsi="Arial"/>
          <w:sz w:val="22"/>
          <w:szCs w:val="22"/>
          <w:color w:val="auto"/>
        </w:rPr>
      </w:pPr>
      <w:r>
        <w:rPr>
          <w:rFonts w:ascii="Arial" w:cs="Arial" w:eastAsia="Arial" w:hAnsi="Arial"/>
          <w:sz w:val="22"/>
          <w:szCs w:val="22"/>
          <w:color w:val="auto"/>
        </w:rPr>
        <w:t xml:space="preserve">Dispositions of surplus property in the ordinary course of business shall be permitted so long as the aggregate fair market value of all such surplus property Disposed of pursuant to this </w:t>
      </w:r>
      <w:r>
        <w:rPr>
          <w:rFonts w:ascii="Arial" w:cs="Arial" w:eastAsia="Arial" w:hAnsi="Arial"/>
          <w:sz w:val="22"/>
          <w:szCs w:val="22"/>
          <w:u w:val="single" w:color="auto"/>
          <w:color w:val="auto"/>
        </w:rPr>
        <w:t>Section 8.05(k)</w:t>
      </w:r>
      <w:r>
        <w:rPr>
          <w:rFonts w:ascii="Arial" w:cs="Arial" w:eastAsia="Arial" w:hAnsi="Arial"/>
          <w:sz w:val="22"/>
          <w:szCs w:val="22"/>
          <w:color w:val="auto"/>
        </w:rPr>
        <w:t xml:space="preserve"> does not exceed (i) $35,000,000 from the Effective Date through December 31, 2020, (ii) $30,000,000 during the Fiscal Year ending December 31, 2021, and (iii) $25,000,000 during any Fiscal Year thereafter;</w:t>
      </w:r>
    </w:p>
    <w:p>
      <w:pPr>
        <w:spacing w:after="0" w:line="164" w:lineRule="exact"/>
        <w:rPr>
          <w:rFonts w:ascii="Arial" w:cs="Arial" w:eastAsia="Arial" w:hAnsi="Arial"/>
          <w:sz w:val="22"/>
          <w:szCs w:val="22"/>
          <w:color w:val="auto"/>
        </w:rPr>
      </w:pPr>
    </w:p>
    <w:p>
      <w:pPr>
        <w:jc w:val="both"/>
        <w:ind w:firstLine="1304"/>
        <w:spacing w:after="0" w:line="266" w:lineRule="auto"/>
        <w:tabs>
          <w:tab w:leader="none" w:pos="2094" w:val="left"/>
        </w:tabs>
        <w:numPr>
          <w:ilvl w:val="0"/>
          <w:numId w:val="367"/>
        </w:numPr>
        <w:rPr>
          <w:rFonts w:ascii="Arial" w:cs="Arial" w:eastAsia="Arial" w:hAnsi="Arial"/>
          <w:sz w:val="22"/>
          <w:szCs w:val="22"/>
          <w:color w:val="auto"/>
        </w:rPr>
      </w:pPr>
      <w:r>
        <w:rPr>
          <w:rFonts w:ascii="Arial" w:cs="Arial" w:eastAsia="Arial" w:hAnsi="Arial"/>
          <w:sz w:val="22"/>
          <w:szCs w:val="22"/>
          <w:color w:val="auto"/>
        </w:rPr>
        <w:t>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44" w:lineRule="exact"/>
        <w:rPr>
          <w:rFonts w:ascii="Arial" w:cs="Arial" w:eastAsia="Arial" w:hAnsi="Arial"/>
          <w:sz w:val="22"/>
          <w:szCs w:val="22"/>
          <w:color w:val="auto"/>
        </w:rPr>
      </w:pPr>
    </w:p>
    <w:p>
      <w:pPr>
        <w:ind w:left="2160" w:hanging="856"/>
        <w:spacing w:after="0"/>
        <w:tabs>
          <w:tab w:leader="none" w:pos="216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leases of real or personal property in the ordinary course of business shall be permitted;</w:t>
      </w:r>
    </w:p>
    <w:p>
      <w:pPr>
        <w:spacing w:after="0" w:line="192" w:lineRule="exact"/>
        <w:rPr>
          <w:rFonts w:ascii="Arial" w:cs="Arial" w:eastAsia="Arial" w:hAnsi="Arial"/>
          <w:sz w:val="22"/>
          <w:szCs w:val="22"/>
          <w:color w:val="auto"/>
        </w:rPr>
      </w:pPr>
    </w:p>
    <w:p>
      <w:pPr>
        <w:ind w:left="2100" w:hanging="796"/>
        <w:spacing w:after="0"/>
        <w:tabs>
          <w:tab w:leader="none" w:pos="210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Permitted Intercompany Treasury Management Transactions;</w:t>
      </w:r>
    </w:p>
    <w:p>
      <w:pPr>
        <w:spacing w:after="0" w:line="206" w:lineRule="exact"/>
        <w:rPr>
          <w:rFonts w:ascii="Arial" w:cs="Arial" w:eastAsia="Arial" w:hAnsi="Arial"/>
          <w:sz w:val="22"/>
          <w:szCs w:val="22"/>
          <w:color w:val="auto"/>
        </w:rPr>
      </w:pPr>
    </w:p>
    <w:p>
      <w:pPr>
        <w:ind w:right="20" w:firstLine="1304"/>
        <w:spacing w:after="0" w:line="358" w:lineRule="auto"/>
        <w:tabs>
          <w:tab w:leader="none" w:pos="2169" w:val="left"/>
        </w:tabs>
        <w:numPr>
          <w:ilvl w:val="0"/>
          <w:numId w:val="367"/>
        </w:numPr>
        <w:rPr>
          <w:rFonts w:ascii="Arial" w:cs="Arial" w:eastAsia="Arial" w:hAnsi="Arial"/>
          <w:sz w:val="19"/>
          <w:szCs w:val="19"/>
          <w:color w:val="auto"/>
        </w:rPr>
      </w:pPr>
      <w:r>
        <w:rPr>
          <w:rFonts w:ascii="Arial" w:cs="Arial" w:eastAsia="Arial" w:hAnsi="Arial"/>
          <w:sz w:val="19"/>
          <w:szCs w:val="19"/>
          <w:color w:val="auto"/>
        </w:rPr>
        <w:t>Dispositions constituting Permitted Intercompany Specified Transactions, so long as at the time of such Disposition, no Default or Event of Default then exists or would arise as a result of the applicable transaction; and</w:t>
      </w:r>
    </w:p>
    <w:p>
      <w:pPr>
        <w:spacing w:after="0" w:line="63" w:lineRule="exact"/>
        <w:rPr>
          <w:rFonts w:ascii="Arial" w:cs="Arial" w:eastAsia="Arial" w:hAnsi="Arial"/>
          <w:sz w:val="19"/>
          <w:szCs w:val="19"/>
          <w:color w:val="auto"/>
        </w:rPr>
      </w:pPr>
    </w:p>
    <w:p>
      <w:pPr>
        <w:ind w:firstLine="1304"/>
        <w:spacing w:after="0" w:line="276" w:lineRule="auto"/>
        <w:tabs>
          <w:tab w:leader="none" w:pos="2223" w:val="left"/>
        </w:tabs>
        <w:numPr>
          <w:ilvl w:val="0"/>
          <w:numId w:val="367"/>
        </w:numPr>
        <w:rPr>
          <w:rFonts w:ascii="Arial" w:cs="Arial" w:eastAsia="Arial" w:hAnsi="Arial"/>
          <w:sz w:val="22"/>
          <w:szCs w:val="22"/>
          <w:color w:val="auto"/>
        </w:rPr>
      </w:pPr>
      <w:r>
        <w:rPr>
          <w:rFonts w:ascii="Arial" w:cs="Arial" w:eastAsia="Arial" w:hAnsi="Arial"/>
          <w:sz w:val="22"/>
          <w:szCs w:val="22"/>
          <w:color w:val="auto"/>
        </w:rPr>
        <w:t>Parent and its Restricted Subsidiaries may Dispose of any personal or real property with a fair market value not in excess of $2,500,000 in any Fiscal Year.</w:t>
      </w:r>
    </w:p>
    <w:p>
      <w:pPr>
        <w:spacing w:after="0" w:line="134" w:lineRule="exact"/>
        <w:rPr>
          <w:sz w:val="20"/>
          <w:szCs w:val="20"/>
          <w:color w:val="auto"/>
        </w:rPr>
      </w:pPr>
    </w:p>
    <w:p>
      <w:pPr>
        <w:ind w:left="660"/>
        <w:spacing w:after="0"/>
        <w:tabs>
          <w:tab w:leader="none" w:pos="2900" w:val="left"/>
          <w:tab w:leader="none" w:pos="418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22"/>
          <w:szCs w:val="22"/>
          <w:u w:val="single" w:color="auto"/>
          <w:color w:val="auto"/>
        </w:rPr>
        <w:t>Investments.</w:t>
      </w:r>
      <w:r>
        <w:rPr>
          <w:sz w:val="20"/>
          <w:szCs w:val="20"/>
          <w:color w:val="auto"/>
        </w:rPr>
        <w:tab/>
      </w:r>
      <w:r>
        <w:rPr>
          <w:rFonts w:ascii="Arial" w:cs="Arial" w:eastAsia="Arial" w:hAnsi="Arial"/>
          <w:sz w:val="19"/>
          <w:szCs w:val="19"/>
          <w:u w:val="single" w:color="auto"/>
          <w:color w:val="auto"/>
        </w:rPr>
        <w:t>Parent shall not, and shall not permit any Restricted Subsidiary to, make 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Investments in any Person, except:</w:t>
      </w:r>
    </w:p>
    <w:p>
      <w:pPr>
        <w:spacing w:after="0" w:line="202" w:lineRule="exact"/>
        <w:rPr>
          <w:sz w:val="20"/>
          <w:szCs w:val="20"/>
          <w:color w:val="auto"/>
        </w:rPr>
      </w:pPr>
    </w:p>
    <w:p>
      <w:pPr>
        <w:ind w:left="2080" w:hanging="776"/>
        <w:spacing w:after="0"/>
        <w:tabs>
          <w:tab w:leader="none" w:pos="208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Cash Equivalents;</w:t>
      </w:r>
    </w:p>
    <w:p>
      <w:pPr>
        <w:spacing w:after="0" w:line="192" w:lineRule="exact"/>
        <w:rPr>
          <w:rFonts w:ascii="Arial" w:cs="Arial" w:eastAsia="Arial" w:hAnsi="Arial"/>
          <w:sz w:val="22"/>
          <w:szCs w:val="22"/>
          <w:color w:val="auto"/>
        </w:rPr>
      </w:pPr>
    </w:p>
    <w:p>
      <w:pPr>
        <w:ind w:left="2100" w:hanging="796"/>
        <w:spacing w:after="0"/>
        <w:tabs>
          <w:tab w:leader="none" w:pos="210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192" w:lineRule="exact"/>
        <w:rPr>
          <w:rFonts w:ascii="Arial" w:cs="Arial" w:eastAsia="Arial" w:hAnsi="Arial"/>
          <w:sz w:val="22"/>
          <w:szCs w:val="22"/>
          <w:color w:val="auto"/>
        </w:rPr>
      </w:pPr>
    </w:p>
    <w:p>
      <w:pPr>
        <w:jc w:val="both"/>
        <w:ind w:firstLine="1304"/>
        <w:spacing w:after="0" w:line="327" w:lineRule="auto"/>
        <w:tabs>
          <w:tab w:leader="none" w:pos="2143" w:val="left"/>
        </w:tabs>
        <w:numPr>
          <w:ilvl w:val="0"/>
          <w:numId w:val="368"/>
        </w:numPr>
        <w:rPr>
          <w:rFonts w:ascii="Arial" w:cs="Arial" w:eastAsia="Arial" w:hAnsi="Arial"/>
          <w:sz w:val="19"/>
          <w:szCs w:val="19"/>
          <w:color w:val="auto"/>
        </w:rPr>
      </w:pPr>
      <w:r>
        <w:rPr>
          <w:rFonts w:ascii="Arial" w:cs="Arial" w:eastAsia="Arial" w:hAnsi="Arial"/>
          <w:sz w:val="19"/>
          <w:szCs w:val="19"/>
          <w:color w:val="auto"/>
        </w:rPr>
        <w:t xml:space="preserve">(i) Investments in Subsidiaries in existence on the Effective Date and (ii) other Investments in existence on the Effective Date and described on </w:t>
      </w:r>
      <w:r>
        <w:rPr>
          <w:rFonts w:ascii="Arial" w:cs="Arial" w:eastAsia="Arial" w:hAnsi="Arial"/>
          <w:sz w:val="19"/>
          <w:szCs w:val="19"/>
          <w:u w:val="single" w:color="auto"/>
          <w:color w:val="auto"/>
        </w:rPr>
        <w:t>Schedule 8.06</w:t>
      </w:r>
      <w:r>
        <w:rPr>
          <w:rFonts w:ascii="Arial" w:cs="Arial" w:eastAsia="Arial" w:hAnsi="Arial"/>
          <w:sz w:val="19"/>
          <w:szCs w:val="19"/>
          <w:color w:val="auto"/>
        </w:rPr>
        <w:t xml:space="preserve"> and any renewal or extension of any such Investments that does not increase the amount of the Investment being renewed or extended as determined as of such date of renewal or extension;</w:t>
      </w:r>
    </w:p>
    <w:p>
      <w:pPr>
        <w:spacing w:after="0" w:line="105" w:lineRule="exact"/>
        <w:rPr>
          <w:rFonts w:ascii="Arial" w:cs="Arial" w:eastAsia="Arial" w:hAnsi="Arial"/>
          <w:sz w:val="19"/>
          <w:szCs w:val="19"/>
          <w:color w:val="auto"/>
        </w:rPr>
      </w:pPr>
    </w:p>
    <w:p>
      <w:pPr>
        <w:ind w:left="2100" w:hanging="796"/>
        <w:spacing w:after="0"/>
        <w:tabs>
          <w:tab w:leader="none" w:pos="210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Investments by any Obligor in any other Obligor that is a Wholly-Owned Subsidiary;</w:t>
      </w:r>
    </w:p>
    <w:p>
      <w:pPr>
        <w:spacing w:after="0" w:line="192" w:lineRule="exact"/>
        <w:rPr>
          <w:rFonts w:ascii="Arial" w:cs="Arial" w:eastAsia="Arial" w:hAnsi="Arial"/>
          <w:sz w:val="22"/>
          <w:szCs w:val="22"/>
          <w:color w:val="auto"/>
        </w:rPr>
      </w:pPr>
    </w:p>
    <w:p>
      <w:pPr>
        <w:ind w:left="2400" w:hanging="1096"/>
        <w:spacing w:after="0"/>
        <w:tabs>
          <w:tab w:leader="none" w:pos="2400" w:val="left"/>
        </w:tabs>
        <w:numPr>
          <w:ilvl w:val="0"/>
          <w:numId w:val="368"/>
        </w:numPr>
        <w:rPr>
          <w:rFonts w:ascii="Arial" w:cs="Arial" w:eastAsia="Arial" w:hAnsi="Arial"/>
          <w:sz w:val="19"/>
          <w:szCs w:val="19"/>
          <w:color w:val="auto"/>
        </w:rPr>
      </w:pPr>
      <w:r>
        <w:rPr>
          <w:rFonts w:ascii="Arial" w:cs="Arial" w:eastAsia="Arial" w:hAnsi="Arial"/>
          <w:sz w:val="19"/>
          <w:szCs w:val="19"/>
          <w:color w:val="auto"/>
        </w:rPr>
        <w:t>Investments by any Restricted Subsidiary that is not an Obligor in any Obligor or any Restricted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188" w:lineRule="exact"/>
        <w:rPr>
          <w:rFonts w:ascii="Arial" w:cs="Arial" w:eastAsia="Arial" w:hAnsi="Arial"/>
          <w:sz w:val="19"/>
          <w:szCs w:val="19"/>
          <w:color w:val="auto"/>
        </w:rPr>
      </w:pPr>
    </w:p>
    <w:p>
      <w:pPr>
        <w:jc w:val="both"/>
        <w:ind w:firstLine="1304"/>
        <w:spacing w:after="0" w:line="284" w:lineRule="auto"/>
        <w:tabs>
          <w:tab w:leader="none" w:pos="2052" w:val="left"/>
        </w:tabs>
        <w:numPr>
          <w:ilvl w:val="0"/>
          <w:numId w:val="368"/>
        </w:numPr>
        <w:rPr>
          <w:rFonts w:ascii="Arial" w:cs="Arial" w:eastAsia="Arial" w:hAnsi="Arial"/>
          <w:sz w:val="21"/>
          <w:szCs w:val="21"/>
          <w:color w:val="auto"/>
        </w:rPr>
      </w:pPr>
      <w:r>
        <w:rPr>
          <w:rFonts w:ascii="Arial" w:cs="Arial" w:eastAsia="Arial" w:hAnsi="Arial"/>
          <w:sz w:val="21"/>
          <w:szCs w:val="21"/>
          <w:color w:val="auto"/>
        </w:rPr>
        <w:t xml:space="preserve">(i) Investments in Unrestricted Subsidiaries, and (ii) Investments by any Obligor in any Obligor that is not a Wholly-Owned Subsidiary and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of all Investments made pursuant to this </w:t>
      </w:r>
      <w:r>
        <w:rPr>
          <w:rFonts w:ascii="Arial" w:cs="Arial" w:eastAsia="Arial" w:hAnsi="Arial"/>
          <w:sz w:val="21"/>
          <w:szCs w:val="21"/>
          <w:u w:val="single" w:color="auto"/>
          <w:color w:val="auto"/>
        </w:rPr>
        <w:t>Section 8.06(f)</w:t>
      </w:r>
      <w:r>
        <w:rPr>
          <w:rFonts w:ascii="Arial" w:cs="Arial" w:eastAsia="Arial" w:hAnsi="Arial"/>
          <w:sz w:val="21"/>
          <w:szCs w:val="21"/>
          <w:color w:val="auto"/>
        </w:rPr>
        <w:t xml:space="preserve"> and then outstanding since the Effective Date, shall not exceed $25,000,000;</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9" w:name="page340"/>
    <w:bookmarkEnd w:id="339"/>
    <w:p>
      <w:pPr>
        <w:jc w:val="both"/>
        <w:ind w:firstLine="1304"/>
        <w:spacing w:after="0" w:line="284" w:lineRule="auto"/>
        <w:tabs>
          <w:tab w:leader="none" w:pos="2223" w:val="left"/>
        </w:tabs>
        <w:numPr>
          <w:ilvl w:val="0"/>
          <w:numId w:val="369"/>
        </w:numPr>
        <w:rPr>
          <w:rFonts w:ascii="Arial" w:cs="Arial" w:eastAsia="Arial" w:hAnsi="Arial"/>
          <w:sz w:val="21"/>
          <w:szCs w:val="21"/>
          <w:color w:val="auto"/>
        </w:rPr>
      </w:pPr>
      <w:r>
        <w:rPr>
          <w:rFonts w:ascii="Arial" w:cs="Arial" w:eastAsia="Arial" w:hAnsi="Arial"/>
          <w:sz w:val="21"/>
          <w:szCs w:val="21"/>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28" w:lineRule="exact"/>
        <w:rPr>
          <w:rFonts w:ascii="Arial" w:cs="Arial" w:eastAsia="Arial" w:hAnsi="Arial"/>
          <w:sz w:val="21"/>
          <w:szCs w:val="21"/>
          <w:color w:val="auto"/>
        </w:rPr>
      </w:pPr>
    </w:p>
    <w:p>
      <w:pPr>
        <w:ind w:firstLine="1304"/>
        <w:spacing w:after="0" w:line="358" w:lineRule="auto"/>
        <w:tabs>
          <w:tab w:leader="none" w:pos="2196" w:val="left"/>
        </w:tabs>
        <w:numPr>
          <w:ilvl w:val="0"/>
          <w:numId w:val="369"/>
        </w:numPr>
        <w:rPr>
          <w:rFonts w:ascii="Arial" w:cs="Arial" w:eastAsia="Arial" w:hAnsi="Arial"/>
          <w:sz w:val="19"/>
          <w:szCs w:val="19"/>
          <w:color w:val="auto"/>
        </w:rPr>
      </w:pPr>
      <w:r>
        <w:rPr>
          <w:rFonts w:ascii="Arial" w:cs="Arial" w:eastAsia="Arial" w:hAnsi="Arial"/>
          <w:sz w:val="19"/>
          <w:szCs w:val="19"/>
          <w:color w:val="auto"/>
        </w:rPr>
        <w:t xml:space="preserve">Investments by any Obligor or Restricted Subsidiary in overnight time deposits in Argentina;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amount of such Investments shall not exceed $25,000,000 at any time outstanding;</w:t>
      </w:r>
    </w:p>
    <w:p>
      <w:pPr>
        <w:spacing w:after="0" w:line="77" w:lineRule="exact"/>
        <w:rPr>
          <w:rFonts w:ascii="Arial" w:cs="Arial" w:eastAsia="Arial" w:hAnsi="Arial"/>
          <w:sz w:val="19"/>
          <w:szCs w:val="19"/>
          <w:color w:val="auto"/>
        </w:rPr>
      </w:pPr>
    </w:p>
    <w:p>
      <w:pPr>
        <w:ind w:left="2260" w:hanging="956"/>
        <w:spacing w:after="0"/>
        <w:tabs>
          <w:tab w:leader="none" w:pos="2260" w:val="left"/>
        </w:tabs>
        <w:numPr>
          <w:ilvl w:val="0"/>
          <w:numId w:val="369"/>
        </w:numPr>
        <w:rPr>
          <w:rFonts w:ascii="Arial" w:cs="Arial" w:eastAsia="Arial" w:hAnsi="Arial"/>
          <w:sz w:val="19"/>
          <w:szCs w:val="19"/>
          <w:color w:val="auto"/>
        </w:rPr>
      </w:pPr>
      <w:r>
        <w:rPr>
          <w:rFonts w:ascii="Arial" w:cs="Arial" w:eastAsia="Arial" w:hAnsi="Arial"/>
          <w:sz w:val="19"/>
          <w:szCs w:val="19"/>
          <w:color w:val="auto"/>
        </w:rPr>
        <w:t xml:space="preserve">subject to the limitations set forth in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this Section, Guarantees permitted by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2040" w:hanging="736"/>
        <w:spacing w:after="0"/>
        <w:tabs>
          <w:tab w:leader="none" w:pos="2040" w:val="left"/>
        </w:tabs>
        <w:numPr>
          <w:ilvl w:val="0"/>
          <w:numId w:val="369"/>
        </w:numPr>
        <w:rPr>
          <w:rFonts w:ascii="Arial" w:cs="Arial" w:eastAsia="Arial" w:hAnsi="Arial"/>
          <w:sz w:val="22"/>
          <w:szCs w:val="22"/>
          <w:color w:val="auto"/>
        </w:rPr>
      </w:pPr>
      <w:r>
        <w:rPr>
          <w:rFonts w:ascii="Arial" w:cs="Arial" w:eastAsia="Arial" w:hAnsi="Arial"/>
          <w:sz w:val="22"/>
          <w:szCs w:val="22"/>
          <w:color w:val="auto"/>
        </w:rPr>
        <w:t xml:space="preserve">Investments received in consideration for a Disposition permitted by </w:t>
      </w:r>
      <w:r>
        <w:rPr>
          <w:rFonts w:ascii="Arial" w:cs="Arial" w:eastAsia="Arial" w:hAnsi="Arial"/>
          <w:sz w:val="22"/>
          <w:szCs w:val="22"/>
          <w:u w:val="single" w:color="auto"/>
          <w:color w:val="auto"/>
        </w:rPr>
        <w:t>Section 8.05</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84" w:lineRule="auto"/>
        <w:tabs>
          <w:tab w:leader="none" w:pos="2115" w:val="left"/>
        </w:tabs>
        <w:numPr>
          <w:ilvl w:val="0"/>
          <w:numId w:val="369"/>
        </w:numPr>
        <w:rPr>
          <w:rFonts w:ascii="Arial" w:cs="Arial" w:eastAsia="Arial" w:hAnsi="Arial"/>
          <w:sz w:val="21"/>
          <w:szCs w:val="21"/>
          <w:color w:val="auto"/>
        </w:rPr>
      </w:pPr>
      <w:r>
        <w:rPr>
          <w:rFonts w:ascii="Arial" w:cs="Arial" w:eastAsia="Arial" w:hAnsi="Arial"/>
          <w:sz w:val="21"/>
          <w:szCs w:val="21"/>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outstanding amount of such advances and loans shall not exceed $2,500,000 at any time outstanding;</w:t>
      </w:r>
    </w:p>
    <w:p>
      <w:pPr>
        <w:spacing w:after="0" w:line="141" w:lineRule="exact"/>
        <w:rPr>
          <w:rFonts w:ascii="Arial" w:cs="Arial" w:eastAsia="Arial" w:hAnsi="Arial"/>
          <w:sz w:val="21"/>
          <w:szCs w:val="21"/>
          <w:color w:val="auto"/>
        </w:rPr>
      </w:pPr>
    </w:p>
    <w:p>
      <w:pPr>
        <w:jc w:val="both"/>
        <w:ind w:firstLine="1304"/>
        <w:spacing w:after="0" w:line="327" w:lineRule="auto"/>
        <w:tabs>
          <w:tab w:leader="none" w:pos="2310" w:val="left"/>
        </w:tabs>
        <w:numPr>
          <w:ilvl w:val="0"/>
          <w:numId w:val="369"/>
        </w:numPr>
        <w:rPr>
          <w:rFonts w:ascii="Arial" w:cs="Arial" w:eastAsia="Arial" w:hAnsi="Arial"/>
          <w:sz w:val="19"/>
          <w:szCs w:val="19"/>
          <w:color w:val="auto"/>
        </w:rPr>
      </w:pPr>
      <w:r>
        <w:rPr>
          <w:rFonts w:ascii="Arial" w:cs="Arial" w:eastAsia="Arial" w:hAnsi="Arial"/>
          <w:sz w:val="19"/>
          <w:szCs w:val="19"/>
          <w:color w:val="auto"/>
        </w:rPr>
        <w:t>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w:t>
      </w:r>
    </w:p>
    <w:p>
      <w:pPr>
        <w:spacing w:after="0" w:line="92" w:lineRule="exact"/>
        <w:rPr>
          <w:rFonts w:ascii="Arial" w:cs="Arial" w:eastAsia="Arial" w:hAnsi="Arial"/>
          <w:sz w:val="19"/>
          <w:szCs w:val="19"/>
          <w:color w:val="auto"/>
        </w:rPr>
      </w:pPr>
    </w:p>
    <w:p>
      <w:pPr>
        <w:ind w:left="2160" w:hanging="856"/>
        <w:spacing w:after="0"/>
        <w:tabs>
          <w:tab w:leader="none" w:pos="2160" w:val="left"/>
        </w:tabs>
        <w:numPr>
          <w:ilvl w:val="0"/>
          <w:numId w:val="369"/>
        </w:numPr>
        <w:rPr>
          <w:rFonts w:ascii="Arial" w:cs="Arial" w:eastAsia="Arial" w:hAnsi="Arial"/>
          <w:sz w:val="22"/>
          <w:szCs w:val="22"/>
          <w:color w:val="auto"/>
        </w:rPr>
      </w:pPr>
      <w:r>
        <w:rPr>
          <w:rFonts w:ascii="Arial" w:cs="Arial" w:eastAsia="Arial" w:hAnsi="Arial"/>
          <w:sz w:val="22"/>
          <w:szCs w:val="22"/>
          <w:color w:val="auto"/>
        </w:rPr>
        <w:t xml:space="preserve">Investments consisting of Swap Agreements permitted under </w:t>
      </w:r>
      <w:r>
        <w:rPr>
          <w:rFonts w:ascii="Arial" w:cs="Arial" w:eastAsia="Arial" w:hAnsi="Arial"/>
          <w:sz w:val="22"/>
          <w:szCs w:val="22"/>
          <w:u w:val="single" w:color="auto"/>
          <w:color w:val="auto"/>
        </w:rPr>
        <w:t>Section 8.07</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66" w:lineRule="auto"/>
        <w:tabs>
          <w:tab w:leader="none" w:pos="2182" w:val="left"/>
        </w:tabs>
        <w:numPr>
          <w:ilvl w:val="0"/>
          <w:numId w:val="369"/>
        </w:numPr>
        <w:rPr>
          <w:rFonts w:ascii="Arial" w:cs="Arial" w:eastAsia="Arial" w:hAnsi="Arial"/>
          <w:sz w:val="22"/>
          <w:szCs w:val="22"/>
          <w:color w:val="auto"/>
        </w:rPr>
      </w:pPr>
      <w:r>
        <w:rPr>
          <w:rFonts w:ascii="Arial" w:cs="Arial" w:eastAsia="Arial" w:hAnsi="Arial"/>
          <w:sz w:val="22"/>
          <w:szCs w:val="22"/>
          <w:color w:val="auto"/>
        </w:rPr>
        <w:t xml:space="preserve">additional Investments,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thereof and immediately after giving effect thereto, (i) the amount of all such Investments made pursuant to this </w:t>
      </w:r>
      <w:r>
        <w:rPr>
          <w:rFonts w:ascii="Arial" w:cs="Arial" w:eastAsia="Arial" w:hAnsi="Arial"/>
          <w:sz w:val="22"/>
          <w:szCs w:val="22"/>
          <w:u w:val="single" w:color="auto"/>
          <w:color w:val="auto"/>
        </w:rPr>
        <w:t>Section 8.06(n)</w:t>
      </w:r>
      <w:r>
        <w:rPr>
          <w:rFonts w:ascii="Arial" w:cs="Arial" w:eastAsia="Arial" w:hAnsi="Arial"/>
          <w:sz w:val="22"/>
          <w:szCs w:val="22"/>
          <w:color w:val="auto"/>
        </w:rPr>
        <w:t xml:space="preserve"> in the aggregate does not exceed $200,000,000 and (ii) no Default or Event of Default shall have occurred and be continuing;</w:t>
      </w:r>
    </w:p>
    <w:p>
      <w:pPr>
        <w:spacing w:after="0" w:line="157" w:lineRule="exact"/>
        <w:rPr>
          <w:rFonts w:ascii="Arial" w:cs="Arial" w:eastAsia="Arial" w:hAnsi="Arial"/>
          <w:sz w:val="22"/>
          <w:szCs w:val="22"/>
          <w:color w:val="auto"/>
        </w:rPr>
      </w:pPr>
    </w:p>
    <w:p>
      <w:pPr>
        <w:ind w:left="2100" w:hanging="796"/>
        <w:spacing w:after="0"/>
        <w:tabs>
          <w:tab w:leader="none" w:pos="2100" w:val="left"/>
        </w:tabs>
        <w:numPr>
          <w:ilvl w:val="0"/>
          <w:numId w:val="369"/>
        </w:numPr>
        <w:rPr>
          <w:rFonts w:ascii="Arial" w:cs="Arial" w:eastAsia="Arial" w:hAnsi="Arial"/>
          <w:sz w:val="22"/>
          <w:szCs w:val="22"/>
          <w:color w:val="auto"/>
        </w:rPr>
      </w:pPr>
      <w:r>
        <w:rPr>
          <w:rFonts w:ascii="Arial" w:cs="Arial" w:eastAsia="Arial" w:hAnsi="Arial"/>
          <w:sz w:val="22"/>
          <w:szCs w:val="22"/>
          <w:color w:val="auto"/>
        </w:rPr>
        <w:t>Investments constituting Permitted Intercompany Treasury Management Transactions; and</w:t>
      </w:r>
    </w:p>
    <w:p>
      <w:pPr>
        <w:spacing w:after="0" w:line="192" w:lineRule="exact"/>
        <w:rPr>
          <w:rFonts w:ascii="Arial" w:cs="Arial" w:eastAsia="Arial" w:hAnsi="Arial"/>
          <w:sz w:val="22"/>
          <w:szCs w:val="22"/>
          <w:color w:val="auto"/>
        </w:rPr>
      </w:pPr>
    </w:p>
    <w:p>
      <w:pPr>
        <w:ind w:firstLine="1304"/>
        <w:spacing w:after="0" w:line="301" w:lineRule="auto"/>
        <w:tabs>
          <w:tab w:leader="none" w:pos="2182" w:val="left"/>
        </w:tabs>
        <w:numPr>
          <w:ilvl w:val="0"/>
          <w:numId w:val="369"/>
        </w:numPr>
        <w:rPr>
          <w:rFonts w:ascii="Arial" w:cs="Arial" w:eastAsia="Arial" w:hAnsi="Arial"/>
          <w:sz w:val="21"/>
          <w:szCs w:val="21"/>
          <w:color w:val="auto"/>
        </w:rPr>
      </w:pPr>
      <w:r>
        <w:rPr>
          <w:rFonts w:ascii="Arial" w:cs="Arial" w:eastAsia="Arial" w:hAnsi="Arial"/>
          <w:sz w:val="21"/>
          <w:szCs w:val="21"/>
          <w:color w:val="auto"/>
        </w:rPr>
        <w:t>Investments constituting Permitted Intercompany Specified Transactions, so long as at the time of such Investment, no Default or Event of Default then exists or would arise as a result of the applicable transaction.</w:t>
      </w:r>
    </w:p>
    <w:p>
      <w:pPr>
        <w:spacing w:after="0" w:line="110" w:lineRule="exact"/>
        <w:rPr>
          <w:sz w:val="20"/>
          <w:szCs w:val="20"/>
          <w:color w:val="auto"/>
        </w:rPr>
      </w:pPr>
    </w:p>
    <w:p>
      <w:pPr>
        <w:jc w:val="both"/>
        <w:ind w:right="20"/>
        <w:spacing w:after="0" w:line="358" w:lineRule="auto"/>
        <w:rPr>
          <w:sz w:val="20"/>
          <w:szCs w:val="20"/>
          <w:color w:val="auto"/>
        </w:rPr>
      </w:pPr>
      <w:r>
        <w:rPr>
          <w:rFonts w:ascii="Arial" w:cs="Arial" w:eastAsia="Arial" w:hAnsi="Arial"/>
          <w:sz w:val="19"/>
          <w:szCs w:val="19"/>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Swap Agreements</w:t>
      </w:r>
      <w:r>
        <w:rPr>
          <w:rFonts w:ascii="Arial" w:cs="Arial" w:eastAsia="Arial" w:hAnsi="Arial"/>
          <w:sz w:val="21"/>
          <w:szCs w:val="21"/>
          <w:color w:val="auto"/>
        </w:rPr>
        <w:t>. Parent shall not, and shall not permit any Restricted Subsidiary to, enter into any Swap Agreement, except (a) 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0" w:name="page341"/>
    <w:bookmarkEnd w:id="340"/>
    <w:p>
      <w:pPr>
        <w:jc w:val="both"/>
        <w:spacing w:after="0" w:line="266" w:lineRule="auto"/>
        <w:rPr>
          <w:sz w:val="20"/>
          <w:szCs w:val="20"/>
          <w:color w:val="auto"/>
        </w:rPr>
      </w:pPr>
      <w:r>
        <w:rPr>
          <w:rFonts w:ascii="Arial" w:cs="Arial" w:eastAsia="Arial" w:hAnsi="Arial"/>
          <w:sz w:val="22"/>
          <w:szCs w:val="22"/>
          <w:color w:val="auto"/>
        </w:rPr>
        <w:t>Restricted Subsidiary has actual exposure, and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w:t>
      </w:r>
    </w:p>
    <w:p>
      <w:pPr>
        <w:spacing w:after="0" w:line="14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Parent shall not, and shall not permit any Restricted Subsidiary to, declare or make, or agree to pay or make, directly or indirectly, any Restricted Payment, except:</w:t>
      </w:r>
    </w:p>
    <w:p>
      <w:pPr>
        <w:spacing w:after="0" w:line="147" w:lineRule="exact"/>
        <w:rPr>
          <w:sz w:val="20"/>
          <w:szCs w:val="20"/>
          <w:color w:val="auto"/>
        </w:rPr>
      </w:pPr>
    </w:p>
    <w:p>
      <w:pPr>
        <w:ind w:firstLine="1304"/>
        <w:spacing w:after="0" w:line="276" w:lineRule="auto"/>
        <w:tabs>
          <w:tab w:leader="none" w:pos="2251" w:val="left"/>
        </w:tabs>
        <w:numPr>
          <w:ilvl w:val="0"/>
          <w:numId w:val="370"/>
        </w:numPr>
        <w:rPr>
          <w:rFonts w:ascii="Arial" w:cs="Arial" w:eastAsia="Arial" w:hAnsi="Arial"/>
          <w:sz w:val="22"/>
          <w:szCs w:val="22"/>
          <w:color w:val="auto"/>
        </w:rPr>
      </w:pPr>
      <w:r>
        <w:rPr>
          <w:rFonts w:ascii="Arial" w:cs="Arial" w:eastAsia="Arial" w:hAnsi="Arial"/>
          <w:sz w:val="22"/>
          <w:szCs w:val="22"/>
          <w:color w:val="auto"/>
        </w:rPr>
        <w:t>Parent may declare and pay dividends on its Capital Stock payable solely in additional Capital Stock (other than Disqualified Capital Stock);</w:t>
      </w:r>
    </w:p>
    <w:p>
      <w:pPr>
        <w:spacing w:after="0" w:line="133" w:lineRule="exact"/>
        <w:rPr>
          <w:rFonts w:ascii="Arial" w:cs="Arial" w:eastAsia="Arial" w:hAnsi="Arial"/>
          <w:sz w:val="22"/>
          <w:szCs w:val="22"/>
          <w:color w:val="auto"/>
        </w:rPr>
      </w:pPr>
    </w:p>
    <w:p>
      <w:pPr>
        <w:ind w:right="240" w:firstLine="1304"/>
        <w:spacing w:after="0" w:line="266" w:lineRule="auto"/>
        <w:tabs>
          <w:tab w:leader="none" w:pos="2088" w:val="left"/>
        </w:tabs>
        <w:numPr>
          <w:ilvl w:val="0"/>
          <w:numId w:val="370"/>
        </w:numPr>
        <w:rPr>
          <w:rFonts w:ascii="Arial" w:cs="Arial" w:eastAsia="Arial" w:hAnsi="Arial"/>
          <w:sz w:val="22"/>
          <w:szCs w:val="22"/>
          <w:color w:val="auto"/>
        </w:rPr>
      </w:pPr>
      <w:r>
        <w:rPr>
          <w:rFonts w:ascii="Arial" w:cs="Arial" w:eastAsia="Arial" w:hAnsi="Arial"/>
          <w:sz w:val="22"/>
          <w:szCs w:val="22"/>
          <w:color w:val="auto"/>
        </w:rPr>
        <w:t>Parent and its Restricted Subsidiaries may make Restricted Payments in exchange for, or out of the proceeds received from, any substantially concurrent issuance (other than to a Subsidiary) of additional Capital Stock of Parent (other than Disqualified Capital Stock);</w:t>
      </w:r>
    </w:p>
    <w:p>
      <w:pPr>
        <w:spacing w:after="0" w:line="144" w:lineRule="exact"/>
        <w:rPr>
          <w:rFonts w:ascii="Arial" w:cs="Arial" w:eastAsia="Arial" w:hAnsi="Arial"/>
          <w:sz w:val="22"/>
          <w:szCs w:val="22"/>
          <w:color w:val="auto"/>
        </w:rPr>
      </w:pPr>
    </w:p>
    <w:p>
      <w:pPr>
        <w:jc w:val="both"/>
        <w:ind w:firstLine="1304"/>
        <w:spacing w:after="0" w:line="273" w:lineRule="auto"/>
        <w:tabs>
          <w:tab w:leader="none" w:pos="2386" w:val="left"/>
        </w:tabs>
        <w:numPr>
          <w:ilvl w:val="0"/>
          <w:numId w:val="370"/>
        </w:numPr>
        <w:rPr>
          <w:rFonts w:ascii="Arial" w:cs="Arial" w:eastAsia="Arial" w:hAnsi="Arial"/>
          <w:sz w:val="21"/>
          <w:szCs w:val="21"/>
          <w:color w:val="auto"/>
        </w:rPr>
      </w:pPr>
      <w:r>
        <w:rPr>
          <w:rFonts w:ascii="Arial" w:cs="Arial" w:eastAsia="Arial" w:hAnsi="Arial"/>
          <w:sz w:val="21"/>
          <w:szCs w:val="21"/>
          <w:color w:val="auto"/>
        </w:rPr>
        <w:t>(i) Restricted Subsidiaries that are Wholly-Owned Subsidiaries and Obligors may declare and pay dividends or make other distributions on account of their Capital Stock so long as, if an Obligor is making such payment or distribution, the ultimate recipient of such payment or distribution (directly or indirectly, with receipt occurring substantially contemporaneously with the making of such payment or distribution) is an Obligor, and (ii) 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 long as no Default or Event of Default then exists or would arise as a result of the applicable transaction;</w:t>
      </w:r>
    </w:p>
    <w:p>
      <w:pPr>
        <w:spacing w:after="0" w:line="151" w:lineRule="exact"/>
        <w:rPr>
          <w:rFonts w:ascii="Arial" w:cs="Arial" w:eastAsia="Arial" w:hAnsi="Arial"/>
          <w:sz w:val="21"/>
          <w:szCs w:val="21"/>
          <w:color w:val="auto"/>
        </w:rPr>
      </w:pPr>
    </w:p>
    <w:p>
      <w:pPr>
        <w:ind w:left="2220" w:hanging="916"/>
        <w:spacing w:after="0"/>
        <w:tabs>
          <w:tab w:leader="none" w:pos="2220" w:val="left"/>
        </w:tabs>
        <w:numPr>
          <w:ilvl w:val="0"/>
          <w:numId w:val="370"/>
        </w:numPr>
        <w:rPr>
          <w:rFonts w:ascii="Arial" w:cs="Arial" w:eastAsia="Arial" w:hAnsi="Arial"/>
          <w:sz w:val="19"/>
          <w:szCs w:val="19"/>
          <w:color w:val="auto"/>
        </w:rPr>
      </w:pPr>
      <w:r>
        <w:rPr>
          <w:rFonts w:ascii="Arial" w:cs="Arial" w:eastAsia="Arial" w:hAnsi="Arial"/>
          <w:sz w:val="19"/>
          <w:szCs w:val="19"/>
          <w:color w:val="auto"/>
        </w:rPr>
        <w:t>Parent and its Restricted Subsidiaries may make any prepayments under this Agreement in accordance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the terms thereof;</w:t>
      </w:r>
    </w:p>
    <w:p>
      <w:pPr>
        <w:spacing w:after="0" w:line="188" w:lineRule="exact"/>
        <w:rPr>
          <w:rFonts w:ascii="Arial" w:cs="Arial" w:eastAsia="Arial" w:hAnsi="Arial"/>
          <w:sz w:val="19"/>
          <w:szCs w:val="19"/>
          <w:color w:val="auto"/>
        </w:rPr>
      </w:pPr>
    </w:p>
    <w:p>
      <w:pPr>
        <w:jc w:val="both"/>
        <w:ind w:firstLine="1304"/>
        <w:spacing w:after="0" w:line="276" w:lineRule="auto"/>
        <w:tabs>
          <w:tab w:leader="none" w:pos="2440" w:val="left"/>
        </w:tabs>
        <w:numPr>
          <w:ilvl w:val="0"/>
          <w:numId w:val="370"/>
        </w:numPr>
        <w:rPr>
          <w:rFonts w:ascii="Arial" w:cs="Arial" w:eastAsia="Arial" w:hAnsi="Arial"/>
          <w:sz w:val="21"/>
          <w:szCs w:val="21"/>
          <w:color w:val="auto"/>
        </w:rPr>
      </w:pPr>
      <w:r>
        <w:rPr>
          <w:rFonts w:ascii="Arial" w:cs="Arial" w:eastAsia="Arial" w:hAnsi="Arial"/>
          <w:sz w:val="21"/>
          <w:szCs w:val="21"/>
          <w:color w:val="auto"/>
        </w:rPr>
        <w:t xml:space="preserve">so long as no Default or Event of Default has occurred and is continuing at the time thereof or immediately after giving effect thereto, Parent and its Restricted Subsidiaries may (1) Redeem any Senior Secured Notes, Exit Senior Notes or other senior notes, in each case, that have a stated maturity date prior to the Maturity Date and (2) Redeem any Senior Secured Notes, Exit Senior Notes or other senior notes, in each case, with the proceeds of (a) Permitted Refinancing Indebtedness or (b) Indebtedness incurred under </w:t>
      </w:r>
      <w:r>
        <w:rPr>
          <w:rFonts w:ascii="Arial" w:cs="Arial" w:eastAsia="Arial" w:hAnsi="Arial"/>
          <w:sz w:val="21"/>
          <w:szCs w:val="21"/>
          <w:u w:val="single" w:color="auto"/>
          <w:color w:val="auto"/>
        </w:rPr>
        <w:t>Section 8.01(h)</w:t>
      </w:r>
      <w:r>
        <w:rPr>
          <w:rFonts w:ascii="Arial" w:cs="Arial" w:eastAsia="Arial" w:hAnsi="Arial"/>
          <w:sz w:val="21"/>
          <w:szCs w:val="21"/>
          <w:color w:val="auto"/>
        </w:rPr>
        <w:t xml:space="preserve">, (i), </w:t>
      </w:r>
      <w:r>
        <w:rPr>
          <w:rFonts w:ascii="Arial" w:cs="Arial" w:eastAsia="Arial" w:hAnsi="Arial"/>
          <w:sz w:val="21"/>
          <w:szCs w:val="21"/>
          <w:u w:val="single" w:color="auto"/>
          <w:color w:val="auto"/>
        </w:rPr>
        <w:t>(j)</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(p)</w:t>
      </w:r>
      <w:r>
        <w:rPr>
          <w:rFonts w:ascii="Arial" w:cs="Arial" w:eastAsia="Arial" w:hAnsi="Arial"/>
          <w:sz w:val="21"/>
          <w:szCs w:val="21"/>
          <w:color w:val="auto"/>
        </w:rPr>
        <w:t>;</w:t>
      </w:r>
    </w:p>
    <w:p>
      <w:pPr>
        <w:spacing w:after="0" w:line="136" w:lineRule="exact"/>
        <w:rPr>
          <w:rFonts w:ascii="Arial" w:cs="Arial" w:eastAsia="Arial" w:hAnsi="Arial"/>
          <w:sz w:val="21"/>
          <w:szCs w:val="21"/>
          <w:color w:val="auto"/>
        </w:rPr>
      </w:pPr>
    </w:p>
    <w:p>
      <w:pPr>
        <w:jc w:val="both"/>
        <w:ind w:firstLine="1304"/>
        <w:spacing w:after="0" w:line="306" w:lineRule="auto"/>
        <w:tabs>
          <w:tab w:leader="none" w:pos="2214" w:val="left"/>
        </w:tabs>
        <w:numPr>
          <w:ilvl w:val="0"/>
          <w:numId w:val="370"/>
        </w:numPr>
        <w:rPr>
          <w:rFonts w:ascii="Arial" w:cs="Arial" w:eastAsia="Arial" w:hAnsi="Arial"/>
          <w:sz w:val="19"/>
          <w:szCs w:val="19"/>
          <w:color w:val="auto"/>
        </w:rPr>
      </w:pPr>
      <w:r>
        <w:rPr>
          <w:rFonts w:ascii="Arial" w:cs="Arial" w:eastAsia="Arial" w:hAnsi="Arial"/>
          <w:sz w:val="19"/>
          <w:szCs w:val="19"/>
          <w:color w:val="auto"/>
        </w:rPr>
        <w:t xml:space="preserve">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in any case, that the aggregate cash consideration paid for all such redemptions, repurchases or other acquisitions or retirements shall not exceed $10,000,000 during any calendar year;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1" w:name="page342"/>
    <w:bookmarkEnd w:id="341"/>
    <w:p>
      <w:pPr>
        <w:jc w:val="both"/>
        <w:ind w:firstLine="1304"/>
        <w:spacing w:after="0" w:line="306" w:lineRule="auto"/>
        <w:tabs>
          <w:tab w:leader="none" w:pos="2587" w:val="left"/>
        </w:tabs>
        <w:numPr>
          <w:ilvl w:val="0"/>
          <w:numId w:val="371"/>
        </w:numPr>
        <w:rPr>
          <w:rFonts w:ascii="Arial" w:cs="Arial" w:eastAsia="Arial" w:hAnsi="Arial"/>
          <w:sz w:val="19"/>
          <w:szCs w:val="19"/>
          <w:color w:val="auto"/>
        </w:rPr>
      </w:pPr>
      <w:r>
        <w:rPr>
          <w:rFonts w:ascii="Arial" w:cs="Arial" w:eastAsia="Arial" w:hAnsi="Arial"/>
          <w:sz w:val="19"/>
          <w:szCs w:val="19"/>
          <w:color w:val="auto"/>
        </w:rPr>
        <w:t xml:space="preserve">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15" w:lineRule="exact"/>
        <w:rPr>
          <w:rFonts w:ascii="Arial" w:cs="Arial" w:eastAsia="Arial" w:hAnsi="Arial"/>
          <w:sz w:val="19"/>
          <w:szCs w:val="19"/>
          <w:color w:val="auto"/>
        </w:rPr>
      </w:pPr>
    </w:p>
    <w:p>
      <w:pPr>
        <w:ind w:left="2220" w:hanging="916"/>
        <w:spacing w:after="0"/>
        <w:tabs>
          <w:tab w:leader="none" w:pos="2220" w:val="left"/>
        </w:tabs>
        <w:numPr>
          <w:ilvl w:val="0"/>
          <w:numId w:val="371"/>
        </w:numPr>
        <w:rPr>
          <w:rFonts w:ascii="Arial" w:cs="Arial" w:eastAsia="Arial" w:hAnsi="Arial"/>
          <w:sz w:val="19"/>
          <w:szCs w:val="19"/>
          <w:color w:val="auto"/>
        </w:rPr>
      </w:pPr>
      <w:r>
        <w:rPr>
          <w:rFonts w:ascii="Arial" w:cs="Arial" w:eastAsia="Arial" w:hAnsi="Arial"/>
          <w:sz w:val="19"/>
          <w:szCs w:val="19"/>
          <w:color w:val="auto"/>
        </w:rPr>
        <w:t>Parent and each Restricted Subsidiary may make payments of cash in lieu of issuing fractional Capital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Stock;</w:t>
      </w:r>
    </w:p>
    <w:p>
      <w:pPr>
        <w:spacing w:after="0" w:line="201" w:lineRule="exact"/>
        <w:rPr>
          <w:rFonts w:ascii="Arial" w:cs="Arial" w:eastAsia="Arial" w:hAnsi="Arial"/>
          <w:sz w:val="19"/>
          <w:szCs w:val="19"/>
          <w:color w:val="auto"/>
        </w:rPr>
      </w:pPr>
    </w:p>
    <w:p>
      <w:pPr>
        <w:jc w:val="both"/>
        <w:ind w:firstLine="1304"/>
        <w:spacing w:after="0" w:line="266" w:lineRule="auto"/>
        <w:tabs>
          <w:tab w:leader="none" w:pos="2040" w:val="left"/>
        </w:tabs>
        <w:numPr>
          <w:ilvl w:val="0"/>
          <w:numId w:val="371"/>
        </w:numPr>
        <w:rPr>
          <w:rFonts w:ascii="Arial" w:cs="Arial" w:eastAsia="Arial" w:hAnsi="Arial"/>
          <w:sz w:val="22"/>
          <w:szCs w:val="22"/>
          <w:color w:val="auto"/>
        </w:rPr>
      </w:pPr>
      <w:r>
        <w:rPr>
          <w:rFonts w:ascii="Arial" w:cs="Arial" w:eastAsia="Arial" w:hAnsi="Arial"/>
          <w:sz w:val="22"/>
          <w:szCs w:val="22"/>
          <w:color w:val="auto"/>
        </w:rPr>
        <w:t xml:space="preserve">Each Restricted Subsidiary that is not a Wholly-Owned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22"/>
          <w:szCs w:val="22"/>
          <w:u w:val="single" w:color="auto"/>
          <w:color w:val="auto"/>
        </w:rPr>
        <w:t>Sections 8.02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8.05</w:t>
      </w:r>
      <w:r>
        <w:rPr>
          <w:rFonts w:ascii="Arial" w:cs="Arial" w:eastAsia="Arial" w:hAnsi="Arial"/>
          <w:sz w:val="22"/>
          <w:szCs w:val="22"/>
          <w:color w:val="auto"/>
        </w:rPr>
        <w:t>;</w:t>
      </w:r>
    </w:p>
    <w:p>
      <w:pPr>
        <w:spacing w:after="0" w:line="144" w:lineRule="exact"/>
        <w:rPr>
          <w:rFonts w:ascii="Arial" w:cs="Arial" w:eastAsia="Arial" w:hAnsi="Arial"/>
          <w:sz w:val="22"/>
          <w:szCs w:val="22"/>
          <w:color w:val="auto"/>
        </w:rPr>
      </w:pPr>
    </w:p>
    <w:p>
      <w:pPr>
        <w:ind w:firstLine="1304"/>
        <w:spacing w:after="0" w:line="358" w:lineRule="auto"/>
        <w:tabs>
          <w:tab w:leader="none" w:pos="2040" w:val="left"/>
        </w:tabs>
        <w:numPr>
          <w:ilvl w:val="0"/>
          <w:numId w:val="371"/>
        </w:numPr>
        <w:rPr>
          <w:rFonts w:ascii="Arial" w:cs="Arial" w:eastAsia="Arial" w:hAnsi="Arial"/>
          <w:sz w:val="19"/>
          <w:szCs w:val="19"/>
          <w:color w:val="auto"/>
        </w:rPr>
      </w:pPr>
      <w:r>
        <w:rPr>
          <w:rFonts w:ascii="Arial" w:cs="Arial" w:eastAsia="Arial" w:hAnsi="Arial"/>
          <w:sz w:val="19"/>
          <w:szCs w:val="19"/>
          <w:color w:val="auto"/>
        </w:rPr>
        <w:t>Restricted Payments constituting Permitted Intercompany Specified Transactions, so long as at the time of such Restricted Payment no Default or Event of Default then exists or would arise as a result of the applicable transaction;</w:t>
      </w:r>
    </w:p>
    <w:p>
      <w:pPr>
        <w:spacing w:after="0" w:line="63" w:lineRule="exact"/>
        <w:rPr>
          <w:rFonts w:ascii="Arial" w:cs="Arial" w:eastAsia="Arial" w:hAnsi="Arial"/>
          <w:sz w:val="19"/>
          <w:szCs w:val="19"/>
          <w:color w:val="auto"/>
        </w:rPr>
      </w:pPr>
    </w:p>
    <w:p>
      <w:pPr>
        <w:ind w:left="2100" w:hanging="796"/>
        <w:spacing w:after="0"/>
        <w:tabs>
          <w:tab w:leader="none" w:pos="2100" w:val="left"/>
        </w:tabs>
        <w:numPr>
          <w:ilvl w:val="0"/>
          <w:numId w:val="371"/>
        </w:numPr>
        <w:rPr>
          <w:rFonts w:ascii="Arial" w:cs="Arial" w:eastAsia="Arial" w:hAnsi="Arial"/>
          <w:sz w:val="21"/>
          <w:szCs w:val="21"/>
          <w:color w:val="auto"/>
        </w:rPr>
      </w:pPr>
      <w:r>
        <w:rPr>
          <w:rFonts w:ascii="Arial" w:cs="Arial" w:eastAsia="Arial" w:hAnsi="Arial"/>
          <w:sz w:val="21"/>
          <w:szCs w:val="21"/>
          <w:color w:val="auto"/>
        </w:rPr>
        <w:t>Restricted Payments constituting Permitted Intercompany Treasury Management Transactions;</w:t>
      </w:r>
    </w:p>
    <w:p>
      <w:pPr>
        <w:spacing w:after="0" w:line="217" w:lineRule="exact"/>
        <w:rPr>
          <w:rFonts w:ascii="Arial" w:cs="Arial" w:eastAsia="Arial" w:hAnsi="Arial"/>
          <w:sz w:val="21"/>
          <w:szCs w:val="21"/>
          <w:color w:val="auto"/>
        </w:rPr>
      </w:pPr>
    </w:p>
    <w:p>
      <w:pPr>
        <w:jc w:val="both"/>
        <w:ind w:firstLine="1304"/>
        <w:spacing w:after="0" w:line="262" w:lineRule="auto"/>
        <w:tabs>
          <w:tab w:leader="none" w:pos="2094" w:val="left"/>
        </w:tabs>
        <w:numPr>
          <w:ilvl w:val="0"/>
          <w:numId w:val="371"/>
        </w:numPr>
        <w:rPr>
          <w:rFonts w:ascii="Arial" w:cs="Arial" w:eastAsia="Arial" w:hAnsi="Arial"/>
          <w:sz w:val="22"/>
          <w:szCs w:val="22"/>
          <w:color w:val="auto"/>
        </w:rPr>
      </w:pPr>
      <w:r>
        <w:rPr>
          <w:rFonts w:ascii="Arial" w:cs="Arial" w:eastAsia="Arial" w:hAnsi="Arial"/>
          <w:sz w:val="22"/>
          <w:szCs w:val="22"/>
          <w:color w:val="auto"/>
        </w:rPr>
        <w:t>Parent and its Restricted Subsidiaries may make other Restricted Payments described in clause (c) of the definition thereof, provided that at the time thereof and immediately after giving effect thereto, (i) the amount of all such Restricted Payments made pursuant to this Section 8.05(l) in the aggregate shall not exceed $100,000,000 and (ii) no Default or Event of Default shall have occurred and be continuing; and</w:t>
      </w:r>
    </w:p>
    <w:p>
      <w:pPr>
        <w:spacing w:after="0" w:line="150" w:lineRule="exact"/>
        <w:rPr>
          <w:rFonts w:ascii="Arial" w:cs="Arial" w:eastAsia="Arial" w:hAnsi="Arial"/>
          <w:sz w:val="22"/>
          <w:szCs w:val="22"/>
          <w:color w:val="auto"/>
        </w:rPr>
      </w:pPr>
    </w:p>
    <w:p>
      <w:pPr>
        <w:jc w:val="both"/>
        <w:ind w:firstLine="1304"/>
        <w:spacing w:after="0" w:line="308" w:lineRule="auto"/>
        <w:tabs>
          <w:tab w:leader="none" w:pos="2188" w:val="left"/>
        </w:tabs>
        <w:numPr>
          <w:ilvl w:val="0"/>
          <w:numId w:val="371"/>
        </w:numPr>
        <w:rPr>
          <w:rFonts w:ascii="Arial" w:cs="Arial" w:eastAsia="Arial" w:hAnsi="Arial"/>
          <w:sz w:val="19"/>
          <w:szCs w:val="19"/>
          <w:color w:val="auto"/>
        </w:rPr>
      </w:pPr>
      <w:r>
        <w:rPr>
          <w:rFonts w:ascii="Arial" w:cs="Arial" w:eastAsia="Arial" w:hAnsi="Arial"/>
          <w:sz w:val="19"/>
          <w:szCs w:val="19"/>
          <w:color w:val="auto"/>
        </w:rPr>
        <w:t xml:space="preserve">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this </w:t>
      </w:r>
      <w:r>
        <w:rPr>
          <w:rFonts w:ascii="Arial" w:cs="Arial" w:eastAsia="Arial" w:hAnsi="Arial"/>
          <w:sz w:val="19"/>
          <w:szCs w:val="19"/>
          <w:u w:val="single" w:color="auto"/>
          <w:color w:val="auto"/>
        </w:rPr>
        <w:t>clause (iii)</w:t>
      </w:r>
      <w:r>
        <w:rPr>
          <w:rFonts w:ascii="Arial" w:cs="Arial" w:eastAsia="Arial" w:hAnsi="Arial"/>
          <w:sz w:val="19"/>
          <w:szCs w:val="19"/>
          <w:color w:val="auto"/>
        </w:rPr>
        <w:t>, (x) no Default or Event of Default then exists or would arise as a result of the applicable transaction, and (y) to the extent such intercompany loans or advances are subject to the Intercompany Subordination Agreement, such repayment or prepayment shall not violate the terms thereof; and</w:t>
      </w:r>
    </w:p>
    <w:p>
      <w:pPr>
        <w:spacing w:after="0" w:line="113" w:lineRule="exact"/>
        <w:rPr>
          <w:rFonts w:ascii="Arial" w:cs="Arial" w:eastAsia="Arial" w:hAnsi="Arial"/>
          <w:sz w:val="19"/>
          <w:szCs w:val="19"/>
          <w:color w:val="auto"/>
        </w:rPr>
      </w:pPr>
    </w:p>
    <w:p>
      <w:pPr>
        <w:jc w:val="both"/>
        <w:ind w:right="20" w:firstLine="1304"/>
        <w:spacing w:after="0" w:line="266" w:lineRule="auto"/>
        <w:tabs>
          <w:tab w:leader="none" w:pos="2452" w:val="left"/>
        </w:tabs>
        <w:numPr>
          <w:ilvl w:val="0"/>
          <w:numId w:val="371"/>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at the time thereof or immediately after giving effect thereto, Parent and its Restricted Subsidiaries may Redeem Senior Secured Notes with the net cash proceeds of any sale of Notes Priority Collateral.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2" w:name="page343"/>
    <w:bookmarkEnd w:id="342"/>
    <w:p>
      <w:pPr>
        <w:jc w:val="both"/>
        <w:ind w:firstLine="648"/>
        <w:spacing w:after="0" w:line="276" w:lineRule="auto"/>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Minimum Liquidity</w:t>
      </w:r>
      <w:r>
        <w:rPr>
          <w:rFonts w:ascii="Arial" w:cs="Arial" w:eastAsia="Arial" w:hAnsi="Arial"/>
          <w:sz w:val="22"/>
          <w:szCs w:val="22"/>
          <w:color w:val="auto"/>
        </w:rPr>
        <w:t>. Parent shall not, at any time, (i) permit Secured Liquidity to be less than $125,000,000 and (ii) permit Aggregate Liquidity to be less than $175,000,000.</w:t>
      </w:r>
    </w:p>
    <w:p>
      <w:pPr>
        <w:spacing w:after="0" w:line="13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Limitation on Transactions with Affiliates</w:t>
      </w:r>
      <w:r>
        <w:rPr>
          <w:rFonts w:ascii="Arial" w:cs="Arial" w:eastAsia="Arial" w:hAnsi="Arial"/>
          <w:sz w:val="19"/>
          <w:szCs w:val="19"/>
          <w:color w:val="auto"/>
        </w:rPr>
        <w:t>.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 (b) 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 this covenant shall not apply to (i) Investments in Unrestricted Subsidiaries permitted by Section 8.06;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Intellectual Property.</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Restrictive Agreements</w:t>
      </w:r>
      <w:r>
        <w:rPr>
          <w:rFonts w:ascii="Arial" w:cs="Arial" w:eastAsia="Arial" w:hAnsi="Arial"/>
          <w:sz w:val="22"/>
          <w:szCs w:val="22"/>
          <w:color w:val="auto"/>
        </w:rPr>
        <w:t>. Parent shall not, and shall not permit any Restricted Subsidiary to, directly or indirectly, enter into, incur, create or permit to exist any Restrictive Agreement, except for:</w:t>
      </w:r>
    </w:p>
    <w:p>
      <w:pPr>
        <w:spacing w:after="0" w:line="134" w:lineRule="exact"/>
        <w:rPr>
          <w:sz w:val="20"/>
          <w:szCs w:val="20"/>
          <w:color w:val="auto"/>
        </w:rPr>
      </w:pPr>
    </w:p>
    <w:p>
      <w:pPr>
        <w:ind w:right="20" w:firstLine="1304"/>
        <w:spacing w:after="0" w:line="276" w:lineRule="auto"/>
        <w:tabs>
          <w:tab w:leader="none" w:pos="2143" w:val="left"/>
        </w:tabs>
        <w:numPr>
          <w:ilvl w:val="0"/>
          <w:numId w:val="372"/>
        </w:numPr>
        <w:rPr>
          <w:rFonts w:ascii="Arial" w:cs="Arial" w:eastAsia="Arial" w:hAnsi="Arial"/>
          <w:sz w:val="22"/>
          <w:szCs w:val="22"/>
          <w:color w:val="auto"/>
        </w:rPr>
      </w:pPr>
      <w:r>
        <w:rPr>
          <w:rFonts w:ascii="Arial" w:cs="Arial" w:eastAsia="Arial" w:hAnsi="Arial"/>
          <w:sz w:val="22"/>
          <w:szCs w:val="22"/>
          <w:color w:val="auto"/>
        </w:rPr>
        <w:t>limitations or restrictions contained in any Loan Document, the Senior Secured Notes Indenture and the Exit Senior Notes Indenture;</w:t>
      </w:r>
    </w:p>
    <w:p>
      <w:pPr>
        <w:spacing w:after="0" w:line="133" w:lineRule="exact"/>
        <w:rPr>
          <w:rFonts w:ascii="Arial" w:cs="Arial" w:eastAsia="Arial" w:hAnsi="Arial"/>
          <w:sz w:val="22"/>
          <w:szCs w:val="22"/>
          <w:color w:val="auto"/>
        </w:rPr>
      </w:pPr>
    </w:p>
    <w:p>
      <w:pPr>
        <w:ind w:left="2100" w:hanging="796"/>
        <w:spacing w:after="0"/>
        <w:tabs>
          <w:tab w:leader="none" w:pos="210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limitations or restrictions existing under or by reason of any Requirement of Law;</w:t>
      </w:r>
    </w:p>
    <w:p>
      <w:pPr>
        <w:spacing w:after="0" w:line="206" w:lineRule="exact"/>
        <w:rPr>
          <w:rFonts w:ascii="Arial" w:cs="Arial" w:eastAsia="Arial" w:hAnsi="Arial"/>
          <w:sz w:val="22"/>
          <w:szCs w:val="22"/>
          <w:color w:val="auto"/>
        </w:rPr>
      </w:pPr>
    </w:p>
    <w:p>
      <w:pPr>
        <w:jc w:val="both"/>
        <w:ind w:right="20" w:firstLine="1304"/>
        <w:spacing w:after="0" w:line="262" w:lineRule="auto"/>
        <w:tabs>
          <w:tab w:leader="none" w:pos="2278" w:val="left"/>
        </w:tabs>
        <w:numPr>
          <w:ilvl w:val="0"/>
          <w:numId w:val="372"/>
        </w:numPr>
        <w:rPr>
          <w:rFonts w:ascii="Arial" w:cs="Arial" w:eastAsia="Arial" w:hAnsi="Arial"/>
          <w:sz w:val="22"/>
          <w:szCs w:val="22"/>
          <w:color w:val="auto"/>
        </w:rPr>
      </w:pPr>
      <w:r>
        <w:rPr>
          <w:rFonts w:ascii="Arial" w:cs="Arial" w:eastAsia="Arial" w:hAnsi="Arial"/>
          <w:sz w:val="22"/>
          <w:szCs w:val="22"/>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restrictions apply only to the Restricted Subsidiary that is, or assets that are, the subject of such Disposition and such Disposition is permitted hereunder;</w:t>
      </w:r>
    </w:p>
    <w:p>
      <w:pPr>
        <w:spacing w:after="0" w:line="150" w:lineRule="exact"/>
        <w:rPr>
          <w:rFonts w:ascii="Arial" w:cs="Arial" w:eastAsia="Arial" w:hAnsi="Arial"/>
          <w:sz w:val="22"/>
          <w:szCs w:val="22"/>
          <w:color w:val="auto"/>
        </w:rPr>
      </w:pPr>
    </w:p>
    <w:p>
      <w:pPr>
        <w:jc w:val="both"/>
        <w:ind w:firstLine="1304"/>
        <w:spacing w:after="0" w:line="262" w:lineRule="auto"/>
        <w:tabs>
          <w:tab w:leader="none" w:pos="2209" w:val="left"/>
        </w:tabs>
        <w:numPr>
          <w:ilvl w:val="0"/>
          <w:numId w:val="372"/>
        </w:numPr>
        <w:rPr>
          <w:rFonts w:ascii="Arial" w:cs="Arial" w:eastAsia="Arial" w:hAnsi="Arial"/>
          <w:sz w:val="22"/>
          <w:szCs w:val="22"/>
          <w:color w:val="auto"/>
        </w:rPr>
      </w:pPr>
      <w:r>
        <w:rPr>
          <w:rFonts w:ascii="Arial" w:cs="Arial" w:eastAsia="Arial" w:hAnsi="Arial"/>
          <w:sz w:val="22"/>
          <w:szCs w:val="22"/>
          <w:color w:val="auto"/>
        </w:rPr>
        <w:t xml:space="preserve">limitations or restrictions contained in contracts and agreements outstanding on the Effective Date and renewals, extensions, refinancings or replacements thereof identified on </w:t>
      </w:r>
      <w:r>
        <w:rPr>
          <w:rFonts w:ascii="Arial" w:cs="Arial" w:eastAsia="Arial" w:hAnsi="Arial"/>
          <w:sz w:val="22"/>
          <w:szCs w:val="22"/>
          <w:u w:val="single" w:color="auto"/>
          <w:color w:val="auto"/>
        </w:rPr>
        <w:t>Schedule 8.11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restrictions set forth in this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shall apply to any amendment or modification to, or any renewal, extension, refinancing or replacement of, 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3" w:name="page344"/>
    <w:bookmarkEnd w:id="343"/>
    <w:p>
      <w:pPr>
        <w:spacing w:after="0"/>
        <w:rPr>
          <w:sz w:val="20"/>
          <w:szCs w:val="20"/>
          <w:color w:val="auto"/>
        </w:rPr>
      </w:pPr>
      <w:r>
        <w:rPr>
          <w:rFonts w:ascii="Arial" w:cs="Arial" w:eastAsia="Arial" w:hAnsi="Arial"/>
          <w:sz w:val="22"/>
          <w:szCs w:val="22"/>
          <w:color w:val="auto"/>
        </w:rPr>
        <w:t>such contract or agreement that would have the effect of expanding the scope of any such limitation or restriction;</w:t>
      </w:r>
    </w:p>
    <w:p>
      <w:pPr>
        <w:spacing w:after="0" w:line="193" w:lineRule="exact"/>
        <w:rPr>
          <w:sz w:val="20"/>
          <w:szCs w:val="20"/>
          <w:color w:val="auto"/>
        </w:rPr>
      </w:pPr>
    </w:p>
    <w:p>
      <w:pPr>
        <w:jc w:val="both"/>
        <w:ind w:firstLine="1304"/>
        <w:spacing w:after="0" w:line="276" w:lineRule="auto"/>
        <w:tabs>
          <w:tab w:leader="none" w:pos="2130" w:val="left"/>
        </w:tabs>
        <w:numPr>
          <w:ilvl w:val="0"/>
          <w:numId w:val="373"/>
        </w:numPr>
        <w:rPr>
          <w:rFonts w:ascii="Arial" w:cs="Arial" w:eastAsia="Arial" w:hAnsi="Arial"/>
          <w:sz w:val="21"/>
          <w:szCs w:val="21"/>
          <w:color w:val="auto"/>
        </w:rPr>
      </w:pPr>
      <w:r>
        <w:rPr>
          <w:rFonts w:ascii="Arial" w:cs="Arial" w:eastAsia="Arial" w:hAnsi="Arial"/>
          <w:sz w:val="21"/>
          <w:szCs w:val="21"/>
          <w:color w:val="auto"/>
        </w:rPr>
        <w:t xml:space="preserve">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50" w:lineRule="exact"/>
        <w:rPr>
          <w:rFonts w:ascii="Arial" w:cs="Arial" w:eastAsia="Arial" w:hAnsi="Arial"/>
          <w:sz w:val="21"/>
          <w:szCs w:val="21"/>
          <w:color w:val="auto"/>
        </w:rPr>
      </w:pPr>
    </w:p>
    <w:p>
      <w:pPr>
        <w:jc w:val="both"/>
        <w:ind w:firstLine="1304"/>
        <w:spacing w:after="0" w:line="261" w:lineRule="auto"/>
        <w:tabs>
          <w:tab w:leader="none" w:pos="2079" w:val="left"/>
        </w:tabs>
        <w:numPr>
          <w:ilvl w:val="0"/>
          <w:numId w:val="373"/>
        </w:numPr>
        <w:rPr>
          <w:rFonts w:ascii="Arial" w:cs="Arial" w:eastAsia="Arial" w:hAnsi="Arial"/>
          <w:sz w:val="22"/>
          <w:szCs w:val="22"/>
          <w:color w:val="auto"/>
        </w:rPr>
      </w:pPr>
      <w:r>
        <w:rPr>
          <w:rFonts w:ascii="Arial" w:cs="Arial" w:eastAsia="Arial" w:hAnsi="Arial"/>
          <w:sz w:val="22"/>
          <w:szCs w:val="22"/>
          <w:color w:val="auto"/>
        </w:rPr>
        <w:t xml:space="preserve">(i) the definition of “Restrictive Agreements” shall not apply to restrictions or conditions imposed by any agreement relating to secured Indebtedness permitted by this Agreement or Liens permitted under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49" w:lineRule="exact"/>
        <w:rPr>
          <w:rFonts w:ascii="Arial" w:cs="Arial" w:eastAsia="Arial" w:hAnsi="Arial"/>
          <w:sz w:val="22"/>
          <w:szCs w:val="22"/>
          <w:color w:val="auto"/>
        </w:rPr>
      </w:pPr>
    </w:p>
    <w:p>
      <w:pPr>
        <w:jc w:val="both"/>
        <w:ind w:firstLine="1304"/>
        <w:spacing w:after="0" w:line="262" w:lineRule="auto"/>
        <w:tabs>
          <w:tab w:leader="none" w:pos="2101" w:val="left"/>
        </w:tabs>
        <w:numPr>
          <w:ilvl w:val="0"/>
          <w:numId w:val="373"/>
        </w:numPr>
        <w:rPr>
          <w:rFonts w:ascii="Arial" w:cs="Arial" w:eastAsia="Arial" w:hAnsi="Arial"/>
          <w:sz w:val="22"/>
          <w:szCs w:val="22"/>
          <w:color w:val="auto"/>
        </w:rPr>
      </w:pPr>
      <w:r>
        <w:rPr>
          <w:rFonts w:ascii="Arial" w:cs="Arial" w:eastAsia="Arial" w:hAnsi="Arial"/>
          <w:sz w:val="22"/>
          <w:szCs w:val="22"/>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50" w:lineRule="exact"/>
        <w:rPr>
          <w:rFonts w:ascii="Arial" w:cs="Arial" w:eastAsia="Arial" w:hAnsi="Arial"/>
          <w:sz w:val="22"/>
          <w:szCs w:val="22"/>
          <w:color w:val="auto"/>
        </w:rPr>
      </w:pPr>
    </w:p>
    <w:p>
      <w:pPr>
        <w:ind w:left="2100" w:hanging="796"/>
        <w:spacing w:after="0"/>
        <w:tabs>
          <w:tab w:leader="none" w:pos="2100" w:val="left"/>
        </w:tabs>
        <w:numPr>
          <w:ilvl w:val="0"/>
          <w:numId w:val="373"/>
        </w:numPr>
        <w:rPr>
          <w:rFonts w:ascii="Arial" w:cs="Arial" w:eastAsia="Arial" w:hAnsi="Arial"/>
          <w:sz w:val="19"/>
          <w:szCs w:val="19"/>
          <w:color w:val="auto"/>
        </w:rPr>
      </w:pPr>
      <w:r>
        <w:rPr>
          <w:rFonts w:ascii="Arial" w:cs="Arial" w:eastAsia="Arial" w:hAnsi="Arial"/>
          <w:sz w:val="19"/>
          <w:szCs w:val="19"/>
          <w:color w:val="auto"/>
        </w:rPr>
        <w:t>customary restrictions and conditions contained in Permitted Factoring Transaction Documents; and</w:t>
      </w:r>
    </w:p>
    <w:p>
      <w:pPr>
        <w:spacing w:after="0" w:line="240" w:lineRule="exact"/>
        <w:rPr>
          <w:rFonts w:ascii="Arial" w:cs="Arial" w:eastAsia="Arial" w:hAnsi="Arial"/>
          <w:sz w:val="19"/>
          <w:szCs w:val="19"/>
          <w:color w:val="auto"/>
        </w:rPr>
      </w:pPr>
    </w:p>
    <w:p>
      <w:pPr>
        <w:jc w:val="both"/>
        <w:ind w:firstLine="1304"/>
        <w:spacing w:after="0" w:line="266" w:lineRule="auto"/>
        <w:tabs>
          <w:tab w:leader="none" w:pos="2067" w:val="left"/>
        </w:tabs>
        <w:numPr>
          <w:ilvl w:val="0"/>
          <w:numId w:val="373"/>
        </w:numPr>
        <w:rPr>
          <w:rFonts w:ascii="Arial" w:cs="Arial" w:eastAsia="Arial" w:hAnsi="Arial"/>
          <w:sz w:val="22"/>
          <w:szCs w:val="22"/>
          <w:color w:val="auto"/>
        </w:rPr>
      </w:pPr>
      <w:r>
        <w:rPr>
          <w:rFonts w:ascii="Arial" w:cs="Arial" w:eastAsia="Arial" w:hAnsi="Arial"/>
          <w:sz w:val="22"/>
          <w:szCs w:val="22"/>
          <w:color w:val="auto"/>
        </w:rPr>
        <w:t xml:space="preserve">limitations or restrictions contained in the definitive documentation for any Indebtedness permitted under </w:t>
      </w:r>
      <w:r>
        <w:rPr>
          <w:rFonts w:ascii="Arial" w:cs="Arial" w:eastAsia="Arial" w:hAnsi="Arial"/>
          <w:sz w:val="22"/>
          <w:szCs w:val="22"/>
          <w:u w:val="single" w:color="auto"/>
          <w:color w:val="auto"/>
        </w:rPr>
        <w:t>Section 8.01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limitations and restrictions, taken as a whole, are not materially more restrictive than those set forth in this Agreement .</w:t>
      </w:r>
    </w:p>
    <w:p>
      <w:pPr>
        <w:spacing w:after="0" w:line="144"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8.12</w:t>
      </w:r>
      <w:r>
        <w:rPr>
          <w:sz w:val="20"/>
          <w:szCs w:val="20"/>
          <w:color w:val="auto"/>
        </w:rPr>
        <w:tab/>
      </w:r>
      <w:r>
        <w:rPr>
          <w:rFonts w:ascii="Arial" w:cs="Arial" w:eastAsia="Arial" w:hAnsi="Arial"/>
          <w:sz w:val="19"/>
          <w:szCs w:val="19"/>
          <w:u w:val="single" w:color="auto"/>
          <w:color w:val="auto"/>
        </w:rPr>
        <w:t>Use of Proceeds.</w:t>
      </w:r>
    </w:p>
    <w:p>
      <w:pPr>
        <w:spacing w:after="0" w:line="193" w:lineRule="exact"/>
        <w:rPr>
          <w:sz w:val="20"/>
          <w:szCs w:val="20"/>
          <w:color w:val="auto"/>
        </w:rPr>
      </w:pPr>
    </w:p>
    <w:p>
      <w:pPr>
        <w:jc w:val="both"/>
        <w:ind w:firstLine="1304"/>
        <w:spacing w:after="0" w:line="266" w:lineRule="auto"/>
        <w:tabs>
          <w:tab w:leader="none" w:pos="217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Parent and the Borrowers shall not, and Parent shall not permit any of its other Subsidiaries to, arrange for the issuance of any Letters of Credit for any purpose other than general corporate purposes of Parent and its Restricted Subsidiaries (to the extent otherwise permitted hereunder).</w:t>
      </w:r>
    </w:p>
    <w:p>
      <w:pPr>
        <w:spacing w:after="0" w:line="157" w:lineRule="exact"/>
        <w:rPr>
          <w:rFonts w:ascii="Arial" w:cs="Arial" w:eastAsia="Arial" w:hAnsi="Arial"/>
          <w:sz w:val="22"/>
          <w:szCs w:val="22"/>
          <w:color w:val="auto"/>
        </w:rPr>
      </w:pPr>
    </w:p>
    <w:p>
      <w:pPr>
        <w:jc w:val="both"/>
        <w:ind w:firstLine="1304"/>
        <w:spacing w:after="0" w:line="305" w:lineRule="auto"/>
        <w:tabs>
          <w:tab w:leader="none" w:pos="2142" w:val="left"/>
        </w:tabs>
        <w:numPr>
          <w:ilvl w:val="0"/>
          <w:numId w:val="374"/>
        </w:numPr>
        <w:rPr>
          <w:rFonts w:ascii="Arial" w:cs="Arial" w:eastAsia="Arial" w:hAnsi="Arial"/>
          <w:sz w:val="19"/>
          <w:szCs w:val="19"/>
          <w:color w:val="auto"/>
        </w:rPr>
      </w:pPr>
      <w:r>
        <w:rPr>
          <w:rFonts w:ascii="Arial" w:cs="Arial" w:eastAsia="Arial" w:hAnsi="Arial"/>
          <w:sz w:val="19"/>
          <w:szCs w:val="19"/>
          <w:color w:val="auto"/>
        </w:rPr>
        <w:t>Parent shall not, nor shall it permit any of its Subsidiaries to, use any Letter of Credit or the proceeds of any Letter of Credit under this Agreement directly or indirectly for the purpose of buying or carrying any “margin stock” within the meaning of Regulation U (herein called “</w:t>
      </w:r>
      <w:r>
        <w:rPr>
          <w:rFonts w:ascii="Arial" w:cs="Arial" w:eastAsia="Arial" w:hAnsi="Arial"/>
          <w:sz w:val="19"/>
          <w:szCs w:val="19"/>
          <w:u w:val="single" w:color="auto"/>
          <w:color w:val="auto"/>
        </w:rPr>
        <w:t>margin stock</w:t>
      </w:r>
      <w:r>
        <w:rPr>
          <w:rFonts w:ascii="Arial" w:cs="Arial" w:eastAsia="Arial" w:hAnsi="Arial"/>
          <w:sz w:val="19"/>
          <w:szCs w:val="19"/>
          <w:color w:val="auto"/>
        </w:rPr>
        <w:t>”) or for the purpose of reducing or retiring 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4" w:name="page345"/>
    <w:bookmarkEnd w:id="344"/>
    <w:p>
      <w:pPr>
        <w:ind w:right="20"/>
        <w:spacing w:after="0" w:line="276" w:lineRule="auto"/>
        <w:rPr>
          <w:sz w:val="20"/>
          <w:szCs w:val="20"/>
          <w:color w:val="auto"/>
        </w:rPr>
      </w:pPr>
      <w:r>
        <w:rPr>
          <w:rFonts w:ascii="Arial" w:cs="Arial" w:eastAsia="Arial" w:hAnsi="Arial"/>
          <w:sz w:val="22"/>
          <w:szCs w:val="22"/>
          <w:color w:val="auto"/>
        </w:rPr>
        <w:t>the meaning of Regulation U. Parent shall not, nor shall it permit any of its Subsidiaries to, take any action which would cause this Agreement or any other Loan Document to violate Regulation T, U or X.</w:t>
      </w:r>
    </w:p>
    <w:p>
      <w:pPr>
        <w:spacing w:after="0" w:line="134" w:lineRule="exact"/>
        <w:rPr>
          <w:sz w:val="20"/>
          <w:szCs w:val="20"/>
          <w:color w:val="auto"/>
        </w:rPr>
      </w:pPr>
    </w:p>
    <w:p>
      <w:pPr>
        <w:jc w:val="both"/>
        <w:ind w:firstLine="1304"/>
        <w:spacing w:after="0" w:line="308" w:lineRule="auto"/>
        <w:tabs>
          <w:tab w:leader="none" w:pos="2076" w:val="left"/>
        </w:tabs>
        <w:numPr>
          <w:ilvl w:val="0"/>
          <w:numId w:val="375"/>
        </w:numPr>
        <w:rPr>
          <w:rFonts w:ascii="Arial" w:cs="Arial" w:eastAsia="Arial" w:hAnsi="Arial"/>
          <w:sz w:val="19"/>
          <w:szCs w:val="19"/>
          <w:color w:val="auto"/>
        </w:rPr>
      </w:pPr>
      <w:r>
        <w:rPr>
          <w:rFonts w:ascii="Arial" w:cs="Arial" w:eastAsia="Arial" w:hAnsi="Arial"/>
          <w:sz w:val="19"/>
          <w:szCs w:val="19"/>
          <w:color w:val="auto"/>
        </w:rPr>
        <w:t>No Borrower will request any Letters of Credit, and Parent shall not use or otherwise make available, and shall procure that its Subsidiaries and its or their respective directors, officers, employees and agents shall not use or otherwise make available, any Letters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Changes to Fiscal Year</w:t>
      </w:r>
      <w:r>
        <w:rPr>
          <w:rFonts w:ascii="Arial" w:cs="Arial" w:eastAsia="Arial" w:hAnsi="Arial"/>
          <w:sz w:val="22"/>
          <w:szCs w:val="22"/>
          <w:color w:val="auto"/>
        </w:rPr>
        <w:t>. Parent will not change its Fiscal Year from the basis in effect on the Effective Date.</w:t>
      </w:r>
    </w:p>
    <w:p>
      <w:pPr>
        <w:spacing w:after="0" w:line="13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SECTION 8.14 </w:t>
      </w:r>
      <w:r>
        <w:rPr>
          <w:rFonts w:ascii="Arial" w:cs="Arial" w:eastAsia="Arial" w:hAnsi="Arial"/>
          <w:sz w:val="19"/>
          <w:szCs w:val="19"/>
          <w:u w:val="single" w:color="auto"/>
          <w:color w:val="auto"/>
        </w:rPr>
        <w:t>Amendments to Documents Governing Certain Indebtedness</w:t>
      </w:r>
      <w:r>
        <w:rPr>
          <w:rFonts w:ascii="Arial" w:cs="Arial" w:eastAsia="Arial" w:hAnsi="Arial"/>
          <w:sz w:val="19"/>
          <w:szCs w:val="19"/>
          <w:color w:val="auto"/>
        </w:rPr>
        <w:t>. Parent shall not, and shall not permit any Restricted Subsidiary to, amend or otherwise modify any of the documentation governing (a) (i) the Senior Secured Notes or any Permitted Refinancing Indebtedness in respect thereof, any Exit Senior Notes or senior notes in existence on the date hereof or Permitted Refinancing Indebtedness in respect thereof, in each case to the extent that any such amendment or other modification, taken as a whole, would be materially adverse to the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for the avoidance of doubt, any amendment or other modification in order to incorporate the replacement of the Adjusted LIBO Rate or the LIBO Rate shall be deemed to not be materially adverse to the Lenders), (b) except as permitted by </w:t>
      </w:r>
      <w:r>
        <w:rPr>
          <w:rFonts w:ascii="Arial" w:cs="Arial" w:eastAsia="Arial" w:hAnsi="Arial"/>
          <w:sz w:val="19"/>
          <w:szCs w:val="19"/>
          <w:u w:val="single" w:color="auto"/>
          <w:color w:val="auto"/>
        </w:rPr>
        <w:t>Section 8.01(i)(iii)</w:t>
      </w:r>
      <w:r>
        <w:rPr>
          <w:rFonts w:ascii="Arial" w:cs="Arial" w:eastAsia="Arial" w:hAnsi="Arial"/>
          <w:sz w:val="19"/>
          <w:szCs w:val="19"/>
          <w:color w:val="auto"/>
        </w:rPr>
        <w:t xml:space="preserve">, any unsecured Indebtedness incurred pursuant to </w:t>
      </w:r>
      <w:r>
        <w:rPr>
          <w:rFonts w:ascii="Arial" w:cs="Arial" w:eastAsia="Arial" w:hAnsi="Arial"/>
          <w:sz w:val="19"/>
          <w:szCs w:val="19"/>
          <w:u w:val="single" w:color="auto"/>
          <w:color w:val="auto"/>
        </w:rPr>
        <w:t>Section 8.01(i)</w:t>
      </w:r>
      <w:r>
        <w:rPr>
          <w:rFonts w:ascii="Arial" w:cs="Arial" w:eastAsia="Arial" w:hAnsi="Arial"/>
          <w:sz w:val="19"/>
          <w:szCs w:val="19"/>
          <w:color w:val="auto"/>
        </w:rPr>
        <w:t xml:space="preserve"> to reduce the stated maturity of any such Indebtedness to be sooner than 91 days after the Maturity Date or (c) any Subordinated Indebtedness incurred pursuant to </w:t>
      </w:r>
      <w:r>
        <w:rPr>
          <w:rFonts w:ascii="Arial" w:cs="Arial" w:eastAsia="Arial" w:hAnsi="Arial"/>
          <w:sz w:val="19"/>
          <w:szCs w:val="19"/>
          <w:u w:val="single" w:color="auto"/>
          <w:color w:val="auto"/>
        </w:rPr>
        <w:t>Section 8.01(j)</w:t>
      </w:r>
      <w:r>
        <w:rPr>
          <w:rFonts w:ascii="Arial" w:cs="Arial" w:eastAsia="Arial" w:hAnsi="Arial"/>
          <w:sz w:val="19"/>
          <w:szCs w:val="19"/>
          <w:color w:val="auto"/>
        </w:rPr>
        <w:t xml:space="preserve"> to amend or otherwise modify the subordination terms of such Indebtedness in a manner adverse to the Lenders.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u w:val="single" w:color="auto"/>
          <w:color w:val="auto"/>
        </w:rPr>
        <w:t>Limitation on Equity Issuances</w:t>
      </w:r>
      <w:r>
        <w:rPr>
          <w:rFonts w:ascii="Arial" w:cs="Arial" w:eastAsia="Arial" w:hAnsi="Arial"/>
          <w:sz w:val="22"/>
          <w:szCs w:val="22"/>
          <w:color w:val="auto"/>
        </w:rPr>
        <w:t>. Parent will not issue or sell any of its Capital Stock, except for the issuance or sale of Qualified Capital Stock.</w:t>
      </w:r>
    </w:p>
    <w:p>
      <w:pPr>
        <w:spacing w:after="0" w:line="14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 xml:space="preserve">SECTION 8.16 </w:t>
      </w:r>
      <w:r>
        <w:rPr>
          <w:rFonts w:ascii="Arial" w:cs="Arial" w:eastAsia="Arial" w:hAnsi="Arial"/>
          <w:sz w:val="19"/>
          <w:szCs w:val="19"/>
          <w:u w:val="single" w:color="auto"/>
          <w:color w:val="auto"/>
        </w:rPr>
        <w:t>Book Value of Assets.</w:t>
      </w:r>
      <w:r>
        <w:rPr>
          <w:rFonts w:ascii="Arial" w:cs="Arial" w:eastAsia="Arial" w:hAnsi="Arial"/>
          <w:sz w:val="19"/>
          <w:szCs w:val="19"/>
          <w:color w:val="auto"/>
        </w:rPr>
        <w:t xml:space="preserve"> Notwithstanding the foregoing provisions of this Article VIII, Parent shall not, and shall not permit any Restricted Subsidiary to, directly or indirectly, consummate any Permitted Acquisition, Permitted Intercompany Treasury Management Transactions, Permitted Intercompany Specified Transactions, Permitted Factoring Transactions, designation of an Unrestricted Subsidiary pursuant to Section 7.09, or any of the transactions contemplated by Section 8.01(d)(iv), 8.01(d)(v), 8.02(c)(ii) (other than in the case of any winding up, liquidation or dissolution of a Restricted Subsidiary all of the Capital Stock of which is directly owned by one or more Obligors), 8.05(c)(ii), 8.05(j), 8.06(n), 8.08(c)(ii), 8.08(e), 8.08(l) or 8.08(m) if, after giving effect thereto, the Book Value of Assets would be less than $1,250,000,000.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22"/>
          <w:szCs w:val="22"/>
          <w:color w:val="010000"/>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 AND REMEDIES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Events of Default and Remedies. If any of the following events (“Events of Default”) shall occur</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be continuing:</w:t>
      </w:r>
    </w:p>
    <w:p>
      <w:pPr>
        <w:spacing w:after="0" w:line="147" w:lineRule="exact"/>
        <w:rPr>
          <w:sz w:val="20"/>
          <w:szCs w:val="20"/>
          <w:color w:val="auto"/>
        </w:rPr>
      </w:pPr>
    </w:p>
    <w:p>
      <w:pPr>
        <w:jc w:val="both"/>
        <w:ind w:firstLine="1304"/>
        <w:spacing w:after="0" w:line="311" w:lineRule="auto"/>
        <w:tabs>
          <w:tab w:leader="none" w:pos="2089"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(i)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Arial" w:cs="Arial" w:eastAsia="Arial" w:hAnsi="Arial"/>
          <w:sz w:val="19"/>
          <w:szCs w:val="19"/>
          <w:u w:val="single" w:color="auto"/>
          <w:color w:val="auto"/>
        </w:rPr>
        <w:t>Section 3.01(k)</w:t>
      </w:r>
      <w:r>
        <w:rPr>
          <w:rFonts w:ascii="Arial" w:cs="Arial" w:eastAsia="Arial" w:hAnsi="Arial"/>
          <w:sz w:val="19"/>
          <w:szCs w:val="19"/>
          <w:color w:val="auto"/>
        </w:rPr>
        <w:t xml:space="preserve">, or (ii) any interest on any Obligation, any fee or any other amount (other than an amount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9.01(a)</w:t>
      </w:r>
      <w:r>
        <w:rPr>
          <w:rFonts w:ascii="Arial" w:cs="Arial" w:eastAsia="Arial" w:hAnsi="Arial"/>
          <w:sz w:val="19"/>
          <w:szCs w:val="19"/>
          <w:color w:val="auto"/>
        </w:rPr>
        <w:t>) payable hereunder or any other Loan Document shall not be paid within five (5) Business Days following the date on which the payment of interest, fee or such other amount is due; or</w:t>
      </w:r>
    </w:p>
    <w:p>
      <w:pPr>
        <w:spacing w:after="0" w:line="109" w:lineRule="exact"/>
        <w:rPr>
          <w:rFonts w:ascii="Arial" w:cs="Arial" w:eastAsia="Arial" w:hAnsi="Arial"/>
          <w:sz w:val="19"/>
          <w:szCs w:val="19"/>
          <w:color w:val="auto"/>
        </w:rPr>
      </w:pPr>
    </w:p>
    <w:p>
      <w:pPr>
        <w:jc w:val="both"/>
        <w:ind w:firstLine="1304"/>
        <w:spacing w:after="0" w:line="261" w:lineRule="auto"/>
        <w:tabs>
          <w:tab w:leader="none" w:pos="229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 xml:space="preserve">any representation or warranty made or, for purposes of </w:t>
      </w:r>
      <w:r>
        <w:rPr>
          <w:rFonts w:ascii="Arial" w:cs="Arial" w:eastAsia="Arial" w:hAnsi="Arial"/>
          <w:sz w:val="22"/>
          <w:szCs w:val="22"/>
          <w:u w:val="single" w:color="auto"/>
          <w:color w:val="auto"/>
        </w:rPr>
        <w:t>Article V</w:t>
      </w:r>
      <w:r>
        <w:rPr>
          <w:rFonts w:ascii="Arial" w:cs="Arial" w:eastAsia="Arial" w:hAnsi="Arial"/>
          <w:sz w:val="22"/>
          <w:szCs w:val="22"/>
          <w:color w:val="auto"/>
        </w:rPr>
        <w:t>, deemed made by or on behalf of Parent or any Subsidiary herein or in any other Loan Document or in any document, certificate or financial statement delivered in connection with this Agreement or any other Loan Document shall prove to have been untrue in any material respect (or, to the extent qualified by materiality or reference to Material Adverse Effect, in all respects) as of the date of issuance or making or deemed making thereof; or</w:t>
      </w:r>
    </w:p>
    <w:p>
      <w:pPr>
        <w:spacing w:after="0" w:line="150" w:lineRule="exact"/>
        <w:rPr>
          <w:rFonts w:ascii="Arial" w:cs="Arial" w:eastAsia="Arial" w:hAnsi="Arial"/>
          <w:sz w:val="22"/>
          <w:szCs w:val="22"/>
          <w:color w:val="auto"/>
        </w:rPr>
      </w:pPr>
    </w:p>
    <w:p>
      <w:pPr>
        <w:jc w:val="both"/>
        <w:ind w:firstLine="1304"/>
        <w:spacing w:after="0" w:line="266" w:lineRule="auto"/>
        <w:tabs>
          <w:tab w:leader="none" w:pos="2346" w:val="left"/>
        </w:tabs>
        <w:numPr>
          <w:ilvl w:val="0"/>
          <w:numId w:val="376"/>
        </w:numPr>
        <w:rPr>
          <w:rFonts w:ascii="Arial" w:cs="Arial" w:eastAsia="Arial" w:hAnsi="Arial"/>
          <w:sz w:val="22"/>
          <w:szCs w:val="22"/>
          <w:color w:val="auto"/>
        </w:rPr>
      </w:pPr>
      <w:r>
        <w:rPr>
          <w:rFonts w:ascii="Arial" w:cs="Arial" w:eastAsia="Arial" w:hAnsi="Arial"/>
          <w:sz w:val="22"/>
          <w:szCs w:val="22"/>
          <w:color w:val="auto"/>
        </w:rPr>
        <w:t xml:space="preserve">any Obligor shall fail to (i) perform or observe any covenant, condition or agreement contained in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(with respect to the existence of any Obligor) or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(ii) fail to give any notice required by </w:t>
      </w:r>
      <w:r>
        <w:rPr>
          <w:rFonts w:ascii="Arial" w:cs="Arial" w:eastAsia="Arial" w:hAnsi="Arial"/>
          <w:sz w:val="22"/>
          <w:szCs w:val="22"/>
          <w:u w:val="single" w:color="auto"/>
          <w:color w:val="auto"/>
        </w:rPr>
        <w:t>Section 7.01(d)(ii)</w:t>
      </w:r>
      <w:r>
        <w:rPr>
          <w:rFonts w:ascii="Arial" w:cs="Arial" w:eastAsia="Arial" w:hAnsi="Arial"/>
          <w:sz w:val="22"/>
          <w:szCs w:val="22"/>
          <w:color w:val="auto"/>
        </w:rPr>
        <w:t>; or</w:t>
      </w:r>
    </w:p>
    <w:p>
      <w:pPr>
        <w:spacing w:after="0" w:line="157" w:lineRule="exact"/>
        <w:rPr>
          <w:rFonts w:ascii="Arial" w:cs="Arial" w:eastAsia="Arial" w:hAnsi="Arial"/>
          <w:sz w:val="22"/>
          <w:szCs w:val="22"/>
          <w:color w:val="auto"/>
        </w:rPr>
      </w:pPr>
    </w:p>
    <w:p>
      <w:pPr>
        <w:jc w:val="both"/>
        <w:ind w:firstLine="1304"/>
        <w:spacing w:after="0" w:line="272" w:lineRule="auto"/>
        <w:tabs>
          <w:tab w:leader="none" w:pos="2128" w:val="left"/>
        </w:tabs>
        <w:numPr>
          <w:ilvl w:val="0"/>
          <w:numId w:val="376"/>
        </w:numPr>
        <w:rPr>
          <w:rFonts w:ascii="Arial" w:cs="Arial" w:eastAsia="Arial" w:hAnsi="Arial"/>
          <w:sz w:val="21"/>
          <w:szCs w:val="21"/>
          <w:color w:val="auto"/>
        </w:rPr>
      </w:pPr>
      <w:r>
        <w:rPr>
          <w:rFonts w:ascii="Arial" w:cs="Arial" w:eastAsia="Arial" w:hAnsi="Arial"/>
          <w:sz w:val="21"/>
          <w:szCs w:val="21"/>
          <w:color w:val="auto"/>
        </w:rPr>
        <w:t xml:space="preserve">(i) any Obligor shall fail to give any notice required by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7.01(d)(ii)</w:t>
      </w:r>
      <w:r>
        <w:rPr>
          <w:rFonts w:ascii="Arial" w:cs="Arial" w:eastAsia="Arial" w:hAnsi="Arial"/>
          <w:sz w:val="21"/>
          <w:szCs w:val="21"/>
          <w:color w:val="auto"/>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(other than with respect to the existence of any Obligor), </w:t>
      </w:r>
      <w:r>
        <w:rPr>
          <w:rFonts w:ascii="Arial" w:cs="Arial" w:eastAsia="Arial" w:hAnsi="Arial"/>
          <w:sz w:val="21"/>
          <w:szCs w:val="21"/>
          <w:u w:val="single" w:color="auto"/>
          <w:color w:val="auto"/>
        </w:rPr>
        <w:t>Section 7.07</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7.08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7.14</w:t>
      </w:r>
      <w:r>
        <w:rPr>
          <w:rFonts w:ascii="Arial" w:cs="Arial" w:eastAsia="Arial" w:hAnsi="Arial"/>
          <w:sz w:val="21"/>
          <w:szCs w:val="21"/>
          <w:color w:val="auto"/>
        </w:rPr>
        <w:t>, and, in any event, such failure shall remain unremedied for fifteen (15)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142" w:lineRule="exact"/>
        <w:rPr>
          <w:rFonts w:ascii="Arial" w:cs="Arial" w:eastAsia="Arial" w:hAnsi="Arial"/>
          <w:sz w:val="21"/>
          <w:szCs w:val="21"/>
          <w:color w:val="auto"/>
        </w:rPr>
      </w:pPr>
    </w:p>
    <w:p>
      <w:pPr>
        <w:jc w:val="both"/>
        <w:ind w:firstLine="1304"/>
        <w:spacing w:after="0" w:line="311" w:lineRule="auto"/>
        <w:tabs>
          <w:tab w:leader="none" w:pos="2089"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Parent or any Obligor shall fail to perform or observe any other term, covenant or agreement contained in this Agreement (other than those specified in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9.01(c)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9.01(d)</w:t>
      </w:r>
      <w:r>
        <w:rPr>
          <w:rFonts w:ascii="Arial" w:cs="Arial" w:eastAsia="Arial" w:hAnsi="Arial"/>
          <w:sz w:val="19"/>
          <w:szCs w:val="19"/>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6" w:name="page347"/>
    <w:bookmarkEnd w:id="346"/>
    <w:p>
      <w:pPr>
        <w:jc w:val="both"/>
        <w:ind w:firstLine="1304"/>
        <w:spacing w:after="0" w:line="317" w:lineRule="auto"/>
        <w:tabs>
          <w:tab w:leader="none" w:pos="2133" w:val="left"/>
        </w:tabs>
        <w:numPr>
          <w:ilvl w:val="0"/>
          <w:numId w:val="377"/>
        </w:numPr>
        <w:rPr>
          <w:rFonts w:ascii="Arial" w:cs="Arial" w:eastAsia="Arial" w:hAnsi="Arial"/>
          <w:sz w:val="19"/>
          <w:szCs w:val="19"/>
          <w:color w:val="auto"/>
        </w:rPr>
      </w:pPr>
      <w:r>
        <w:rPr>
          <w:rFonts w:ascii="Arial" w:cs="Arial" w:eastAsia="Arial" w:hAnsi="Arial"/>
          <w:sz w:val="19"/>
          <w:szCs w:val="19"/>
          <w:color w:val="auto"/>
        </w:rPr>
        <w:t>there is (i) an event of default with respect to any Material Indebtedness, and such default (A) occurs at the final maturity of the obligations thereunder, or (B) results in a right by the holder of such Material Indebtedness, irrespective of whether exercised, to accelerate the maturity of such Obligor’s or its Restricted Subsidiary’s obligations thereunder, or (ii) an event of default under (A) the Senior Secured Notes Indenture or (B) the Exit Senior Notes Indenture; or</w:t>
      </w:r>
    </w:p>
    <w:p>
      <w:pPr>
        <w:spacing w:after="0" w:line="101" w:lineRule="exact"/>
        <w:rPr>
          <w:rFonts w:ascii="Arial" w:cs="Arial" w:eastAsia="Arial" w:hAnsi="Arial"/>
          <w:sz w:val="19"/>
          <w:szCs w:val="19"/>
          <w:color w:val="auto"/>
        </w:rPr>
      </w:pPr>
    </w:p>
    <w:p>
      <w:pPr>
        <w:ind w:left="2100" w:hanging="796"/>
        <w:spacing w:after="0"/>
        <w:tabs>
          <w:tab w:leader="none" w:pos="210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100" w:hanging="796"/>
        <w:spacing w:after="0"/>
        <w:tabs>
          <w:tab w:leader="none" w:pos="210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[reserved];</w:t>
      </w:r>
    </w:p>
    <w:p>
      <w:pPr>
        <w:spacing w:after="0" w:line="192" w:lineRule="exact"/>
        <w:rPr>
          <w:rFonts w:ascii="Arial" w:cs="Arial" w:eastAsia="Arial" w:hAnsi="Arial"/>
          <w:sz w:val="22"/>
          <w:szCs w:val="22"/>
          <w:color w:val="auto"/>
        </w:rPr>
      </w:pPr>
    </w:p>
    <w:p>
      <w:pPr>
        <w:ind w:left="2040" w:hanging="736"/>
        <w:spacing w:after="0"/>
        <w:tabs>
          <w:tab w:leader="none" w:pos="204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an Insolvency Proceeding is commenced by an Obligor or any of its Material Subsidiaries; or</w:t>
      </w:r>
    </w:p>
    <w:p>
      <w:pPr>
        <w:spacing w:after="0" w:line="192" w:lineRule="exact"/>
        <w:rPr>
          <w:rFonts w:ascii="Arial" w:cs="Arial" w:eastAsia="Arial" w:hAnsi="Arial"/>
          <w:sz w:val="22"/>
          <w:szCs w:val="22"/>
          <w:color w:val="auto"/>
        </w:rPr>
      </w:pPr>
    </w:p>
    <w:p>
      <w:pPr>
        <w:jc w:val="both"/>
        <w:ind w:firstLine="1304"/>
        <w:spacing w:after="0" w:line="259" w:lineRule="auto"/>
        <w:tabs>
          <w:tab w:leader="none" w:pos="2053" w:val="left"/>
        </w:tabs>
        <w:numPr>
          <w:ilvl w:val="0"/>
          <w:numId w:val="377"/>
        </w:numPr>
        <w:rPr>
          <w:rFonts w:ascii="Arial" w:cs="Arial" w:eastAsia="Arial" w:hAnsi="Arial"/>
          <w:sz w:val="22"/>
          <w:szCs w:val="22"/>
          <w:color w:val="auto"/>
        </w:rPr>
      </w:pPr>
      <w:r>
        <w:rPr>
          <w:rFonts w:ascii="Arial" w:cs="Arial" w:eastAsia="Arial" w:hAnsi="Arial"/>
          <w:sz w:val="22"/>
          <w:szCs w:val="22"/>
          <w:color w:val="auto"/>
        </w:rPr>
        <w:t>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its Material Subsidiary, or (e) an order for relief shall have been issued or entered therein; or</w:t>
      </w:r>
    </w:p>
    <w:p>
      <w:pPr>
        <w:spacing w:after="0" w:line="168" w:lineRule="exact"/>
        <w:rPr>
          <w:rFonts w:ascii="Arial" w:cs="Arial" w:eastAsia="Arial" w:hAnsi="Arial"/>
          <w:sz w:val="22"/>
          <w:szCs w:val="22"/>
          <w:color w:val="auto"/>
        </w:rPr>
      </w:pPr>
    </w:p>
    <w:p>
      <w:pPr>
        <w:jc w:val="both"/>
        <w:ind w:firstLine="1304"/>
        <w:spacing w:after="0" w:line="302" w:lineRule="auto"/>
        <w:tabs>
          <w:tab w:leader="none" w:pos="2385" w:val="left"/>
        </w:tabs>
        <w:numPr>
          <w:ilvl w:val="0"/>
          <w:numId w:val="377"/>
        </w:numPr>
        <w:rPr>
          <w:rFonts w:ascii="Arial" w:cs="Arial" w:eastAsia="Arial" w:hAnsi="Arial"/>
          <w:sz w:val="19"/>
          <w:szCs w:val="19"/>
          <w:color w:val="auto"/>
        </w:rPr>
      </w:pPr>
      <w:r>
        <w:rPr>
          <w:rFonts w:ascii="Arial" w:cs="Arial" w:eastAsia="Arial" w:hAnsi="Arial"/>
          <w:sz w:val="19"/>
          <w:szCs w:val="19"/>
          <w:color w:val="auto"/>
        </w:rPr>
        <w:t xml:space="preserve">a judgment or order for monetary damages shall be entered against any Obligor or any Restricted Subsidiary, which with other outstanding judgments and orders for 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judgment or order provides for any Obligor or any Restricted Subsidiary to make periodic payments over time, no Event of Default shall arise under this </w:t>
      </w:r>
      <w:r>
        <w:rPr>
          <w:rFonts w:ascii="Arial" w:cs="Arial" w:eastAsia="Arial" w:hAnsi="Arial"/>
          <w:sz w:val="19"/>
          <w:szCs w:val="19"/>
          <w:u w:val="single" w:color="auto"/>
          <w:color w:val="auto"/>
        </w:rPr>
        <w:t>clause (k)</w:t>
      </w:r>
      <w:r>
        <w:rPr>
          <w:rFonts w:ascii="Arial" w:cs="Arial" w:eastAsia="Arial" w:hAnsi="Arial"/>
          <w:sz w:val="19"/>
          <w:szCs w:val="19"/>
          <w:color w:val="auto"/>
        </w:rPr>
        <w:t xml:space="preserve"> 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spacing w:after="0" w:line="386" w:lineRule="exact"/>
        <w:rPr>
          <w:rFonts w:ascii="Arial" w:cs="Arial" w:eastAsia="Arial" w:hAnsi="Arial"/>
          <w:sz w:val="19"/>
          <w:szCs w:val="19"/>
          <w:color w:val="auto"/>
        </w:rPr>
      </w:pPr>
    </w:p>
    <w:p>
      <w:pPr>
        <w:jc w:val="both"/>
        <w:ind w:firstLine="1304"/>
        <w:spacing w:after="0" w:line="317" w:lineRule="auto"/>
        <w:tabs>
          <w:tab w:leader="none" w:pos="2107" w:val="left"/>
        </w:tabs>
        <w:numPr>
          <w:ilvl w:val="0"/>
          <w:numId w:val="377"/>
        </w:numPr>
        <w:rPr>
          <w:rFonts w:ascii="Arial" w:cs="Arial" w:eastAsia="Arial" w:hAnsi="Arial"/>
          <w:sz w:val="19"/>
          <w:szCs w:val="19"/>
          <w:color w:val="auto"/>
        </w:rPr>
      </w:pPr>
      <w:r>
        <w:rPr>
          <w:rFonts w:ascii="Arial" w:cs="Arial" w:eastAsia="Arial" w:hAnsi="Arial"/>
          <w:sz w:val="19"/>
          <w:szCs w:val="19"/>
          <w:color w:val="auto"/>
        </w:rPr>
        <w:t>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7" w:name="page348"/>
    <w:bookmarkEnd w:id="347"/>
    <w:p>
      <w:pPr>
        <w:ind w:right="20"/>
        <w:spacing w:after="0" w:line="276" w:lineRule="auto"/>
        <w:rPr>
          <w:sz w:val="20"/>
          <w:szCs w:val="20"/>
          <w:color w:val="auto"/>
        </w:rPr>
      </w:pPr>
      <w:r>
        <w:rPr>
          <w:rFonts w:ascii="Arial" w:cs="Arial" w:eastAsia="Arial" w:hAnsi="Arial"/>
          <w:sz w:val="22"/>
          <w:szCs w:val="22"/>
          <w:color w:val="auto"/>
        </w:rPr>
        <w:t>be in full force and/or shall be declared to be null and void, or the validity or enforceability thereof shall be contested by any Obligor or any Obligor shall deny that it has any or further liability or obligation thereunder; or</w:t>
      </w:r>
    </w:p>
    <w:p>
      <w:pPr>
        <w:spacing w:after="0" w:line="134" w:lineRule="exact"/>
        <w:rPr>
          <w:sz w:val="20"/>
          <w:szCs w:val="20"/>
          <w:color w:val="auto"/>
        </w:rPr>
      </w:pPr>
    </w:p>
    <w:p>
      <w:pPr>
        <w:jc w:val="both"/>
        <w:ind w:firstLine="1304"/>
        <w:spacing w:after="0" w:line="259" w:lineRule="auto"/>
        <w:tabs>
          <w:tab w:leader="none" w:pos="2202" w:val="left"/>
        </w:tabs>
        <w:numPr>
          <w:ilvl w:val="0"/>
          <w:numId w:val="378"/>
        </w:numPr>
        <w:rPr>
          <w:rFonts w:ascii="Arial" w:cs="Arial" w:eastAsia="Arial" w:hAnsi="Arial"/>
          <w:sz w:val="22"/>
          <w:szCs w:val="22"/>
          <w:color w:val="auto"/>
        </w:rPr>
      </w:pPr>
      <w:r>
        <w:rPr>
          <w:rFonts w:ascii="Arial" w:cs="Arial" w:eastAsia="Arial" w:hAnsi="Arial"/>
          <w:sz w:val="22"/>
          <w:szCs w:val="22"/>
          <w:color w:val="auto"/>
        </w:rPr>
        <w:t xml:space="preserve">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it shall not be an Event of Default if the aggregate net book value of the Collateral with respect to which the Collateral Documents fail to create a valid and perfected security interest or other Lien does not exceed $5,000,000;</w:t>
      </w:r>
    </w:p>
    <w:p>
      <w:pPr>
        <w:spacing w:after="0" w:line="165" w:lineRule="exact"/>
        <w:rPr>
          <w:rFonts w:ascii="Arial" w:cs="Arial" w:eastAsia="Arial" w:hAnsi="Arial"/>
          <w:sz w:val="22"/>
          <w:szCs w:val="22"/>
          <w:color w:val="auto"/>
        </w:rPr>
      </w:pPr>
    </w:p>
    <w:p>
      <w:pPr>
        <w:jc w:val="both"/>
        <w:ind w:firstLine="1304"/>
        <w:spacing w:after="0" w:line="301" w:lineRule="auto"/>
        <w:tabs>
          <w:tab w:leader="none" w:pos="2169" w:val="left"/>
        </w:tabs>
        <w:numPr>
          <w:ilvl w:val="0"/>
          <w:numId w:val="378"/>
        </w:numPr>
        <w:rPr>
          <w:rFonts w:ascii="Arial" w:cs="Arial" w:eastAsia="Arial" w:hAnsi="Arial"/>
          <w:sz w:val="19"/>
          <w:szCs w:val="19"/>
          <w:color w:val="auto"/>
        </w:rPr>
      </w:pPr>
      <w:r>
        <w:rPr>
          <w:rFonts w:ascii="Arial" w:cs="Arial" w:eastAsia="Arial" w:hAnsi="Arial"/>
          <w:sz w:val="19"/>
          <w:szCs w:val="19"/>
          <w:color w:val="auto"/>
        </w:rPr>
        <w:t>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respect thereto which would reasonably be expected to result in payment by the Obligors during the term of this Agreement in excess of $30,000,000;</w:t>
      </w:r>
    </w:p>
    <w:p>
      <w:pPr>
        <w:spacing w:after="0" w:line="389" w:lineRule="exact"/>
        <w:rPr>
          <w:rFonts w:ascii="Arial" w:cs="Arial" w:eastAsia="Arial" w:hAnsi="Arial"/>
          <w:sz w:val="19"/>
          <w:szCs w:val="19"/>
          <w:color w:val="auto"/>
        </w:rPr>
      </w:pPr>
    </w:p>
    <w:p>
      <w:pPr>
        <w:jc w:val="both"/>
        <w:ind w:firstLine="1304"/>
        <w:spacing w:after="0" w:line="262" w:lineRule="auto"/>
        <w:tabs>
          <w:tab w:leader="none" w:pos="2155" w:val="left"/>
        </w:tabs>
        <w:numPr>
          <w:ilvl w:val="0"/>
          <w:numId w:val="378"/>
        </w:numPr>
        <w:rPr>
          <w:rFonts w:ascii="Arial" w:cs="Arial" w:eastAsia="Arial" w:hAnsi="Arial"/>
          <w:sz w:val="22"/>
          <w:szCs w:val="22"/>
          <w:color w:val="auto"/>
        </w:rPr>
      </w:pPr>
      <w:r>
        <w:rPr>
          <w:rFonts w:ascii="Arial" w:cs="Arial" w:eastAsia="Arial" w:hAnsi="Arial"/>
          <w:sz w:val="22"/>
          <w:szCs w:val="22"/>
          <w:color w:val="auto"/>
        </w:rPr>
        <w:t>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spacing w:after="0" w:line="150" w:lineRule="exact"/>
        <w:rPr>
          <w:rFonts w:ascii="Arial" w:cs="Arial" w:eastAsia="Arial" w:hAnsi="Arial"/>
          <w:sz w:val="22"/>
          <w:szCs w:val="22"/>
          <w:color w:val="auto"/>
        </w:rPr>
      </w:pPr>
    </w:p>
    <w:p>
      <w:pPr>
        <w:jc w:val="both"/>
        <w:ind w:firstLine="1304"/>
        <w:spacing w:after="0" w:line="327" w:lineRule="auto"/>
        <w:tabs>
          <w:tab w:leader="none" w:pos="229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8" w:name="page349"/>
    <w:bookmarkEnd w:id="348"/>
    <w:p>
      <w:pPr>
        <w:ind w:left="2100" w:hanging="796"/>
        <w:spacing w:after="0"/>
        <w:tabs>
          <w:tab w:leader="none" w:pos="2100" w:val="left"/>
        </w:tabs>
        <w:numPr>
          <w:ilvl w:val="0"/>
          <w:numId w:val="379"/>
        </w:numPr>
        <w:rPr>
          <w:rFonts w:ascii="Arial" w:cs="Arial" w:eastAsia="Arial" w:hAnsi="Arial"/>
          <w:sz w:val="22"/>
          <w:szCs w:val="22"/>
          <w:color w:val="auto"/>
        </w:rPr>
      </w:pPr>
      <w:r>
        <w:rPr>
          <w:rFonts w:ascii="Arial" w:cs="Arial" w:eastAsia="Arial" w:hAnsi="Arial"/>
          <w:sz w:val="22"/>
          <w:szCs w:val="22"/>
          <w:color w:val="auto"/>
        </w:rPr>
        <w:t>a Change of Control shall occur, whether directly or indirectly;</w:t>
      </w:r>
    </w:p>
    <w:p>
      <w:pPr>
        <w:spacing w:after="0" w:line="193"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 xml:space="preserve">then, and in every such event (other than an event with respect to any Obligor described in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9.01(j)</w:t>
      </w:r>
      <w:r>
        <w:rPr>
          <w:rFonts w:ascii="Arial" w:cs="Arial" w:eastAsia="Arial" w:hAnsi="Arial"/>
          <w:sz w:val="19"/>
          <w:szCs w:val="19"/>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06" w:lineRule="exact"/>
        <w:rPr>
          <w:sz w:val="20"/>
          <w:szCs w:val="20"/>
          <w:color w:val="auto"/>
        </w:rPr>
      </w:pPr>
    </w:p>
    <w:p>
      <w:pPr>
        <w:ind w:left="660" w:right="220" w:firstLine="1292"/>
        <w:spacing w:after="0" w:line="266" w:lineRule="auto"/>
        <w:tabs>
          <w:tab w:leader="none" w:pos="2700" w:val="left"/>
        </w:tabs>
        <w:numPr>
          <w:ilvl w:val="1"/>
          <w:numId w:val="380"/>
        </w:numPr>
        <w:rPr>
          <w:rFonts w:ascii="Arial" w:cs="Arial" w:eastAsia="Arial" w:hAnsi="Arial"/>
          <w:sz w:val="22"/>
          <w:szCs w:val="22"/>
          <w:color w:val="auto"/>
        </w:rPr>
      </w:pPr>
      <w:r>
        <w:rPr>
          <w:rFonts w:ascii="Arial" w:cs="Arial" w:eastAsia="Arial" w:hAnsi="Arial"/>
          <w:sz w:val="22"/>
          <w:szCs w:val="22"/>
          <w:color w:val="auto"/>
        </w:rPr>
        <w:t>terminate the Commitments and the LC Commitments, and thereupon the Commitments and the LC Commitments shall terminate immediately, and terminate all obligations of each Issuing Bank to issue, amend or extend any Letter of Credit</w:t>
      </w:r>
    </w:p>
    <w:p>
      <w:pPr>
        <w:spacing w:after="0" w:line="144" w:lineRule="exact"/>
        <w:rPr>
          <w:rFonts w:ascii="Arial" w:cs="Arial" w:eastAsia="Arial" w:hAnsi="Arial"/>
          <w:sz w:val="22"/>
          <w:szCs w:val="22"/>
          <w:color w:val="auto"/>
        </w:rPr>
      </w:pPr>
    </w:p>
    <w:p>
      <w:pPr>
        <w:jc w:val="both"/>
        <w:ind w:left="660" w:firstLine="1292"/>
        <w:spacing w:after="0" w:line="311" w:lineRule="auto"/>
        <w:tabs>
          <w:tab w:leader="none" w:pos="2773" w:val="left"/>
        </w:tabs>
        <w:numPr>
          <w:ilvl w:val="1"/>
          <w:numId w:val="380"/>
        </w:numPr>
        <w:rPr>
          <w:rFonts w:ascii="Arial" w:cs="Arial" w:eastAsia="Arial" w:hAnsi="Arial"/>
          <w:sz w:val="19"/>
          <w:szCs w:val="19"/>
          <w:color w:val="auto"/>
        </w:rPr>
      </w:pPr>
      <w:r>
        <w:rPr>
          <w:rFonts w:ascii="Arial" w:cs="Arial" w:eastAsia="Arial" w:hAnsi="Arial"/>
          <w:sz w:val="19"/>
          <w:szCs w:val="19"/>
          <w:color w:val="auto"/>
        </w:rPr>
        <w:t>declare the Obligations then outstanding to be due and payable in whole (or in part, in which case any principal not so declared to be due and payable may thereafter be declared to be due and payable), and thereupon the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109" w:lineRule="exact"/>
        <w:rPr>
          <w:rFonts w:ascii="Arial" w:cs="Arial" w:eastAsia="Arial" w:hAnsi="Arial"/>
          <w:sz w:val="19"/>
          <w:szCs w:val="19"/>
          <w:color w:val="auto"/>
        </w:rPr>
      </w:pPr>
    </w:p>
    <w:p>
      <w:pPr>
        <w:ind w:left="2820" w:hanging="868"/>
        <w:spacing w:after="0"/>
        <w:tabs>
          <w:tab w:leader="none" w:pos="2820" w:val="left"/>
        </w:tabs>
        <w:numPr>
          <w:ilvl w:val="1"/>
          <w:numId w:val="380"/>
        </w:numPr>
        <w:rPr>
          <w:rFonts w:ascii="Arial" w:cs="Arial" w:eastAsia="Arial" w:hAnsi="Arial"/>
          <w:sz w:val="19"/>
          <w:szCs w:val="19"/>
          <w:color w:val="auto"/>
        </w:rPr>
      </w:pPr>
      <w:r>
        <w:rPr>
          <w:rFonts w:ascii="Arial" w:cs="Arial" w:eastAsia="Arial" w:hAnsi="Arial"/>
          <w:sz w:val="19"/>
          <w:szCs w:val="19"/>
          <w:color w:val="auto"/>
        </w:rPr>
        <w:t>require the Borrowers deposit in the LC Collateral Account an additional amount in cash equal to</w:t>
      </w:r>
    </w:p>
    <w:p>
      <w:pPr>
        <w:spacing w:after="0" w:line="55" w:lineRule="exact"/>
        <w:rPr>
          <w:rFonts w:ascii="Arial" w:cs="Arial" w:eastAsia="Arial" w:hAnsi="Arial"/>
          <w:sz w:val="19"/>
          <w:szCs w:val="19"/>
          <w:color w:val="auto"/>
        </w:rPr>
      </w:pPr>
    </w:p>
    <w:p>
      <w:pPr>
        <w:jc w:val="both"/>
        <w:ind w:left="660" w:hanging="4"/>
        <w:spacing w:after="0" w:line="264" w:lineRule="auto"/>
        <w:tabs>
          <w:tab w:leader="none" w:pos="973" w:val="left"/>
        </w:tabs>
        <w:numPr>
          <w:ilvl w:val="0"/>
          <w:numId w:val="381"/>
        </w:numPr>
        <w:rPr>
          <w:rFonts w:ascii="Arial" w:cs="Arial" w:eastAsia="Arial" w:hAnsi="Arial"/>
          <w:sz w:val="22"/>
          <w:szCs w:val="22"/>
          <w:color w:val="auto"/>
        </w:rPr>
      </w:pPr>
      <w:r>
        <w:rPr>
          <w:rFonts w:ascii="Arial" w:cs="Arial" w:eastAsia="Arial" w:hAnsi="Arial"/>
          <w:sz w:val="22"/>
          <w:szCs w:val="22"/>
          <w:color w:val="auto"/>
        </w:rPr>
        <w:t xml:space="preserve">103% of the Total LC Exposure in respect of Letters of Credit denominated in Dollars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105% of the Dollar Equivalent Total LC Exposure in respect of Letters of Credit denominated in Alternative Currencies in accordance with </w:t>
      </w:r>
      <w:r>
        <w:rPr>
          <w:rFonts w:ascii="Arial" w:cs="Arial" w:eastAsia="Arial" w:hAnsi="Arial"/>
          <w:sz w:val="22"/>
          <w:szCs w:val="22"/>
          <w:u w:val="single" w:color="auto"/>
          <w:color w:val="auto"/>
        </w:rPr>
        <w:t>Section 3.01(k)</w:t>
      </w:r>
      <w:r>
        <w:rPr>
          <w:rFonts w:ascii="Arial" w:cs="Arial" w:eastAsia="Arial" w:hAnsi="Arial"/>
          <w:sz w:val="22"/>
          <w:szCs w:val="22"/>
          <w:color w:val="auto"/>
        </w:rPr>
        <w:t>.</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 xml:space="preserve">And in case of any event with respect to any Obligor described in </w:t>
      </w:r>
      <w:r>
        <w:rPr>
          <w:rFonts w:ascii="Arial" w:cs="Arial" w:eastAsia="Arial" w:hAnsi="Arial"/>
          <w:sz w:val="21"/>
          <w:szCs w:val="21"/>
          <w:u w:val="single" w:color="auto"/>
          <w:color w:val="auto"/>
        </w:rPr>
        <w:t>Section 9.01(i)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9.01(j)</w:t>
      </w:r>
      <w:r>
        <w:rPr>
          <w:rFonts w:ascii="Arial" w:cs="Arial" w:eastAsia="Arial" w:hAnsi="Arial"/>
          <w:sz w:val="21"/>
          <w:szCs w:val="21"/>
          <w:color w:val="auto"/>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9" w:name="page350"/>
    <w:bookmarkEnd w:id="349"/>
    <w:p>
      <w:pPr>
        <w:jc w:val="both"/>
        <w:spacing w:after="0" w:line="300" w:lineRule="auto"/>
        <w:rPr>
          <w:sz w:val="20"/>
          <w:szCs w:val="20"/>
          <w:color w:val="auto"/>
        </w:rPr>
      </w:pPr>
      <w:r>
        <w:rPr>
          <w:rFonts w:ascii="Arial" w:cs="Arial" w:eastAsia="Arial" w:hAnsi="Arial"/>
          <w:sz w:val="19"/>
          <w:szCs w:val="19"/>
          <w:color w:val="auto"/>
        </w:rPr>
        <w:t>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Obligors under the Loan Documents,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39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Defaulting Lender shall exercise any such right of setoff, (x) all amounts so set off shall be paid over immediately to the Administrative Agent for further application and/or cash collateralization pursuant to </w:t>
      </w:r>
      <w:r>
        <w:rPr>
          <w:rFonts w:ascii="Arial" w:cs="Arial" w:eastAsia="Arial" w:hAnsi="Arial"/>
          <w:sz w:val="19"/>
          <w:szCs w:val="19"/>
          <w:u w:val="single" w:color="auto"/>
          <w:color w:val="auto"/>
        </w:rPr>
        <w:t>Section 4.01(e)</w:t>
      </w:r>
      <w:r>
        <w:rPr>
          <w:rFonts w:ascii="Arial" w:cs="Arial" w:eastAsia="Arial" w:hAnsi="Arial"/>
          <w:sz w:val="19"/>
          <w:szCs w:val="19"/>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0" w:name="page351"/>
    <w:bookmarkEnd w:id="350"/>
    <w:p>
      <w:pPr>
        <w:jc w:val="both"/>
        <w:spacing w:after="0" w:line="260" w:lineRule="auto"/>
        <w:rPr>
          <w:sz w:val="20"/>
          <w:szCs w:val="20"/>
          <w:color w:val="auto"/>
        </w:rPr>
      </w:pPr>
      <w:r>
        <w:rPr>
          <w:rFonts w:ascii="Arial" w:cs="Arial" w:eastAsia="Arial" w:hAnsi="Arial"/>
          <w:sz w:val="22"/>
          <w:szCs w:val="22"/>
          <w:color w:val="auto"/>
        </w:rPr>
        <w:t xml:space="preserve">Defaulting Lender as to which it exercised such right of setoff. Each Lender and each Issuing Bank agree to promptly notify the applicable Obligor and the Administrative Agent after any such setoff and application;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Arial" w:cs="Arial" w:eastAsia="Arial" w:hAnsi="Arial"/>
          <w:sz w:val="22"/>
          <w:szCs w:val="22"/>
          <w:u w:val="single" w:color="auto"/>
          <w:color w:val="auto"/>
        </w:rPr>
        <w:t>Section 4.01(c)</w:t>
      </w:r>
      <w:r>
        <w:rPr>
          <w:rFonts w:ascii="Arial" w:cs="Arial" w:eastAsia="Arial" w:hAnsi="Arial"/>
          <w:sz w:val="22"/>
          <w:szCs w:val="22"/>
          <w:color w:val="auto"/>
        </w:rPr>
        <w:t>.</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Other Remedies</w:t>
      </w:r>
      <w:r>
        <w:rPr>
          <w:rFonts w:ascii="Arial" w:cs="Arial" w:eastAsia="Arial" w:hAnsi="Arial"/>
          <w:sz w:val="22"/>
          <w:szCs w:val="22"/>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64"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u w:val="single" w:color="auto"/>
          <w:color w:val="auto"/>
        </w:rPr>
        <w:t>Application of Moneys During Continuation of Event of Default.</w:t>
      </w:r>
    </w:p>
    <w:p>
      <w:pPr>
        <w:spacing w:after="0" w:line="193" w:lineRule="exact"/>
        <w:rPr>
          <w:sz w:val="20"/>
          <w:szCs w:val="20"/>
          <w:color w:val="auto"/>
        </w:rPr>
      </w:pPr>
    </w:p>
    <w:p>
      <w:pPr>
        <w:jc w:val="both"/>
        <w:ind w:firstLine="1304"/>
        <w:spacing w:after="0" w:line="261" w:lineRule="auto"/>
        <w:tabs>
          <w:tab w:leader="none" w:pos="2103" w:val="left"/>
        </w:tabs>
        <w:numPr>
          <w:ilvl w:val="0"/>
          <w:numId w:val="382"/>
        </w:numPr>
        <w:rPr>
          <w:rFonts w:ascii="Arial" w:cs="Arial" w:eastAsia="Arial" w:hAnsi="Arial"/>
          <w:sz w:val="22"/>
          <w:szCs w:val="22"/>
          <w:color w:val="auto"/>
        </w:rPr>
      </w:pPr>
      <w:r>
        <w:rPr>
          <w:rFonts w:ascii="Arial" w:cs="Arial" w:eastAsia="Arial" w:hAnsi="Arial"/>
          <w:sz w:val="22"/>
          <w:szCs w:val="22"/>
          <w:color w:val="auto"/>
        </w:rPr>
        <w:t>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be distributed by the Administrative Agent and the LC Australian Collateral Agent (as applicable) on the dates selected by the Administrative Agent and the LC Australian Collateral Agent (as applicable) as follows:</w:t>
      </w:r>
    </w:p>
    <w:p>
      <w:pPr>
        <w:spacing w:after="0" w:line="150" w:lineRule="exact"/>
        <w:rPr>
          <w:sz w:val="20"/>
          <w:szCs w:val="20"/>
          <w:color w:val="auto"/>
        </w:rPr>
      </w:pPr>
    </w:p>
    <w:p>
      <w:pPr>
        <w:jc w:val="both"/>
        <w:ind w:left="1300"/>
        <w:spacing w:after="0" w:line="262"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the unreimbursed expenses of the Administrative Agent and the LC Australian Collateral Agent (as applicable) to be reimbursed under the Loan Documents, or pursuant to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and to any unpaid fees owing under the Loan Documents by the Obligors to the Administrative Agent and the LC Australian Collateral Agent (as applicable) including under </w:t>
      </w:r>
      <w:r>
        <w:rPr>
          <w:rFonts w:ascii="Arial" w:cs="Arial" w:eastAsia="Arial" w:hAnsi="Arial"/>
          <w:sz w:val="22"/>
          <w:szCs w:val="22"/>
          <w:u w:val="single" w:color="auto"/>
          <w:color w:val="auto"/>
        </w:rPr>
        <w:t>Section 11.04</w:t>
      </w:r>
      <w:r>
        <w:rPr>
          <w:rFonts w:ascii="Arial" w:cs="Arial" w:eastAsia="Arial" w:hAnsi="Arial"/>
          <w:sz w:val="22"/>
          <w:szCs w:val="22"/>
          <w:color w:val="auto"/>
        </w:rPr>
        <w:t>;</w:t>
      </w:r>
    </w:p>
    <w:p>
      <w:pPr>
        <w:spacing w:after="0" w:line="164" w:lineRule="exact"/>
        <w:rPr>
          <w:sz w:val="20"/>
          <w:szCs w:val="20"/>
          <w:color w:val="auto"/>
        </w:rPr>
      </w:pPr>
    </w:p>
    <w:p>
      <w:pPr>
        <w:jc w:val="both"/>
        <w:ind w:left="1300" w:right="20"/>
        <w:spacing w:after="0" w:line="276"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xml:space="preserve">, to the payment of the unreimbursed expenses for which any Lender is to be reimbursed pursuant to </w:t>
      </w:r>
      <w:r>
        <w:rPr>
          <w:rFonts w:ascii="Arial" w:cs="Arial" w:eastAsia="Arial" w:hAnsi="Arial"/>
          <w:sz w:val="22"/>
          <w:szCs w:val="22"/>
          <w:u w:val="single" w:color="auto"/>
          <w:color w:val="auto"/>
        </w:rPr>
        <w:t>Section 11.03;</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to the ratable payment of all accrued and unpaid interest and fees on the Total LC Exposure;</w:t>
      </w:r>
    </w:p>
    <w:p>
      <w:pPr>
        <w:spacing w:after="0" w:line="193" w:lineRule="exact"/>
        <w:rPr>
          <w:sz w:val="20"/>
          <w:szCs w:val="20"/>
          <w:color w:val="auto"/>
        </w:rPr>
      </w:pPr>
    </w:p>
    <w:p>
      <w:pPr>
        <w:jc w:val="both"/>
        <w:ind w:left="1300"/>
        <w:spacing w:after="0" w:line="262"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ratably, to secure the repayment and discharge of the outstanding amount of all Total LC Exposure in accordance with </w:t>
      </w:r>
      <w:r>
        <w:rPr>
          <w:rFonts w:ascii="Arial" w:cs="Arial" w:eastAsia="Arial" w:hAnsi="Arial"/>
          <w:sz w:val="22"/>
          <w:szCs w:val="22"/>
          <w:u w:val="single" w:color="auto"/>
          <w:color w:val="auto"/>
        </w:rPr>
        <w:t>Section 3.01(k)</w:t>
      </w:r>
      <w:r>
        <w:rPr>
          <w:rFonts w:ascii="Arial" w:cs="Arial" w:eastAsia="Arial" w:hAnsi="Arial"/>
          <w:sz w:val="22"/>
          <w:szCs w:val="22"/>
          <w:color w:val="auto"/>
        </w:rPr>
        <w:t xml:space="preserve"> and to the extent constituting Secured Obligations, any Banking Services Obligations and Swap Obligations, until all such LC Exposure, Banking Services Obligations and Swap Obligations shall have been paid in full;</w:t>
      </w:r>
    </w:p>
    <w:p>
      <w:pPr>
        <w:spacing w:after="0" w:line="164" w:lineRule="exact"/>
        <w:rPr>
          <w:sz w:val="20"/>
          <w:szCs w:val="20"/>
          <w:color w:val="auto"/>
        </w:rPr>
      </w:pPr>
    </w:p>
    <w:p>
      <w:pPr>
        <w:jc w:val="both"/>
        <w:ind w:left="1300"/>
        <w:spacing w:after="0" w:line="276" w:lineRule="auto"/>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to the ratable payment of all other Secured Obligations, until all Secured Obligations shall have been paid in full; and</w:t>
      </w:r>
    </w:p>
    <w:p>
      <w:pPr>
        <w:spacing w:after="0" w:line="134" w:lineRule="exact"/>
        <w:rPr>
          <w:sz w:val="20"/>
          <w:szCs w:val="20"/>
          <w:color w:val="auto"/>
        </w:rPr>
      </w:pPr>
    </w:p>
    <w:p>
      <w:pPr>
        <w:jc w:val="both"/>
        <w:ind w:left="1300"/>
        <w:spacing w:after="0" w:line="276" w:lineRule="auto"/>
        <w:rPr>
          <w:sz w:val="20"/>
          <w:szCs w:val="20"/>
          <w:color w:val="auto"/>
        </w:rPr>
      </w:pPr>
      <w:r>
        <w:rPr>
          <w:rFonts w:ascii="Arial" w:cs="Arial" w:eastAsia="Arial" w:hAnsi="Arial"/>
          <w:sz w:val="22"/>
          <w:szCs w:val="22"/>
          <w:u w:val="single" w:color="auto"/>
          <w:color w:val="auto"/>
        </w:rPr>
        <w:t>finally</w:t>
      </w:r>
      <w:r>
        <w:rPr>
          <w:rFonts w:ascii="Arial" w:cs="Arial" w:eastAsia="Arial" w:hAnsi="Arial"/>
          <w:sz w:val="22"/>
          <w:szCs w:val="22"/>
          <w:color w:val="auto"/>
        </w:rPr>
        <w:t>, to payment to the Obligors, or their respective successors or assigns, or as a court of competent jurisdiction may direct, of any surplus then remaining from such proceeds.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1" w:name="page352"/>
    <w:bookmarkEnd w:id="351"/>
    <w:p>
      <w:pPr>
        <w:jc w:val="both"/>
        <w:ind w:firstLine="1304"/>
        <w:spacing w:after="0" w:line="284" w:lineRule="auto"/>
        <w:tabs>
          <w:tab w:leader="none" w:pos="2088" w:val="left"/>
        </w:tabs>
        <w:numPr>
          <w:ilvl w:val="0"/>
          <w:numId w:val="383"/>
        </w:numPr>
        <w:rPr>
          <w:rFonts w:ascii="Arial" w:cs="Arial" w:eastAsia="Arial" w:hAnsi="Arial"/>
          <w:sz w:val="21"/>
          <w:szCs w:val="21"/>
          <w:color w:val="auto"/>
        </w:rPr>
      </w:pPr>
      <w:r>
        <w:rPr>
          <w:rFonts w:ascii="Arial" w:cs="Arial" w:eastAsia="Arial" w:hAnsi="Arial"/>
          <w:sz w:val="21"/>
          <w:szCs w:val="21"/>
          <w:color w:val="auto"/>
        </w:rPr>
        <w:t xml:space="preserve">The term “unpaid” as used in this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shall mean all relevant Secured Obligations outstanding as of any such distribution date as to which prior distributions have not been made, after giving effect to any adjustments which are made pursuant to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of which the Administrative Agent shall have been notified.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X</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ADMINISTRATIVE AGENT</w:t>
      </w:r>
    </w:p>
    <w:p>
      <w:pPr>
        <w:spacing w:after="0" w:line="202"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Authorization and Action</w:t>
      </w:r>
      <w:r>
        <w:rPr>
          <w:rFonts w:ascii="Arial" w:cs="Arial" w:eastAsia="Arial" w:hAnsi="Arial"/>
          <w:sz w:val="19"/>
          <w:szCs w:val="19"/>
          <w:color w:val="auto"/>
        </w:rPr>
        <w:t>.</w:t>
      </w:r>
    </w:p>
    <w:p>
      <w:pPr>
        <w:spacing w:after="0" w:line="193" w:lineRule="exact"/>
        <w:rPr>
          <w:sz w:val="20"/>
          <w:szCs w:val="20"/>
          <w:color w:val="auto"/>
        </w:rPr>
      </w:pPr>
    </w:p>
    <w:p>
      <w:pPr>
        <w:jc w:val="both"/>
        <w:ind w:firstLine="1304"/>
        <w:spacing w:after="0" w:line="327" w:lineRule="auto"/>
        <w:tabs>
          <w:tab w:leader="none" w:pos="2143" w:val="left"/>
        </w:tabs>
        <w:numPr>
          <w:ilvl w:val="0"/>
          <w:numId w:val="384"/>
        </w:numPr>
        <w:rPr>
          <w:rFonts w:ascii="Arial" w:cs="Arial" w:eastAsia="Arial" w:hAnsi="Arial"/>
          <w:sz w:val="19"/>
          <w:szCs w:val="19"/>
          <w:color w:val="auto"/>
        </w:rPr>
      </w:pPr>
      <w:r>
        <w:rPr>
          <w:rFonts w:ascii="Arial" w:cs="Arial" w:eastAsia="Arial" w:hAnsi="Arial"/>
          <w:sz w:val="19"/>
          <w:szCs w:val="19"/>
          <w:color w:val="auto"/>
        </w:rPr>
        <w:t>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The provisions of this Article are solely for the benefit of the Administrative Agent and the Lenders, and neither the Borrowers nor any other 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60" w:lineRule="exact"/>
        <w:rPr>
          <w:sz w:val="20"/>
          <w:szCs w:val="20"/>
          <w:color w:val="auto"/>
        </w:rPr>
      </w:pPr>
    </w:p>
    <w:p>
      <w:pPr>
        <w:jc w:val="both"/>
        <w:ind w:firstLine="1304"/>
        <w:spacing w:after="0" w:line="279" w:lineRule="auto"/>
        <w:tabs>
          <w:tab w:leader="none" w:pos="2250" w:val="left"/>
        </w:tabs>
        <w:numPr>
          <w:ilvl w:val="0"/>
          <w:numId w:val="385"/>
        </w:numPr>
        <w:rPr>
          <w:rFonts w:ascii="Arial" w:cs="Arial" w:eastAsia="Arial" w:hAnsi="Arial"/>
          <w:sz w:val="21"/>
          <w:szCs w:val="21"/>
          <w:color w:val="auto"/>
        </w:rPr>
      </w:pPr>
      <w:r>
        <w:rPr>
          <w:rFonts w:ascii="Arial" w:cs="Arial" w:eastAsia="Arial" w:hAnsi="Arial"/>
          <w:sz w:val="21"/>
          <w:szCs w:val="21"/>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32" w:lineRule="exact"/>
        <w:rPr>
          <w:rFonts w:ascii="Arial" w:cs="Arial" w:eastAsia="Arial" w:hAnsi="Arial"/>
          <w:sz w:val="21"/>
          <w:szCs w:val="21"/>
          <w:color w:val="auto"/>
        </w:rPr>
      </w:pPr>
    </w:p>
    <w:p>
      <w:pPr>
        <w:ind w:firstLine="1304"/>
        <w:spacing w:after="0" w:line="358" w:lineRule="auto"/>
        <w:tabs>
          <w:tab w:leader="none" w:pos="2224" w:val="left"/>
        </w:tabs>
        <w:numPr>
          <w:ilvl w:val="0"/>
          <w:numId w:val="385"/>
        </w:numPr>
        <w:rPr>
          <w:rFonts w:ascii="Arial" w:cs="Arial" w:eastAsia="Arial" w:hAnsi="Arial"/>
          <w:sz w:val="19"/>
          <w:szCs w:val="19"/>
          <w:color w:val="auto"/>
        </w:rPr>
      </w:pPr>
      <w:r>
        <w:rPr>
          <w:rFonts w:ascii="Arial" w:cs="Arial" w:eastAsia="Arial" w:hAnsi="Arial"/>
          <w:sz w:val="19"/>
          <w:szCs w:val="19"/>
          <w:color w:val="auto"/>
        </w:rPr>
        <w:t>In relation to Collateral which is subject to a Swiss Security Document, the Administrative Agent has caused the ABL Administrative Agent to, subject to and in accordance with the provisions of the Intercreditor Agreement:</w:t>
      </w:r>
    </w:p>
    <w:p>
      <w:pPr>
        <w:spacing w:after="0" w:line="63" w:lineRule="exact"/>
        <w:rPr>
          <w:rFonts w:ascii="Arial" w:cs="Arial" w:eastAsia="Arial" w:hAnsi="Arial"/>
          <w:sz w:val="19"/>
          <w:szCs w:val="19"/>
          <w:color w:val="auto"/>
        </w:rPr>
      </w:pPr>
    </w:p>
    <w:p>
      <w:pPr>
        <w:ind w:left="660" w:firstLine="1292"/>
        <w:spacing w:after="0" w:line="358" w:lineRule="auto"/>
        <w:tabs>
          <w:tab w:leader="none" w:pos="2862" w:val="left"/>
        </w:tabs>
        <w:numPr>
          <w:ilvl w:val="1"/>
          <w:numId w:val="385"/>
        </w:numPr>
        <w:rPr>
          <w:rFonts w:ascii="Arial" w:cs="Arial" w:eastAsia="Arial" w:hAnsi="Arial"/>
          <w:sz w:val="19"/>
          <w:szCs w:val="19"/>
          <w:color w:val="auto"/>
        </w:rPr>
      </w:pPr>
      <w:r>
        <w:rPr>
          <w:rFonts w:ascii="Arial" w:cs="Arial" w:eastAsia="Arial" w:hAnsi="Arial"/>
          <w:sz w:val="19"/>
          <w:szCs w:val="19"/>
          <w:color w:val="auto"/>
        </w:rPr>
        <w:t>hold and administer any non-accessory Collateral (</w:t>
      </w:r>
      <w:r>
        <w:rPr>
          <w:rFonts w:ascii="Arial" w:cs="Arial" w:eastAsia="Arial" w:hAnsi="Arial"/>
          <w:sz w:val="19"/>
          <w:szCs w:val="19"/>
          <w:i w:val="1"/>
          <w:iCs w:val="1"/>
          <w:color w:val="auto"/>
        </w:rPr>
        <w:t>nicht-akzessorische Sicherheit</w:t>
      </w:r>
      <w:r>
        <w:rPr>
          <w:rFonts w:ascii="Arial" w:cs="Arial" w:eastAsia="Arial" w:hAnsi="Arial"/>
          <w:sz w:val="19"/>
          <w:szCs w:val="19"/>
          <w:color w:val="auto"/>
        </w:rPr>
        <w:t>) governed by Swiss law as fiduciary (</w:t>
      </w:r>
      <w:r>
        <w:rPr>
          <w:rFonts w:ascii="Arial" w:cs="Arial" w:eastAsia="Arial" w:hAnsi="Arial"/>
          <w:sz w:val="19"/>
          <w:szCs w:val="19"/>
          <w:i w:val="1"/>
          <w:iCs w:val="1"/>
          <w:color w:val="auto"/>
        </w:rPr>
        <w:t>treuhänderisch</w:t>
      </w:r>
      <w:r>
        <w:rPr>
          <w:rFonts w:ascii="Arial" w:cs="Arial" w:eastAsia="Arial" w:hAnsi="Arial"/>
          <w:sz w:val="19"/>
          <w:szCs w:val="19"/>
          <w:color w:val="auto"/>
        </w:rPr>
        <w:t>) in its own name but for the benefit of the Secured Parties; and</w:t>
      </w:r>
    </w:p>
    <w:p>
      <w:pPr>
        <w:spacing w:after="0" w:line="77" w:lineRule="exact"/>
        <w:rPr>
          <w:rFonts w:ascii="Arial" w:cs="Arial" w:eastAsia="Arial" w:hAnsi="Arial"/>
          <w:sz w:val="19"/>
          <w:szCs w:val="19"/>
          <w:color w:val="auto"/>
        </w:rPr>
      </w:pPr>
    </w:p>
    <w:p>
      <w:pPr>
        <w:ind w:left="660" w:firstLine="1292"/>
        <w:spacing w:after="0" w:line="276" w:lineRule="auto"/>
        <w:tabs>
          <w:tab w:leader="none" w:pos="2760" w:val="left"/>
        </w:tabs>
        <w:numPr>
          <w:ilvl w:val="1"/>
          <w:numId w:val="385"/>
        </w:numPr>
        <w:rPr>
          <w:rFonts w:ascii="Arial" w:cs="Arial" w:eastAsia="Arial" w:hAnsi="Arial"/>
          <w:sz w:val="22"/>
          <w:szCs w:val="22"/>
          <w:color w:val="auto"/>
        </w:rPr>
      </w:pPr>
      <w:r>
        <w:rPr>
          <w:rFonts w:ascii="Arial" w:cs="Arial" w:eastAsia="Arial" w:hAnsi="Arial"/>
          <w:sz w:val="22"/>
          <w:szCs w:val="22"/>
          <w:color w:val="auto"/>
        </w:rPr>
        <w:t>hold and administer any accessory Collateral (</w:t>
      </w:r>
      <w:r>
        <w:rPr>
          <w:rFonts w:ascii="Arial" w:cs="Arial" w:eastAsia="Arial" w:hAnsi="Arial"/>
          <w:sz w:val="22"/>
          <w:szCs w:val="22"/>
          <w:i w:val="1"/>
          <w:iCs w:val="1"/>
          <w:color w:val="auto"/>
        </w:rPr>
        <w:t>akzessorische Sicherheit</w:t>
      </w:r>
      <w:r>
        <w:rPr>
          <w:rFonts w:ascii="Arial" w:cs="Arial" w:eastAsia="Arial" w:hAnsi="Arial"/>
          <w:sz w:val="22"/>
          <w:szCs w:val="22"/>
          <w:color w:val="auto"/>
        </w:rPr>
        <w:t>) governed by Swiss law as direct representative (</w:t>
      </w:r>
      <w:r>
        <w:rPr>
          <w:rFonts w:ascii="Arial" w:cs="Arial" w:eastAsia="Arial" w:hAnsi="Arial"/>
          <w:sz w:val="22"/>
          <w:szCs w:val="22"/>
          <w:i w:val="1"/>
          <w:iCs w:val="1"/>
          <w:color w:val="auto"/>
        </w:rPr>
        <w:t>direkter Stellvertrete</w:t>
      </w:r>
      <w:r>
        <w:rPr>
          <w:rFonts w:ascii="Arial" w:cs="Arial" w:eastAsia="Arial" w:hAnsi="Arial"/>
          <w:sz w:val="22"/>
          <w:szCs w:val="22"/>
          <w:color w:val="auto"/>
        </w:rPr>
        <w:t>r) in the name and on behalf of the Secured Parties.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2" w:name="page353"/>
    <w:bookmarkEnd w:id="352"/>
    <w:p>
      <w:pPr>
        <w:ind w:firstLine="1304"/>
        <w:spacing w:after="0" w:line="358" w:lineRule="auto"/>
        <w:tabs>
          <w:tab w:leader="none" w:pos="2236" w:val="left"/>
        </w:tabs>
        <w:numPr>
          <w:ilvl w:val="1"/>
          <w:numId w:val="386"/>
        </w:numPr>
        <w:rPr>
          <w:rFonts w:ascii="Arial" w:cs="Arial" w:eastAsia="Arial" w:hAnsi="Arial"/>
          <w:sz w:val="19"/>
          <w:szCs w:val="19"/>
          <w:color w:val="auto"/>
        </w:rPr>
      </w:pPr>
      <w:r>
        <w:rPr>
          <w:rFonts w:ascii="Arial" w:cs="Arial" w:eastAsia="Arial" w:hAnsi="Arial"/>
          <w:sz w:val="19"/>
          <w:szCs w:val="19"/>
          <w:color w:val="auto"/>
        </w:rPr>
        <w:t>Each Secured Party has appointed the ABL Administrative Agent as its direct representative (</w:t>
      </w:r>
      <w:r>
        <w:rPr>
          <w:rFonts w:ascii="Arial" w:cs="Arial" w:eastAsia="Arial" w:hAnsi="Arial"/>
          <w:sz w:val="19"/>
          <w:szCs w:val="19"/>
          <w:i w:val="1"/>
          <w:iCs w:val="1"/>
          <w:color w:val="auto"/>
        </w:rPr>
        <w:t>direkter</w:t>
      </w:r>
      <w:r>
        <w:rPr>
          <w:rFonts w:ascii="Arial" w:cs="Arial" w:eastAsia="Arial" w:hAnsi="Arial"/>
          <w:sz w:val="19"/>
          <w:szCs w:val="19"/>
          <w:color w:val="auto"/>
        </w:rPr>
        <w:t xml:space="preserve"> </w:t>
      </w:r>
      <w:r>
        <w:rPr>
          <w:rFonts w:ascii="Arial" w:cs="Arial" w:eastAsia="Arial" w:hAnsi="Arial"/>
          <w:sz w:val="19"/>
          <w:szCs w:val="19"/>
          <w:i w:val="1"/>
          <w:iCs w:val="1"/>
          <w:color w:val="auto"/>
        </w:rPr>
        <w:t>Stellvertreter</w:t>
      </w:r>
      <w:r>
        <w:rPr>
          <w:rFonts w:ascii="Arial" w:cs="Arial" w:eastAsia="Arial" w:hAnsi="Arial"/>
          <w:sz w:val="19"/>
          <w:szCs w:val="19"/>
          <w:color w:val="auto"/>
        </w:rPr>
        <w:t>) and authorized the ABL Administrative Agent (whether or not by or through employees or agents) to:</w:t>
      </w:r>
    </w:p>
    <w:p>
      <w:pPr>
        <w:spacing w:after="0" w:line="63" w:lineRule="exact"/>
        <w:rPr>
          <w:rFonts w:ascii="Arial" w:cs="Arial" w:eastAsia="Arial" w:hAnsi="Arial"/>
          <w:sz w:val="19"/>
          <w:szCs w:val="19"/>
          <w:color w:val="auto"/>
        </w:rPr>
      </w:pPr>
    </w:p>
    <w:p>
      <w:pPr>
        <w:jc w:val="both"/>
        <w:ind w:left="660" w:firstLine="1292"/>
        <w:spacing w:after="0" w:line="266" w:lineRule="auto"/>
        <w:tabs>
          <w:tab w:leader="none" w:pos="2713" w:val="left"/>
        </w:tabs>
        <w:numPr>
          <w:ilvl w:val="2"/>
          <w:numId w:val="386"/>
        </w:numPr>
        <w:rPr>
          <w:rFonts w:ascii="Arial" w:cs="Arial" w:eastAsia="Arial" w:hAnsi="Arial"/>
          <w:sz w:val="22"/>
          <w:szCs w:val="22"/>
          <w:color w:val="auto"/>
        </w:rPr>
      </w:pPr>
      <w:r>
        <w:rPr>
          <w:rFonts w:ascii="Arial" w:cs="Arial" w:eastAsia="Arial" w:hAnsi="Arial"/>
          <w:sz w:val="22"/>
          <w:szCs w:val="22"/>
          <w:color w:val="auto"/>
        </w:rPr>
        <w:t>exercise such rights, remedies, powers and discretions as are specifically delegated to or conferred upon the ABL Administrative Agent under the relevant Swiss Security Documents together with such powers and discretions as are reasonably incidental thereto;</w:t>
      </w:r>
    </w:p>
    <w:p>
      <w:pPr>
        <w:spacing w:after="0" w:line="157" w:lineRule="exact"/>
        <w:rPr>
          <w:rFonts w:ascii="Arial" w:cs="Arial" w:eastAsia="Arial" w:hAnsi="Arial"/>
          <w:sz w:val="22"/>
          <w:szCs w:val="22"/>
          <w:color w:val="auto"/>
        </w:rPr>
      </w:pPr>
    </w:p>
    <w:p>
      <w:pPr>
        <w:ind w:left="660" w:firstLine="1292"/>
        <w:spacing w:after="0" w:line="276" w:lineRule="auto"/>
        <w:tabs>
          <w:tab w:leader="none" w:pos="2908" w:val="left"/>
        </w:tabs>
        <w:numPr>
          <w:ilvl w:val="2"/>
          <w:numId w:val="386"/>
        </w:numPr>
        <w:rPr>
          <w:rFonts w:ascii="Arial" w:cs="Arial" w:eastAsia="Arial" w:hAnsi="Arial"/>
          <w:sz w:val="22"/>
          <w:szCs w:val="22"/>
          <w:color w:val="auto"/>
        </w:rPr>
      </w:pPr>
      <w:r>
        <w:rPr>
          <w:rFonts w:ascii="Arial" w:cs="Arial" w:eastAsia="Arial" w:hAnsi="Arial"/>
          <w:sz w:val="22"/>
          <w:szCs w:val="22"/>
          <w:color w:val="auto"/>
        </w:rPr>
        <w:t>take such action on its behalf as may from time to time be authorized under or in accordance with the relevant Swiss Security Documents; and</w:t>
      </w:r>
    </w:p>
    <w:p>
      <w:pPr>
        <w:spacing w:after="0" w:line="133" w:lineRule="exact"/>
        <w:rPr>
          <w:rFonts w:ascii="Arial" w:cs="Arial" w:eastAsia="Arial" w:hAnsi="Arial"/>
          <w:sz w:val="22"/>
          <w:szCs w:val="22"/>
          <w:color w:val="auto"/>
        </w:rPr>
      </w:pPr>
    </w:p>
    <w:p>
      <w:pPr>
        <w:jc w:val="both"/>
        <w:ind w:left="660" w:firstLine="1292"/>
        <w:spacing w:after="0" w:line="274" w:lineRule="auto"/>
        <w:tabs>
          <w:tab w:leader="none" w:pos="2928" w:val="left"/>
        </w:tabs>
        <w:numPr>
          <w:ilvl w:val="2"/>
          <w:numId w:val="386"/>
        </w:numPr>
        <w:rPr>
          <w:rFonts w:ascii="Arial" w:cs="Arial" w:eastAsia="Arial" w:hAnsi="Arial"/>
          <w:sz w:val="21"/>
          <w:szCs w:val="21"/>
          <w:color w:val="auto"/>
        </w:rPr>
      </w:pPr>
      <w:r>
        <w:rPr>
          <w:rFonts w:ascii="Arial" w:cs="Arial" w:eastAsia="Arial" w:hAnsi="Arial"/>
          <w:sz w:val="21"/>
          <w:szCs w:val="21"/>
          <w:color w:val="auto"/>
        </w:rPr>
        <w:t>accept, enter into and execute as its direct representative (</w:t>
      </w:r>
      <w:r>
        <w:rPr>
          <w:rFonts w:ascii="Arial" w:cs="Arial" w:eastAsia="Arial" w:hAnsi="Arial"/>
          <w:sz w:val="21"/>
          <w:szCs w:val="21"/>
          <w:i w:val="1"/>
          <w:iCs w:val="1"/>
          <w:color w:val="auto"/>
        </w:rPr>
        <w:t>direkter Stellvertreter</w:t>
      </w:r>
      <w:r>
        <w:rPr>
          <w:rFonts w:ascii="Arial" w:cs="Arial" w:eastAsia="Arial" w:hAnsi="Arial"/>
          <w:sz w:val="21"/>
          <w:szCs w:val="21"/>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Arial" w:cs="Arial" w:eastAsia="Arial" w:hAnsi="Arial"/>
          <w:sz w:val="21"/>
          <w:szCs w:val="21"/>
          <w:i w:val="1"/>
          <w:iCs w:val="1"/>
          <w:color w:val="auto"/>
        </w:rPr>
        <w:t>direkter</w:t>
      </w:r>
      <w:r>
        <w:rPr>
          <w:rFonts w:ascii="Arial" w:cs="Arial" w:eastAsia="Arial" w:hAnsi="Arial"/>
          <w:sz w:val="21"/>
          <w:szCs w:val="21"/>
          <w:color w:val="auto"/>
        </w:rPr>
        <w:t xml:space="preserve"> </w:t>
      </w:r>
      <w:r>
        <w:rPr>
          <w:rFonts w:ascii="Arial" w:cs="Arial" w:eastAsia="Arial" w:hAnsi="Arial"/>
          <w:sz w:val="21"/>
          <w:szCs w:val="21"/>
          <w:i w:val="1"/>
          <w:iCs w:val="1"/>
          <w:color w:val="auto"/>
        </w:rPr>
        <w:t>Stellvertreter</w:t>
      </w:r>
      <w:r>
        <w:rPr>
          <w:rFonts w:ascii="Arial" w:cs="Arial" w:eastAsia="Arial" w:hAnsi="Arial"/>
          <w:sz w:val="21"/>
          <w:szCs w:val="21"/>
          <w:color w:val="auto"/>
        </w:rPr>
        <w:t>) any amendments, confirmations and/or alterations to any Swiss Security Document which creates a pledge</w:t>
      </w:r>
      <w:r>
        <w:rPr>
          <w:rFonts w:ascii="Arial" w:cs="Arial" w:eastAsia="Arial" w:hAnsi="Arial"/>
          <w:sz w:val="21"/>
          <w:szCs w:val="21"/>
          <w:i w:val="1"/>
          <w:iCs w:val="1"/>
          <w:color w:val="auto"/>
        </w:rPr>
        <w:t xml:space="preserve"> </w:t>
      </w:r>
      <w:r>
        <w:rPr>
          <w:rFonts w:ascii="Arial" w:cs="Arial" w:eastAsia="Arial" w:hAnsi="Arial"/>
          <w:sz w:val="21"/>
          <w:szCs w:val="21"/>
          <w:color w:val="auto"/>
        </w:rPr>
        <w:t>or any other accessory security right (</w:t>
      </w:r>
      <w:r>
        <w:rPr>
          <w:rFonts w:ascii="Arial" w:cs="Arial" w:eastAsia="Arial" w:hAnsi="Arial"/>
          <w:sz w:val="21"/>
          <w:szCs w:val="21"/>
          <w:i w:val="1"/>
          <w:iCs w:val="1"/>
          <w:color w:val="auto"/>
        </w:rPr>
        <w:t>akzessorische Sicherheit</w:t>
      </w:r>
      <w:r>
        <w:rPr>
          <w:rFonts w:ascii="Arial" w:cs="Arial" w:eastAsia="Arial" w:hAnsi="Arial"/>
          <w:sz w:val="21"/>
          <w:szCs w:val="21"/>
          <w:color w:val="auto"/>
        </w:rPr>
        <w:t>) including the release or confirmation of release of such Collateral, all subject to the provisions of the Intercreditor Agreement.</w:t>
      </w:r>
    </w:p>
    <w:p>
      <w:pPr>
        <w:spacing w:after="0" w:line="141" w:lineRule="exact"/>
        <w:rPr>
          <w:rFonts w:ascii="Arial" w:cs="Arial" w:eastAsia="Arial" w:hAnsi="Arial"/>
          <w:sz w:val="21"/>
          <w:szCs w:val="21"/>
          <w:color w:val="auto"/>
        </w:rPr>
      </w:pPr>
    </w:p>
    <w:p>
      <w:pPr>
        <w:ind w:right="140" w:firstLine="62"/>
        <w:spacing w:after="0" w:line="266" w:lineRule="auto"/>
        <w:tabs>
          <w:tab w:leader="none" w:pos="834" w:val="left"/>
        </w:tabs>
        <w:numPr>
          <w:ilvl w:val="0"/>
          <w:numId w:val="387"/>
        </w:numPr>
        <w:rPr>
          <w:rFonts w:ascii="Arial" w:cs="Arial" w:eastAsia="Arial" w:hAnsi="Arial"/>
          <w:sz w:val="22"/>
          <w:szCs w:val="22"/>
          <w:color w:val="auto"/>
        </w:rPr>
      </w:pPr>
      <w:r>
        <w:rPr>
          <w:rFonts w:ascii="Arial" w:cs="Arial" w:eastAsia="Arial" w:hAnsi="Arial"/>
          <w:sz w:val="22"/>
          <w:szCs w:val="22"/>
          <w:color w:val="auto"/>
        </w:rPr>
        <w:t>With effect as of the resignation of the ABL Administrative Agent as Original Foreign Collateral Agent and in relation to Collateral which is subject to a Swiss Security Document, the Administrative Agent shall cause the Foreign Collateral Agent to, subject to and in accordance with the provisions of the Intercreditor Agreement:</w:t>
      </w:r>
    </w:p>
    <w:p>
      <w:pPr>
        <w:spacing w:after="0" w:line="157" w:lineRule="exact"/>
        <w:rPr>
          <w:rFonts w:ascii="Arial" w:cs="Arial" w:eastAsia="Arial" w:hAnsi="Arial"/>
          <w:sz w:val="22"/>
          <w:szCs w:val="22"/>
          <w:color w:val="auto"/>
        </w:rPr>
      </w:pPr>
    </w:p>
    <w:p>
      <w:pPr>
        <w:ind w:left="660" w:firstLine="1292"/>
        <w:spacing w:after="0" w:line="358" w:lineRule="auto"/>
        <w:tabs>
          <w:tab w:leader="none" w:pos="2862" w:val="left"/>
        </w:tabs>
        <w:numPr>
          <w:ilvl w:val="2"/>
          <w:numId w:val="387"/>
        </w:numPr>
        <w:rPr>
          <w:rFonts w:ascii="Arial" w:cs="Arial" w:eastAsia="Arial" w:hAnsi="Arial"/>
          <w:sz w:val="19"/>
          <w:szCs w:val="19"/>
          <w:color w:val="auto"/>
        </w:rPr>
      </w:pPr>
      <w:r>
        <w:rPr>
          <w:rFonts w:ascii="Arial" w:cs="Arial" w:eastAsia="Arial" w:hAnsi="Arial"/>
          <w:sz w:val="19"/>
          <w:szCs w:val="19"/>
          <w:color w:val="auto"/>
        </w:rPr>
        <w:t>hold and administer any non-accessory Collateral (</w:t>
      </w:r>
      <w:r>
        <w:rPr>
          <w:rFonts w:ascii="Arial" w:cs="Arial" w:eastAsia="Arial" w:hAnsi="Arial"/>
          <w:sz w:val="19"/>
          <w:szCs w:val="19"/>
          <w:i w:val="1"/>
          <w:iCs w:val="1"/>
          <w:color w:val="auto"/>
        </w:rPr>
        <w:t>nicht-akzessorische Sicherheit</w:t>
      </w:r>
      <w:r>
        <w:rPr>
          <w:rFonts w:ascii="Arial" w:cs="Arial" w:eastAsia="Arial" w:hAnsi="Arial"/>
          <w:sz w:val="19"/>
          <w:szCs w:val="19"/>
          <w:color w:val="auto"/>
        </w:rPr>
        <w:t>) governed by Swiss law as fiduciary (</w:t>
      </w:r>
      <w:r>
        <w:rPr>
          <w:rFonts w:ascii="Arial" w:cs="Arial" w:eastAsia="Arial" w:hAnsi="Arial"/>
          <w:sz w:val="19"/>
          <w:szCs w:val="19"/>
          <w:i w:val="1"/>
          <w:iCs w:val="1"/>
          <w:color w:val="auto"/>
        </w:rPr>
        <w:t>treuhänderisch</w:t>
      </w:r>
      <w:r>
        <w:rPr>
          <w:rFonts w:ascii="Arial" w:cs="Arial" w:eastAsia="Arial" w:hAnsi="Arial"/>
          <w:sz w:val="19"/>
          <w:szCs w:val="19"/>
          <w:color w:val="auto"/>
        </w:rPr>
        <w:t>) in its own name but for the benefit of the Secured Parties; and</w:t>
      </w:r>
    </w:p>
    <w:p>
      <w:pPr>
        <w:spacing w:after="0" w:line="63" w:lineRule="exact"/>
        <w:rPr>
          <w:rFonts w:ascii="Arial" w:cs="Arial" w:eastAsia="Arial" w:hAnsi="Arial"/>
          <w:sz w:val="19"/>
          <w:szCs w:val="19"/>
          <w:color w:val="auto"/>
        </w:rPr>
      </w:pPr>
    </w:p>
    <w:p>
      <w:pPr>
        <w:ind w:left="660" w:firstLine="1292"/>
        <w:spacing w:after="0" w:line="276" w:lineRule="auto"/>
        <w:tabs>
          <w:tab w:leader="none" w:pos="2760" w:val="left"/>
        </w:tabs>
        <w:numPr>
          <w:ilvl w:val="2"/>
          <w:numId w:val="387"/>
        </w:numPr>
        <w:rPr>
          <w:rFonts w:ascii="Arial" w:cs="Arial" w:eastAsia="Arial" w:hAnsi="Arial"/>
          <w:sz w:val="22"/>
          <w:szCs w:val="22"/>
          <w:color w:val="auto"/>
        </w:rPr>
      </w:pPr>
      <w:r>
        <w:rPr>
          <w:rFonts w:ascii="Arial" w:cs="Arial" w:eastAsia="Arial" w:hAnsi="Arial"/>
          <w:sz w:val="22"/>
          <w:szCs w:val="22"/>
          <w:color w:val="auto"/>
        </w:rPr>
        <w:t>hold and administer any accessory Collateral (</w:t>
      </w:r>
      <w:r>
        <w:rPr>
          <w:rFonts w:ascii="Arial" w:cs="Arial" w:eastAsia="Arial" w:hAnsi="Arial"/>
          <w:sz w:val="22"/>
          <w:szCs w:val="22"/>
          <w:i w:val="1"/>
          <w:iCs w:val="1"/>
          <w:color w:val="auto"/>
        </w:rPr>
        <w:t>akzessorische Sicherheit</w:t>
      </w:r>
      <w:r>
        <w:rPr>
          <w:rFonts w:ascii="Arial" w:cs="Arial" w:eastAsia="Arial" w:hAnsi="Arial"/>
          <w:sz w:val="22"/>
          <w:szCs w:val="22"/>
          <w:color w:val="auto"/>
        </w:rPr>
        <w:t>) governed by Swiss law as direct representative (</w:t>
      </w:r>
      <w:r>
        <w:rPr>
          <w:rFonts w:ascii="Arial" w:cs="Arial" w:eastAsia="Arial" w:hAnsi="Arial"/>
          <w:sz w:val="22"/>
          <w:szCs w:val="22"/>
          <w:i w:val="1"/>
          <w:iCs w:val="1"/>
          <w:color w:val="auto"/>
        </w:rPr>
        <w:t>direkter Stellvertrete</w:t>
      </w:r>
      <w:r>
        <w:rPr>
          <w:rFonts w:ascii="Arial" w:cs="Arial" w:eastAsia="Arial" w:hAnsi="Arial"/>
          <w:sz w:val="22"/>
          <w:szCs w:val="22"/>
          <w:color w:val="auto"/>
        </w:rPr>
        <w:t>r) in the name and on behalf of the Secured Parties.</w:t>
      </w:r>
    </w:p>
    <w:p>
      <w:pPr>
        <w:spacing w:after="0" w:line="133" w:lineRule="exact"/>
        <w:rPr>
          <w:rFonts w:ascii="Arial" w:cs="Arial" w:eastAsia="Arial" w:hAnsi="Arial"/>
          <w:sz w:val="22"/>
          <w:szCs w:val="22"/>
          <w:color w:val="auto"/>
        </w:rPr>
      </w:pPr>
    </w:p>
    <w:p>
      <w:pPr>
        <w:jc w:val="both"/>
        <w:ind w:firstLine="1304"/>
        <w:spacing w:after="0" w:line="284" w:lineRule="auto"/>
        <w:tabs>
          <w:tab w:leader="none" w:pos="2119" w:val="left"/>
        </w:tabs>
        <w:numPr>
          <w:ilvl w:val="1"/>
          <w:numId w:val="387"/>
        </w:numPr>
        <w:rPr>
          <w:rFonts w:ascii="Arial" w:cs="Arial" w:eastAsia="Arial" w:hAnsi="Arial"/>
          <w:sz w:val="21"/>
          <w:szCs w:val="21"/>
          <w:color w:val="auto"/>
        </w:rPr>
      </w:pPr>
      <w:r>
        <w:rPr>
          <w:rFonts w:ascii="Arial" w:cs="Arial" w:eastAsia="Arial" w:hAnsi="Arial"/>
          <w:sz w:val="21"/>
          <w:szCs w:val="21"/>
          <w:color w:val="auto"/>
        </w:rPr>
        <w:t>With effect as of the resignation of the ABL Administrative Agent as Original Foreign Collateral Agent, each Secured Party hereby appoints the Foreign Collateral Agent as its direct representative (</w:t>
      </w:r>
      <w:r>
        <w:rPr>
          <w:rFonts w:ascii="Arial" w:cs="Arial" w:eastAsia="Arial" w:hAnsi="Arial"/>
          <w:sz w:val="21"/>
          <w:szCs w:val="21"/>
          <w:i w:val="1"/>
          <w:iCs w:val="1"/>
          <w:color w:val="auto"/>
        </w:rPr>
        <w:t>direkter Stellvertreter</w:t>
      </w:r>
      <w:r>
        <w:rPr>
          <w:rFonts w:ascii="Arial" w:cs="Arial" w:eastAsia="Arial" w:hAnsi="Arial"/>
          <w:sz w:val="21"/>
          <w:szCs w:val="21"/>
          <w:color w:val="auto"/>
        </w:rPr>
        <w:t>) and authorizes the Foreign Collateral Agent (whether or not by or through employees or agents) to:</w:t>
      </w:r>
    </w:p>
    <w:p>
      <w:pPr>
        <w:spacing w:after="0" w:line="141" w:lineRule="exact"/>
        <w:rPr>
          <w:rFonts w:ascii="Arial" w:cs="Arial" w:eastAsia="Arial" w:hAnsi="Arial"/>
          <w:sz w:val="21"/>
          <w:szCs w:val="21"/>
          <w:color w:val="auto"/>
        </w:rPr>
      </w:pPr>
    </w:p>
    <w:p>
      <w:pPr>
        <w:jc w:val="both"/>
        <w:ind w:left="660" w:firstLine="1292"/>
        <w:spacing w:after="0" w:line="266" w:lineRule="auto"/>
        <w:tabs>
          <w:tab w:leader="none" w:pos="2713" w:val="left"/>
        </w:tabs>
        <w:numPr>
          <w:ilvl w:val="2"/>
          <w:numId w:val="387"/>
        </w:numPr>
        <w:rPr>
          <w:rFonts w:ascii="Arial" w:cs="Arial" w:eastAsia="Arial" w:hAnsi="Arial"/>
          <w:sz w:val="22"/>
          <w:szCs w:val="22"/>
          <w:color w:val="auto"/>
        </w:rPr>
      </w:pPr>
      <w:r>
        <w:rPr>
          <w:rFonts w:ascii="Arial" w:cs="Arial" w:eastAsia="Arial" w:hAnsi="Arial"/>
          <w:sz w:val="22"/>
          <w:szCs w:val="22"/>
          <w:color w:val="auto"/>
        </w:rPr>
        <w:t>exercise such rights, remedies, powers and discretions as are specifically delegated to or conferred upon the Foreign Collateral Agent under the relevant Swiss Security Documents together with such powers and discretions as are reasonably incidental thereto;</w:t>
      </w:r>
    </w:p>
    <w:p>
      <w:pPr>
        <w:spacing w:after="0" w:line="144" w:lineRule="exact"/>
        <w:rPr>
          <w:rFonts w:ascii="Arial" w:cs="Arial" w:eastAsia="Arial" w:hAnsi="Arial"/>
          <w:sz w:val="22"/>
          <w:szCs w:val="22"/>
          <w:color w:val="auto"/>
        </w:rPr>
      </w:pPr>
    </w:p>
    <w:p>
      <w:pPr>
        <w:ind w:left="660" w:firstLine="1292"/>
        <w:spacing w:after="0" w:line="276" w:lineRule="auto"/>
        <w:tabs>
          <w:tab w:leader="none" w:pos="2908" w:val="left"/>
        </w:tabs>
        <w:numPr>
          <w:ilvl w:val="2"/>
          <w:numId w:val="387"/>
        </w:numPr>
        <w:rPr>
          <w:rFonts w:ascii="Arial" w:cs="Arial" w:eastAsia="Arial" w:hAnsi="Arial"/>
          <w:sz w:val="22"/>
          <w:szCs w:val="22"/>
          <w:color w:val="auto"/>
        </w:rPr>
      </w:pPr>
      <w:r>
        <w:rPr>
          <w:rFonts w:ascii="Arial" w:cs="Arial" w:eastAsia="Arial" w:hAnsi="Arial"/>
          <w:sz w:val="22"/>
          <w:szCs w:val="22"/>
          <w:color w:val="auto"/>
        </w:rPr>
        <w:t>take such action on its behalf as may from time to time be authorized under or in accordance with the relevant Swiss Security Documents;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3" w:name="page354"/>
    <w:bookmarkEnd w:id="353"/>
    <w:p>
      <w:pPr>
        <w:jc w:val="both"/>
        <w:ind w:left="660" w:firstLine="1292"/>
        <w:spacing w:after="0" w:line="274" w:lineRule="auto"/>
        <w:tabs>
          <w:tab w:leader="none" w:pos="2928" w:val="left"/>
        </w:tabs>
        <w:numPr>
          <w:ilvl w:val="0"/>
          <w:numId w:val="388"/>
        </w:numPr>
        <w:rPr>
          <w:rFonts w:ascii="Arial" w:cs="Arial" w:eastAsia="Arial" w:hAnsi="Arial"/>
          <w:sz w:val="21"/>
          <w:szCs w:val="21"/>
          <w:color w:val="auto"/>
        </w:rPr>
      </w:pPr>
      <w:r>
        <w:rPr>
          <w:rFonts w:ascii="Arial" w:cs="Arial" w:eastAsia="Arial" w:hAnsi="Arial"/>
          <w:sz w:val="21"/>
          <w:szCs w:val="21"/>
          <w:color w:val="auto"/>
        </w:rPr>
        <w:t>accept, enter into and execute as its direct representative (</w:t>
      </w:r>
      <w:r>
        <w:rPr>
          <w:rFonts w:ascii="Arial" w:cs="Arial" w:eastAsia="Arial" w:hAnsi="Arial"/>
          <w:sz w:val="21"/>
          <w:szCs w:val="21"/>
          <w:i w:val="1"/>
          <w:iCs w:val="1"/>
          <w:color w:val="auto"/>
        </w:rPr>
        <w:t>direkter Stellvertreter</w:t>
      </w:r>
      <w:r>
        <w:rPr>
          <w:rFonts w:ascii="Arial" w:cs="Arial" w:eastAsia="Arial" w:hAnsi="Arial"/>
          <w:sz w:val="21"/>
          <w:szCs w:val="21"/>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Arial" w:cs="Arial" w:eastAsia="Arial" w:hAnsi="Arial"/>
          <w:sz w:val="21"/>
          <w:szCs w:val="21"/>
          <w:i w:val="1"/>
          <w:iCs w:val="1"/>
          <w:color w:val="auto"/>
        </w:rPr>
        <w:t>direkter</w:t>
      </w:r>
      <w:r>
        <w:rPr>
          <w:rFonts w:ascii="Arial" w:cs="Arial" w:eastAsia="Arial" w:hAnsi="Arial"/>
          <w:sz w:val="21"/>
          <w:szCs w:val="21"/>
          <w:color w:val="auto"/>
        </w:rPr>
        <w:t xml:space="preserve"> </w:t>
      </w:r>
      <w:r>
        <w:rPr>
          <w:rFonts w:ascii="Arial" w:cs="Arial" w:eastAsia="Arial" w:hAnsi="Arial"/>
          <w:sz w:val="21"/>
          <w:szCs w:val="21"/>
          <w:i w:val="1"/>
          <w:iCs w:val="1"/>
          <w:color w:val="auto"/>
        </w:rPr>
        <w:t>Stellvertreter</w:t>
      </w:r>
      <w:r>
        <w:rPr>
          <w:rFonts w:ascii="Arial" w:cs="Arial" w:eastAsia="Arial" w:hAnsi="Arial"/>
          <w:sz w:val="21"/>
          <w:szCs w:val="21"/>
          <w:color w:val="auto"/>
        </w:rPr>
        <w:t>) any amendments, confirmations and/or alterations to any Swiss Security Document which creates a pledge</w:t>
      </w:r>
      <w:r>
        <w:rPr>
          <w:rFonts w:ascii="Arial" w:cs="Arial" w:eastAsia="Arial" w:hAnsi="Arial"/>
          <w:sz w:val="21"/>
          <w:szCs w:val="21"/>
          <w:i w:val="1"/>
          <w:iCs w:val="1"/>
          <w:color w:val="auto"/>
        </w:rPr>
        <w:t xml:space="preserve"> </w:t>
      </w:r>
      <w:r>
        <w:rPr>
          <w:rFonts w:ascii="Arial" w:cs="Arial" w:eastAsia="Arial" w:hAnsi="Arial"/>
          <w:sz w:val="21"/>
          <w:szCs w:val="21"/>
          <w:color w:val="auto"/>
        </w:rPr>
        <w:t>or any other accessory security right (</w:t>
      </w:r>
      <w:r>
        <w:rPr>
          <w:rFonts w:ascii="Arial" w:cs="Arial" w:eastAsia="Arial" w:hAnsi="Arial"/>
          <w:sz w:val="21"/>
          <w:szCs w:val="21"/>
          <w:i w:val="1"/>
          <w:iCs w:val="1"/>
          <w:color w:val="auto"/>
        </w:rPr>
        <w:t>akzessorische Sicherheit</w:t>
      </w:r>
      <w:r>
        <w:rPr>
          <w:rFonts w:ascii="Arial" w:cs="Arial" w:eastAsia="Arial" w:hAnsi="Arial"/>
          <w:sz w:val="21"/>
          <w:szCs w:val="21"/>
          <w:color w:val="auto"/>
        </w:rPr>
        <w:t>) including the release or confirmation of release of such Collateral, all subject to the provisions of the Intercreditor Agreement.</w:t>
      </w: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Liability of Agents</w:t>
      </w:r>
      <w:r>
        <w:rPr>
          <w:rFonts w:ascii="Arial" w:cs="Arial" w:eastAsia="Arial" w:hAnsi="Arial"/>
          <w:sz w:val="19"/>
          <w:szCs w:val="19"/>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those conditions requiring delivery of items expressly required to be delivered to the Administrative Agent.</w:t>
      </w:r>
    </w:p>
    <w:p>
      <w:pPr>
        <w:spacing w:after="0" w:line="3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Reliance by Agents</w:t>
      </w:r>
      <w:r>
        <w:rPr>
          <w:rFonts w:ascii="Arial" w:cs="Arial" w:eastAsia="Arial" w:hAnsi="Arial"/>
          <w:sz w:val="22"/>
          <w:szCs w:val="22"/>
          <w:color w:val="auto"/>
        </w:rPr>
        <w:t>.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4" w:name="page355"/>
    <w:bookmarkEnd w:id="354"/>
    <w:p>
      <w:pPr>
        <w:jc w:val="both"/>
        <w:ind w:right="20"/>
        <w:spacing w:after="0" w:line="276" w:lineRule="auto"/>
        <w:rPr>
          <w:sz w:val="20"/>
          <w:szCs w:val="20"/>
          <w:color w:val="auto"/>
        </w:rPr>
      </w:pPr>
      <w:r>
        <w:rPr>
          <w:rFonts w:ascii="Arial" w:cs="Arial" w:eastAsia="Arial" w:hAnsi="Arial"/>
          <w:sz w:val="22"/>
          <w:szCs w:val="22"/>
          <w:color w:val="auto"/>
        </w:rPr>
        <w:t>other experts selected by it, and shall not be liable for any action taken or not taken by it, in each case in good faith in accordance with the advice of any such counsel, accountants or experts.</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10.04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provide a copy of any notice of Default or Event of Default provided to the Borrowers under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to each sub-agent.</w:t>
      </w:r>
    </w:p>
    <w:p>
      <w:pPr>
        <w:spacing w:after="0" w:line="160"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u w:val="single" w:color="auto"/>
          <w:color w:val="auto"/>
        </w:rPr>
        <w:t>Successor Agents.</w:t>
      </w:r>
    </w:p>
    <w:p>
      <w:pPr>
        <w:spacing w:after="0" w:line="193" w:lineRule="exact"/>
        <w:rPr>
          <w:sz w:val="20"/>
          <w:szCs w:val="20"/>
          <w:color w:val="auto"/>
        </w:rPr>
      </w:pPr>
    </w:p>
    <w:p>
      <w:pPr>
        <w:jc w:val="both"/>
        <w:ind w:firstLine="1304"/>
        <w:spacing w:after="0" w:line="306" w:lineRule="auto"/>
        <w:tabs>
          <w:tab w:leader="none" w:pos="2332" w:val="left"/>
        </w:tabs>
        <w:numPr>
          <w:ilvl w:val="1"/>
          <w:numId w:val="389"/>
        </w:numPr>
        <w:rPr>
          <w:rFonts w:ascii="Arial" w:cs="Arial" w:eastAsia="Arial" w:hAnsi="Arial"/>
          <w:sz w:val="19"/>
          <w:szCs w:val="19"/>
          <w:color w:val="auto"/>
        </w:rPr>
      </w:pPr>
      <w:r>
        <w:rPr>
          <w:rFonts w:ascii="Arial" w:cs="Arial" w:eastAsia="Arial" w:hAnsi="Arial"/>
          <w:sz w:val="19"/>
          <w:szCs w:val="19"/>
          <w:color w:val="auto"/>
        </w:rPr>
        <w:t>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15" w:lineRule="exact"/>
        <w:rPr>
          <w:rFonts w:ascii="Arial" w:cs="Arial" w:eastAsia="Arial" w:hAnsi="Arial"/>
          <w:sz w:val="19"/>
          <w:szCs w:val="19"/>
          <w:color w:val="auto"/>
        </w:rPr>
      </w:pPr>
    </w:p>
    <w:p>
      <w:pPr>
        <w:ind w:left="2200" w:hanging="896"/>
        <w:spacing w:after="0"/>
        <w:tabs>
          <w:tab w:leader="none" w:pos="2200" w:val="left"/>
        </w:tabs>
        <w:numPr>
          <w:ilvl w:val="1"/>
          <w:numId w:val="389"/>
        </w:numPr>
        <w:rPr>
          <w:rFonts w:ascii="Arial" w:cs="Arial" w:eastAsia="Arial" w:hAnsi="Arial"/>
          <w:sz w:val="19"/>
          <w:szCs w:val="19"/>
          <w:color w:val="auto"/>
        </w:rPr>
      </w:pPr>
      <w:r>
        <w:rPr>
          <w:rFonts w:ascii="Arial" w:cs="Arial" w:eastAsia="Arial" w:hAnsi="Arial"/>
          <w:sz w:val="19"/>
          <w:szCs w:val="19"/>
          <w:color w:val="auto"/>
        </w:rPr>
        <w:t>In addition, in the event that (i) the Person serving as the Administrative Agent is a Defaulting Lender,</w:t>
      </w:r>
    </w:p>
    <w:p>
      <w:pPr>
        <w:spacing w:after="0" w:line="55" w:lineRule="exact"/>
        <w:rPr>
          <w:rFonts w:ascii="Arial" w:cs="Arial" w:eastAsia="Arial" w:hAnsi="Arial"/>
          <w:sz w:val="19"/>
          <w:szCs w:val="19"/>
          <w:color w:val="auto"/>
        </w:rPr>
      </w:pPr>
    </w:p>
    <w:p>
      <w:pPr>
        <w:jc w:val="both"/>
        <w:ind w:firstLine="8"/>
        <w:spacing w:after="0" w:line="273" w:lineRule="auto"/>
        <w:tabs>
          <w:tab w:leader="none" w:pos="333" w:val="left"/>
        </w:tabs>
        <w:numPr>
          <w:ilvl w:val="0"/>
          <w:numId w:val="390"/>
        </w:numPr>
        <w:rPr>
          <w:rFonts w:ascii="Arial" w:cs="Arial" w:eastAsia="Arial" w:hAnsi="Arial"/>
          <w:sz w:val="21"/>
          <w:szCs w:val="21"/>
          <w:color w:val="auto"/>
        </w:rPr>
      </w:pPr>
      <w:r>
        <w:rPr>
          <w:rFonts w:ascii="Arial" w:cs="Arial" w:eastAsia="Arial" w:hAnsi="Arial"/>
          <w:sz w:val="21"/>
          <w:szCs w:val="21"/>
          <w:color w:val="auto"/>
        </w:rPr>
        <w:t xml:space="preserve">such Person has been replaced in its capacity as a Lender pursuant to </w:t>
      </w:r>
      <w:r>
        <w:rPr>
          <w:rFonts w:ascii="Arial" w:cs="Arial" w:eastAsia="Arial" w:hAnsi="Arial"/>
          <w:sz w:val="21"/>
          <w:szCs w:val="21"/>
          <w:u w:val="single" w:color="auto"/>
          <w:color w:val="auto"/>
        </w:rPr>
        <w:t>Section 4.03(b)</w:t>
      </w:r>
      <w:r>
        <w:rPr>
          <w:rFonts w:ascii="Arial" w:cs="Arial" w:eastAsia="Arial" w:hAnsi="Arial"/>
          <w:sz w:val="21"/>
          <w:szCs w:val="21"/>
          <w:color w:val="auto"/>
        </w:rPr>
        <w:t xml:space="preserve">, and (iii) if such Person is an Issuing Bank, (A) the LC Commitment of such Person, as an Issuing Bank, has been terminated pursuant to </w:t>
      </w:r>
      <w:r>
        <w:rPr>
          <w:rFonts w:ascii="Arial" w:cs="Arial" w:eastAsia="Arial" w:hAnsi="Arial"/>
          <w:sz w:val="21"/>
          <w:szCs w:val="21"/>
          <w:u w:val="single" w:color="auto"/>
          <w:color w:val="auto"/>
        </w:rPr>
        <w:t>Section 3.01(j)</w:t>
      </w:r>
      <w:r>
        <w:rPr>
          <w:rFonts w:ascii="Arial" w:cs="Arial" w:eastAsia="Arial" w:hAnsi="Arial"/>
          <w:sz w:val="21"/>
          <w:szCs w:val="21"/>
          <w:color w:val="auto"/>
        </w:rPr>
        <w:t xml:space="preserve"> 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successor Administrative Agent selected by the Required Lenders, in consultation with the Borrowers, shall be appointed concurrently with such removal.</w:t>
      </w:r>
    </w:p>
    <w:p>
      <w:pPr>
        <w:spacing w:after="0" w:line="151" w:lineRule="exact"/>
        <w:rPr>
          <w:rFonts w:ascii="Arial" w:cs="Arial" w:eastAsia="Arial" w:hAnsi="Arial"/>
          <w:sz w:val="21"/>
          <w:szCs w:val="21"/>
          <w:color w:val="auto"/>
        </w:rPr>
      </w:pPr>
    </w:p>
    <w:p>
      <w:pPr>
        <w:jc w:val="both"/>
        <w:ind w:firstLine="1304"/>
        <w:spacing w:after="0" w:line="317" w:lineRule="auto"/>
        <w:tabs>
          <w:tab w:leader="none" w:pos="2440" w:val="left"/>
        </w:tabs>
        <w:numPr>
          <w:ilvl w:val="1"/>
          <w:numId w:val="390"/>
        </w:numPr>
        <w:rPr>
          <w:rFonts w:ascii="Arial" w:cs="Arial" w:eastAsia="Arial" w:hAnsi="Arial"/>
          <w:sz w:val="19"/>
          <w:szCs w:val="19"/>
          <w:color w:val="auto"/>
        </w:rPr>
      </w:pPr>
      <w:r>
        <w:rPr>
          <w:rFonts w:ascii="Arial" w:cs="Arial" w:eastAsia="Arial" w:hAnsi="Arial"/>
          <w:sz w:val="19"/>
          <w:szCs w:val="19"/>
          <w:color w:val="auto"/>
        </w:rPr>
        <w:t>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5" w:name="page356"/>
    <w:bookmarkEnd w:id="355"/>
    <w:p>
      <w:pPr>
        <w:jc w:val="both"/>
        <w:spacing w:after="0" w:line="279" w:lineRule="auto"/>
        <w:rPr>
          <w:sz w:val="20"/>
          <w:szCs w:val="20"/>
          <w:color w:val="auto"/>
        </w:rPr>
      </w:pPr>
      <w:r>
        <w:rPr>
          <w:rFonts w:ascii="Arial" w:cs="Arial" w:eastAsia="Arial" w:hAnsi="Arial"/>
          <w:sz w:val="21"/>
          <w:szCs w:val="21"/>
          <w:color w:val="auto"/>
        </w:rPr>
        <w:t xml:space="preserve">to its predecessor unless otherwise agreed between the Borrowers and such successor. After the Administrative Agent’s resignation or removal hereunder, the provisions of this Article and </w:t>
      </w:r>
      <w:r>
        <w:rPr>
          <w:rFonts w:ascii="Arial" w:cs="Arial" w:eastAsia="Arial" w:hAnsi="Arial"/>
          <w:sz w:val="21"/>
          <w:szCs w:val="21"/>
          <w:u w:val="single" w:color="auto"/>
          <w:color w:val="auto"/>
        </w:rPr>
        <w:t>Sections 11.03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10.06 </w:t>
      </w:r>
      <w:r>
        <w:rPr>
          <w:rFonts w:ascii="Arial" w:cs="Arial" w:eastAsia="Arial" w:hAnsi="Arial"/>
          <w:sz w:val="21"/>
          <w:szCs w:val="21"/>
          <w:u w:val="single" w:color="auto"/>
          <w:color w:val="auto"/>
        </w:rPr>
        <w:t>Credit Decision</w:t>
      </w:r>
      <w:r>
        <w:rPr>
          <w:rFonts w:ascii="Arial" w:cs="Arial" w:eastAsia="Arial" w:hAnsi="Arial"/>
          <w:sz w:val="21"/>
          <w:szCs w:val="21"/>
          <w:color w:val="auto"/>
        </w:rPr>
        <w:t>. 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 xml:space="preserve">SECTION 10.07 </w:t>
      </w:r>
      <w:r>
        <w:rPr>
          <w:rFonts w:ascii="Arial" w:cs="Arial" w:eastAsia="Arial" w:hAnsi="Arial"/>
          <w:sz w:val="21"/>
          <w:szCs w:val="21"/>
          <w:u w:val="single" w:color="auto"/>
          <w:color w:val="auto"/>
        </w:rPr>
        <w:t>Other Agents; Joint Lead Arrangers</w:t>
      </w:r>
      <w:r>
        <w:rPr>
          <w:rFonts w:ascii="Arial" w:cs="Arial" w:eastAsia="Arial" w:hAnsi="Arial"/>
          <w:sz w:val="21"/>
          <w:szCs w:val="21"/>
          <w:color w:val="auto"/>
        </w:rPr>
        <w:t>. Notwithstanding anything to the contrary contained herein, none of the Joint Lead Arrangers, Joint Bookrunners, Syndication Agent or Co</w:t>
      </w:r>
      <w:r>
        <w:rPr>
          <w:rFonts w:ascii="Arial" w:cs="Arial" w:eastAsia="Arial" w:hAnsi="Arial"/>
          <w:sz w:val="21"/>
          <w:szCs w:val="21"/>
          <w:b w:val="1"/>
          <w:bCs w:val="1"/>
          <w:color w:val="auto"/>
        </w:rPr>
        <w:t>-</w:t>
      </w:r>
      <w:r>
        <w:rPr>
          <w:rFonts w:ascii="Arial" w:cs="Arial" w:eastAsia="Arial" w:hAnsi="Arial"/>
          <w:sz w:val="21"/>
          <w:szCs w:val="21"/>
          <w:color w:val="auto"/>
        </w:rPr>
        <w:t>Documentation Agents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u w:val="single" w:color="auto"/>
          <w:color w:val="auto"/>
        </w:rPr>
        <w:t>No Joint Venture</w:t>
      </w:r>
      <w:r>
        <w:rPr>
          <w:rFonts w:ascii="Arial" w:cs="Arial" w:eastAsia="Arial" w:hAnsi="Arial"/>
          <w:sz w:val="22"/>
          <w:szCs w:val="22"/>
          <w:color w:val="auto"/>
        </w:rPr>
        <w:t>. The Lenders are not partners or co-venturers, and no Lender shall be liable for the acts or omissions of, or (except as otherwise set forth herein in case of the Administrative Agent) authorized to act for, any other Lender. The Administrative</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Agent shall have the exclusive right on behalf of the Lenders to enforce the payment of any Obligations after the date such Obligation has become due and payable pursuant to the terms of this Agreement.</w:t>
      </w:r>
    </w:p>
    <w:p>
      <w:pPr>
        <w:spacing w:after="0" w:line="14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Secured Party</w:t>
      </w:r>
      <w:r>
        <w:rPr>
          <w:rFonts w:ascii="Arial" w:cs="Arial" w:eastAsia="Arial" w:hAnsi="Arial"/>
          <w:sz w:val="19"/>
          <w:szCs w:val="19"/>
          <w:color w:val="auto"/>
        </w:rPr>
        <w:t>.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6" w:name="page357"/>
    <w:bookmarkEnd w:id="356"/>
    <w:p>
      <w:pPr>
        <w:jc w:val="both"/>
        <w:spacing w:after="0" w:line="298" w:lineRule="auto"/>
        <w:rPr>
          <w:sz w:val="20"/>
          <w:szCs w:val="20"/>
          <w:color w:val="auto"/>
        </w:rPr>
      </w:pPr>
      <w:r>
        <w:rPr>
          <w:rFonts w:ascii="Arial" w:cs="Arial" w:eastAsia="Arial" w:hAnsi="Arial"/>
          <w:sz w:val="19"/>
          <w:szCs w:val="19"/>
          <w:color w:val="auto"/>
        </w:rPr>
        <w:t xml:space="preserve">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Collateral Documents governed by the laws of the Netherlands, the Administrative Agent shall act in its own name and for the benefit of the Secured Parties, but not as representative of the Secured Parties;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with respect to any Collateral Documents governed by the laws of Australia, Deutsche Bank Trust Company Americas shall not act in its own name or for the benefit of the Secured Parties nor as representative of the Secured Parties but rather through a sub-agent appointed by the Administrative Agent in accordance with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with respect to any jurisdiction in which Deutsche Bank Trust Company Americas is not able under applicable law or regulations to perform any of its duties as Administrative Agent or exercise its rights or powers as Administrative Agent under any Loan Document, Deutsche Bank Trust Company Americas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to release any Lien granted to or held by the Administrative Agent or, as applicable, any such sub-agent upon any Collateral (i) as described in </w:t>
      </w:r>
      <w:r>
        <w:rPr>
          <w:rFonts w:ascii="Arial" w:cs="Arial" w:eastAsia="Arial" w:hAnsi="Arial"/>
          <w:sz w:val="19"/>
          <w:szCs w:val="19"/>
          <w:u w:val="single" w:color="auto"/>
          <w:color w:val="auto"/>
        </w:rPr>
        <w:t>Section 11.01(c)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11.23</w:t>
      </w:r>
      <w:r>
        <w:rPr>
          <w:rFonts w:ascii="Arial" w:cs="Arial" w:eastAsia="Arial" w:hAnsi="Arial"/>
          <w:sz w:val="19"/>
          <w:szCs w:val="19"/>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Administrative Agent and, as applicable, any such sub-agent shall not be required to 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spacing w:after="0" w:line="200" w:lineRule="exact"/>
        <w:rPr>
          <w:sz w:val="20"/>
          <w:szCs w:val="20"/>
          <w:color w:val="auto"/>
        </w:rPr>
      </w:pPr>
    </w:p>
    <w:p>
      <w:pPr>
        <w:spacing w:after="0" w:line="298"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Administrative Agent May File Proofs of Claim</w:t>
      </w:r>
      <w:r>
        <w:rPr>
          <w:rFonts w:ascii="Arial" w:cs="Arial" w:eastAsia="Arial" w:hAnsi="Arial"/>
          <w:sz w:val="22"/>
          <w:szCs w:val="22"/>
          <w:color w:val="auto"/>
        </w:rPr>
        <w:t>. In case of the pendency of any proceeding with respect to any Obligor under any federal, state or foreign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7" w:name="page358"/>
    <w:bookmarkEnd w:id="357"/>
    <w:p>
      <w:pPr>
        <w:jc w:val="both"/>
        <w:spacing w:after="0" w:line="262" w:lineRule="auto"/>
        <w:rPr>
          <w:sz w:val="20"/>
          <w:szCs w:val="20"/>
          <w:color w:val="auto"/>
        </w:rPr>
      </w:pPr>
      <w:r>
        <w:rPr>
          <w:rFonts w:ascii="Arial" w:cs="Arial" w:eastAsia="Arial" w:hAnsi="Arial"/>
          <w:sz w:val="22"/>
          <w:szCs w:val="22"/>
          <w:color w:val="auto"/>
        </w:rPr>
        <w:t>bankruptcy, insolvency, receivership, administration, examinership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91" w:lineRule="exact"/>
        <w:rPr>
          <w:sz w:val="20"/>
          <w:szCs w:val="20"/>
          <w:color w:val="auto"/>
        </w:rPr>
      </w:pPr>
    </w:p>
    <w:p>
      <w:pPr>
        <w:jc w:val="both"/>
        <w:ind w:firstLine="1304"/>
        <w:spacing w:after="0" w:line="327" w:lineRule="auto"/>
        <w:tabs>
          <w:tab w:leader="none" w:pos="2103" w:val="left"/>
        </w:tabs>
        <w:numPr>
          <w:ilvl w:val="0"/>
          <w:numId w:val="391"/>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Arial" w:cs="Arial" w:eastAsia="Arial" w:hAnsi="Arial"/>
          <w:sz w:val="19"/>
          <w:szCs w:val="19"/>
          <w:u w:val="single" w:color="auto"/>
          <w:color w:val="auto"/>
        </w:rPr>
        <w:t>Sections 2.08</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w:t>
      </w:r>
      <w:r>
        <w:rPr>
          <w:rFonts w:ascii="Arial" w:cs="Arial" w:eastAsia="Arial" w:hAnsi="Arial"/>
          <w:sz w:val="19"/>
          <w:szCs w:val="19"/>
          <w:u w:val="single" w:color="auto"/>
          <w:color w:val="auto"/>
        </w:rPr>
        <w:t>2.07</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32" w:lineRule="exact"/>
        <w:rPr>
          <w:rFonts w:ascii="Arial" w:cs="Arial" w:eastAsia="Arial" w:hAnsi="Arial"/>
          <w:sz w:val="19"/>
          <w:szCs w:val="19"/>
          <w:color w:val="auto"/>
        </w:rPr>
      </w:pPr>
    </w:p>
    <w:p>
      <w:pPr>
        <w:ind w:left="2280" w:hanging="976"/>
        <w:spacing w:after="0"/>
        <w:tabs>
          <w:tab w:leader="none" w:pos="228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 xml:space="preserve">and any custodian, receiver, assignee, trustee, administrator, examiner,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Arial" w:cs="Arial" w:eastAsia="Arial" w:hAnsi="Arial"/>
          <w:sz w:val="21"/>
          <w:szCs w:val="21"/>
          <w:u w:val="single" w:color="auto"/>
          <w:color w:val="auto"/>
        </w:rPr>
        <w:t>Sections 11.03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Foreign Collateral Matters</w:t>
      </w:r>
      <w:r>
        <w:rPr>
          <w:rFonts w:ascii="Arial" w:cs="Arial" w:eastAsia="Arial" w:hAnsi="Arial"/>
          <w:sz w:val="19"/>
          <w:szCs w:val="19"/>
          <w:color w:val="auto"/>
        </w:rPr>
        <w:t>.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Arial" w:cs="Arial" w:eastAsia="Arial" w:hAnsi="Arial"/>
          <w:sz w:val="19"/>
          <w:szCs w:val="19"/>
          <w:u w:val="single" w:color="auto"/>
          <w:color w:val="auto"/>
        </w:rPr>
        <w:t>Hypothecary Representative</w:t>
      </w:r>
      <w:r>
        <w:rPr>
          <w:rFonts w:ascii="Arial" w:cs="Arial" w:eastAsia="Arial" w:hAnsi="Arial"/>
          <w:sz w:val="19"/>
          <w:szCs w:val="19"/>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mutandis</w:t>
      </w:r>
      <w:r>
        <w:rPr>
          <w:rFonts w:ascii="Arial" w:cs="Arial" w:eastAsia="Arial" w:hAnsi="Arial"/>
          <w:sz w:val="19"/>
          <w:szCs w:val="19"/>
          <w:color w:val="auto"/>
        </w:rPr>
        <w:t>. In the event of the resignation of the Administrative Agent (which shall include its resignation as the Hypothecary</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Representative) and appointment of a successor Administrative Agent, such successor Administrative Agent shall also act as the Hypothecary Representative, as contemplated above.</w:t>
      </w:r>
    </w:p>
    <w:p>
      <w:pPr>
        <w:spacing w:after="0" w:line="200" w:lineRule="exact"/>
        <w:rPr>
          <w:sz w:val="20"/>
          <w:szCs w:val="20"/>
          <w:color w:val="auto"/>
        </w:rPr>
      </w:pPr>
    </w:p>
    <w:p>
      <w:pPr>
        <w:spacing w:after="0" w:line="234" w:lineRule="exact"/>
        <w:rPr>
          <w:sz w:val="20"/>
          <w:szCs w:val="20"/>
          <w:color w:val="auto"/>
        </w:rPr>
      </w:pPr>
    </w:p>
    <w:p>
      <w:pPr>
        <w:jc w:val="both"/>
        <w:ind w:firstLine="1304"/>
        <w:spacing w:after="0" w:line="260" w:lineRule="auto"/>
        <w:tabs>
          <w:tab w:leader="none" w:pos="2493"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8" w:name="page359"/>
    <w:bookmarkEnd w:id="358"/>
    <w:p>
      <w:pPr>
        <w:jc w:val="both"/>
        <w:spacing w:after="0" w:line="279" w:lineRule="auto"/>
        <w:rPr>
          <w:sz w:val="20"/>
          <w:szCs w:val="20"/>
          <w:color w:val="auto"/>
        </w:rPr>
      </w:pPr>
      <w:r>
        <w:rPr>
          <w:rFonts w:ascii="Arial" w:cs="Arial" w:eastAsia="Arial" w:hAnsi="Arial"/>
          <w:sz w:val="21"/>
          <w:szCs w:val="21"/>
          <w:color w:val="auto"/>
        </w:rPr>
        <w:t>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spacing w:after="0" w:line="173" w:lineRule="exact"/>
        <w:rPr>
          <w:sz w:val="20"/>
          <w:szCs w:val="20"/>
          <w:color w:val="auto"/>
        </w:rPr>
      </w:pPr>
    </w:p>
    <w:p>
      <w:pPr>
        <w:ind w:left="2080" w:hanging="776"/>
        <w:spacing w:after="0"/>
        <w:tabs>
          <w:tab w:leader="none" w:pos="2080" w:val="left"/>
        </w:tabs>
        <w:numPr>
          <w:ilvl w:val="0"/>
          <w:numId w:val="393"/>
        </w:numPr>
        <w:rPr>
          <w:rFonts w:ascii="Arial" w:cs="Arial" w:eastAsia="Arial" w:hAnsi="Arial"/>
          <w:sz w:val="22"/>
          <w:szCs w:val="22"/>
          <w:color w:val="auto"/>
        </w:rPr>
      </w:pPr>
      <w:r>
        <w:rPr>
          <w:rFonts w:ascii="Arial" w:cs="Arial" w:eastAsia="Arial" w:hAnsi="Arial"/>
          <w:sz w:val="22"/>
          <w:szCs w:val="22"/>
          <w:u w:val="single" w:color="auto"/>
          <w:color w:val="auto"/>
        </w:rPr>
        <w:t>Scottish Appointment Matters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jc w:val="both"/>
        <w:ind w:firstLine="1952"/>
        <w:spacing w:after="0" w:line="304" w:lineRule="auto"/>
        <w:tabs>
          <w:tab w:leader="none" w:pos="2917" w:val="left"/>
        </w:tabs>
        <w:numPr>
          <w:ilvl w:val="1"/>
          <w:numId w:val="393"/>
        </w:numPr>
        <w:rPr>
          <w:rFonts w:ascii="Arial" w:cs="Arial" w:eastAsia="Arial" w:hAnsi="Arial"/>
          <w:sz w:val="19"/>
          <w:szCs w:val="19"/>
          <w:color w:val="auto"/>
        </w:rPr>
      </w:pPr>
      <w:r>
        <w:rPr>
          <w:rFonts w:ascii="Arial" w:cs="Arial" w:eastAsia="Arial" w:hAnsi="Arial"/>
          <w:sz w:val="19"/>
          <w:szCs w:val="19"/>
          <w:color w:val="auto"/>
        </w:rPr>
        <w:t xml:space="preserve">The Administrative Agent declares that it holds in trust for the Secured Parties, on the terms contained in this </w:t>
      </w:r>
      <w:r>
        <w:rPr>
          <w:rFonts w:ascii="Arial" w:cs="Arial" w:eastAsia="Arial" w:hAnsi="Arial"/>
          <w:sz w:val="19"/>
          <w:szCs w:val="19"/>
          <w:u w:val="single" w:color="auto"/>
          <w:color w:val="auto"/>
        </w:rPr>
        <w:t>Article X</w:t>
      </w:r>
      <w:r>
        <w:rPr>
          <w:rFonts w:ascii="Arial" w:cs="Arial" w:eastAsia="Arial" w:hAnsi="Arial"/>
          <w:sz w:val="19"/>
          <w:szCs w:val="19"/>
          <w:color w:val="auto"/>
        </w:rPr>
        <w:t>: (A) 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 any other amounts or property, whether rights, entitlements, choses in action or otherwise, actual or contingent, which the Administrative Agent is required by the terms of the Loan Documents to hold as trustee in trust for the Secured Parties.</w:t>
      </w:r>
    </w:p>
    <w:p>
      <w:pPr>
        <w:spacing w:after="0" w:line="209" w:lineRule="exact"/>
        <w:rPr>
          <w:rFonts w:ascii="Arial" w:cs="Arial" w:eastAsia="Arial" w:hAnsi="Arial"/>
          <w:sz w:val="19"/>
          <w:szCs w:val="19"/>
          <w:color w:val="auto"/>
        </w:rPr>
      </w:pPr>
    </w:p>
    <w:p>
      <w:pPr>
        <w:jc w:val="both"/>
        <w:ind w:firstLine="1952"/>
        <w:spacing w:after="0" w:line="273" w:lineRule="auto"/>
        <w:tabs>
          <w:tab w:leader="none" w:pos="2950" w:val="left"/>
        </w:tabs>
        <w:numPr>
          <w:ilvl w:val="1"/>
          <w:numId w:val="393"/>
        </w:numPr>
        <w:rPr>
          <w:rFonts w:ascii="Arial" w:cs="Arial" w:eastAsia="Arial" w:hAnsi="Arial"/>
          <w:sz w:val="21"/>
          <w:szCs w:val="21"/>
          <w:color w:val="auto"/>
        </w:rPr>
      </w:pPr>
      <w:r>
        <w:rPr>
          <w:rFonts w:ascii="Arial" w:cs="Arial" w:eastAsia="Arial" w:hAnsi="Arial"/>
          <w:sz w:val="21"/>
          <w:szCs w:val="21"/>
          <w:color w:val="auto"/>
        </w:rPr>
        <w:t xml:space="preserve">Without prejudice to the other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indemnities and exclusions from liability as are prescribed in favor of the Administrative Agent in this Agreement, which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233"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auto"/>
        </w:rPr>
        <w:t>SECTION 10.12</w:t>
      </w:r>
      <w:r>
        <w:rPr>
          <w:sz w:val="20"/>
          <w:szCs w:val="20"/>
          <w:color w:val="auto"/>
        </w:rPr>
        <w:tab/>
      </w:r>
      <w:r>
        <w:rPr>
          <w:rFonts w:ascii="Arial" w:cs="Arial" w:eastAsia="Arial" w:hAnsi="Arial"/>
          <w:sz w:val="19"/>
          <w:szCs w:val="19"/>
          <w:u w:val="single" w:color="auto"/>
          <w:color w:val="auto"/>
        </w:rPr>
        <w:t>Credit Bid</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2" w:lineRule="auto"/>
        <w:tabs>
          <w:tab w:leader="none" w:pos="2373" w:val="left"/>
        </w:tabs>
        <w:numPr>
          <w:ilvl w:val="0"/>
          <w:numId w:val="394"/>
        </w:numPr>
        <w:rPr>
          <w:rFonts w:ascii="Arial" w:cs="Arial" w:eastAsia="Arial" w:hAnsi="Arial"/>
          <w:sz w:val="21"/>
          <w:szCs w:val="21"/>
          <w:color w:val="auto"/>
        </w:rPr>
      </w:pPr>
      <w:r>
        <w:rPr>
          <w:rFonts w:ascii="Arial" w:cs="Arial" w:eastAsia="Arial" w:hAnsi="Arial"/>
          <w:sz w:val="21"/>
          <w:szCs w:val="21"/>
          <w:color w:val="auto"/>
        </w:rPr>
        <w:t>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9" w:name="page360"/>
    <w:bookmarkEnd w:id="359"/>
    <w:p>
      <w:pPr>
        <w:jc w:val="both"/>
        <w:spacing w:after="0" w:line="298" w:lineRule="auto"/>
        <w:rPr>
          <w:sz w:val="20"/>
          <w:szCs w:val="20"/>
          <w:color w:val="auto"/>
        </w:rPr>
      </w:pPr>
      <w:r>
        <w:rPr>
          <w:rFonts w:ascii="Arial" w:cs="Arial" w:eastAsia="Arial" w:hAnsi="Arial"/>
          <w:sz w:val="19"/>
          <w:szCs w:val="19"/>
          <w:color w:val="auto"/>
        </w:rPr>
        <w:t xml:space="preserve">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49" w:lineRule="exact"/>
        <w:rPr>
          <w:sz w:val="20"/>
          <w:szCs w:val="20"/>
          <w:color w:val="auto"/>
        </w:rPr>
      </w:pPr>
    </w:p>
    <w:p>
      <w:pPr>
        <w:jc w:val="both"/>
        <w:ind w:firstLine="1304"/>
        <w:spacing w:after="0" w:line="260" w:lineRule="auto"/>
        <w:tabs>
          <w:tab w:leader="none" w:pos="2398" w:val="left"/>
        </w:tabs>
        <w:numPr>
          <w:ilvl w:val="0"/>
          <w:numId w:val="395"/>
        </w:numPr>
        <w:rPr>
          <w:rFonts w:ascii="Arial" w:cs="Arial" w:eastAsia="Arial" w:hAnsi="Arial"/>
          <w:sz w:val="22"/>
          <w:szCs w:val="22"/>
          <w:color w:val="auto"/>
        </w:rPr>
      </w:pPr>
      <w:r>
        <w:rPr>
          <w:rFonts w:ascii="Arial" w:cs="Arial" w:eastAsia="Arial" w:hAnsi="Arial"/>
          <w:sz w:val="22"/>
          <w:szCs w:val="22"/>
          <w:color w:val="auto"/>
        </w:rPr>
        <w:t xml:space="preserve">Without limiting the authority granted to the Administrative Agent in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each Lender (including each Person that becomes a Lender hereunder pursuant to </w:t>
      </w:r>
      <w:r>
        <w:rPr>
          <w:rFonts w:ascii="Arial" w:cs="Arial" w:eastAsia="Arial" w:hAnsi="Arial"/>
          <w:sz w:val="22"/>
          <w:szCs w:val="22"/>
          <w:u w:val="single" w:color="auto"/>
          <w:color w:val="auto"/>
        </w:rPr>
        <w:t>Section 11.05</w:t>
      </w:r>
      <w:r>
        <w:rPr>
          <w:rFonts w:ascii="Arial" w:cs="Arial" w:eastAsia="Arial" w:hAnsi="Arial"/>
          <w:sz w:val="22"/>
          <w:szCs w:val="22"/>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0" w:name="page361"/>
    <w:bookmarkEnd w:id="360"/>
    <w:p>
      <w:pPr>
        <w:jc w:val="both"/>
        <w:ind w:firstLine="648"/>
        <w:spacing w:after="0" w:line="276" w:lineRule="auto"/>
        <w:rPr>
          <w:sz w:val="20"/>
          <w:szCs w:val="20"/>
          <w:color w:val="auto"/>
        </w:rPr>
      </w:pPr>
      <w:r>
        <w:rPr>
          <w:rFonts w:ascii="Arial" w:cs="Arial" w:eastAsia="Arial" w:hAnsi="Arial"/>
          <w:sz w:val="21"/>
          <w:szCs w:val="21"/>
          <w:color w:val="auto"/>
        </w:rPr>
        <w:t xml:space="preserve">SECTION 10.13 </w:t>
      </w:r>
      <w:r>
        <w:rPr>
          <w:rFonts w:ascii="Arial" w:cs="Arial" w:eastAsia="Arial" w:hAnsi="Arial"/>
          <w:sz w:val="21"/>
          <w:szCs w:val="21"/>
          <w:u w:val="single" w:color="auto"/>
          <w:color w:val="auto"/>
        </w:rPr>
        <w:t>Certain ERISA Matters; Lender Representations</w:t>
      </w:r>
      <w:r>
        <w:rPr>
          <w:rFonts w:ascii="Arial" w:cs="Arial" w:eastAsia="Arial" w:hAnsi="Arial"/>
          <w:sz w:val="21"/>
          <w:szCs w:val="21"/>
          <w:color w:val="auto"/>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spacing w:after="0" w:line="177" w:lineRule="exact"/>
        <w:rPr>
          <w:sz w:val="20"/>
          <w:szCs w:val="20"/>
          <w:color w:val="auto"/>
        </w:rPr>
      </w:pPr>
    </w:p>
    <w:p>
      <w:pPr>
        <w:ind w:left="660" w:firstLine="1292"/>
        <w:spacing w:after="0" w:line="276" w:lineRule="auto"/>
        <w:tabs>
          <w:tab w:leader="none" w:pos="2767" w:val="left"/>
        </w:tabs>
        <w:numPr>
          <w:ilvl w:val="1"/>
          <w:numId w:val="396"/>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the Plan Asset Regulations) of one or more Benefit Plans in connection with the Letters of Credit or the Commitments,</w:t>
      </w:r>
    </w:p>
    <w:p>
      <w:pPr>
        <w:spacing w:after="0" w:line="174" w:lineRule="exact"/>
        <w:rPr>
          <w:rFonts w:ascii="Arial" w:cs="Arial" w:eastAsia="Arial" w:hAnsi="Arial"/>
          <w:sz w:val="22"/>
          <w:szCs w:val="22"/>
          <w:color w:val="auto"/>
        </w:rPr>
      </w:pPr>
    </w:p>
    <w:p>
      <w:pPr>
        <w:jc w:val="both"/>
        <w:ind w:left="660" w:firstLine="1292"/>
        <w:spacing w:after="0" w:line="305" w:lineRule="auto"/>
        <w:tabs>
          <w:tab w:leader="none" w:pos="2854" w:val="left"/>
        </w:tabs>
        <w:numPr>
          <w:ilvl w:val="1"/>
          <w:numId w:val="396"/>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w:t>
      </w:r>
    </w:p>
    <w:p>
      <w:pPr>
        <w:spacing w:after="0" w:line="154" w:lineRule="exact"/>
        <w:rPr>
          <w:rFonts w:ascii="Arial" w:cs="Arial" w:eastAsia="Arial" w:hAnsi="Arial"/>
          <w:sz w:val="19"/>
          <w:szCs w:val="19"/>
          <w:color w:val="auto"/>
        </w:rPr>
      </w:pPr>
    </w:p>
    <w:p>
      <w:pPr>
        <w:jc w:val="both"/>
        <w:ind w:left="660" w:firstLine="1292"/>
        <w:spacing w:after="0" w:line="273" w:lineRule="auto"/>
        <w:tabs>
          <w:tab w:leader="none" w:pos="2941" w:val="left"/>
        </w:tabs>
        <w:numPr>
          <w:ilvl w:val="1"/>
          <w:numId w:val="396"/>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spacing w:after="0" w:line="178" w:lineRule="exact"/>
        <w:rPr>
          <w:rFonts w:ascii="Arial" w:cs="Arial" w:eastAsia="Arial" w:hAnsi="Arial"/>
          <w:sz w:val="21"/>
          <w:szCs w:val="21"/>
          <w:color w:val="auto"/>
        </w:rPr>
      </w:pPr>
    </w:p>
    <w:p>
      <w:pPr>
        <w:ind w:left="660" w:firstLine="1292"/>
        <w:spacing w:after="0" w:line="276" w:lineRule="auto"/>
        <w:tabs>
          <w:tab w:leader="none" w:pos="3078" w:val="left"/>
        </w:tabs>
        <w:numPr>
          <w:ilvl w:val="1"/>
          <w:numId w:val="396"/>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2"/>
          <w:szCs w:val="22"/>
          <w:color w:val="auto"/>
        </w:rPr>
      </w:pPr>
    </w:p>
    <w:p>
      <w:pPr>
        <w:jc w:val="both"/>
        <w:ind w:firstLine="1304"/>
        <w:spacing w:after="0" w:line="308" w:lineRule="auto"/>
        <w:tabs>
          <w:tab w:leader="none" w:pos="2128" w:val="left"/>
        </w:tabs>
        <w:numPr>
          <w:ilvl w:val="0"/>
          <w:numId w:val="397"/>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is true with respect to a Lender or such Lender has not provided another representation, warranty and covenant as provided in </w:t>
      </w:r>
      <w:r>
        <w:rPr>
          <w:rFonts w:ascii="Arial" w:cs="Arial" w:eastAsia="Arial" w:hAnsi="Arial"/>
          <w:sz w:val="19"/>
          <w:szCs w:val="19"/>
          <w:u w:val="single" w:color="auto"/>
          <w:color w:val="auto"/>
        </w:rPr>
        <w:t>sub-clause (iv)</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1" w:name="page362"/>
    <w:bookmarkEnd w:id="361"/>
    <w:p>
      <w:pPr>
        <w:jc w:val="both"/>
        <w:ind w:left="660" w:firstLine="1292"/>
        <w:spacing w:after="0" w:line="262" w:lineRule="auto"/>
        <w:tabs>
          <w:tab w:leader="none" w:pos="2767" w:val="left"/>
        </w:tabs>
        <w:numPr>
          <w:ilvl w:val="1"/>
          <w:numId w:val="398"/>
        </w:numPr>
        <w:rPr>
          <w:rFonts w:ascii="Arial" w:cs="Arial" w:eastAsia="Arial" w:hAnsi="Arial"/>
          <w:sz w:val="22"/>
          <w:szCs w:val="22"/>
          <w:color w:val="auto"/>
        </w:rPr>
      </w:pPr>
      <w:r>
        <w:rPr>
          <w:rFonts w:ascii="Arial" w:cs="Arial" w:eastAsia="Arial" w:hAnsi="Arial"/>
          <w:sz w:val="22"/>
          <w:szCs w:val="22"/>
          <w:color w:val="auto"/>
        </w:rPr>
        <w:t>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91" w:lineRule="exact"/>
        <w:rPr>
          <w:rFonts w:ascii="Arial" w:cs="Arial" w:eastAsia="Arial" w:hAnsi="Arial"/>
          <w:sz w:val="22"/>
          <w:szCs w:val="22"/>
          <w:color w:val="auto"/>
        </w:rPr>
      </w:pPr>
    </w:p>
    <w:p>
      <w:pPr>
        <w:jc w:val="both"/>
        <w:ind w:left="660" w:firstLine="1292"/>
        <w:spacing w:after="0" w:line="311" w:lineRule="auto"/>
        <w:tabs>
          <w:tab w:leader="none" w:pos="2814" w:val="left"/>
        </w:tabs>
        <w:numPr>
          <w:ilvl w:val="1"/>
          <w:numId w:val="398"/>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50" w:lineRule="exact"/>
        <w:rPr>
          <w:rFonts w:ascii="Arial" w:cs="Arial" w:eastAsia="Arial" w:hAnsi="Arial"/>
          <w:sz w:val="19"/>
          <w:szCs w:val="19"/>
          <w:color w:val="auto"/>
        </w:rPr>
      </w:pPr>
    </w:p>
    <w:p>
      <w:pPr>
        <w:jc w:val="both"/>
        <w:ind w:left="660" w:firstLine="1292"/>
        <w:spacing w:after="0" w:line="262" w:lineRule="auto"/>
        <w:tabs>
          <w:tab w:leader="none" w:pos="2847" w:val="left"/>
        </w:tabs>
        <w:numPr>
          <w:ilvl w:val="1"/>
          <w:numId w:val="398"/>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Letters of Credit, the Commitments and this Agreement is capable of evaluating investment risks independently, both in general and with regard to particular transactions and investment strategies (including in respect of the obligations),</w:t>
      </w:r>
    </w:p>
    <w:p>
      <w:pPr>
        <w:spacing w:after="0" w:line="191" w:lineRule="exact"/>
        <w:rPr>
          <w:rFonts w:ascii="Arial" w:cs="Arial" w:eastAsia="Arial" w:hAnsi="Arial"/>
          <w:sz w:val="22"/>
          <w:szCs w:val="22"/>
          <w:color w:val="auto"/>
        </w:rPr>
      </w:pPr>
    </w:p>
    <w:p>
      <w:pPr>
        <w:jc w:val="both"/>
        <w:ind w:left="660" w:firstLine="1292"/>
        <w:spacing w:after="0" w:line="317" w:lineRule="auto"/>
        <w:tabs>
          <w:tab w:leader="none" w:pos="2835" w:val="left"/>
        </w:tabs>
        <w:numPr>
          <w:ilvl w:val="1"/>
          <w:numId w:val="398"/>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spacing w:after="0" w:line="141" w:lineRule="exact"/>
        <w:rPr>
          <w:rFonts w:ascii="Arial" w:cs="Arial" w:eastAsia="Arial" w:hAnsi="Arial"/>
          <w:sz w:val="19"/>
          <w:szCs w:val="19"/>
          <w:color w:val="auto"/>
        </w:rPr>
      </w:pPr>
    </w:p>
    <w:p>
      <w:pPr>
        <w:jc w:val="both"/>
        <w:ind w:left="660" w:firstLine="1292"/>
        <w:spacing w:after="0" w:line="266" w:lineRule="auto"/>
        <w:tabs>
          <w:tab w:leader="none" w:pos="2748" w:val="left"/>
        </w:tabs>
        <w:numPr>
          <w:ilvl w:val="1"/>
          <w:numId w:val="398"/>
        </w:numPr>
        <w:rPr>
          <w:rFonts w:ascii="Arial" w:cs="Arial" w:eastAsia="Arial" w:hAnsi="Arial"/>
          <w:sz w:val="22"/>
          <w:szCs w:val="22"/>
          <w:color w:val="auto"/>
        </w:rPr>
      </w:pPr>
      <w:r>
        <w:rPr>
          <w:rFonts w:ascii="Arial" w:cs="Arial" w:eastAsia="Arial" w:hAnsi="Arial"/>
          <w:sz w:val="22"/>
          <w:szCs w:val="22"/>
          <w:color w:val="auto"/>
        </w:rPr>
        <w:t>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spacing w:after="0" w:line="184" w:lineRule="exact"/>
        <w:rPr>
          <w:rFonts w:ascii="Arial" w:cs="Arial" w:eastAsia="Arial" w:hAnsi="Arial"/>
          <w:sz w:val="22"/>
          <w:szCs w:val="22"/>
          <w:color w:val="auto"/>
        </w:rPr>
      </w:pPr>
    </w:p>
    <w:p>
      <w:pPr>
        <w:jc w:val="both"/>
        <w:ind w:firstLine="1304"/>
        <w:spacing w:after="0" w:line="303" w:lineRule="auto"/>
        <w:tabs>
          <w:tab w:leader="none" w:pos="2076" w:val="left"/>
        </w:tabs>
        <w:numPr>
          <w:ilvl w:val="0"/>
          <w:numId w:val="399"/>
        </w:numPr>
        <w:rPr>
          <w:rFonts w:ascii="Arial" w:cs="Arial" w:eastAsia="Arial" w:hAnsi="Arial"/>
          <w:sz w:val="19"/>
          <w:szCs w:val="19"/>
          <w:color w:val="auto"/>
        </w:rPr>
      </w:pPr>
      <w:r>
        <w:rPr>
          <w:rFonts w:ascii="Arial" w:cs="Arial" w:eastAsia="Arial" w:hAnsi="Arial"/>
          <w:sz w:val="19"/>
          <w:szCs w:val="19"/>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2" w:name="page363"/>
    <w:bookmarkEnd w:id="362"/>
    <w:p>
      <w:pPr>
        <w:jc w:val="both"/>
        <w:ind w:firstLine="648"/>
        <w:spacing w:after="0" w:line="273"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and (b) hereby authorizes and instructs the Administrative Agent to enter into the Intercreditor Agreement and to subject the Liens on the Collateral securing the Secured Obligations to the provisions thereof. The foregoing provisions are intended as an inducement to the Secured Parties to extend credit to the Borrowers and such Secured Parties are intended third-party beneficiaries of such provisions and the provisions of the Intercreditor Agreement.</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u w:val="single" w:color="auto"/>
          <w:color w:val="auto"/>
        </w:rPr>
        <w:t>Filings</w:t>
      </w:r>
      <w:r>
        <w:rPr>
          <w:rFonts w:ascii="Arial" w:cs="Arial" w:eastAsia="Arial" w:hAnsi="Arial"/>
          <w:sz w:val="21"/>
          <w:szCs w:val="21"/>
          <w:color w:val="auto"/>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 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 xml:space="preserve">SECTION 10.16 </w:t>
      </w:r>
      <w:r>
        <w:rPr>
          <w:rFonts w:ascii="Arial" w:cs="Arial" w:eastAsia="Arial" w:hAnsi="Arial"/>
          <w:sz w:val="21"/>
          <w:szCs w:val="21"/>
          <w:u w:val="single" w:color="auto"/>
          <w:color w:val="auto"/>
        </w:rPr>
        <w:t>Force Majeure</w:t>
      </w:r>
      <w:r>
        <w:rPr>
          <w:rFonts w:ascii="Arial" w:cs="Arial" w:eastAsia="Arial" w:hAnsi="Arial"/>
          <w:sz w:val="21"/>
          <w:szCs w:val="21"/>
          <w:color w:val="auto"/>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u w:val="single" w:color="auto"/>
          <w:color w:val="auto"/>
        </w:rPr>
        <w:t>No Risk of Funds</w:t>
      </w:r>
      <w:r>
        <w:rPr>
          <w:rFonts w:ascii="Arial" w:cs="Arial" w:eastAsia="Arial" w:hAnsi="Arial"/>
          <w:sz w:val="21"/>
          <w:szCs w:val="21"/>
          <w:color w:val="auto"/>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10.18 </w:t>
      </w:r>
      <w:r>
        <w:rPr>
          <w:rFonts w:ascii="Arial" w:cs="Arial" w:eastAsia="Arial" w:hAnsi="Arial"/>
          <w:sz w:val="21"/>
          <w:szCs w:val="21"/>
          <w:u w:val="single" w:color="auto"/>
          <w:color w:val="auto"/>
        </w:rPr>
        <w:t>No Discretion</w:t>
      </w:r>
      <w:r>
        <w:rPr>
          <w:rFonts w:ascii="Arial" w:cs="Arial" w:eastAsia="Arial" w:hAnsi="Arial"/>
          <w:sz w:val="21"/>
          <w:szCs w:val="21"/>
          <w:color w:val="auto"/>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3" w:name="page364"/>
    <w:bookmarkEnd w:id="363"/>
    <w:p>
      <w:pPr>
        <w:jc w:val="both"/>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Lenders</w:t>
      </w:r>
      <w:r>
        <w:rPr>
          <w:rFonts w:ascii="Arial" w:cs="Arial" w:eastAsia="Arial" w:hAnsi="Arial"/>
          <w:sz w:val="22"/>
          <w:szCs w:val="22"/>
          <w:color w:val="auto"/>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10.19 </w:t>
      </w:r>
      <w:r>
        <w:rPr>
          <w:rFonts w:ascii="Arial" w:cs="Arial" w:eastAsia="Arial" w:hAnsi="Arial"/>
          <w:sz w:val="22"/>
          <w:szCs w:val="22"/>
          <w:u w:val="single" w:color="auto"/>
          <w:color w:val="auto"/>
        </w:rPr>
        <w:t>Special, Consequential and Indirect Damages</w:t>
      </w:r>
      <w:r>
        <w:rPr>
          <w:rFonts w:ascii="Arial" w:cs="Arial" w:eastAsia="Arial" w:hAnsi="Arial"/>
          <w:sz w:val="22"/>
          <w:szCs w:val="22"/>
          <w:color w:val="auto"/>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10.20 </w:t>
      </w:r>
      <w:r>
        <w:rPr>
          <w:rFonts w:ascii="Arial" w:cs="Arial" w:eastAsia="Arial" w:hAnsi="Arial"/>
          <w:sz w:val="21"/>
          <w:szCs w:val="21"/>
          <w:u w:val="single" w:color="auto"/>
          <w:color w:val="auto"/>
        </w:rPr>
        <w:t>No Environmental Liability</w:t>
      </w:r>
      <w:r>
        <w:rPr>
          <w:rFonts w:ascii="Arial" w:cs="Arial" w:eastAsia="Arial" w:hAnsi="Arial"/>
          <w:sz w:val="21"/>
          <w:szCs w:val="21"/>
          <w:color w:val="auto"/>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9" w:lineRule="exact"/>
        <w:rPr>
          <w:sz w:val="20"/>
          <w:szCs w:val="20"/>
          <w:color w:val="auto"/>
        </w:rPr>
      </w:pPr>
    </w:p>
    <w:p>
      <w:pPr>
        <w:ind w:left="1300"/>
        <w:spacing w:after="0"/>
        <w:tabs>
          <w:tab w:leader="none" w:pos="326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u w:val="single" w:color="auto"/>
          <w:color w:val="auto"/>
        </w:rPr>
        <w:t>Waiver; Amendments; Joinder; Release of Guarantors; Release of Collateral</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1" w:lineRule="auto"/>
        <w:tabs>
          <w:tab w:leader="none" w:pos="2116" w:val="left"/>
        </w:tabs>
        <w:numPr>
          <w:ilvl w:val="0"/>
          <w:numId w:val="400"/>
        </w:numPr>
        <w:rPr>
          <w:rFonts w:ascii="Arial" w:cs="Arial" w:eastAsia="Arial" w:hAnsi="Arial"/>
          <w:sz w:val="21"/>
          <w:szCs w:val="21"/>
          <w:color w:val="auto"/>
        </w:rPr>
      </w:pPr>
      <w:r>
        <w:rPr>
          <w:rFonts w:ascii="Arial" w:cs="Arial" w:eastAsia="Arial" w:hAnsi="Arial"/>
          <w:sz w:val="21"/>
          <w:szCs w:val="21"/>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and then such waiver or consent shall be effective only in the specific instance and for the purpose for which given. Without limiting the generality of the foregoing, the issuance of a Letter of Credit shall not be construed as a waiver of any Default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4" w:name="page365"/>
    <w:bookmarkEnd w:id="364"/>
    <w:p>
      <w:pPr>
        <w:ind w:right="20"/>
        <w:spacing w:after="0" w:line="276" w:lineRule="auto"/>
        <w:rPr>
          <w:sz w:val="20"/>
          <w:szCs w:val="20"/>
          <w:color w:val="auto"/>
        </w:rPr>
      </w:pPr>
      <w:r>
        <w:rPr>
          <w:rFonts w:ascii="Arial" w:cs="Arial" w:eastAsia="Arial" w:hAnsi="Arial"/>
          <w:sz w:val="22"/>
          <w:szCs w:val="22"/>
          <w:color w:val="auto"/>
        </w:rPr>
        <w:t>Event of Default, regardless of whether the Administrative Agent, any Lender or any Issuing Bank may have had notice or knowledge of such Default at the time.</w:t>
      </w:r>
    </w:p>
    <w:p>
      <w:pPr>
        <w:spacing w:after="0" w:line="174" w:lineRule="exact"/>
        <w:rPr>
          <w:sz w:val="20"/>
          <w:szCs w:val="20"/>
          <w:color w:val="auto"/>
        </w:rPr>
      </w:pPr>
    </w:p>
    <w:p>
      <w:pPr>
        <w:jc w:val="both"/>
        <w:ind w:firstLine="1304"/>
        <w:spacing w:after="0" w:line="296" w:lineRule="auto"/>
        <w:tabs>
          <w:tab w:leader="none" w:pos="2169" w:val="left"/>
        </w:tabs>
        <w:numPr>
          <w:ilvl w:val="1"/>
          <w:numId w:val="401"/>
        </w:numPr>
        <w:rPr>
          <w:rFonts w:ascii="Arial" w:cs="Arial" w:eastAsia="Arial" w:hAnsi="Arial"/>
          <w:sz w:val="19"/>
          <w:szCs w:val="19"/>
          <w:color w:val="auto"/>
        </w:rPr>
      </w:pPr>
      <w:r>
        <w:rPr>
          <w:rFonts w:ascii="Arial" w:cs="Arial" w:eastAsia="Arial" w:hAnsi="Arial"/>
          <w:sz w:val="19"/>
          <w:szCs w:val="19"/>
          <w:color w:val="auto"/>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(irrespective of whether such Lender is a Defaulting Lender), (ii) reduce or forgive the principal amount of any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w:t>
      </w:r>
    </w:p>
    <w:p>
      <w:pPr>
        <w:spacing w:after="0" w:line="10" w:lineRule="exact"/>
        <w:rPr>
          <w:rFonts w:ascii="Arial" w:cs="Arial" w:eastAsia="Arial" w:hAnsi="Arial"/>
          <w:sz w:val="19"/>
          <w:szCs w:val="19"/>
          <w:color w:val="auto"/>
        </w:rPr>
      </w:pPr>
    </w:p>
    <w:p>
      <w:pPr>
        <w:jc w:val="both"/>
        <w:ind w:firstLine="8"/>
        <w:spacing w:after="0" w:line="299" w:lineRule="auto"/>
        <w:tabs>
          <w:tab w:leader="none" w:pos="366" w:val="left"/>
        </w:tabs>
        <w:numPr>
          <w:ilvl w:val="0"/>
          <w:numId w:val="402"/>
        </w:numPr>
        <w:rPr>
          <w:rFonts w:ascii="Arial" w:cs="Arial" w:eastAsia="Arial" w:hAnsi="Arial"/>
          <w:sz w:val="19"/>
          <w:szCs w:val="19"/>
          <w:color w:val="auto"/>
        </w:rPr>
      </w:pPr>
      <w:r>
        <w:rPr>
          <w:rFonts w:ascii="Arial" w:cs="Arial" w:eastAsia="Arial" w:hAnsi="Arial"/>
          <w:sz w:val="19"/>
          <w:szCs w:val="19"/>
          <w:color w:val="auto"/>
        </w:rPr>
        <w:t xml:space="preserve">change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4.01(c)</w:t>
      </w:r>
      <w:r>
        <w:rPr>
          <w:rFonts w:ascii="Arial" w:cs="Arial" w:eastAsia="Arial" w:hAnsi="Arial"/>
          <w:sz w:val="19"/>
          <w:szCs w:val="19"/>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joint and several liability for the Obligations, without the written consent of each Lender (other than Defaulting Lenders), (vii) except in accordance with </w:t>
      </w:r>
      <w:r>
        <w:rPr>
          <w:rFonts w:ascii="Arial" w:cs="Arial" w:eastAsia="Arial" w:hAnsi="Arial"/>
          <w:sz w:val="19"/>
          <w:szCs w:val="19"/>
          <w:u w:val="single" w:color="auto"/>
          <w:color w:val="auto"/>
        </w:rPr>
        <w:t>Section 11.01(c)</w:t>
      </w:r>
      <w:r>
        <w:rPr>
          <w:rFonts w:ascii="Arial" w:cs="Arial" w:eastAsia="Arial" w:hAnsi="Arial"/>
          <w:sz w:val="19"/>
          <w:szCs w:val="19"/>
          <w:color w:val="auto"/>
        </w:rPr>
        <w:t xml:space="preserve"> or in any Collateral Document or the Intercreditor Agreement, release all or substantially all of the Collateral without the written consent of each Lender, (viii) change or waive any provisions of this Agreement or the Loan Documents so as to permit any Borrower to grant any Lien that is senior to, or pari passu with, the Liens granted to the Administrative Agent for the benefit of the Secured Parties (other than any such grant expressly contemplated by the Intercreditor Agreement in respect of the collateral securing any Indebtedness incurred pursuant to </w:t>
      </w:r>
      <w:r>
        <w:rPr>
          <w:rFonts w:ascii="Arial" w:cs="Arial" w:eastAsia="Arial" w:hAnsi="Arial"/>
          <w:sz w:val="19"/>
          <w:szCs w:val="19"/>
          <w:u w:val="single" w:color="auto"/>
          <w:color w:val="auto"/>
        </w:rPr>
        <w:t>Section 8.01(p) (in each case, as in effect</w:t>
      </w:r>
      <w:r>
        <w:rPr>
          <w:rFonts w:ascii="Arial" w:cs="Arial" w:eastAsia="Arial" w:hAnsi="Arial"/>
          <w:sz w:val="19"/>
          <w:szCs w:val="19"/>
          <w:color w:val="auto"/>
        </w:rPr>
        <w:t xml:space="preserve"> </w:t>
      </w:r>
      <w:r>
        <w:rPr>
          <w:rFonts w:ascii="Arial" w:cs="Arial" w:eastAsia="Arial" w:hAnsi="Arial"/>
          <w:sz w:val="19"/>
          <w:szCs w:val="19"/>
          <w:u w:val="single" w:color="auto"/>
          <w:color w:val="auto"/>
        </w:rPr>
        <w:t>on the Amendment No. 1 Effective Date)</w:t>
      </w:r>
      <w:r>
        <w:rPr>
          <w:rFonts w:ascii="Arial" w:cs="Arial" w:eastAsia="Arial" w:hAnsi="Arial"/>
          <w:sz w:val="19"/>
          <w:szCs w:val="19"/>
          <w:color w:val="auto"/>
        </w:rPr>
        <w:t xml:space="preserve">), without the written consent of each Lender (other than Defaulting Lenders), (ix) change or waive any provisions of this Agreement or the Loan Documents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grant expressly contemplated by the Intercreditor Agreement in respect of the collateral securing any Indebtedness incurred pursuant to </w:t>
      </w:r>
      <w:r>
        <w:rPr>
          <w:rFonts w:ascii="Arial" w:cs="Arial" w:eastAsia="Arial" w:hAnsi="Arial"/>
          <w:sz w:val="19"/>
          <w:szCs w:val="19"/>
          <w:u w:val="single" w:color="auto"/>
          <w:color w:val="auto"/>
        </w:rPr>
        <w:t>Section 8.01(p) (in each case, as in effect on the Amendment No. 1</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without the written consent of each Lender (other than Defaulting Lenders), (x) [reserved], (xi) release all or substantially all of the value of the Guaranty Agreements, collectively, without the written consent of each Lender or (xii) permit any Issuing Bank to issue Financial Standby Letters of Credit under this Agreement;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or any Issuing Bank hereunder without the prior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5" w:name="page366"/>
    <w:bookmarkEnd w:id="365"/>
    <w:p>
      <w:pPr>
        <w:jc w:val="both"/>
        <w:spacing w:after="0" w:line="311" w:lineRule="auto"/>
        <w:rPr>
          <w:sz w:val="20"/>
          <w:szCs w:val="20"/>
          <w:color w:val="auto"/>
        </w:rPr>
      </w:pPr>
      <w:r>
        <w:rPr>
          <w:rFonts w:ascii="Arial" w:cs="Arial" w:eastAsia="Arial" w:hAnsi="Arial"/>
          <w:sz w:val="19"/>
          <w:szCs w:val="19"/>
          <w:color w:val="auto"/>
        </w:rPr>
        <w:t xml:space="preserve">written consent of the Administrative Agent or such Issuing Bank, as the case may be;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or modify any provision of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without the consent of the Administrative Agent, each Issuing Bank and the Required Lenders. Subject to the foregoing, the waiver, amendment or modification of any provision of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may be effected with the consent of the Required Lenders. Notwithstanding anything to the contrary herein, this </w:t>
      </w:r>
      <w:r>
        <w:rPr>
          <w:rFonts w:ascii="Arial" w:cs="Arial" w:eastAsia="Arial" w:hAnsi="Arial"/>
          <w:sz w:val="19"/>
          <w:szCs w:val="19"/>
          <w:u w:val="single" w:color="auto"/>
          <w:color w:val="auto"/>
        </w:rPr>
        <w:t>Section 11.01(b)</w:t>
      </w:r>
      <w:r>
        <w:rPr>
          <w:rFonts w:ascii="Arial" w:cs="Arial" w:eastAsia="Arial" w:hAnsi="Arial"/>
          <w:sz w:val="19"/>
          <w:szCs w:val="19"/>
          <w:color w:val="auto"/>
        </w:rPr>
        <w:t xml:space="preserve"> shall, in respect of a Defaulting Lender, be subject to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50" w:lineRule="exact"/>
        <w:rPr>
          <w:sz w:val="20"/>
          <w:szCs w:val="20"/>
          <w:color w:val="auto"/>
        </w:rPr>
      </w:pPr>
    </w:p>
    <w:p>
      <w:pPr>
        <w:jc w:val="both"/>
        <w:ind w:firstLine="1304"/>
        <w:spacing w:after="0" w:line="299" w:lineRule="auto"/>
        <w:tabs>
          <w:tab w:leader="none" w:pos="2170" w:val="left"/>
        </w:tabs>
        <w:numPr>
          <w:ilvl w:val="1"/>
          <w:numId w:val="403"/>
        </w:numPr>
        <w:rPr>
          <w:rFonts w:ascii="Arial" w:cs="Arial" w:eastAsia="Arial" w:hAnsi="Arial"/>
          <w:sz w:val="19"/>
          <w:szCs w:val="19"/>
          <w:color w:val="auto"/>
        </w:rPr>
      </w:pPr>
      <w:r>
        <w:rPr>
          <w:rFonts w:ascii="Arial" w:cs="Arial" w:eastAsia="Arial" w:hAnsi="Arial"/>
          <w:sz w:val="19"/>
          <w:szCs w:val="19"/>
          <w:color w:val="auto"/>
        </w:rPr>
        <w:t>The Lenders hereby irrevocably agree that any Lien on any assets or property granted to or held by the Administrative Agent or the Collateral Agent under any Loan Document shall be automatically released (i) upon Payment in Full,</w:t>
      </w:r>
    </w:p>
    <w:p>
      <w:pPr>
        <w:jc w:val="both"/>
        <w:ind w:firstLine="8"/>
        <w:spacing w:after="0" w:line="296" w:lineRule="auto"/>
        <w:tabs>
          <w:tab w:leader="none" w:pos="347"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at the time such assets or property are Disposed of in compliance with the terms of this Agreement (other than property Disposed of to a Restricted Subsidiary organized in a Specified Jurisdiction), (iii) to the extent constituting property leased to Parent or any Subsidiary under a lease which has expired or been terminated in a transaction permitted under this Agreement, or</w:t>
      </w:r>
    </w:p>
    <w:p>
      <w:pPr>
        <w:spacing w:after="0" w:line="1" w:lineRule="exact"/>
        <w:rPr>
          <w:rFonts w:ascii="Arial" w:cs="Arial" w:eastAsia="Arial" w:hAnsi="Arial"/>
          <w:sz w:val="19"/>
          <w:szCs w:val="19"/>
          <w:color w:val="auto"/>
        </w:rPr>
      </w:pPr>
    </w:p>
    <w:p>
      <w:pPr>
        <w:jc w:val="both"/>
        <w:ind w:firstLine="8"/>
        <w:spacing w:after="0" w:line="307" w:lineRule="auto"/>
        <w:tabs>
          <w:tab w:leader="none" w:pos="386" w:val="left"/>
        </w:tabs>
        <w:numPr>
          <w:ilvl w:val="0"/>
          <w:numId w:val="405"/>
        </w:numPr>
        <w:rPr>
          <w:rFonts w:ascii="Arial" w:cs="Arial" w:eastAsia="Arial" w:hAnsi="Arial"/>
          <w:sz w:val="19"/>
          <w:szCs w:val="19"/>
          <w:color w:val="auto"/>
        </w:rPr>
      </w:pPr>
      <w:r>
        <w:rPr>
          <w:rFonts w:ascii="Arial" w:cs="Arial" w:eastAsia="Arial" w:hAnsi="Arial"/>
          <w:sz w:val="19"/>
          <w:szCs w:val="19"/>
          <w:color w:val="auto"/>
        </w:rPr>
        <w:t xml:space="preserve">as required to effect any Disposition of such Collateral in connection with any exercise of remedies of the Administrative Agent and the Lenders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in any case set forth above, promptly upon receipt of a written request therefor from the Borrower, the Administrative Agent will execute and deliver all documents as may reasonably be requested to evidence such release.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w:t>
      </w:r>
    </w:p>
    <w:p>
      <w:pPr>
        <w:spacing w:after="0" w:line="154" w:lineRule="exact"/>
        <w:rPr>
          <w:rFonts w:ascii="Arial" w:cs="Arial" w:eastAsia="Arial" w:hAnsi="Arial"/>
          <w:sz w:val="19"/>
          <w:szCs w:val="19"/>
          <w:color w:val="auto"/>
        </w:rPr>
      </w:pPr>
    </w:p>
    <w:p>
      <w:pPr>
        <w:jc w:val="both"/>
        <w:ind w:firstLine="1304"/>
        <w:spacing w:after="0" w:line="272" w:lineRule="auto"/>
        <w:tabs>
          <w:tab w:leader="none" w:pos="2223" w:val="left"/>
        </w:tabs>
        <w:numPr>
          <w:ilvl w:val="1"/>
          <w:numId w:val="405"/>
        </w:numPr>
        <w:rPr>
          <w:rFonts w:ascii="Arial" w:cs="Arial" w:eastAsia="Arial" w:hAnsi="Arial"/>
          <w:sz w:val="21"/>
          <w:szCs w:val="21"/>
          <w:color w:val="auto"/>
        </w:rPr>
      </w:pPr>
      <w:r>
        <w:rPr>
          <w:rFonts w:ascii="Arial" w:cs="Arial" w:eastAsia="Arial" w:hAnsi="Arial"/>
          <w:sz w:val="21"/>
          <w:szCs w:val="21"/>
          <w:color w:val="auto"/>
        </w:rPr>
        <w:t>Notwithstanding anything herein to the contrary, (i) if the Administrative Agent and Borrowers acting together identify any ambiguity, omission, mistake, typographical error or other defect in any provision of this Agreement, then the Administrative Agent and the Borrowers shall be permitted to amend, modify or supplement such provision to cure such ambiguity, omission, mistake, typographical error or other defect, and such amendment shall become effective without any further action or consent of any other party to this Agreement and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shall become effective without any further action or consent of any other party to the applicable Collateral Document.</w:t>
      </w:r>
    </w:p>
    <w:p>
      <w:pPr>
        <w:spacing w:after="0" w:line="182" w:lineRule="exact"/>
        <w:rPr>
          <w:rFonts w:ascii="Arial" w:cs="Arial" w:eastAsia="Arial" w:hAnsi="Arial"/>
          <w:sz w:val="21"/>
          <w:szCs w:val="21"/>
          <w:color w:val="auto"/>
        </w:rPr>
      </w:pPr>
    </w:p>
    <w:p>
      <w:pPr>
        <w:jc w:val="both"/>
        <w:ind w:firstLine="1304"/>
        <w:spacing w:after="0" w:line="279" w:lineRule="auto"/>
        <w:tabs>
          <w:tab w:leader="none" w:pos="2197" w:val="left"/>
        </w:tabs>
        <w:numPr>
          <w:ilvl w:val="1"/>
          <w:numId w:val="405"/>
        </w:numPr>
        <w:rPr>
          <w:rFonts w:ascii="Arial" w:cs="Arial" w:eastAsia="Arial" w:hAnsi="Arial"/>
          <w:sz w:val="21"/>
          <w:szCs w:val="21"/>
          <w:color w:val="auto"/>
        </w:rPr>
      </w:pPr>
      <w:r>
        <w:rPr>
          <w:rFonts w:ascii="Arial" w:cs="Arial" w:eastAsia="Arial" w:hAnsi="Arial"/>
          <w:sz w:val="21"/>
          <w:szCs w:val="21"/>
          <w:color w:val="auto"/>
        </w:rPr>
        <w:t xml:space="preserve">Promptly upon receipt of a written request therefor from the Borrowers, the Administrative Agent will execute and deliver all documents as may reasonably be requested to effect a release of a Guarantor that ceases to exist in accordance with </w:t>
      </w:r>
      <w:r>
        <w:rPr>
          <w:rFonts w:ascii="Arial" w:cs="Arial" w:eastAsia="Arial" w:hAnsi="Arial"/>
          <w:sz w:val="21"/>
          <w:szCs w:val="21"/>
          <w:u w:val="single" w:color="auto"/>
          <w:color w:val="auto"/>
        </w:rPr>
        <w:t>Section 8.02</w:t>
      </w:r>
      <w:r>
        <w:rPr>
          <w:rFonts w:ascii="Arial" w:cs="Arial" w:eastAsia="Arial" w:hAnsi="Arial"/>
          <w:sz w:val="21"/>
          <w:szCs w:val="21"/>
          <w:color w:val="auto"/>
        </w:rPr>
        <w:t>. The Borrowers hereby, jointly and severally, agree to pay all reasonable costs and expenses incurred by the Administrative Agent in connection with any such release of a Guarantor.</w:t>
      </w:r>
    </w:p>
    <w:p>
      <w:pPr>
        <w:spacing w:after="0" w:line="173" w:lineRule="exact"/>
        <w:rPr>
          <w:sz w:val="20"/>
          <w:szCs w:val="20"/>
          <w:color w:val="auto"/>
        </w:rPr>
      </w:pPr>
    </w:p>
    <w:p>
      <w:pPr>
        <w:ind w:left="1300"/>
        <w:spacing w:after="0"/>
        <w:tabs>
          <w:tab w:leader="none" w:pos="326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33" w:lineRule="exact"/>
        <w:rPr>
          <w:sz w:val="20"/>
          <w:szCs w:val="20"/>
          <w:color w:val="auto"/>
        </w:rPr>
      </w:pPr>
    </w:p>
    <w:p>
      <w:pPr>
        <w:jc w:val="both"/>
        <w:ind w:right="20" w:firstLine="1304"/>
        <w:spacing w:after="0" w:line="266" w:lineRule="auto"/>
        <w:tabs>
          <w:tab w:leader="none" w:pos="2238" w:val="left"/>
        </w:tabs>
        <w:numPr>
          <w:ilvl w:val="0"/>
          <w:numId w:val="406"/>
        </w:numPr>
        <w:rPr>
          <w:rFonts w:ascii="Arial" w:cs="Arial" w:eastAsia="Arial" w:hAnsi="Arial"/>
          <w:sz w:val="22"/>
          <w:szCs w:val="22"/>
          <w:color w:val="auto"/>
        </w:rPr>
      </w:pPr>
      <w:r>
        <w:rPr>
          <w:rFonts w:ascii="Arial" w:cs="Arial" w:eastAsia="Arial" w:hAnsi="Arial"/>
          <w:sz w:val="22"/>
          <w:szCs w:val="22"/>
          <w:color w:val="auto"/>
        </w:rPr>
        <w:t xml:space="preserve">Except in the case of notices and other communications expressly permitted to be given by telephone (and subject to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below), all notices and other communications provided for herein shall be in writing and shall be delivered by hand or overnight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6" w:name="page367"/>
    <w:bookmarkEnd w:id="366"/>
    <w:p>
      <w:pPr>
        <w:spacing w:after="0"/>
        <w:rPr>
          <w:sz w:val="20"/>
          <w:szCs w:val="20"/>
          <w:color w:val="auto"/>
        </w:rPr>
      </w:pPr>
      <w:r>
        <w:rPr>
          <w:rFonts w:ascii="Arial" w:cs="Arial" w:eastAsia="Arial" w:hAnsi="Arial"/>
          <w:sz w:val="21"/>
          <w:szCs w:val="21"/>
          <w:color w:val="auto"/>
        </w:rPr>
        <w:t>courier service, mailed by certified or registered mail or sent by electronic transmission (in .pdf format), as follows:</w:t>
      </w:r>
    </w:p>
    <w:p>
      <w:pPr>
        <w:spacing w:after="0" w:line="245" w:lineRule="exact"/>
        <w:rPr>
          <w:sz w:val="20"/>
          <w:szCs w:val="20"/>
          <w:color w:val="auto"/>
        </w:rPr>
      </w:pPr>
    </w:p>
    <w:p>
      <w:pPr>
        <w:ind w:left="2700" w:hanging="748"/>
        <w:spacing w:after="0"/>
        <w:tabs>
          <w:tab w:leader="none" w:pos="2700" w:val="left"/>
        </w:tabs>
        <w:numPr>
          <w:ilvl w:val="0"/>
          <w:numId w:val="407"/>
        </w:numPr>
        <w:rPr>
          <w:rFonts w:ascii="Arial" w:cs="Arial" w:eastAsia="Arial" w:hAnsi="Arial"/>
          <w:sz w:val="22"/>
          <w:szCs w:val="22"/>
          <w:color w:val="auto"/>
        </w:rPr>
      </w:pPr>
      <w:r>
        <w:rPr>
          <w:rFonts w:ascii="Arial" w:cs="Arial" w:eastAsia="Arial" w:hAnsi="Arial"/>
          <w:sz w:val="22"/>
          <w:szCs w:val="22"/>
          <w:color w:val="auto"/>
        </w:rPr>
        <w:t>if to any Borrower or Guarantor,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Texas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836-4000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LegalWeatherford@weatherford.com</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35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Texas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836-7460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Mark.Rothleitner@weatherford.com; Josh.Silverman@weatherford.com</w:t>
      </w:r>
    </w:p>
    <w:p>
      <w:pPr>
        <w:spacing w:after="0" w:line="229" w:lineRule="exact"/>
        <w:rPr>
          <w:sz w:val="20"/>
          <w:szCs w:val="20"/>
          <w:color w:val="auto"/>
        </w:rPr>
      </w:pPr>
    </w:p>
    <w:p>
      <w:pPr>
        <w:ind w:left="2760" w:hanging="808"/>
        <w:spacing w:after="0"/>
        <w:tabs>
          <w:tab w:leader="none" w:pos="2760" w:val="left"/>
        </w:tabs>
        <w:numPr>
          <w:ilvl w:val="0"/>
          <w:numId w:val="408"/>
        </w:numPr>
        <w:rPr>
          <w:rFonts w:ascii="Arial" w:cs="Arial" w:eastAsia="Arial" w:hAnsi="Arial"/>
          <w:sz w:val="22"/>
          <w:szCs w:val="22"/>
          <w:color w:val="auto"/>
        </w:rPr>
      </w:pPr>
      <w:r>
        <w:rPr>
          <w:rFonts w:ascii="Arial" w:cs="Arial" w:eastAsia="Arial" w:hAnsi="Arial"/>
          <w:sz w:val="22"/>
          <w:szCs w:val="22"/>
          <w:color w:val="auto"/>
        </w:rPr>
        <w:t>if to the Administrative Agent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and Agency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24th Floor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NYC60 - 2410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10005</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Project Finance Agency Services, Weatherford, SF0580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(646) 961-3317</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Weatherford.LCAgency@db.com</w:t>
      </w:r>
    </w:p>
    <w:p>
      <w:pPr>
        <w:spacing w:after="0" w:line="229" w:lineRule="exact"/>
        <w:rPr>
          <w:sz w:val="20"/>
          <w:szCs w:val="20"/>
          <w:color w:val="auto"/>
        </w:rPr>
      </w:pPr>
    </w:p>
    <w:p>
      <w:pPr>
        <w:ind w:left="2820" w:hanging="868"/>
        <w:spacing w:after="0"/>
        <w:tabs>
          <w:tab w:leader="none" w:pos="2820" w:val="left"/>
        </w:tabs>
        <w:numPr>
          <w:ilvl w:val="0"/>
          <w:numId w:val="409"/>
        </w:numPr>
        <w:rPr>
          <w:rFonts w:ascii="Arial" w:cs="Arial" w:eastAsia="Arial" w:hAnsi="Arial"/>
          <w:sz w:val="22"/>
          <w:szCs w:val="22"/>
          <w:color w:val="auto"/>
        </w:rPr>
      </w:pPr>
      <w:r>
        <w:rPr>
          <w:rFonts w:ascii="Arial" w:cs="Arial" w:eastAsia="Arial" w:hAnsi="Arial"/>
          <w:sz w:val="22"/>
          <w:szCs w:val="22"/>
          <w:color w:val="auto"/>
        </w:rPr>
        <w:t>if to Barclays, in its capacity as an Issuing Bank,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Barclays Bank PLC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 Churchill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London E14 5HP</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United Kingdom</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+44 (0) 20 7773 2190</w:t>
      </w:r>
    </w:p>
    <w:p>
      <w:pPr>
        <w:spacing w:after="0" w:line="17" w:lineRule="exact"/>
        <w:rPr>
          <w:sz w:val="20"/>
          <w:szCs w:val="20"/>
          <w:color w:val="auto"/>
        </w:rPr>
      </w:pPr>
    </w:p>
    <w:p>
      <w:pPr>
        <w:ind w:left="1960"/>
        <w:spacing w:after="0" w:line="272" w:lineRule="auto"/>
        <w:rPr>
          <w:sz w:val="20"/>
          <w:szCs w:val="20"/>
          <w:color w:val="auto"/>
        </w:rPr>
      </w:pPr>
      <w:r>
        <w:rPr>
          <w:rFonts w:ascii="Arial" w:cs="Arial" w:eastAsia="Arial" w:hAnsi="Arial"/>
          <w:sz w:val="22"/>
          <w:szCs w:val="22"/>
          <w:color w:val="auto"/>
        </w:rPr>
        <w:t>Email: mark.pope@barclays.com, matthew.x.jackson@barclays.com, Daniel.scoines1@barclays.com, Edwin.lau@barclays.com, Yokaira.peralta@barclays.com</w:t>
      </w:r>
    </w:p>
    <w:p>
      <w:pPr>
        <w:spacing w:after="0" w:line="178" w:lineRule="exact"/>
        <w:rPr>
          <w:sz w:val="20"/>
          <w:szCs w:val="20"/>
          <w:color w:val="auto"/>
        </w:rPr>
      </w:pPr>
    </w:p>
    <w:p>
      <w:pPr>
        <w:ind w:left="2800" w:hanging="848"/>
        <w:spacing w:after="0"/>
        <w:tabs>
          <w:tab w:leader="none" w:pos="2800" w:val="left"/>
        </w:tabs>
        <w:numPr>
          <w:ilvl w:val="0"/>
          <w:numId w:val="410"/>
        </w:numPr>
        <w:rPr>
          <w:rFonts w:ascii="Arial" w:cs="Arial" w:eastAsia="Arial" w:hAnsi="Arial"/>
          <w:sz w:val="22"/>
          <w:szCs w:val="22"/>
          <w:color w:val="auto"/>
        </w:rPr>
      </w:pPr>
      <w:r>
        <w:rPr>
          <w:rFonts w:ascii="Arial" w:cs="Arial" w:eastAsia="Arial" w:hAnsi="Arial"/>
          <w:sz w:val="22"/>
          <w:szCs w:val="22"/>
          <w:color w:val="auto"/>
        </w:rPr>
        <w:t>if to Wells Fargo, in its capacity as Issuing Bank,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Wells Fargo Bank, National Association</w:t>
      </w:r>
    </w:p>
    <w:p>
      <w:pPr>
        <w:spacing w:after="0" w:line="19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32" w:right="799" w:bottom="1440" w:gutter="0" w:footer="0" w:header="0"/>
        </w:sectPr>
      </w:pPr>
    </w:p>
    <w:bookmarkStart w:id="367" w:name="page368"/>
    <w:bookmarkEnd w:id="367"/>
    <w:p>
      <w:pPr>
        <w:ind w:left="840"/>
        <w:spacing w:after="0"/>
        <w:rPr>
          <w:sz w:val="20"/>
          <w:szCs w:val="20"/>
          <w:color w:val="auto"/>
        </w:rPr>
      </w:pPr>
      <w:r>
        <w:rPr>
          <w:rFonts w:ascii="Arial" w:cs="Arial" w:eastAsia="Arial" w:hAnsi="Arial"/>
          <w:sz w:val="22"/>
          <w:szCs w:val="22"/>
          <w:color w:val="auto"/>
        </w:rPr>
        <w:t>1700 Lincoln Street, 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w:t>
      </w:r>
    </w:p>
    <w:p>
      <w:pPr>
        <w:ind w:left="840"/>
        <w:spacing w:after="0"/>
        <w:rPr>
          <w:sz w:val="20"/>
          <w:szCs w:val="20"/>
          <w:color w:val="auto"/>
        </w:rPr>
      </w:pPr>
      <w:r>
        <w:rPr>
          <w:rFonts w:ascii="Arial" w:cs="Arial" w:eastAsia="Arial" w:hAnsi="Arial"/>
          <w:sz w:val="22"/>
          <w:szCs w:val="22"/>
          <w:color w:val="auto"/>
        </w:rPr>
        <w:t>Denver, CO 80203</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Telephone: (303) 863-5576</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Email: DENLCFX@wellsfargo.com</w:t>
      </w:r>
    </w:p>
    <w:p>
      <w:pPr>
        <w:spacing w:after="0" w:line="283" w:lineRule="exact"/>
        <w:rPr>
          <w:sz w:val="20"/>
          <w:szCs w:val="20"/>
          <w:color w:val="auto"/>
        </w:rPr>
      </w:pPr>
    </w:p>
    <w:p>
      <w:pPr>
        <w:ind w:left="1620" w:hanging="788"/>
        <w:spacing w:after="0"/>
        <w:tabs>
          <w:tab w:leader="none" w:pos="162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if to Deutsche Bank, in its capacity as Issuing Bank, to it at:</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Deutsche Bank AG New York Branch</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60 Wall Street</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New York, NY 10005</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Trade Finance</w:t>
      </w:r>
    </w:p>
    <w:p>
      <w:pPr>
        <w:spacing w:after="0" w:line="17" w:lineRule="exact"/>
        <w:rPr>
          <w:sz w:val="20"/>
          <w:szCs w:val="20"/>
          <w:color w:val="auto"/>
        </w:rPr>
      </w:pPr>
    </w:p>
    <w:p>
      <w:pPr>
        <w:ind w:left="840" w:right="1059"/>
        <w:spacing w:after="0" w:line="324" w:lineRule="auto"/>
        <w:rPr>
          <w:sz w:val="20"/>
          <w:szCs w:val="20"/>
          <w:color w:val="auto"/>
        </w:rPr>
      </w:pPr>
      <w:r>
        <w:rPr>
          <w:rFonts w:ascii="Arial" w:cs="Arial" w:eastAsia="Arial" w:hAnsi="Arial"/>
          <w:sz w:val="19"/>
          <w:szCs w:val="19"/>
          <w:color w:val="auto"/>
        </w:rPr>
        <w:t>Telephone: (212) 250-9633, (212) 250-8321, (212) 250-8462, (212) 250-5427 Email: jack.leong@db.com, gaurav.mathur@db.com, konstanze.geppert@db.com, michelle.hsiao@db.com, tfcs.newyork@db.com</w:t>
      </w:r>
    </w:p>
    <w:p>
      <w:pPr>
        <w:spacing w:after="0" w:line="191" w:lineRule="exact"/>
        <w:rPr>
          <w:sz w:val="20"/>
          <w:szCs w:val="20"/>
          <w:color w:val="auto"/>
        </w:rPr>
      </w:pPr>
    </w:p>
    <w:p>
      <w:pPr>
        <w:ind w:left="1680" w:hanging="848"/>
        <w:spacing w:after="0"/>
        <w:tabs>
          <w:tab w:leader="none" w:pos="1680" w:val="left"/>
        </w:tabs>
        <w:numPr>
          <w:ilvl w:val="0"/>
          <w:numId w:val="412"/>
        </w:numPr>
        <w:rPr>
          <w:rFonts w:ascii="Arial" w:cs="Arial" w:eastAsia="Arial" w:hAnsi="Arial"/>
          <w:sz w:val="22"/>
          <w:szCs w:val="22"/>
          <w:color w:val="auto"/>
        </w:rPr>
      </w:pPr>
      <w:r>
        <w:rPr>
          <w:rFonts w:ascii="Arial" w:cs="Arial" w:eastAsia="Arial" w:hAnsi="Arial"/>
          <w:sz w:val="22"/>
          <w:szCs w:val="22"/>
          <w:color w:val="auto"/>
        </w:rPr>
        <w:t>if to Citibank, N.A., in its capacity as Issuing Bank, to it at:</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811 Main Street, Suite 4000</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Houston, TX 77002</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Ivan Davey</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Telephone: (713) 821-4709</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Email: ivan.davey@citi.com</w:t>
      </w:r>
    </w:p>
    <w:p>
      <w:pPr>
        <w:spacing w:after="0" w:line="229" w:lineRule="exact"/>
        <w:rPr>
          <w:sz w:val="20"/>
          <w:szCs w:val="20"/>
          <w:color w:val="auto"/>
        </w:rPr>
      </w:pPr>
    </w:p>
    <w:p>
      <w:pPr>
        <w:ind w:left="1740" w:hanging="908"/>
        <w:spacing w:after="0"/>
        <w:tabs>
          <w:tab w:leader="none" w:pos="1740" w:val="left"/>
        </w:tabs>
        <w:numPr>
          <w:ilvl w:val="0"/>
          <w:numId w:val="413"/>
        </w:numPr>
        <w:rPr>
          <w:rFonts w:ascii="Arial" w:cs="Arial" w:eastAsia="Arial" w:hAnsi="Arial"/>
          <w:sz w:val="22"/>
          <w:szCs w:val="22"/>
          <w:color w:val="auto"/>
        </w:rPr>
      </w:pPr>
      <w:r>
        <w:rPr>
          <w:rFonts w:ascii="Arial" w:cs="Arial" w:eastAsia="Arial" w:hAnsi="Arial"/>
          <w:sz w:val="22"/>
          <w:szCs w:val="22"/>
          <w:color w:val="auto"/>
        </w:rPr>
        <w:t>if to Morgan Stanley, in its capacity as Issuing Bank, to it at:</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Morgan Stanley Senior Funding, Inc.</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1300 Thames Street, 4th Floor</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Thames Street Wharf</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Baltimore, MD 21231</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Telephone: (443) 627-4555</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Fax: (212) 507-5010</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Email: MSB.LOC@morganstanley.com</w:t>
      </w:r>
    </w:p>
    <w:p>
      <w:pPr>
        <w:spacing w:after="0" w:line="283" w:lineRule="exact"/>
        <w:rPr>
          <w:sz w:val="20"/>
          <w:szCs w:val="20"/>
          <w:color w:val="auto"/>
        </w:rPr>
      </w:pPr>
    </w:p>
    <w:p>
      <w:pPr>
        <w:ind w:left="1800" w:hanging="968"/>
        <w:spacing w:after="0"/>
        <w:tabs>
          <w:tab w:leader="none" w:pos="1800" w:val="left"/>
        </w:tabs>
        <w:numPr>
          <w:ilvl w:val="0"/>
          <w:numId w:val="414"/>
        </w:numPr>
        <w:rPr>
          <w:rFonts w:ascii="Arial" w:cs="Arial" w:eastAsia="Arial" w:hAnsi="Arial"/>
          <w:sz w:val="19"/>
          <w:szCs w:val="19"/>
          <w:color w:val="auto"/>
        </w:rPr>
      </w:pPr>
      <w:r>
        <w:rPr>
          <w:rFonts w:ascii="Arial" w:cs="Arial" w:eastAsia="Arial" w:hAnsi="Arial"/>
          <w:sz w:val="19"/>
          <w:szCs w:val="19"/>
          <w:color w:val="auto"/>
        </w:rPr>
        <w:t>if to Nordea Bank Abp, New York Branch, in its capacity as Issuing Bank, to it at:</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Nordea Bank Abp, New York Branch</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1211 Avenue of the Americas, 23rd Floor</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New York, NY 10036</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USA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7" w:right="1440" w:bottom="1440" w:gutter="0" w:footer="0" w:header="0"/>
        </w:sectPr>
      </w:pPr>
    </w:p>
    <w:bookmarkStart w:id="368" w:name="page369"/>
    <w:bookmarkEnd w:id="368"/>
    <w:p>
      <w:pPr>
        <w:ind w:left="1960"/>
        <w:spacing w:after="0"/>
        <w:rPr>
          <w:sz w:val="20"/>
          <w:szCs w:val="20"/>
          <w:color w:val="auto"/>
        </w:rPr>
      </w:pPr>
      <w:r>
        <w:rPr>
          <w:rFonts w:ascii="Arial" w:cs="Arial" w:eastAsia="Arial" w:hAnsi="Arial"/>
          <w:sz w:val="22"/>
          <w:szCs w:val="22"/>
          <w:color w:val="auto"/>
        </w:rPr>
        <w:t>Telephone: (212) 318-9305</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abdul.khail@nordea.com</w:t>
      </w:r>
    </w:p>
    <w:p>
      <w:pPr>
        <w:spacing w:after="0" w:line="283" w:lineRule="exact"/>
        <w:rPr>
          <w:sz w:val="20"/>
          <w:szCs w:val="20"/>
          <w:color w:val="auto"/>
        </w:rPr>
      </w:pPr>
    </w:p>
    <w:p>
      <w:pPr>
        <w:ind w:left="660" w:firstLine="1292"/>
        <w:spacing w:after="0" w:line="276" w:lineRule="auto"/>
        <w:tabs>
          <w:tab w:leader="none" w:pos="2902" w:val="left"/>
        </w:tabs>
        <w:numPr>
          <w:ilvl w:val="0"/>
          <w:numId w:val="415"/>
        </w:numPr>
        <w:rPr>
          <w:rFonts w:ascii="Arial" w:cs="Arial" w:eastAsia="Arial" w:hAnsi="Arial"/>
          <w:sz w:val="22"/>
          <w:szCs w:val="22"/>
          <w:color w:val="auto"/>
        </w:rPr>
      </w:pPr>
      <w:r>
        <w:rPr>
          <w:rFonts w:ascii="Arial" w:cs="Arial" w:eastAsia="Arial" w:hAnsi="Arial"/>
          <w:sz w:val="22"/>
          <w:szCs w:val="22"/>
          <w:color w:val="auto"/>
        </w:rPr>
        <w:t>if to any other Issuing Bank, to it at such address (or facsimile number) as shall be specified in the Issuing Bank Agreement to which such Issuing Bank shall be a party; and</w:t>
      </w:r>
    </w:p>
    <w:p>
      <w:pPr>
        <w:spacing w:after="0" w:line="174" w:lineRule="exact"/>
        <w:rPr>
          <w:rFonts w:ascii="Arial" w:cs="Arial" w:eastAsia="Arial" w:hAnsi="Arial"/>
          <w:sz w:val="22"/>
          <w:szCs w:val="22"/>
          <w:color w:val="auto"/>
        </w:rPr>
      </w:pPr>
    </w:p>
    <w:p>
      <w:pPr>
        <w:ind w:left="3100" w:hanging="1148"/>
        <w:spacing w:after="0"/>
        <w:tabs>
          <w:tab w:leader="none" w:pos="3100" w:val="left"/>
        </w:tabs>
        <w:numPr>
          <w:ilvl w:val="0"/>
          <w:numId w:val="415"/>
        </w:numPr>
        <w:rPr>
          <w:rFonts w:ascii="Arial" w:cs="Arial" w:eastAsia="Arial" w:hAnsi="Arial"/>
          <w:sz w:val="21"/>
          <w:szCs w:val="21"/>
          <w:color w:val="auto"/>
        </w:rPr>
      </w:pPr>
      <w:r>
        <w:rPr>
          <w:rFonts w:ascii="Arial" w:cs="Arial" w:eastAsia="Arial" w:hAnsi="Arial"/>
          <w:sz w:val="21"/>
          <w:szCs w:val="21"/>
          <w:color w:val="auto"/>
        </w:rPr>
        <w:t>if to any Lender, to it at its address (or facsimile number) set forth in its Administrative</w:t>
      </w:r>
    </w:p>
    <w:p>
      <w:pPr>
        <w:spacing w:after="0" w:line="3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Questionnaire.</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below, shall be effective as provided in said </w:t>
      </w:r>
      <w:r>
        <w:rPr>
          <w:rFonts w:ascii="Arial" w:cs="Arial" w:eastAsia="Arial" w:hAnsi="Arial"/>
          <w:sz w:val="22"/>
          <w:szCs w:val="22"/>
          <w:u w:val="single" w:color="auto"/>
          <w:color w:val="auto"/>
        </w:rPr>
        <w:t>paragraph (b)</w:t>
      </w:r>
      <w:r>
        <w:rPr>
          <w:rFonts w:ascii="Arial" w:cs="Arial" w:eastAsia="Arial" w:hAnsi="Arial"/>
          <w:sz w:val="22"/>
          <w:szCs w:val="22"/>
          <w:color w:val="auto"/>
        </w:rPr>
        <w:t>.</w:t>
      </w:r>
    </w:p>
    <w:p>
      <w:pPr>
        <w:spacing w:after="0" w:line="190" w:lineRule="exact"/>
        <w:rPr>
          <w:sz w:val="20"/>
          <w:szCs w:val="20"/>
          <w:color w:val="auto"/>
        </w:rPr>
      </w:pPr>
    </w:p>
    <w:p>
      <w:pPr>
        <w:jc w:val="both"/>
        <w:ind w:firstLine="1304"/>
        <w:spacing w:after="0" w:line="274" w:lineRule="auto"/>
        <w:tabs>
          <w:tab w:leader="none" w:pos="2155" w:val="left"/>
        </w:tabs>
        <w:numPr>
          <w:ilvl w:val="0"/>
          <w:numId w:val="416"/>
        </w:numPr>
        <w:rPr>
          <w:rFonts w:ascii="Arial" w:cs="Arial" w:eastAsia="Arial" w:hAnsi="Arial"/>
          <w:sz w:val="21"/>
          <w:szCs w:val="21"/>
          <w:color w:val="auto"/>
        </w:rPr>
      </w:pPr>
      <w:r>
        <w:rPr>
          <w:rFonts w:ascii="Arial" w:cs="Arial" w:eastAsia="Arial" w:hAnsi="Arial"/>
          <w:sz w:val="21"/>
          <w:szCs w:val="21"/>
          <w:color w:val="auto"/>
        </w:rPr>
        <w:t xml:space="preserve">Notices and other communications to the Lenders and the Issuing Banks hereunder may be delivered or furnished by Electronic Systems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182"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 xml:space="preserve">Unless the Administrative Agent otherwise prescribes,(i)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5" w:lineRule="exact"/>
        <w:rPr>
          <w:sz w:val="20"/>
          <w:szCs w:val="20"/>
          <w:color w:val="auto"/>
        </w:rPr>
      </w:pPr>
    </w:p>
    <w:p>
      <w:pPr>
        <w:ind w:right="20" w:firstLine="1304"/>
        <w:spacing w:after="0" w:line="276" w:lineRule="auto"/>
        <w:tabs>
          <w:tab w:leader="none" w:pos="2319" w:val="left"/>
        </w:tabs>
        <w:numPr>
          <w:ilvl w:val="0"/>
          <w:numId w:val="417"/>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174" w:lineRule="exact"/>
        <w:rPr>
          <w:rFonts w:ascii="Arial" w:cs="Arial" w:eastAsia="Arial" w:hAnsi="Arial"/>
          <w:sz w:val="22"/>
          <w:szCs w:val="22"/>
          <w:color w:val="auto"/>
        </w:rPr>
      </w:pPr>
    </w:p>
    <w:p>
      <w:pPr>
        <w:jc w:val="both"/>
        <w:ind w:firstLine="1304"/>
        <w:spacing w:after="0" w:line="266" w:lineRule="auto"/>
        <w:tabs>
          <w:tab w:leader="none" w:pos="2142" w:val="left"/>
        </w:tabs>
        <w:numPr>
          <w:ilvl w:val="0"/>
          <w:numId w:val="417"/>
        </w:numPr>
        <w:rPr>
          <w:rFonts w:ascii="Arial" w:cs="Arial" w:eastAsia="Arial" w:hAnsi="Arial"/>
          <w:sz w:val="22"/>
          <w:szCs w:val="22"/>
          <w:color w:val="auto"/>
        </w:rPr>
      </w:pPr>
      <w:r>
        <w:rPr>
          <w:rFonts w:ascii="Arial" w:cs="Arial" w:eastAsia="Arial" w:hAnsi="Arial"/>
          <w:sz w:val="22"/>
          <w:szCs w:val="22"/>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84" w:lineRule="exact"/>
        <w:rPr>
          <w:rFonts w:ascii="Arial" w:cs="Arial" w:eastAsia="Arial" w:hAnsi="Arial"/>
          <w:sz w:val="22"/>
          <w:szCs w:val="22"/>
          <w:color w:val="auto"/>
        </w:rPr>
      </w:pPr>
    </w:p>
    <w:p>
      <w:pPr>
        <w:ind w:left="2080" w:hanging="776"/>
        <w:spacing w:after="0"/>
        <w:tabs>
          <w:tab w:leader="none" w:pos="2080" w:val="left"/>
        </w:tabs>
        <w:numPr>
          <w:ilvl w:val="0"/>
          <w:numId w:val="417"/>
        </w:numPr>
        <w:rPr>
          <w:rFonts w:ascii="Arial" w:cs="Arial" w:eastAsia="Arial" w:hAnsi="Arial"/>
          <w:sz w:val="22"/>
          <w:szCs w:val="22"/>
          <w:color w:val="auto"/>
        </w:rPr>
      </w:pPr>
      <w:r>
        <w:rPr>
          <w:rFonts w:ascii="Arial" w:cs="Arial" w:eastAsia="Arial" w:hAnsi="Arial"/>
          <w:sz w:val="22"/>
          <w:szCs w:val="22"/>
          <w:color w:val="auto"/>
        </w:rPr>
        <w:t>Electronic Systems.</w:t>
      </w:r>
    </w:p>
    <w:p>
      <w:pPr>
        <w:spacing w:after="0" w:line="233" w:lineRule="exact"/>
        <w:rPr>
          <w:sz w:val="20"/>
          <w:szCs w:val="20"/>
          <w:color w:val="auto"/>
        </w:rPr>
      </w:pPr>
    </w:p>
    <w:p>
      <w:pPr>
        <w:ind w:left="660" w:right="20" w:firstLine="1292"/>
        <w:spacing w:after="0" w:line="276" w:lineRule="auto"/>
        <w:tabs>
          <w:tab w:leader="none" w:pos="2902" w:val="left"/>
        </w:tabs>
        <w:numPr>
          <w:ilvl w:val="0"/>
          <w:numId w:val="418"/>
        </w:numPr>
        <w:rPr>
          <w:rFonts w:ascii="Arial" w:cs="Arial" w:eastAsia="Arial" w:hAnsi="Arial"/>
          <w:sz w:val="22"/>
          <w:szCs w:val="22"/>
          <w:color w:val="auto"/>
        </w:rPr>
      </w:pPr>
      <w:r>
        <w:rPr>
          <w:rFonts w:ascii="Arial" w:cs="Arial" w:eastAsia="Arial" w:hAnsi="Arial"/>
          <w:sz w:val="22"/>
          <w:szCs w:val="22"/>
          <w:color w:val="auto"/>
        </w:rPr>
        <w:t>Each Borrower agrees that the Administrative Agent may, but shall not be obligated to, make Communications (as defined below) available to the Issuing Bank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9" w:name="page370"/>
    <w:bookmarkEnd w:id="369"/>
    <w:p>
      <w:pPr>
        <w:ind w:left="660" w:right="20"/>
        <w:spacing w:after="0" w:line="276" w:lineRule="auto"/>
        <w:rPr>
          <w:sz w:val="20"/>
          <w:szCs w:val="20"/>
          <w:color w:val="auto"/>
        </w:rPr>
      </w:pPr>
      <w:r>
        <w:rPr>
          <w:rFonts w:ascii="Arial" w:cs="Arial" w:eastAsia="Arial" w:hAnsi="Arial"/>
          <w:sz w:val="22"/>
          <w:szCs w:val="22"/>
          <w:color w:val="auto"/>
        </w:rPr>
        <w:t>and the other Lenders by posting the Communications on Debt Domain, Intralinks, Syndtrak, ClearPar or a substantially similar Electronic System.</w:t>
      </w:r>
    </w:p>
    <w:p>
      <w:pPr>
        <w:spacing w:after="0" w:line="174" w:lineRule="exact"/>
        <w:rPr>
          <w:sz w:val="20"/>
          <w:szCs w:val="20"/>
          <w:color w:val="auto"/>
        </w:rPr>
      </w:pPr>
    </w:p>
    <w:p>
      <w:pPr>
        <w:jc w:val="both"/>
        <w:ind w:left="660" w:firstLine="1292"/>
        <w:spacing w:after="0" w:line="301" w:lineRule="auto"/>
        <w:tabs>
          <w:tab w:leader="none" w:pos="2814" w:val="left"/>
        </w:tabs>
        <w:numPr>
          <w:ilvl w:val="0"/>
          <w:numId w:val="419"/>
        </w:numPr>
        <w:rPr>
          <w:rFonts w:ascii="Arial" w:cs="Arial" w:eastAsia="Arial" w:hAnsi="Arial"/>
          <w:sz w:val="19"/>
          <w:szCs w:val="19"/>
          <w:color w:val="auto"/>
        </w:rPr>
      </w:pPr>
      <w:r>
        <w:rPr>
          <w:rFonts w:ascii="Arial" w:cs="Arial" w:eastAsia="Arial" w:hAnsi="Arial"/>
          <w:sz w:val="19"/>
          <w:szCs w:val="19"/>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Expenses, Etc.</w:t>
      </w:r>
      <w:r>
        <w:rPr>
          <w:rFonts w:ascii="Arial" w:cs="Arial" w:eastAsia="Arial" w:hAnsi="Arial"/>
          <w:sz w:val="19"/>
          <w:szCs w:val="19"/>
          <w:color w:val="auto"/>
        </w:rPr>
        <w:t xml:space="preserve">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one local counsel in each applicable jurisdiction), in connection with the syndication and distribution (including via the Internet or through a service such as Intralinks) of the credit facilities provided for herein,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including the reasonable and documented or invoiced fees, charges and disbursements of Simpson Thacher &amp; Bartlett LLP and Goldberg Kohn Lt. as counsel the Joint Lead Arrangers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facilities provided for herein, (c) all reasonable and documented out-of-pocket expenses incurred by any Issuing Bank in connection with the issuance, amendment, renewal or extension of any Letter of Credit or any demand for payment thereunder,</w:t>
      </w:r>
    </w:p>
    <w:p>
      <w:pPr>
        <w:spacing w:after="0" w:line="12" w:lineRule="exact"/>
        <w:rPr>
          <w:sz w:val="20"/>
          <w:szCs w:val="20"/>
          <w:color w:val="auto"/>
        </w:rPr>
      </w:pPr>
    </w:p>
    <w:p>
      <w:pPr>
        <w:jc w:val="both"/>
        <w:ind w:firstLine="8"/>
        <w:spacing w:after="0" w:line="296" w:lineRule="auto"/>
        <w:tabs>
          <w:tab w:leader="none" w:pos="349" w:val="left"/>
        </w:tabs>
        <w:numPr>
          <w:ilvl w:val="0"/>
          <w:numId w:val="420"/>
        </w:numPr>
        <w:rPr>
          <w:rFonts w:ascii="Arial" w:cs="Arial" w:eastAsia="Arial" w:hAnsi="Arial"/>
          <w:sz w:val="19"/>
          <w:szCs w:val="19"/>
          <w:color w:val="auto"/>
        </w:rPr>
      </w:pPr>
      <w:r>
        <w:rPr>
          <w:rFonts w:ascii="Arial" w:cs="Arial" w:eastAsia="Arial" w:hAnsi="Arial"/>
          <w:sz w:val="19"/>
          <w:szCs w:val="19"/>
          <w:color w:val="auto"/>
        </w:rPr>
        <w:t>all transfer, stamp, documentary or other similar taxes, assessments or charges levied by any governmental or revenue authority in respect of this Agreement or any other Loan Document or any other document referred to herein or therein, and</w:t>
      </w:r>
    </w:p>
    <w:p>
      <w:pPr>
        <w:spacing w:after="0" w:line="1" w:lineRule="exact"/>
        <w:rPr>
          <w:rFonts w:ascii="Arial" w:cs="Arial" w:eastAsia="Arial" w:hAnsi="Arial"/>
          <w:sz w:val="19"/>
          <w:szCs w:val="19"/>
          <w:color w:val="auto"/>
        </w:rPr>
      </w:pPr>
    </w:p>
    <w:p>
      <w:pPr>
        <w:jc w:val="both"/>
        <w:ind w:firstLine="8"/>
        <w:spacing w:after="0" w:line="264" w:lineRule="auto"/>
        <w:tabs>
          <w:tab w:leader="none" w:pos="315" w:val="left"/>
        </w:tabs>
        <w:numPr>
          <w:ilvl w:val="0"/>
          <w:numId w:val="420"/>
        </w:numPr>
        <w:rPr>
          <w:rFonts w:ascii="Arial" w:cs="Arial" w:eastAsia="Arial" w:hAnsi="Arial"/>
          <w:sz w:val="22"/>
          <w:szCs w:val="22"/>
          <w:color w:val="auto"/>
        </w:rPr>
      </w:pPr>
      <w:r>
        <w:rPr>
          <w:rFonts w:ascii="Arial" w:cs="Arial" w:eastAsia="Arial" w:hAnsi="Arial"/>
          <w:sz w:val="22"/>
          <w:szCs w:val="22"/>
          <w:color w:val="auto"/>
        </w:rPr>
        <w:t>all documented out-of-pocket expenses incurred by the Administrative Agent (or any sub-agent thereof), any Issuing Bank and/or any Lender (including the documented or invoiced fees, disbursements and other charges of (i) any counsel for the Administrative Agent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0" w:name="page371"/>
    <w:bookmarkEnd w:id="370"/>
    <w:p>
      <w:pPr>
        <w:jc w:val="both"/>
        <w:spacing w:after="0" w:line="271" w:lineRule="auto"/>
        <w:rPr>
          <w:sz w:val="20"/>
          <w:szCs w:val="20"/>
          <w:color w:val="auto"/>
        </w:rPr>
      </w:pPr>
      <w:r>
        <w:rPr>
          <w:rFonts w:ascii="Arial" w:cs="Arial" w:eastAsia="Arial" w:hAnsi="Arial"/>
          <w:sz w:val="21"/>
          <w:szCs w:val="21"/>
          <w:color w:val="auto"/>
        </w:rPr>
        <w:t xml:space="preserve">any such sub-agent) (which, for the avoidance of doubt, may include counsel in foreign jurisdictions), (ii) one counsel to the Lenders licensed in the State of New York and licensed in each jurisdiction (including any state) where any Obligor or any Subsidiary of an Obligor is organized, has its chief executive office or has assets with a material value) and (iii) one additional local counsel in any applicable jurisdiction in the event of any actual or perceived conflict of interest among the Lenders (and if necessary, one local counsel in each relevant jurisdiction) for each group of Lenders that is subject to such conflict in connection with the enforcement, collection or protection of its rights in connection with this Agreement or any other Loan Document, including its rights under this Section, or in connection with the Letters of Credit issued hereunder, including all such out-of-pocket expenses incurred during any workout, restructuring or negotiations in respect of such Letters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Defaulting Lender will not be reimbursed for its costs and expenses related to the replacement of such Defaulting Lender or other matters incidental thereto.</w:t>
      </w:r>
    </w:p>
    <w:p>
      <w:pPr>
        <w:spacing w:after="0" w:line="189" w:lineRule="exact"/>
        <w:rPr>
          <w:sz w:val="20"/>
          <w:szCs w:val="20"/>
          <w:color w:val="auto"/>
        </w:rPr>
      </w:pPr>
    </w:p>
    <w:p>
      <w:pPr>
        <w:ind w:left="1300"/>
        <w:spacing w:after="0"/>
        <w:tabs>
          <w:tab w:leader="none" w:pos="326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7" w:lineRule="auto"/>
        <w:tabs>
          <w:tab w:leader="none" w:pos="2197" w:val="left"/>
        </w:tabs>
        <w:numPr>
          <w:ilvl w:val="1"/>
          <w:numId w:val="421"/>
        </w:numPr>
        <w:rPr>
          <w:rFonts w:ascii="Arial" w:cs="Arial" w:eastAsia="Arial" w:hAnsi="Arial"/>
          <w:sz w:val="19"/>
          <w:szCs w:val="19"/>
          <w:color w:val="auto"/>
        </w:rPr>
      </w:pPr>
      <w:r>
        <w:rPr>
          <w:rFonts w:ascii="Arial" w:cs="Arial" w:eastAsia="Arial" w:hAnsi="Arial"/>
          <w:sz w:val="19"/>
          <w:szCs w:val="19"/>
          <w:color w:val="auto"/>
        </w:rPr>
        <w:t>The Borrowers shall indemnify the Administrative Agent (and any sub-agent thereof), each Joint Lead Arranger, each Issuing Bank and each Lender, and each Affiliate of each of the foregoing, and their respective directors, officers, employees, advisors and agents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hold each Indemnitee harmless against, any and all losses, liabilities, claims or damages, costs or related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subject to such conflict or other expenses incurred in connection with investigating or defending any of the foregoing) to which any Indemnitee may become subject, insofar as such losses, liabilities, claims or damages, costs or related expenses arise out of or result from</w:t>
      </w:r>
    </w:p>
    <w:p>
      <w:pPr>
        <w:spacing w:after="0" w:line="1" w:lineRule="exact"/>
        <w:rPr>
          <w:rFonts w:ascii="Arial" w:cs="Arial" w:eastAsia="Arial" w:hAnsi="Arial"/>
          <w:sz w:val="19"/>
          <w:szCs w:val="19"/>
          <w:color w:val="auto"/>
        </w:rPr>
      </w:pPr>
    </w:p>
    <w:p>
      <w:pPr>
        <w:jc w:val="both"/>
        <w:ind w:firstLine="8"/>
        <w:spacing w:after="0" w:line="300" w:lineRule="auto"/>
        <w:tabs>
          <w:tab w:leader="none" w:pos="295" w:val="left"/>
        </w:tabs>
        <w:numPr>
          <w:ilvl w:val="0"/>
          <w:numId w:val="422"/>
        </w:numPr>
        <w:rPr>
          <w:rFonts w:ascii="Arial" w:cs="Arial" w:eastAsia="Arial" w:hAnsi="Arial"/>
          <w:sz w:val="19"/>
          <w:szCs w:val="19"/>
          <w:color w:val="auto"/>
        </w:rPr>
      </w:pPr>
      <w:r>
        <w:rPr>
          <w:rFonts w:ascii="Arial" w:cs="Arial" w:eastAsia="Arial" w:hAnsi="Arial"/>
          <w:sz w:val="19"/>
          <w:szCs w:val="19"/>
          <w:color w:val="auto"/>
        </w:rPr>
        <w:t>any claim, investigation, litigation or proceeding (including any threatened claim, investigation, litigation or proceeding) relating to this Agreement, any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WIL-Delaware, Parent or any of their Subsidiaries, or any Environmental Liability related in any way to WIL-Bermuda, WIL-Delaware,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WIL-Delaware, Parent or any of their Subsidiaries is divested of ownership of such property (whether by foreclosure or deed in lieu of foreclosure, as mortgagee-in-possession or otherwise), or (iii) any actual or proposed use by any Borrower or any of its Subsidiaries of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1" w:name="page372"/>
    <w:bookmarkEnd w:id="371"/>
    <w:p>
      <w:pPr>
        <w:jc w:val="both"/>
        <w:spacing w:after="0" w:line="300" w:lineRule="auto"/>
        <w:rPr>
          <w:sz w:val="20"/>
          <w:szCs w:val="20"/>
          <w:color w:val="auto"/>
        </w:rPr>
      </w:pPr>
      <w:r>
        <w:rPr>
          <w:rFonts w:ascii="Arial" w:cs="Arial" w:eastAsia="Arial" w:hAnsi="Arial"/>
          <w:sz w:val="19"/>
          <w:szCs w:val="19"/>
          <w:color w:val="auto"/>
        </w:rPr>
        <w:t xml:space="preserve">proceeds of any extension of credit by any Lender or any Issuing Bank hereunder, and the Borrowers, jointly and severally, shall reimburse each Indemnitee upon demand for any expenses (including reasonable and documented out-of-pocket legal expenses) incurred in connection with any such claim, investigation, litigation or proceeding; but excluding any such losses, claims, damages, liabilities or related expenses (A) found by a final, non-appealable judgment of a court of competent jurisdiction to have arisen or resulted from the (i) gross negligence or willful misconduct of the Indemnitee or (ii) a material breach of the funding obligations of such Indemnitee or any of such Indemnitee’s affiliates or (B) 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SURVIVE THE TERMINATION OF THIS AGREEMENT AND THE OTHER LOAN DOCUMENTS AND THE PAYMENT OF THE OTHER OBLIGATIONS.</w:t>
      </w:r>
    </w:p>
    <w:p>
      <w:pPr>
        <w:spacing w:after="0" w:line="200" w:lineRule="exact"/>
        <w:rPr>
          <w:sz w:val="20"/>
          <w:szCs w:val="20"/>
          <w:color w:val="auto"/>
        </w:rPr>
      </w:pPr>
    </w:p>
    <w:p>
      <w:pPr>
        <w:spacing w:after="0" w:line="230"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With respect to an Obligor incorporated in Germany as (x) a limited liability company (</w:t>
      </w:r>
      <w:r>
        <w:rPr>
          <w:rFonts w:ascii="Arial" w:cs="Arial" w:eastAsia="Arial" w:hAnsi="Arial"/>
          <w:sz w:val="19"/>
          <w:szCs w:val="19"/>
          <w:i w:val="1"/>
          <w:iCs w:val="1"/>
          <w:color w:val="auto"/>
        </w:rPr>
        <w:t>Gesellschaft mit beschränkter Haftung -</w:t>
      </w:r>
      <w:r>
        <w:rPr>
          <w:rFonts w:ascii="Arial" w:cs="Arial" w:eastAsia="Arial" w:hAnsi="Arial"/>
          <w:sz w:val="19"/>
          <w:szCs w:val="19"/>
          <w:color w:val="auto"/>
        </w:rPr>
        <w:t xml:space="preserve"> </w:t>
      </w:r>
      <w:r>
        <w:rPr>
          <w:rFonts w:ascii="Arial" w:cs="Arial" w:eastAsia="Arial" w:hAnsi="Arial"/>
          <w:sz w:val="19"/>
          <w:szCs w:val="19"/>
          <w:i w:val="1"/>
          <w:iCs w:val="1"/>
          <w:color w:val="auto"/>
        </w:rPr>
        <w:t>GmbH</w:t>
      </w:r>
      <w:r>
        <w:rPr>
          <w:rFonts w:ascii="Arial" w:cs="Arial" w:eastAsia="Arial" w:hAnsi="Arial"/>
          <w:sz w:val="19"/>
          <w:szCs w:val="19"/>
          <w:color w:val="auto"/>
        </w:rPr>
        <w:t>) or (y) a limited partnership (</w:t>
      </w:r>
      <w:r>
        <w:rPr>
          <w:rFonts w:ascii="Arial" w:cs="Arial" w:eastAsia="Arial" w:hAnsi="Arial"/>
          <w:sz w:val="19"/>
          <w:szCs w:val="19"/>
          <w:i w:val="1"/>
          <w:iCs w:val="1"/>
          <w:color w:val="auto"/>
        </w:rPr>
        <w:t>Kommanditgesellschaft</w:t>
      </w:r>
      <w:r>
        <w:rPr>
          <w:rFonts w:ascii="Arial" w:cs="Arial" w:eastAsia="Arial" w:hAnsi="Arial"/>
          <w:sz w:val="19"/>
          <w:szCs w:val="19"/>
          <w:color w:val="auto"/>
        </w:rPr>
        <w:t>) with a limited liability company as general partner, the limitations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Section 30 of the Affiliate Guaranty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obligations set out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w:t>
      </w:r>
    </w:p>
    <w:p>
      <w:pPr>
        <w:spacing w:after="0" w:line="133" w:lineRule="exact"/>
        <w:rPr>
          <w:sz w:val="20"/>
          <w:szCs w:val="20"/>
          <w:color w:val="auto"/>
        </w:rPr>
      </w:pPr>
    </w:p>
    <w:p>
      <w:pPr>
        <w:jc w:val="both"/>
        <w:ind w:firstLine="1304"/>
        <w:spacing w:after="0" w:line="308" w:lineRule="auto"/>
        <w:tabs>
          <w:tab w:leader="none" w:pos="2182" w:val="left"/>
        </w:tabs>
        <w:numPr>
          <w:ilvl w:val="0"/>
          <w:numId w:val="423"/>
        </w:numPr>
        <w:rPr>
          <w:rFonts w:ascii="Arial" w:cs="Arial" w:eastAsia="Arial" w:hAnsi="Arial"/>
          <w:sz w:val="19"/>
          <w:szCs w:val="19"/>
          <w:color w:val="auto"/>
        </w:rPr>
      </w:pPr>
      <w:r>
        <w:rPr>
          <w:rFonts w:ascii="Arial" w:cs="Arial" w:eastAsia="Arial" w:hAnsi="Arial"/>
          <w:sz w:val="19"/>
          <w:szCs w:val="19"/>
          <w:color w:val="auto"/>
        </w:rPr>
        <w:t xml:space="preserve">To the extent that any Borrower fails to pay any amount required to be paid by it to the Administrative Agent or any Issuing Bank under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153" w:lineRule="exact"/>
        <w:rPr>
          <w:rFonts w:ascii="Arial" w:cs="Arial" w:eastAsia="Arial" w:hAnsi="Arial"/>
          <w:sz w:val="19"/>
          <w:szCs w:val="19"/>
          <w:color w:val="auto"/>
        </w:rPr>
      </w:pPr>
    </w:p>
    <w:p>
      <w:pPr>
        <w:jc w:val="both"/>
        <w:ind w:firstLine="1304"/>
        <w:spacing w:after="0" w:line="261" w:lineRule="auto"/>
        <w:tabs>
          <w:tab w:leader="none" w:pos="2157" w:val="left"/>
        </w:tabs>
        <w:numPr>
          <w:ilvl w:val="0"/>
          <w:numId w:val="423"/>
        </w:numPr>
        <w:rPr>
          <w:rFonts w:ascii="Arial" w:cs="Arial" w:eastAsia="Arial" w:hAnsi="Arial"/>
          <w:sz w:val="22"/>
          <w:szCs w:val="22"/>
          <w:color w:val="auto"/>
        </w:rPr>
      </w:pPr>
      <w:r>
        <w:rPr>
          <w:rFonts w:ascii="Arial" w:cs="Arial" w:eastAsia="Arial" w:hAnsi="Arial"/>
          <w:sz w:val="22"/>
          <w:szCs w:val="22"/>
          <w:color w:val="auto"/>
        </w:rPr>
        <w:t>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2" w:name="page373"/>
    <w:bookmarkEnd w:id="372"/>
    <w:p>
      <w:pPr>
        <w:jc w:val="both"/>
        <w:spacing w:after="0" w:line="266" w:lineRule="auto"/>
        <w:rPr>
          <w:sz w:val="20"/>
          <w:szCs w:val="20"/>
          <w:color w:val="auto"/>
        </w:rPr>
      </w:pPr>
      <w:r>
        <w:rPr>
          <w:rFonts w:ascii="Arial" w:cs="Arial" w:eastAsia="Arial" w:hAnsi="Arial"/>
          <w:sz w:val="22"/>
          <w:szCs w:val="22"/>
          <w:color w:val="auto"/>
        </w:rPr>
        <w:t xml:space="preserve">Credit or the use of the proceeds thereof (it being understood that, to the extent any Indemnitee suffers any such special, indirect, consequential or punitive damages, the indemnification obligations of the Borrowers set forth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of this Section shall apply).</w:t>
      </w:r>
    </w:p>
    <w:p>
      <w:pPr>
        <w:spacing w:after="0" w:line="185" w:lineRule="exact"/>
        <w:rPr>
          <w:sz w:val="20"/>
          <w:szCs w:val="20"/>
          <w:color w:val="auto"/>
        </w:rPr>
      </w:pPr>
    </w:p>
    <w:p>
      <w:pPr>
        <w:jc w:val="both"/>
        <w:ind w:firstLine="1304"/>
        <w:spacing w:after="0" w:line="311" w:lineRule="auto"/>
        <w:tabs>
          <w:tab w:leader="none" w:pos="2236" w:val="left"/>
        </w:tabs>
        <w:numPr>
          <w:ilvl w:val="0"/>
          <w:numId w:val="424"/>
        </w:numPr>
        <w:rPr>
          <w:rFonts w:ascii="Arial" w:cs="Arial" w:eastAsia="Arial" w:hAnsi="Arial"/>
          <w:sz w:val="19"/>
          <w:szCs w:val="19"/>
          <w:color w:val="auto"/>
        </w:rPr>
      </w:pPr>
      <w:r>
        <w:rPr>
          <w:rFonts w:ascii="Arial" w:cs="Arial" w:eastAsia="Arial" w:hAnsi="Arial"/>
          <w:sz w:val="19"/>
          <w:szCs w:val="19"/>
          <w:color w:val="auto"/>
        </w:rPr>
        <w:t xml:space="preserve">No Indemnitee referred to in </w:t>
      </w:r>
      <w:r>
        <w:rPr>
          <w:rFonts w:ascii="Arial" w:cs="Arial" w:eastAsia="Arial" w:hAnsi="Arial"/>
          <w:sz w:val="19"/>
          <w:szCs w:val="19"/>
          <w:u w:val="single" w:color="auto"/>
          <w:color w:val="auto"/>
        </w:rPr>
        <w:t>Section 11.04(a)</w:t>
      </w:r>
      <w:r>
        <w:rPr>
          <w:rFonts w:ascii="Arial" w:cs="Arial" w:eastAsia="Arial" w:hAnsi="Arial"/>
          <w:sz w:val="19"/>
          <w:szCs w:val="19"/>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50" w:lineRule="exact"/>
        <w:rPr>
          <w:rFonts w:ascii="Arial" w:cs="Arial" w:eastAsia="Arial" w:hAnsi="Arial"/>
          <w:sz w:val="19"/>
          <w:szCs w:val="19"/>
          <w:color w:val="auto"/>
        </w:rPr>
      </w:pPr>
    </w:p>
    <w:p>
      <w:pPr>
        <w:jc w:val="both"/>
        <w:ind w:right="20" w:firstLine="1304"/>
        <w:spacing w:after="0" w:line="358" w:lineRule="auto"/>
        <w:tabs>
          <w:tab w:leader="none" w:pos="2089" w:val="left"/>
        </w:tabs>
        <w:numPr>
          <w:ilvl w:val="0"/>
          <w:numId w:val="424"/>
        </w:numPr>
        <w:rPr>
          <w:rFonts w:ascii="Arial" w:cs="Arial" w:eastAsia="Arial" w:hAnsi="Arial"/>
          <w:sz w:val="19"/>
          <w:szCs w:val="19"/>
          <w:color w:val="auto"/>
        </w:rPr>
      </w:pPr>
      <w:r>
        <w:rPr>
          <w:rFonts w:ascii="Arial" w:cs="Arial" w:eastAsia="Arial" w:hAnsi="Arial"/>
          <w:sz w:val="19"/>
          <w:szCs w:val="19"/>
          <w:color w:val="auto"/>
        </w:rPr>
        <w:t xml:space="preserve">All amounts due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shall be payable not later than ten (10) Business Days after written demand therefor and presentation of any documents required to be delivered in connection therewith.</w:t>
      </w:r>
    </w:p>
    <w:p>
      <w:pPr>
        <w:spacing w:after="0" w:line="104" w:lineRule="exact"/>
        <w:rPr>
          <w:sz w:val="20"/>
          <w:szCs w:val="20"/>
          <w:color w:val="auto"/>
        </w:rPr>
      </w:pPr>
    </w:p>
    <w:p>
      <w:pPr>
        <w:ind w:left="1300"/>
        <w:spacing w:after="0"/>
        <w:tabs>
          <w:tab w:leader="none" w:pos="326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03" w:lineRule="auto"/>
        <w:tabs>
          <w:tab w:leader="none" w:pos="2116"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57" w:lineRule="exact"/>
        <w:rPr>
          <w:rFonts w:ascii="Arial" w:cs="Arial" w:eastAsia="Arial" w:hAnsi="Arial"/>
          <w:sz w:val="19"/>
          <w:szCs w:val="19"/>
          <w:color w:val="auto"/>
        </w:rPr>
      </w:pPr>
    </w:p>
    <w:p>
      <w:pPr>
        <w:jc w:val="both"/>
        <w:ind w:firstLine="1304"/>
        <w:spacing w:after="0" w:line="279" w:lineRule="auto"/>
        <w:tabs>
          <w:tab w:leader="none" w:pos="2223" w:val="left"/>
        </w:tabs>
        <w:numPr>
          <w:ilvl w:val="0"/>
          <w:numId w:val="425"/>
        </w:numPr>
        <w:rPr>
          <w:rFonts w:ascii="Arial" w:cs="Arial" w:eastAsia="Arial" w:hAnsi="Arial"/>
          <w:sz w:val="21"/>
          <w:szCs w:val="21"/>
          <w:color w:val="auto"/>
        </w:rPr>
      </w:pPr>
      <w:r>
        <w:rPr>
          <w:rFonts w:ascii="Arial" w:cs="Arial" w:eastAsia="Arial" w:hAnsi="Arial"/>
          <w:sz w:val="21"/>
          <w:szCs w:val="21"/>
          <w:color w:val="auto"/>
        </w:rPr>
        <w:t xml:space="preserve">(i) Subject to the conditions set forth in this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(including </w:t>
      </w:r>
      <w:r>
        <w:rPr>
          <w:rFonts w:ascii="Arial" w:cs="Arial" w:eastAsia="Arial" w:hAnsi="Arial"/>
          <w:sz w:val="21"/>
          <w:szCs w:val="21"/>
          <w:u w:val="single" w:color="auto"/>
          <w:color w:val="auto"/>
        </w:rPr>
        <w:t>subparagraph (b)(ii)</w:t>
      </w:r>
      <w:r>
        <w:rPr>
          <w:rFonts w:ascii="Arial" w:cs="Arial" w:eastAsia="Arial" w:hAnsi="Arial"/>
          <w:sz w:val="21"/>
          <w:szCs w:val="21"/>
          <w:color w:val="auto"/>
        </w:rPr>
        <w:t xml:space="preserve"> 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Arial" w:cs="Arial" w:eastAsia="Arial" w:hAnsi="Arial"/>
          <w:sz w:val="21"/>
          <w:szCs w:val="21"/>
          <w:u w:val="single" w:color="auto"/>
          <w:color w:val="auto"/>
        </w:rPr>
        <w:t>Section 4.03</w:t>
      </w:r>
      <w:r>
        <w:rPr>
          <w:rFonts w:ascii="Arial" w:cs="Arial" w:eastAsia="Arial" w:hAnsi="Arial"/>
          <w:sz w:val="21"/>
          <w:szCs w:val="21"/>
          <w:color w:val="auto"/>
        </w:rPr>
        <w:t>, delayed or conditioned) of:</w:t>
      </w:r>
    </w:p>
    <w:p>
      <w:pPr>
        <w:spacing w:after="0" w:line="173" w:lineRule="exact"/>
        <w:rPr>
          <w:rFonts w:ascii="Arial" w:cs="Arial" w:eastAsia="Arial" w:hAnsi="Arial"/>
          <w:sz w:val="21"/>
          <w:szCs w:val="21"/>
          <w:color w:val="auto"/>
        </w:rPr>
      </w:pPr>
    </w:p>
    <w:p>
      <w:pPr>
        <w:jc w:val="both"/>
        <w:ind w:left="1300" w:firstLine="652"/>
        <w:spacing w:after="0" w:line="279" w:lineRule="auto"/>
        <w:tabs>
          <w:tab w:leader="none" w:pos="2815" w:val="left"/>
        </w:tabs>
        <w:numPr>
          <w:ilvl w:val="1"/>
          <w:numId w:val="425"/>
        </w:numPr>
        <w:rPr>
          <w:rFonts w:ascii="Arial" w:cs="Arial" w:eastAsia="Arial" w:hAnsi="Arial"/>
          <w:sz w:val="21"/>
          <w:szCs w:val="21"/>
          <w:color w:val="010000"/>
        </w:rPr>
      </w:pPr>
      <w:r>
        <w:rPr>
          <w:rFonts w:ascii="Arial" w:cs="Arial" w:eastAsia="Arial" w:hAnsi="Arial"/>
          <w:sz w:val="21"/>
          <w:szCs w:val="21"/>
          <w:color w:val="auto"/>
        </w:rPr>
        <w:t xml:space="preserve">The Borrowers,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Borrowers shall be required for an assignment to a Lender (provided such Lender is a U.S. Qualifying Lender), an Affiliate of a Lender (provided such Affiliate is a U.S. Qualifying Lender), an Approved Fund (provided such Approved Fund is a U.S. Qualifying Lender) or, if an Event of Default has occurred and is continuing, any other assignee; and</w:t>
      </w:r>
    </w:p>
    <w:p>
      <w:pPr>
        <w:spacing w:after="0" w:line="173" w:lineRule="exact"/>
        <w:rPr>
          <w:rFonts w:ascii="Arial" w:cs="Arial" w:eastAsia="Arial" w:hAnsi="Arial"/>
          <w:sz w:val="21"/>
          <w:szCs w:val="21"/>
          <w:color w:val="010000"/>
        </w:rPr>
      </w:pPr>
    </w:p>
    <w:p>
      <w:pPr>
        <w:ind w:left="1300" w:firstLine="652"/>
        <w:spacing w:after="0" w:line="276" w:lineRule="auto"/>
        <w:tabs>
          <w:tab w:leader="none" w:pos="2789" w:val="left"/>
        </w:tabs>
        <w:numPr>
          <w:ilvl w:val="1"/>
          <w:numId w:val="425"/>
        </w:numPr>
        <w:rPr>
          <w:rFonts w:ascii="Arial" w:cs="Arial" w:eastAsia="Arial" w:hAnsi="Arial"/>
          <w:sz w:val="22"/>
          <w:szCs w:val="22"/>
          <w:color w:val="010000"/>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an Affiliate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3" w:name="page374"/>
    <w:bookmarkEnd w:id="373"/>
    <w:p>
      <w:pPr>
        <w:ind w:left="180"/>
        <w:spacing w:after="0"/>
        <w:rPr>
          <w:sz w:val="20"/>
          <w:szCs w:val="20"/>
          <w:color w:val="auto"/>
        </w:rPr>
      </w:pPr>
      <w:r>
        <w:rPr>
          <w:rFonts w:ascii="Arial" w:cs="Arial" w:eastAsia="Arial" w:hAnsi="Arial"/>
          <w:sz w:val="22"/>
          <w:szCs w:val="22"/>
          <w:color w:val="auto"/>
        </w:rPr>
        <w:t>of a Lender, an Approved Fund immediately prior to giving effect to such assignment; and</w:t>
      </w:r>
    </w:p>
    <w:p>
      <w:pPr>
        <w:spacing w:after="0" w:line="233" w:lineRule="exact"/>
        <w:rPr>
          <w:sz w:val="20"/>
          <w:szCs w:val="20"/>
          <w:color w:val="auto"/>
        </w:rPr>
      </w:pPr>
    </w:p>
    <w:p>
      <w:pPr>
        <w:ind w:left="1660" w:hanging="828"/>
        <w:spacing w:after="0"/>
        <w:tabs>
          <w:tab w:leader="none" w:pos="1660" w:val="left"/>
        </w:tabs>
        <w:numPr>
          <w:ilvl w:val="0"/>
          <w:numId w:val="426"/>
        </w:numPr>
        <w:rPr>
          <w:rFonts w:ascii="Arial" w:cs="Arial" w:eastAsia="Arial" w:hAnsi="Arial"/>
          <w:sz w:val="22"/>
          <w:szCs w:val="22"/>
          <w:color w:val="010000"/>
        </w:rPr>
      </w:pPr>
      <w:r>
        <w:rPr>
          <w:rFonts w:ascii="Arial" w:cs="Arial" w:eastAsia="Arial" w:hAnsi="Arial"/>
          <w:sz w:val="22"/>
          <w:szCs w:val="22"/>
          <w:color w:val="auto"/>
        </w:rPr>
        <w:t>each Issuing Bank;</w:t>
      </w:r>
    </w:p>
    <w:p>
      <w:pPr>
        <w:spacing w:after="0" w:line="233" w:lineRule="exact"/>
        <w:rPr>
          <w:sz w:val="20"/>
          <w:szCs w:val="20"/>
          <w:color w:val="auto"/>
        </w:rPr>
      </w:pPr>
    </w:p>
    <w:p>
      <w:pPr>
        <w:jc w:val="both"/>
        <w:ind w:left="180"/>
        <w:spacing w:after="0" w:line="26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consent to an assignment required by the Borrowers under this </w:t>
      </w:r>
      <w:r>
        <w:rPr>
          <w:rFonts w:ascii="Arial" w:cs="Arial" w:eastAsia="Arial" w:hAnsi="Arial"/>
          <w:sz w:val="22"/>
          <w:szCs w:val="22"/>
          <w:u w:val="single" w:color="auto"/>
          <w:color w:val="auto"/>
        </w:rPr>
        <w:t>Section 11.05(b)(i)</w:t>
      </w:r>
      <w:r>
        <w:rPr>
          <w:rFonts w:ascii="Arial" w:cs="Arial" w:eastAsia="Arial" w:hAnsi="Arial"/>
          <w:sz w:val="22"/>
          <w:szCs w:val="22"/>
          <w:color w:val="auto"/>
        </w:rPr>
        <w:t xml:space="preserve"> shall be deemed to have been given by the Borrowers unless it shall have objected thereto by written notice to the Administrative Agent within ten (10) Business Days after receiving a written request for its consent to such assignment.</w:t>
      </w:r>
    </w:p>
    <w:p>
      <w:pPr>
        <w:spacing w:after="0" w:line="191" w:lineRule="exact"/>
        <w:rPr>
          <w:sz w:val="20"/>
          <w:szCs w:val="20"/>
          <w:color w:val="auto"/>
        </w:rPr>
      </w:pPr>
    </w:p>
    <w:p>
      <w:pPr>
        <w:ind w:left="1640" w:hanging="808"/>
        <w:spacing w:after="0"/>
        <w:tabs>
          <w:tab w:leader="none" w:pos="1640" w:val="left"/>
        </w:tabs>
        <w:numPr>
          <w:ilvl w:val="0"/>
          <w:numId w:val="427"/>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33" w:lineRule="exact"/>
        <w:rPr>
          <w:sz w:val="20"/>
          <w:szCs w:val="20"/>
          <w:color w:val="auto"/>
        </w:rPr>
      </w:pPr>
    </w:p>
    <w:p>
      <w:pPr>
        <w:jc w:val="both"/>
        <w:ind w:left="180" w:firstLine="652"/>
        <w:spacing w:after="0" w:line="271" w:lineRule="exact"/>
        <w:tabs>
          <w:tab w:leader="none" w:pos="1695" w:val="left"/>
        </w:tabs>
        <w:numPr>
          <w:ilvl w:val="0"/>
          <w:numId w:val="428"/>
        </w:numPr>
        <w:rPr>
          <w:rFonts w:ascii="Arial" w:cs="Arial" w:eastAsia="Arial" w:hAnsi="Arial"/>
          <w:sz w:val="19"/>
          <w:szCs w:val="19"/>
          <w:color w:val="010000"/>
        </w:rPr>
      </w:pPr>
      <w:r>
        <w:rPr>
          <w:rFonts w:ascii="Arial" w:cs="Arial" w:eastAsia="Arial" w:hAnsi="Arial"/>
          <w:sz w:val="19"/>
          <w:szCs w:val="19"/>
          <w:color w:val="auto"/>
        </w:rPr>
        <w:t>except in the case of an assignment to a Lender, an Affiliate of a Lender or an Approved Fund or an 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w:t>
      </w:r>
      <w:r>
        <w:rPr>
          <w:rFonts w:ascii="MS PGothic" w:cs="MS PGothic" w:eastAsia="MS PGothic" w:hAnsi="MS PGothic"/>
          <w:sz w:val="19"/>
          <w:szCs w:val="19"/>
          <w:color w:val="auto"/>
        </w:rPr>
        <w:t>‑</w:t>
      </w:r>
      <w:r>
        <w:rPr>
          <w:rFonts w:ascii="Arial" w:cs="Arial" w:eastAsia="Arial" w:hAnsi="Arial"/>
          <w:sz w:val="19"/>
          <w:szCs w:val="19"/>
          <w:color w:val="auto"/>
        </w:rPr>
        <w:t xml:space="preserve">Bermuda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Borrowers shall be required if an Event of Default has occurred and is continuing;</w:t>
      </w:r>
    </w:p>
    <w:p>
      <w:pPr>
        <w:spacing w:after="0" w:line="213" w:lineRule="exact"/>
        <w:rPr>
          <w:rFonts w:ascii="Arial" w:cs="Arial" w:eastAsia="Arial" w:hAnsi="Arial"/>
          <w:sz w:val="19"/>
          <w:szCs w:val="19"/>
          <w:color w:val="010000"/>
        </w:rPr>
      </w:pPr>
    </w:p>
    <w:p>
      <w:pPr>
        <w:ind w:left="180" w:right="20" w:firstLine="652"/>
        <w:spacing w:after="0" w:line="276" w:lineRule="auto"/>
        <w:tabs>
          <w:tab w:leader="none" w:pos="1993" w:val="left"/>
        </w:tabs>
        <w:numPr>
          <w:ilvl w:val="0"/>
          <w:numId w:val="428"/>
        </w:numPr>
        <w:rPr>
          <w:rFonts w:ascii="Arial" w:cs="Arial" w:eastAsia="Arial" w:hAnsi="Arial"/>
          <w:sz w:val="22"/>
          <w:szCs w:val="22"/>
          <w:color w:val="010000"/>
        </w:rPr>
      </w:pPr>
      <w:r>
        <w:rPr>
          <w:rFonts w:ascii="Arial" w:cs="Arial" w:eastAsia="Arial" w:hAnsi="Arial"/>
          <w:sz w:val="22"/>
          <w:szCs w:val="22"/>
          <w:color w:val="auto"/>
        </w:rPr>
        <w:t>each partial assignment shall be made as an assignment of a proportionate part of all the assigning Lender’s rights and obligations under this Agreement;</w:t>
      </w:r>
    </w:p>
    <w:p>
      <w:pPr>
        <w:spacing w:after="0" w:line="174" w:lineRule="exact"/>
        <w:rPr>
          <w:rFonts w:ascii="Arial" w:cs="Arial" w:eastAsia="Arial" w:hAnsi="Arial"/>
          <w:sz w:val="22"/>
          <w:szCs w:val="22"/>
          <w:color w:val="010000"/>
        </w:rPr>
      </w:pPr>
    </w:p>
    <w:p>
      <w:pPr>
        <w:ind w:left="180" w:right="20" w:firstLine="652"/>
        <w:spacing w:after="0" w:line="276" w:lineRule="auto"/>
        <w:tabs>
          <w:tab w:leader="none" w:pos="2061" w:val="left"/>
        </w:tabs>
        <w:numPr>
          <w:ilvl w:val="0"/>
          <w:numId w:val="428"/>
        </w:numPr>
        <w:rPr>
          <w:rFonts w:ascii="Arial" w:cs="Arial" w:eastAsia="Arial" w:hAnsi="Arial"/>
          <w:sz w:val="22"/>
          <w:szCs w:val="22"/>
          <w:color w:val="010000"/>
        </w:rPr>
      </w:pPr>
      <w:r>
        <w:rPr>
          <w:rFonts w:ascii="Arial" w:cs="Arial" w:eastAsia="Arial" w:hAnsi="Arial"/>
          <w:sz w:val="22"/>
          <w:szCs w:val="22"/>
          <w:color w:val="auto"/>
        </w:rPr>
        <w:t>the parties to each assignment shall execute and deliver to the Administrative Agent an Assignment and Assumption, together with a processing and recordation fee of $3,500;</w:t>
      </w:r>
    </w:p>
    <w:p>
      <w:pPr>
        <w:spacing w:after="0" w:line="174" w:lineRule="exact"/>
        <w:rPr>
          <w:rFonts w:ascii="Arial" w:cs="Arial" w:eastAsia="Arial" w:hAnsi="Arial"/>
          <w:sz w:val="22"/>
          <w:szCs w:val="22"/>
          <w:color w:val="010000"/>
        </w:rPr>
      </w:pPr>
    </w:p>
    <w:p>
      <w:pPr>
        <w:jc w:val="both"/>
        <w:ind w:left="180" w:firstLine="652"/>
        <w:spacing w:after="0" w:line="260" w:lineRule="auto"/>
        <w:tabs>
          <w:tab w:leader="none" w:pos="2154" w:val="left"/>
        </w:tabs>
        <w:numPr>
          <w:ilvl w:val="0"/>
          <w:numId w:val="428"/>
        </w:numPr>
        <w:rPr>
          <w:rFonts w:ascii="Arial" w:cs="Arial" w:eastAsia="Arial" w:hAnsi="Arial"/>
          <w:sz w:val="22"/>
          <w:szCs w:val="22"/>
          <w:color w:val="010000"/>
        </w:rPr>
      </w:pPr>
      <w:r>
        <w:rPr>
          <w:rFonts w:ascii="Arial" w:cs="Arial" w:eastAsia="Arial" w:hAnsi="Arial"/>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91" w:lineRule="exact"/>
        <w:rPr>
          <w:rFonts w:ascii="Arial" w:cs="Arial" w:eastAsia="Arial" w:hAnsi="Arial"/>
          <w:sz w:val="22"/>
          <w:szCs w:val="22"/>
          <w:color w:val="010000"/>
        </w:rPr>
      </w:pPr>
    </w:p>
    <w:p>
      <w:pPr>
        <w:jc w:val="both"/>
        <w:ind w:left="180" w:firstLine="652"/>
        <w:spacing w:after="0" w:line="317" w:lineRule="auto"/>
        <w:tabs>
          <w:tab w:leader="none" w:pos="1887" w:val="left"/>
        </w:tabs>
        <w:numPr>
          <w:ilvl w:val="0"/>
          <w:numId w:val="428"/>
        </w:numPr>
        <w:rPr>
          <w:rFonts w:ascii="Arial" w:cs="Arial" w:eastAsia="Arial" w:hAnsi="Arial"/>
          <w:sz w:val="19"/>
          <w:szCs w:val="19"/>
          <w:color w:val="010000"/>
        </w:rPr>
      </w:pPr>
      <w:r>
        <w:rPr>
          <w:rFonts w:ascii="Arial" w:cs="Arial" w:eastAsia="Arial" w:hAnsi="Arial"/>
          <w:sz w:val="19"/>
          <w:szCs w:val="19"/>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4.02(e)</w:t>
      </w:r>
      <w:r>
        <w:rPr>
          <w:rFonts w:ascii="Arial" w:cs="Arial" w:eastAsia="Arial" w:hAnsi="Arial"/>
          <w:sz w:val="19"/>
          <w:szCs w:val="19"/>
          <w:color w:val="auto"/>
        </w:rPr>
        <w:t xml:space="preserve"> for any Lender, and no assignment shall be effective in connection herewith unless and until such forms are so delivered;</w:t>
      </w:r>
    </w:p>
    <w:p>
      <w:pPr>
        <w:spacing w:after="0" w:line="14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374" w:name="page375"/>
    <w:bookmarkEnd w:id="374"/>
    <w:p>
      <w:pPr>
        <w:jc w:val="both"/>
        <w:ind w:left="640" w:firstLine="652"/>
        <w:spacing w:after="0" w:line="266" w:lineRule="auto"/>
        <w:tabs>
          <w:tab w:leader="none" w:pos="2132" w:val="left"/>
        </w:tabs>
        <w:numPr>
          <w:ilvl w:val="0"/>
          <w:numId w:val="429"/>
        </w:numPr>
        <w:rPr>
          <w:rFonts w:ascii="Arial" w:cs="Arial" w:eastAsia="Arial" w:hAnsi="Arial"/>
          <w:sz w:val="22"/>
          <w:szCs w:val="22"/>
          <w:color w:val="010000"/>
        </w:rPr>
      </w:pPr>
      <w:r>
        <w:rPr>
          <w:rFonts w:ascii="Arial" w:cs="Arial" w:eastAsia="Arial" w:hAnsi="Arial"/>
          <w:sz w:val="22"/>
          <w:szCs w:val="22"/>
          <w:color w:val="auto"/>
        </w:rPr>
        <w:t>except in the case when no consent of the Borrowers is required because an Event of Default has occurred and is continuing, no assignment shall be made to any such assignee unless such assignee is a U.S. Qualifying Lender;</w:t>
      </w:r>
    </w:p>
    <w:p>
      <w:pPr>
        <w:spacing w:after="0" w:line="184" w:lineRule="exact"/>
        <w:rPr>
          <w:rFonts w:ascii="Arial" w:cs="Arial" w:eastAsia="Arial" w:hAnsi="Arial"/>
          <w:sz w:val="22"/>
          <w:szCs w:val="22"/>
          <w:color w:val="010000"/>
        </w:rPr>
      </w:pPr>
    </w:p>
    <w:p>
      <w:pPr>
        <w:ind w:left="2140" w:hanging="848"/>
        <w:spacing w:after="0"/>
        <w:tabs>
          <w:tab w:leader="none" w:pos="2140" w:val="left"/>
        </w:tabs>
        <w:numPr>
          <w:ilvl w:val="0"/>
          <w:numId w:val="429"/>
        </w:numPr>
        <w:rPr>
          <w:rFonts w:ascii="Arial" w:cs="Arial" w:eastAsia="Arial" w:hAnsi="Arial"/>
          <w:sz w:val="22"/>
          <w:szCs w:val="22"/>
          <w:color w:val="010000"/>
        </w:rPr>
      </w:pPr>
      <w:r>
        <w:rPr>
          <w:rFonts w:ascii="Arial" w:cs="Arial" w:eastAsia="Arial" w:hAnsi="Arial"/>
          <w:sz w:val="22"/>
          <w:szCs w:val="22"/>
          <w:color w:val="auto"/>
        </w:rPr>
        <w:t>no assignment shall be made to an Ineligible Institution; and</w:t>
      </w:r>
    </w:p>
    <w:p>
      <w:pPr>
        <w:spacing w:after="0" w:line="233" w:lineRule="exact"/>
        <w:rPr>
          <w:rFonts w:ascii="Arial" w:cs="Arial" w:eastAsia="Arial" w:hAnsi="Arial"/>
          <w:sz w:val="22"/>
          <w:szCs w:val="22"/>
          <w:color w:val="010000"/>
        </w:rPr>
      </w:pPr>
    </w:p>
    <w:p>
      <w:pPr>
        <w:ind w:left="640" w:firstLine="652"/>
        <w:spacing w:after="0" w:line="276" w:lineRule="auto"/>
        <w:tabs>
          <w:tab w:leader="none" w:pos="2222" w:val="left"/>
        </w:tabs>
        <w:numPr>
          <w:ilvl w:val="0"/>
          <w:numId w:val="429"/>
        </w:numPr>
        <w:rPr>
          <w:rFonts w:ascii="Arial" w:cs="Arial" w:eastAsia="Arial" w:hAnsi="Arial"/>
          <w:sz w:val="22"/>
          <w:szCs w:val="22"/>
          <w:color w:val="010000"/>
        </w:rPr>
      </w:pPr>
      <w:r>
        <w:rPr>
          <w:rFonts w:ascii="Arial" w:cs="Arial" w:eastAsia="Arial" w:hAnsi="Arial"/>
          <w:sz w:val="22"/>
          <w:szCs w:val="22"/>
          <w:color w:val="auto"/>
        </w:rPr>
        <w:t>the assignee, if it shall not be a Lender, shall deliver to Parent and the Administrative Agent an Assignee Certificate.</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a consent shall not be unreasonably withheld or delayed and 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Arial" w:cs="Arial" w:eastAsia="Arial" w:hAnsi="Arial"/>
          <w:sz w:val="19"/>
          <w:szCs w:val="19"/>
          <w:u w:val="single" w:color="auto"/>
          <w:color w:val="auto"/>
        </w:rPr>
        <w:t>Section 11.05(b)(ii)(E)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above, Barclays Bank PLC may assign its Commitments hereunder to Barclays Bank Ireland PLC.</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11.05</w:t>
      </w:r>
      <w:r>
        <w:rPr>
          <w:rFonts w:ascii="Arial" w:cs="Arial" w:eastAsia="Arial" w:hAnsi="Arial"/>
          <w:sz w:val="19"/>
          <w:szCs w:val="19"/>
          <w:color w:val="auto"/>
        </w:rPr>
        <w:t>, the terms “</w:t>
      </w:r>
      <w:r>
        <w:rPr>
          <w:rFonts w:ascii="Arial" w:cs="Arial" w:eastAsia="Arial" w:hAnsi="Arial"/>
          <w:sz w:val="19"/>
          <w:szCs w:val="19"/>
          <w:u w:val="single" w:color="auto"/>
          <w:color w:val="auto"/>
        </w:rPr>
        <w:t>Approved Fund</w:t>
      </w:r>
      <w:r>
        <w:rPr>
          <w:rFonts w:ascii="Arial" w:cs="Arial" w:eastAsia="Arial" w:hAnsi="Arial"/>
          <w:sz w:val="19"/>
          <w:szCs w:val="19"/>
          <w:color w:val="auto"/>
        </w:rPr>
        <w:t>” and “</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have the following meanings: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9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xml:space="preserve">” 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upon the occurrence and during the continuance of an Event of Default, any Person (other than a Lender) shall be an Ineligible Institution if after giving effect to any proposed assignment to such Person, such</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50165</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375" w:name="page376"/>
    <w:bookmarkEnd w:id="375"/>
    <w:p>
      <w:pPr>
        <w:ind w:left="660"/>
        <w:spacing w:after="0"/>
        <w:rPr>
          <w:sz w:val="20"/>
          <w:szCs w:val="20"/>
          <w:color w:val="auto"/>
        </w:rPr>
      </w:pPr>
      <w:r>
        <w:rPr>
          <w:rFonts w:ascii="Arial" w:cs="Arial" w:eastAsia="Arial" w:hAnsi="Arial"/>
          <w:sz w:val="22"/>
          <w:szCs w:val="22"/>
          <w:color w:val="auto"/>
        </w:rPr>
        <w:t>Person would hold more than 25% of the then outstanding Commitments, as the case may be.</w:t>
      </w:r>
    </w:p>
    <w:p>
      <w:pPr>
        <w:spacing w:after="0" w:line="233" w:lineRule="exact"/>
        <w:rPr>
          <w:sz w:val="20"/>
          <w:szCs w:val="20"/>
          <w:color w:val="auto"/>
        </w:rPr>
      </w:pPr>
    </w:p>
    <w:p>
      <w:pPr>
        <w:jc w:val="both"/>
        <w:ind w:left="660" w:firstLine="1292"/>
        <w:spacing w:after="0" w:line="303" w:lineRule="auto"/>
        <w:tabs>
          <w:tab w:leader="none" w:pos="3009" w:val="left"/>
        </w:tabs>
        <w:numPr>
          <w:ilvl w:val="0"/>
          <w:numId w:val="430"/>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subparagraph (b)(iv)</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2.07</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w:t>
      </w:r>
    </w:p>
    <w:p>
      <w:pPr>
        <w:spacing w:after="0" w:line="157" w:lineRule="exact"/>
        <w:rPr>
          <w:rFonts w:ascii="Arial" w:cs="Arial" w:eastAsia="Arial" w:hAnsi="Arial"/>
          <w:sz w:val="19"/>
          <w:szCs w:val="19"/>
          <w:color w:val="auto"/>
        </w:rPr>
      </w:pPr>
    </w:p>
    <w:p>
      <w:pPr>
        <w:jc w:val="both"/>
        <w:ind w:left="660" w:firstLine="1292"/>
        <w:spacing w:after="0" w:line="304" w:lineRule="auto"/>
        <w:tabs>
          <w:tab w:leader="none" w:pos="2821" w:val="left"/>
        </w:tabs>
        <w:numPr>
          <w:ilvl w:val="0"/>
          <w:numId w:val="430"/>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LC Disbursements owing by each Borrower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155" w:lineRule="exact"/>
        <w:rPr>
          <w:rFonts w:ascii="Arial" w:cs="Arial" w:eastAsia="Arial" w:hAnsi="Arial"/>
          <w:sz w:val="19"/>
          <w:szCs w:val="19"/>
          <w:color w:val="auto"/>
        </w:rPr>
      </w:pPr>
    </w:p>
    <w:p>
      <w:pPr>
        <w:jc w:val="both"/>
        <w:ind w:left="660" w:firstLine="1292"/>
        <w:spacing w:after="0" w:line="303" w:lineRule="auto"/>
        <w:tabs>
          <w:tab w:leader="none" w:pos="2991" w:val="left"/>
        </w:tabs>
        <w:numPr>
          <w:ilvl w:val="0"/>
          <w:numId w:val="430"/>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permitted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such assignee’s completed Administrative Questionnaire (unless such assignee shall already be a Lender hereunder), the processing and recordation fee referred to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any written consent to such assignment required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such assignee shall have failed to make any payment required to be made by it pursuant to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11.04(a)</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8" w:lineRule="exact"/>
        <w:rPr>
          <w:sz w:val="20"/>
          <w:szCs w:val="20"/>
          <w:color w:val="auto"/>
        </w:rPr>
      </w:pPr>
    </w:p>
    <w:p>
      <w:pPr>
        <w:ind w:right="20" w:firstLine="1304"/>
        <w:spacing w:after="0" w:line="276" w:lineRule="auto"/>
        <w:tabs>
          <w:tab w:leader="none" w:pos="2116" w:val="left"/>
        </w:tabs>
        <w:numPr>
          <w:ilvl w:val="0"/>
          <w:numId w:val="431"/>
        </w:numPr>
        <w:rPr>
          <w:rFonts w:ascii="Arial" w:cs="Arial" w:eastAsia="Arial" w:hAnsi="Arial"/>
          <w:sz w:val="22"/>
          <w:szCs w:val="22"/>
          <w:color w:val="auto"/>
        </w:rPr>
      </w:pPr>
      <w:r>
        <w:rPr>
          <w:rFonts w:ascii="Arial" w:cs="Arial" w:eastAsia="Arial" w:hAnsi="Arial"/>
          <w:sz w:val="22"/>
          <w:szCs w:val="22"/>
          <w:color w:val="auto"/>
        </w:rPr>
        <w:t>(i) Except as otherwise provided in this Agreement or any other Loan Document, any Lender may, without the consent of any Obligor, the Administrative Agent or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6" w:name="page377"/>
    <w:bookmarkEnd w:id="376"/>
    <w:p>
      <w:pPr>
        <w:jc w:val="both"/>
        <w:spacing w:after="0" w:line="297" w:lineRule="auto"/>
        <w:rPr>
          <w:sz w:val="20"/>
          <w:szCs w:val="20"/>
          <w:color w:val="auto"/>
        </w:rPr>
      </w:pPr>
      <w:r>
        <w:rPr>
          <w:rFonts w:ascii="Arial" w:cs="Arial" w:eastAsia="Arial" w:hAnsi="Arial"/>
          <w:sz w:val="19"/>
          <w:szCs w:val="19"/>
          <w:color w:val="auto"/>
        </w:rPr>
        <w:t>Issuing Bank, sell participations to one or more banks or other entities other than an Ineligible Institution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11.01(b)</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subparagraph (c)</w:t>
      </w:r>
    </w:p>
    <w:p>
      <w:pPr>
        <w:jc w:val="both"/>
        <w:ind w:firstLine="8"/>
        <w:spacing w:after="0" w:line="299" w:lineRule="auto"/>
        <w:tabs>
          <w:tab w:leader="none" w:pos="335" w:val="left"/>
        </w:tabs>
        <w:numPr>
          <w:ilvl w:val="0"/>
          <w:numId w:val="432"/>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each Borrower agrees that each Participant shall be entitled to the benefits of </w:t>
      </w:r>
      <w:r>
        <w:rPr>
          <w:rFonts w:ascii="Arial" w:cs="Arial" w:eastAsia="Arial" w:hAnsi="Arial"/>
          <w:sz w:val="19"/>
          <w:szCs w:val="19"/>
          <w:u w:val="single" w:color="auto"/>
          <w:color w:val="auto"/>
        </w:rPr>
        <w:t>Sections 2.07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To the extent permitted by law, each Participant also shall be entitled to the benefits of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and to deliver the forms required by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4.02(h)</w:t>
      </w:r>
      <w:r>
        <w:rPr>
          <w:rFonts w:ascii="Arial" w:cs="Arial" w:eastAsia="Arial" w:hAnsi="Arial"/>
          <w:sz w:val="19"/>
          <w:szCs w:val="19"/>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but not limited to, </w:t>
      </w:r>
      <w:r>
        <w:rPr>
          <w:rFonts w:ascii="Arial" w:cs="Arial" w:eastAsia="Arial" w:hAnsi="Arial"/>
          <w:sz w:val="19"/>
          <w:szCs w:val="19"/>
          <w:u w:val="single" w:color="auto"/>
          <w:color w:val="auto"/>
        </w:rPr>
        <w:t>Section 11.05(c)(ii)</w:t>
      </w:r>
      <w:r>
        <w:rPr>
          <w:rFonts w:ascii="Arial" w:cs="Arial" w:eastAsia="Arial" w:hAnsi="Arial"/>
          <w:sz w:val="19"/>
          <w:szCs w:val="19"/>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40" w:lineRule="exact"/>
        <w:rPr>
          <w:sz w:val="20"/>
          <w:szCs w:val="20"/>
          <w:color w:val="auto"/>
        </w:rPr>
      </w:pPr>
    </w:p>
    <w:p>
      <w:pPr>
        <w:jc w:val="both"/>
        <w:ind w:left="660" w:firstLine="1292"/>
        <w:spacing w:after="0" w:line="279" w:lineRule="auto"/>
        <w:tabs>
          <w:tab w:leader="none" w:pos="2881" w:val="left"/>
        </w:tabs>
        <w:numPr>
          <w:ilvl w:val="0"/>
          <w:numId w:val="433"/>
        </w:numPr>
        <w:rPr>
          <w:rFonts w:ascii="Arial" w:cs="Arial" w:eastAsia="Arial" w:hAnsi="Arial"/>
          <w:sz w:val="21"/>
          <w:szCs w:val="21"/>
          <w:color w:val="auto"/>
        </w:rPr>
      </w:pPr>
      <w:r>
        <w:rPr>
          <w:rFonts w:ascii="Arial" w:cs="Arial" w:eastAsia="Arial" w:hAnsi="Arial"/>
          <w:sz w:val="21"/>
          <w:szCs w:val="21"/>
          <w:color w:val="auto"/>
        </w:rPr>
        <w:t xml:space="preserve">A Participant shall not be entitled to receive any greater payment under </w:t>
      </w:r>
      <w:r>
        <w:rPr>
          <w:rFonts w:ascii="Arial" w:cs="Arial" w:eastAsia="Arial" w:hAnsi="Arial"/>
          <w:sz w:val="21"/>
          <w:szCs w:val="21"/>
          <w:u w:val="single" w:color="auto"/>
          <w:color w:val="auto"/>
        </w:rPr>
        <w:t>Sections 2.07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4.02</w:t>
      </w:r>
      <w:r>
        <w:rPr>
          <w:rFonts w:ascii="Arial" w:cs="Arial" w:eastAsia="Arial" w:hAnsi="Arial"/>
          <w:sz w:val="21"/>
          <w:szCs w:val="21"/>
          <w:color w:val="auto"/>
        </w:rPr>
        <w:t xml:space="preserve"> 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7" w:name="page378"/>
    <w:bookmarkEnd w:id="377"/>
    <w:p>
      <w:pPr>
        <w:jc w:val="both"/>
        <w:ind w:left="660"/>
        <w:spacing w:after="0" w:line="262" w:lineRule="auto"/>
        <w:rPr>
          <w:sz w:val="20"/>
          <w:szCs w:val="20"/>
          <w:color w:val="auto"/>
        </w:rPr>
      </w:pPr>
      <w:r>
        <w:rPr>
          <w:rFonts w:ascii="Arial" w:cs="Arial" w:eastAsia="Arial" w:hAnsi="Arial"/>
          <w:sz w:val="22"/>
          <w:szCs w:val="22"/>
          <w:color w:val="auto"/>
        </w:rPr>
        <w:t xml:space="preserve">is made with the Borrowers’ prior written consent. The Borrowers shall be notified of each participation sold to a Participant, and each Participant shall comply with </w:t>
      </w:r>
      <w:r>
        <w:rPr>
          <w:rFonts w:ascii="Arial" w:cs="Arial" w:eastAsia="Arial" w:hAnsi="Arial"/>
          <w:sz w:val="22"/>
          <w:szCs w:val="22"/>
          <w:u w:val="single" w:color="auto"/>
          <w:color w:val="auto"/>
        </w:rPr>
        <w:t>Sections 4.02(c)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4.02(d)</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4.02(e)</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4.03</w:t>
      </w:r>
      <w:r>
        <w:rPr>
          <w:rFonts w:ascii="Arial" w:cs="Arial" w:eastAsia="Arial" w:hAnsi="Arial"/>
          <w:sz w:val="22"/>
          <w:szCs w:val="22"/>
          <w:color w:val="auto"/>
        </w:rPr>
        <w:t xml:space="preserve"> as though it were a Lender. A Participant that fails to comply with the preceding sentence shall not be entitled to any of the benefits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91" w:lineRule="exact"/>
        <w:rPr>
          <w:sz w:val="20"/>
          <w:szCs w:val="20"/>
          <w:color w:val="auto"/>
        </w:rPr>
      </w:pPr>
    </w:p>
    <w:p>
      <w:pPr>
        <w:jc w:val="both"/>
        <w:ind w:firstLine="1304"/>
        <w:spacing w:after="0" w:line="261" w:lineRule="auto"/>
        <w:tabs>
          <w:tab w:leader="none" w:pos="2169" w:val="left"/>
        </w:tabs>
        <w:numPr>
          <w:ilvl w:val="0"/>
          <w:numId w:val="434"/>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90" w:lineRule="exact"/>
        <w:rPr>
          <w:rFonts w:ascii="Arial" w:cs="Arial" w:eastAsia="Arial" w:hAnsi="Arial"/>
          <w:sz w:val="22"/>
          <w:szCs w:val="22"/>
          <w:color w:val="auto"/>
        </w:rPr>
      </w:pPr>
    </w:p>
    <w:p>
      <w:pPr>
        <w:jc w:val="both"/>
        <w:ind w:firstLine="1304"/>
        <w:spacing w:after="0" w:line="262" w:lineRule="auto"/>
        <w:tabs>
          <w:tab w:leader="none" w:pos="2265" w:val="left"/>
        </w:tabs>
        <w:numPr>
          <w:ilvl w:val="0"/>
          <w:numId w:val="434"/>
        </w:numPr>
        <w:rPr>
          <w:rFonts w:ascii="Arial" w:cs="Arial" w:eastAsia="Arial" w:hAnsi="Arial"/>
          <w:sz w:val="22"/>
          <w:szCs w:val="22"/>
          <w:color w:val="auto"/>
        </w:rPr>
      </w:pPr>
      <w:r>
        <w:rPr>
          <w:rFonts w:ascii="Arial" w:cs="Arial" w:eastAsia="Arial" w:hAnsi="Arial"/>
          <w:sz w:val="22"/>
          <w:szCs w:val="22"/>
          <w:color w:val="auto"/>
        </w:rPr>
        <w:t>In case of any assignment or transfer by an 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spacing w:after="0" w:line="19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w:t>
      </w:r>
    </w:p>
    <w:p>
      <w:pPr>
        <w:spacing w:after="0" w:line="1" w:lineRule="exact"/>
        <w:rPr>
          <w:sz w:val="20"/>
          <w:szCs w:val="20"/>
          <w:color w:val="auto"/>
        </w:rPr>
      </w:pPr>
    </w:p>
    <w:p>
      <w:pPr>
        <w:jc w:val="both"/>
        <w:ind w:firstLine="8"/>
        <w:spacing w:after="0" w:line="301" w:lineRule="auto"/>
        <w:tabs>
          <w:tab w:leader="none" w:pos="276" w:val="left"/>
        </w:tabs>
        <w:numPr>
          <w:ilvl w:val="0"/>
          <w:numId w:val="435"/>
        </w:numPr>
        <w:rPr>
          <w:rFonts w:ascii="Arial" w:cs="Arial" w:eastAsia="Arial" w:hAnsi="Arial"/>
          <w:sz w:val="19"/>
          <w:szCs w:val="19"/>
          <w:color w:val="auto"/>
        </w:rPr>
      </w:pPr>
      <w:r>
        <w:rPr>
          <w:rFonts w:ascii="Arial" w:cs="Arial" w:eastAsia="Arial" w:hAnsi="Arial"/>
          <w:sz w:val="19"/>
          <w:szCs w:val="19"/>
          <w:color w:val="auto"/>
        </w:rPr>
        <w:t>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facilities provided for herein or (ii) the CUSIP Service Bureau or any similar agency in connection with the issuance and monitoring of CUSIP numbers with respect to the credit facilities provided for herein.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8" w:name="page379"/>
    <w:bookmarkEnd w:id="378"/>
    <w:p>
      <w:pPr>
        <w:jc w:val="both"/>
        <w:spacing w:after="0" w:line="304" w:lineRule="auto"/>
        <w:rPr>
          <w:sz w:val="20"/>
          <w:szCs w:val="20"/>
          <w:color w:val="auto"/>
        </w:rPr>
      </w:pPr>
      <w:r>
        <w:rPr>
          <w:rFonts w:ascii="Arial" w:cs="Arial" w:eastAsia="Arial" w:hAnsi="Arial"/>
          <w:sz w:val="19"/>
          <w:szCs w:val="19"/>
          <w:color w:val="auto"/>
        </w:rPr>
        <w:t xml:space="preserve">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color w:val="auto"/>
        </w:rPr>
        <w:t>EACH LENDER ACKNOWLEDGES THAT INFORMATION AS DEFINED IN THE IMMEDIATELY PRECEDING PARAGRAPH FURNISHED TO IT PURSUANT TO THIS AGREEMENT MAY INCLUDE MATERIAL NON-PUBLIC INFORMATION CONCERNING THE BORROWERS AND ITS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SECTION 11.07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21"/>
          <w:szCs w:val="21"/>
          <w:u w:val="single" w:color="auto"/>
          <w:color w:val="auto"/>
        </w:rPr>
        <w:t>Sections 2.07</w:t>
      </w:r>
      <w:r>
        <w:rPr>
          <w:rFonts w:ascii="Arial" w:cs="Arial" w:eastAsia="Arial" w:hAnsi="Arial"/>
          <w:sz w:val="21"/>
          <w:szCs w:val="21"/>
          <w:color w:val="auto"/>
        </w:rPr>
        <w:t xml:space="preserve">, </w:t>
      </w:r>
      <w:r>
        <w:rPr>
          <w:rFonts w:ascii="Arial" w:cs="Arial" w:eastAsia="Arial" w:hAnsi="Arial"/>
          <w:sz w:val="21"/>
          <w:szCs w:val="21"/>
          <w:u w:val="single" w:color="auto"/>
          <w:color w:val="auto"/>
        </w:rPr>
        <w:t>3.01, 4.02</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shall survive and remain in full force and in effect regardless of the consummation of the transactions contemplated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9" w:name="page380"/>
    <w:bookmarkEnd w:id="379"/>
    <w:p>
      <w:pPr>
        <w:jc w:val="both"/>
        <w:spacing w:after="0" w:line="276" w:lineRule="auto"/>
        <w:rPr>
          <w:sz w:val="20"/>
          <w:szCs w:val="20"/>
          <w:color w:val="auto"/>
        </w:rPr>
      </w:pPr>
      <w:r>
        <w:rPr>
          <w:rFonts w:ascii="Arial" w:cs="Arial" w:eastAsia="Arial" w:hAnsi="Arial"/>
          <w:sz w:val="22"/>
          <w:szCs w:val="22"/>
          <w:color w:val="auto"/>
        </w:rPr>
        <w:t>hereby, the repayment of the Obligations, the expiration or termination of the Letters of Credit and the Commitments or the termination of this Agreement or any provision hereof.</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11.08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w:t>
      </w:r>
    </w:p>
    <w:p>
      <w:pPr>
        <w:spacing w:after="0" w:line="19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u w:val="single" w:color="auto"/>
          <w:color w:val="auto"/>
        </w:rPr>
        <w:t>Independence of Covenants</w:t>
      </w:r>
      <w:r>
        <w:rPr>
          <w:rFonts w:ascii="Arial" w:cs="Arial" w:eastAsia="Arial" w:hAnsi="Arial"/>
          <w:sz w:val="19"/>
          <w:szCs w:val="19"/>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spacing w:after="0" w:line="14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0" w:name="page381"/>
    <w:bookmarkEnd w:id="380"/>
    <w:p>
      <w:pPr>
        <w:jc w:val="both"/>
        <w:ind w:firstLine="648"/>
        <w:spacing w:after="0" w:line="317"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u w:val="single" w:color="auto"/>
          <w:color w:val="auto"/>
        </w:rPr>
        <w:t>Conflicts Between This Agreement and the Other Loan Documents</w:t>
      </w:r>
      <w:r>
        <w:rPr>
          <w:rFonts w:ascii="Arial" w:cs="Arial" w:eastAsia="Arial" w:hAnsi="Arial"/>
          <w:sz w:val="22"/>
          <w:szCs w:val="22"/>
          <w:color w:val="auto"/>
        </w:rPr>
        <w:t>. In the event of any conflict between, or inconsistency with, the terms of this Agreement and the terms of any of the other Loan Documents, the terms of this Agreement shall control.</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11.14 </w:t>
      </w:r>
      <w:r>
        <w:rPr>
          <w:rFonts w:ascii="Arial" w:cs="Arial" w:eastAsia="Arial" w:hAnsi="Arial"/>
          <w:sz w:val="21"/>
          <w:szCs w:val="21"/>
          <w:u w:val="single" w:color="auto"/>
          <w:color w:val="auto"/>
        </w:rPr>
        <w:t>Limitation of Interest</w:t>
      </w:r>
      <w:r>
        <w:rPr>
          <w:rFonts w:ascii="Arial" w:cs="Arial" w:eastAsia="Arial" w:hAnsi="Arial"/>
          <w:sz w:val="21"/>
          <w:szCs w:val="21"/>
          <w:color w:val="auto"/>
        </w:rPr>
        <w:t>. Notwithstanding anything herein to the contrary, if at any time the interest rate applicable to any amount due hereunder, together with all fees, charges and other amounts which are treated as interest on such amount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u w:val="single" w:color="auto"/>
          <w:color w:val="auto"/>
        </w:rPr>
        <w:t>Maximum Rate</w:t>
      </w:r>
      <w:r>
        <w:rPr>
          <w:rFonts w:ascii="Arial" w:cs="Arial" w:eastAsia="Arial" w:hAnsi="Arial"/>
          <w:sz w:val="21"/>
          <w:szCs w:val="21"/>
          <w:color w:val="auto"/>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Federal Funds Effective Rate to the date of repayment, shall have been received by such Lender.</w:t>
      </w:r>
    </w:p>
    <w:p>
      <w:pPr>
        <w:spacing w:after="0" w:line="189"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auto"/>
        </w:rPr>
        <w:t>SECTION 11.15</w:t>
      </w:r>
      <w:r>
        <w:rPr>
          <w:sz w:val="20"/>
          <w:szCs w:val="20"/>
          <w:color w:val="auto"/>
        </w:rPr>
        <w:tab/>
      </w:r>
      <w:r>
        <w:rPr>
          <w:rFonts w:ascii="Arial" w:cs="Arial" w:eastAsia="Arial" w:hAnsi="Arial"/>
          <w:sz w:val="19"/>
          <w:szCs w:val="19"/>
          <w:u w:val="single" w:color="auto"/>
          <w:color w:val="auto"/>
        </w:rPr>
        <w:t>Submission to Jurisdiction; Consent to Service of Process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2" w:lineRule="auto"/>
        <w:tabs>
          <w:tab w:leader="none" w:pos="2116" w:val="left"/>
        </w:tabs>
        <w:numPr>
          <w:ilvl w:val="0"/>
          <w:numId w:val="436"/>
        </w:numPr>
        <w:rPr>
          <w:rFonts w:ascii="Arial" w:cs="Arial" w:eastAsia="Arial" w:hAnsi="Arial"/>
          <w:sz w:val="19"/>
          <w:szCs w:val="19"/>
          <w:color w:val="auto"/>
        </w:rPr>
      </w:pPr>
      <w:r>
        <w:rPr>
          <w:rFonts w:ascii="Arial" w:cs="Arial" w:eastAsia="Arial" w:hAnsi="Arial"/>
          <w:sz w:val="19"/>
          <w:szCs w:val="19"/>
          <w:color w:val="auto"/>
        </w:rPr>
        <w:t xml:space="preserve">Each Obligor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9"/>
          <w:szCs w:val="19"/>
          <w:u w:val="single" w:color="auto"/>
          <w:color w:val="auto"/>
        </w:rPr>
        <w:t>Section 11.15</w:t>
      </w:r>
      <w:r>
        <w:rPr>
          <w:rFonts w:ascii="Arial" w:cs="Arial" w:eastAsia="Arial" w:hAnsi="Arial"/>
          <w:sz w:val="19"/>
          <w:szCs w:val="19"/>
          <w:color w:val="auto"/>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1" w:name="page382"/>
    <w:bookmarkEnd w:id="381"/>
    <w:p>
      <w:pPr>
        <w:jc w:val="both"/>
        <w:ind w:firstLine="1304"/>
        <w:spacing w:after="0" w:line="261" w:lineRule="auto"/>
        <w:tabs>
          <w:tab w:leader="none" w:pos="2290" w:val="left"/>
        </w:tabs>
        <w:numPr>
          <w:ilvl w:val="0"/>
          <w:numId w:val="437"/>
        </w:numPr>
        <w:rPr>
          <w:rFonts w:ascii="Arial" w:cs="Arial" w:eastAsia="Arial" w:hAnsi="Arial"/>
          <w:sz w:val="22"/>
          <w:szCs w:val="22"/>
          <w:color w:val="auto"/>
        </w:rPr>
      </w:pPr>
      <w:r>
        <w:rPr>
          <w:rFonts w:ascii="Arial" w:cs="Arial" w:eastAsia="Arial" w:hAnsi="Arial"/>
          <w:sz w:val="22"/>
          <w:szCs w:val="22"/>
          <w:color w:val="auto"/>
        </w:rPr>
        <w:t xml:space="preserve">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of this Section. Each Obligor hereby irrevocably waives, to the fullest extent permitted by law, the defense of an inconvenient forum to the maintenance of such action or proceeding in any such court.</w:t>
      </w:r>
    </w:p>
    <w:p>
      <w:pPr>
        <w:spacing w:after="0" w:line="190" w:lineRule="exact"/>
        <w:rPr>
          <w:rFonts w:ascii="Arial" w:cs="Arial" w:eastAsia="Arial" w:hAnsi="Arial"/>
          <w:sz w:val="22"/>
          <w:szCs w:val="22"/>
          <w:color w:val="auto"/>
        </w:rPr>
      </w:pPr>
    </w:p>
    <w:p>
      <w:pPr>
        <w:jc w:val="both"/>
        <w:ind w:firstLine="1304"/>
        <w:spacing w:after="0" w:line="259" w:lineRule="auto"/>
        <w:tabs>
          <w:tab w:leader="none" w:pos="2305" w:val="left"/>
        </w:tabs>
        <w:numPr>
          <w:ilvl w:val="0"/>
          <w:numId w:val="437"/>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11.02</w:t>
      </w:r>
      <w:r>
        <w:rPr>
          <w:rFonts w:ascii="Arial" w:cs="Arial" w:eastAsia="Arial" w:hAnsi="Arial"/>
          <w:sz w:val="22"/>
          <w:szCs w:val="22"/>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111 8th Avenue, New York, New York 10011, as the designee, appointee and agent of such Obligor to receive, for and on behalf of such Obligor, service of process in the State of New York in any suit, action or proceeding arising out of or relating to this Agreement or any other Loan Document.</w:t>
      </w:r>
    </w:p>
    <w:p>
      <w:pPr>
        <w:spacing w:after="0" w:line="195" w:lineRule="exact"/>
        <w:rPr>
          <w:rFonts w:ascii="Arial" w:cs="Arial" w:eastAsia="Arial" w:hAnsi="Arial"/>
          <w:sz w:val="22"/>
          <w:szCs w:val="22"/>
          <w:color w:val="auto"/>
        </w:rPr>
      </w:pPr>
    </w:p>
    <w:p>
      <w:pPr>
        <w:jc w:val="both"/>
        <w:ind w:firstLine="1304"/>
        <w:spacing w:after="0" w:line="311" w:lineRule="auto"/>
        <w:tabs>
          <w:tab w:leader="none" w:pos="2263" w:val="left"/>
        </w:tabs>
        <w:numPr>
          <w:ilvl w:val="0"/>
          <w:numId w:val="437"/>
        </w:numPr>
        <w:rPr>
          <w:rFonts w:ascii="Arial" w:cs="Arial" w:eastAsia="Arial" w:hAnsi="Arial"/>
          <w:sz w:val="19"/>
          <w:szCs w:val="19"/>
          <w:color w:val="auto"/>
        </w:rPr>
      </w:pPr>
      <w:r>
        <w:rPr>
          <w:rFonts w:ascii="Arial" w:cs="Arial" w:eastAsia="Arial" w:hAnsi="Arial"/>
          <w:sz w:val="19"/>
          <w:szCs w:val="19"/>
          <w:color w:val="auto"/>
        </w:rPr>
        <w:t>Each Obligor agrees that any suit, action or proceeding brought by any Obligor Party or any of their respective Subsidiaries relating to this Agreement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50" w:lineRule="exact"/>
        <w:rPr>
          <w:rFonts w:ascii="Arial" w:cs="Arial" w:eastAsia="Arial" w:hAnsi="Arial"/>
          <w:sz w:val="19"/>
          <w:szCs w:val="19"/>
          <w:color w:val="auto"/>
        </w:rPr>
      </w:pPr>
    </w:p>
    <w:p>
      <w:pPr>
        <w:jc w:val="both"/>
        <w:ind w:firstLine="1304"/>
        <w:spacing w:after="0" w:line="304" w:lineRule="auto"/>
        <w:tabs>
          <w:tab w:leader="none" w:pos="2184" w:val="left"/>
        </w:tabs>
        <w:numPr>
          <w:ilvl w:val="0"/>
          <w:numId w:val="437"/>
        </w:numPr>
        <w:rPr>
          <w:rFonts w:ascii="Arial" w:cs="Arial" w:eastAsia="Arial" w:hAnsi="Arial"/>
          <w:sz w:val="19"/>
          <w:szCs w:val="19"/>
          <w:color w:val="auto"/>
        </w:rPr>
      </w:pPr>
      <w:r>
        <w:rPr>
          <w:rFonts w:ascii="Arial" w:cs="Arial" w:eastAsia="Arial" w:hAnsi="Arial"/>
          <w:sz w:val="19"/>
          <w:szCs w:val="19"/>
          <w:color w:val="auto"/>
        </w:rPr>
        <w:t>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55" w:lineRule="exact"/>
        <w:rPr>
          <w:rFonts w:ascii="Arial" w:cs="Arial" w:eastAsia="Arial" w:hAnsi="Arial"/>
          <w:sz w:val="19"/>
          <w:szCs w:val="19"/>
          <w:color w:val="auto"/>
        </w:rPr>
      </w:pPr>
    </w:p>
    <w:p>
      <w:pPr>
        <w:jc w:val="both"/>
        <w:ind w:firstLine="1304"/>
        <w:spacing w:after="0" w:line="260" w:lineRule="auto"/>
        <w:tabs>
          <w:tab w:leader="none" w:pos="2173" w:val="left"/>
        </w:tabs>
        <w:numPr>
          <w:ilvl w:val="0"/>
          <w:numId w:val="437"/>
        </w:numPr>
        <w:rPr>
          <w:rFonts w:ascii="Arial" w:cs="Arial" w:eastAsia="Arial" w:hAnsi="Arial"/>
          <w:sz w:val="22"/>
          <w:szCs w:val="22"/>
          <w:color w:val="auto"/>
        </w:rPr>
      </w:pPr>
      <w:r>
        <w:rPr>
          <w:rFonts w:ascii="Arial" w:cs="Arial" w:eastAsia="Arial" w:hAnsi="Arial"/>
          <w:sz w:val="22"/>
          <w:szCs w:val="22"/>
          <w:color w:val="auto"/>
        </w:rPr>
        <w:t xml:space="preserve">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22"/>
          <w:szCs w:val="22"/>
          <w:u w:val="single" w:color="auto"/>
          <w:color w:val="auto"/>
        </w:rPr>
        <w:t>paragraph (e)</w:t>
      </w:r>
      <w:r>
        <w:rPr>
          <w:rFonts w:ascii="Arial" w:cs="Arial" w:eastAsia="Arial" w:hAnsi="Arial"/>
          <w:sz w:val="22"/>
          <w:szCs w:val="22"/>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2" w:name="page383"/>
    <w:bookmarkEnd w:id="382"/>
    <w:p>
      <w:pPr>
        <w:jc w:val="both"/>
        <w:ind w:firstLine="1304"/>
        <w:spacing w:after="0" w:line="262" w:lineRule="auto"/>
        <w:tabs>
          <w:tab w:leader="none" w:pos="2142" w:val="left"/>
        </w:tabs>
        <w:numPr>
          <w:ilvl w:val="0"/>
          <w:numId w:val="438"/>
        </w:numPr>
        <w:rPr>
          <w:rFonts w:ascii="Arial" w:cs="Arial" w:eastAsia="Arial" w:hAnsi="Arial"/>
          <w:sz w:val="22"/>
          <w:szCs w:val="22"/>
          <w:color w:val="auto"/>
        </w:rPr>
      </w:pPr>
      <w:r>
        <w:rPr>
          <w:rFonts w:ascii="Arial" w:cs="Arial" w:eastAsia="Arial" w:hAnsi="Arial"/>
          <w:sz w:val="22"/>
          <w:szCs w:val="22"/>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11.16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jc w:val="both"/>
        <w:ind w:firstLine="8"/>
        <w:spacing w:after="0" w:line="264" w:lineRule="auto"/>
        <w:tabs>
          <w:tab w:leader="none" w:pos="344" w:val="left"/>
        </w:tabs>
        <w:numPr>
          <w:ilvl w:val="0"/>
          <w:numId w:val="439"/>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SECTION 11.17 </w:t>
      </w:r>
      <w:r>
        <w:rPr>
          <w:rFonts w:ascii="Arial" w:cs="Arial" w:eastAsia="Arial" w:hAnsi="Arial"/>
          <w:sz w:val="19"/>
          <w:szCs w:val="19"/>
          <w:u w:val="single" w:color="auto"/>
          <w:color w:val="auto"/>
        </w:rPr>
        <w:t>Judgment Currency</w:t>
      </w:r>
      <w:r>
        <w:rPr>
          <w:rFonts w:ascii="Arial" w:cs="Arial" w:eastAsia="Arial" w:hAnsi="Arial"/>
          <w:sz w:val="19"/>
          <w:szCs w:val="19"/>
          <w:color w:val="auto"/>
        </w:rPr>
        <w:t>. The obligation of each Obligor to make payments on any Obligation to the Lenders, to any Issuing Bank or to the Administrative Agent hereunder in any currency (the “</w:t>
      </w:r>
      <w:r>
        <w:rPr>
          <w:rFonts w:ascii="Arial" w:cs="Arial" w:eastAsia="Arial" w:hAnsi="Arial"/>
          <w:sz w:val="19"/>
          <w:szCs w:val="19"/>
          <w:u w:val="single" w:color="auto"/>
          <w:color w:val="auto"/>
        </w:rPr>
        <w:t>first currency</w:t>
      </w:r>
      <w:r>
        <w:rPr>
          <w:rFonts w:ascii="Arial" w:cs="Arial" w:eastAsia="Arial" w:hAnsi="Arial"/>
          <w:sz w:val="19"/>
          <w:szCs w:val="19"/>
          <w:color w:val="auto"/>
        </w:rPr>
        <w:t>”), shall not be discharged or satisfied by any tender or recovery pursuant to any judgment expressed in or converted into any other currency (the “</w:t>
      </w:r>
      <w:r>
        <w:rPr>
          <w:rFonts w:ascii="Arial" w:cs="Arial" w:eastAsia="Arial" w:hAnsi="Arial"/>
          <w:sz w:val="19"/>
          <w:szCs w:val="19"/>
          <w:u w:val="single" w:color="auto"/>
          <w:color w:val="auto"/>
        </w:rPr>
        <w:t>second currency</w:t>
      </w:r>
      <w:r>
        <w:rPr>
          <w:rFonts w:ascii="Arial" w:cs="Arial" w:eastAsia="Arial" w:hAnsi="Arial"/>
          <w:sz w:val="19"/>
          <w:szCs w:val="19"/>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5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SECTION 11.18 </w:t>
      </w:r>
      <w:r>
        <w:rPr>
          <w:rFonts w:ascii="Arial" w:cs="Arial" w:eastAsia="Arial" w:hAnsi="Arial"/>
          <w:sz w:val="19"/>
          <w:szCs w:val="19"/>
          <w:u w:val="single" w:color="auto"/>
          <w:color w:val="auto"/>
        </w:rPr>
        <w:t>No Fiduciary Duty, etc.</w:t>
      </w:r>
      <w:r>
        <w:rPr>
          <w:rFonts w:ascii="Arial" w:cs="Arial" w:eastAsia="Arial" w:hAnsi="Arial"/>
          <w:sz w:val="19"/>
          <w:szCs w:val="19"/>
          <w:color w:val="auto"/>
        </w:rPr>
        <w:t xml:space="preserve">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 contemplated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3" w:name="page384"/>
    <w:bookmarkEnd w:id="383"/>
    <w:p>
      <w:pPr>
        <w:spacing w:after="0" w:line="276" w:lineRule="auto"/>
        <w:rPr>
          <w:sz w:val="20"/>
          <w:szCs w:val="20"/>
          <w:color w:val="auto"/>
        </w:rPr>
      </w:pPr>
      <w:r>
        <w:rPr>
          <w:rFonts w:ascii="Arial" w:cs="Arial" w:eastAsia="Arial" w:hAnsi="Arial"/>
          <w:sz w:val="22"/>
          <w:szCs w:val="22"/>
          <w:color w:val="auto"/>
        </w:rPr>
        <w:t>or in the other Loan Documents, and the Credit Parties shall have no responsibility or liability to the Borrowers or Parent with respect thereto.</w:t>
      </w:r>
    </w:p>
    <w:p>
      <w:pPr>
        <w:spacing w:after="0" w:line="174" w:lineRule="exact"/>
        <w:rPr>
          <w:sz w:val="20"/>
          <w:szCs w:val="20"/>
          <w:color w:val="auto"/>
        </w:rPr>
      </w:pPr>
    </w:p>
    <w:p>
      <w:pPr>
        <w:jc w:val="both"/>
        <w:ind w:firstLine="1304"/>
        <w:spacing w:after="0" w:line="304" w:lineRule="auto"/>
        <w:tabs>
          <w:tab w:leader="none" w:pos="2506" w:val="left"/>
        </w:tabs>
        <w:numPr>
          <w:ilvl w:val="0"/>
          <w:numId w:val="440"/>
        </w:numPr>
        <w:rPr>
          <w:rFonts w:ascii="Arial" w:cs="Arial" w:eastAsia="Arial" w:hAnsi="Arial"/>
          <w:sz w:val="19"/>
          <w:szCs w:val="19"/>
          <w:color w:val="auto"/>
        </w:rPr>
      </w:pPr>
      <w:r>
        <w:rPr>
          <w:rFonts w:ascii="Arial" w:cs="Arial" w:eastAsia="Arial" w:hAnsi="Arial"/>
          <w:sz w:val="19"/>
          <w:szCs w:val="19"/>
          <w:color w:val="auto"/>
        </w:rPr>
        <w:t>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5" w:lineRule="exact"/>
        <w:rPr>
          <w:rFonts w:ascii="Arial" w:cs="Arial" w:eastAsia="Arial" w:hAnsi="Arial"/>
          <w:sz w:val="19"/>
          <w:szCs w:val="19"/>
          <w:color w:val="auto"/>
        </w:rPr>
      </w:pPr>
    </w:p>
    <w:p>
      <w:pPr>
        <w:jc w:val="both"/>
        <w:ind w:firstLine="1304"/>
        <w:spacing w:after="0" w:line="304" w:lineRule="auto"/>
        <w:tabs>
          <w:tab w:leader="none" w:pos="2332" w:val="left"/>
        </w:tabs>
        <w:numPr>
          <w:ilvl w:val="0"/>
          <w:numId w:val="440"/>
        </w:numPr>
        <w:rPr>
          <w:rFonts w:ascii="Arial" w:cs="Arial" w:eastAsia="Arial" w:hAnsi="Arial"/>
          <w:sz w:val="19"/>
          <w:szCs w:val="19"/>
          <w:color w:val="auto"/>
        </w:rPr>
      </w:pPr>
      <w:r>
        <w:rPr>
          <w:rFonts w:ascii="Arial" w:cs="Arial" w:eastAsia="Arial" w:hAnsi="Arial"/>
          <w:sz w:val="19"/>
          <w:szCs w:val="19"/>
          <w:color w:val="auto"/>
        </w:rPr>
        <w:t>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spacing w:after="0" w:line="1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 xml:space="preserve">SECTION 11.19 </w:t>
      </w:r>
      <w:r>
        <w:rPr>
          <w:rFonts w:ascii="Arial" w:cs="Arial" w:eastAsia="Arial" w:hAnsi="Arial"/>
          <w:sz w:val="22"/>
          <w:szCs w:val="22"/>
          <w:u w:val="single" w:color="auto"/>
          <w:color w:val="auto"/>
        </w:rPr>
        <w:t>USA Patriot Act</w:t>
      </w:r>
      <w:r>
        <w:rPr>
          <w:rFonts w:ascii="Arial" w:cs="Arial" w:eastAsia="Arial" w:hAnsi="Arial"/>
          <w:sz w:val="22"/>
          <w:szCs w:val="22"/>
          <w:color w:val="auto"/>
        </w:rPr>
        <w:t>. (a) Each Lender that is subject to the requirements of the USA Patriot Act (Title III of Pub. L. 107-56 (signed into law October 26,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90" w:lineRule="exact"/>
        <w:rPr>
          <w:sz w:val="20"/>
          <w:szCs w:val="20"/>
          <w:color w:val="auto"/>
        </w:rPr>
      </w:pPr>
    </w:p>
    <w:p>
      <w:pPr>
        <w:jc w:val="both"/>
        <w:ind w:firstLine="1304"/>
        <w:spacing w:after="0" w:line="273" w:lineRule="auto"/>
        <w:tabs>
          <w:tab w:leader="none" w:pos="2290" w:val="left"/>
        </w:tabs>
        <w:numPr>
          <w:ilvl w:val="0"/>
          <w:numId w:val="441"/>
        </w:numPr>
        <w:rPr>
          <w:rFonts w:ascii="Arial" w:cs="Arial" w:eastAsia="Arial" w:hAnsi="Arial"/>
          <w:sz w:val="21"/>
          <w:szCs w:val="21"/>
          <w:color w:val="auto"/>
        </w:rPr>
      </w:pPr>
      <w:r>
        <w:rPr>
          <w:rFonts w:ascii="Arial" w:cs="Arial" w:eastAsia="Arial" w:hAnsi="Arial"/>
          <w:sz w:val="21"/>
          <w:szCs w:val="21"/>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21"/>
          <w:szCs w:val="21"/>
          <w:u w:val="single" w:color="auto"/>
          <w:color w:val="auto"/>
        </w:rPr>
        <w:t>Applicable Law</w:t>
      </w:r>
      <w:r>
        <w:rPr>
          <w:rFonts w:ascii="Arial" w:cs="Arial" w:eastAsia="Arial" w:hAnsi="Arial"/>
          <w:sz w:val="21"/>
          <w:szCs w:val="21"/>
          <w:color w:val="auto"/>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w:t>
      </w:r>
    </w:p>
    <w:p>
      <w:pPr>
        <w:spacing w:after="0" w:line="18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11.20 </w:t>
      </w:r>
      <w:r>
        <w:rPr>
          <w:rFonts w:ascii="Arial" w:cs="Arial" w:eastAsia="Arial" w:hAnsi="Arial"/>
          <w:sz w:val="22"/>
          <w:szCs w:val="22"/>
          <w:u w:val="single" w:color="auto"/>
          <w:color w:val="auto"/>
        </w:rPr>
        <w:t>Appointment for Perfection</w:t>
      </w:r>
      <w:r>
        <w:rPr>
          <w:rFonts w:ascii="Arial" w:cs="Arial" w:eastAsia="Arial" w:hAnsi="Arial"/>
          <w:sz w:val="22"/>
          <w:szCs w:val="22"/>
          <w:color w:val="auto"/>
        </w:rPr>
        <w:t>. Each Lender hereby appoints each other Lender as its agent for the purpose of perfecting Liens, for the benefit of the Administrative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4" w:name="page385"/>
    <w:bookmarkEnd w:id="384"/>
    <w:p>
      <w:pPr>
        <w:jc w:val="both"/>
        <w:spacing w:after="0" w:line="276" w:lineRule="auto"/>
        <w:rPr>
          <w:sz w:val="20"/>
          <w:szCs w:val="20"/>
          <w:color w:val="auto"/>
        </w:rPr>
      </w:pPr>
      <w:r>
        <w:rPr>
          <w:rFonts w:ascii="Arial" w:cs="Arial" w:eastAsia="Arial" w:hAnsi="Arial"/>
          <w:sz w:val="21"/>
          <w:szCs w:val="21"/>
          <w:color w:val="auto"/>
        </w:rPr>
        <w:t>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SECTION 11.21 </w:t>
      </w:r>
      <w:r>
        <w:rPr>
          <w:rFonts w:ascii="Arial" w:cs="Arial" w:eastAsia="Arial" w:hAnsi="Arial"/>
          <w:sz w:val="19"/>
          <w:szCs w:val="19"/>
          <w:u w:val="single" w:color="auto"/>
          <w:color w:val="auto"/>
        </w:rPr>
        <w:t>Payments Set Aside</w:t>
      </w:r>
      <w:r>
        <w:rPr>
          <w:rFonts w:ascii="Arial" w:cs="Arial" w:eastAsia="Arial" w:hAnsi="Arial"/>
          <w:sz w:val="19"/>
          <w:szCs w:val="19"/>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payment is made at a rate per annum equal to the Federal Funds Effective Rate from time to time in effect. The obligations of the Lenders and the Issuing Banks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preceding sentence shall survive the Payment in Full.</w:t>
      </w:r>
    </w:p>
    <w:p>
      <w:pPr>
        <w:spacing w:after="0" w:line="16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SECTION 11.22 </w:t>
      </w:r>
      <w:r>
        <w:rPr>
          <w:rFonts w:ascii="Arial" w:cs="Arial" w:eastAsia="Arial" w:hAnsi="Arial"/>
          <w:sz w:val="19"/>
          <w:szCs w:val="19"/>
          <w:u w:val="single" w:color="auto"/>
          <w:color w:val="auto"/>
        </w:rPr>
        <w:t>No Fiduciary Duty</w:t>
      </w:r>
      <w:r>
        <w:rPr>
          <w:rFonts w:ascii="Arial" w:cs="Arial" w:eastAsia="Arial" w:hAnsi="Arial"/>
          <w:sz w:val="19"/>
          <w:szCs w:val="19"/>
          <w:color w:val="auto"/>
        </w:rPr>
        <w:t xml:space="preserve">. The Credit Parties and their respective Affiliates (collectively, solely for purposes of this </w:t>
      </w:r>
      <w:r>
        <w:rPr>
          <w:rFonts w:ascii="Arial" w:cs="Arial" w:eastAsia="Arial" w:hAnsi="Arial"/>
          <w:sz w:val="19"/>
          <w:szCs w:val="19"/>
          <w:u w:val="single" w:color="auto"/>
          <w:color w:val="auto"/>
        </w:rPr>
        <w:t>Section 11.22</w:t>
      </w:r>
      <w:r>
        <w:rPr>
          <w:rFonts w:ascii="Arial" w:cs="Arial" w:eastAsia="Arial" w:hAnsi="Arial"/>
          <w:sz w:val="19"/>
          <w:szCs w:val="19"/>
          <w:color w:val="auto"/>
        </w:rPr>
        <w:t>, the “</w:t>
      </w:r>
      <w:r>
        <w:rPr>
          <w:rFonts w:ascii="Arial" w:cs="Arial" w:eastAsia="Arial" w:hAnsi="Arial"/>
          <w:sz w:val="19"/>
          <w:szCs w:val="19"/>
          <w:u w:val="single" w:color="auto"/>
          <w:color w:val="auto"/>
        </w:rPr>
        <w:t>Credit Parties</w:t>
      </w:r>
      <w:r>
        <w:rPr>
          <w:rFonts w:ascii="Arial" w:cs="Arial" w:eastAsia="Arial" w:hAnsi="Arial"/>
          <w:sz w:val="19"/>
          <w:szCs w:val="19"/>
          <w:color w:val="auto"/>
        </w:rPr>
        <w:t>”) may have economic interests that conflict with those of the Borrowers. Each Obligor agrees that nothing in 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 (v) 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5" w:name="page386"/>
    <w:bookmarkEnd w:id="385"/>
    <w:p>
      <w:pPr>
        <w:ind w:left="660"/>
        <w:spacing w:after="0"/>
        <w:tabs>
          <w:tab w:leader="none" w:pos="2620" w:val="left"/>
        </w:tabs>
        <w:rPr>
          <w:sz w:val="20"/>
          <w:szCs w:val="20"/>
          <w:color w:val="auto"/>
        </w:rPr>
      </w:pPr>
      <w:r>
        <w:rPr>
          <w:rFonts w:ascii="Arial" w:cs="Arial" w:eastAsia="Arial" w:hAnsi="Arial"/>
          <w:sz w:val="22"/>
          <w:szCs w:val="22"/>
          <w:color w:val="auto"/>
        </w:rPr>
        <w:t>SECTION 11.23</w:t>
      </w:r>
      <w:r>
        <w:rPr>
          <w:sz w:val="20"/>
          <w:szCs w:val="20"/>
          <w:color w:val="auto"/>
        </w:rPr>
        <w:tab/>
      </w:r>
      <w:r>
        <w:rPr>
          <w:rFonts w:ascii="Arial" w:cs="Arial" w:eastAsia="Arial" w:hAnsi="Arial"/>
          <w:sz w:val="19"/>
          <w:szCs w:val="19"/>
          <w:u w:val="single" w:color="auto"/>
          <w:color w:val="auto"/>
        </w:rPr>
        <w:t>Release of Guarantors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8" w:lineRule="auto"/>
        <w:tabs>
          <w:tab w:leader="none" w:pos="2130" w:val="left"/>
        </w:tabs>
        <w:numPr>
          <w:ilvl w:val="1"/>
          <w:numId w:val="442"/>
        </w:numPr>
        <w:rPr>
          <w:rFonts w:ascii="Arial" w:cs="Arial" w:eastAsia="Arial" w:hAnsi="Arial"/>
          <w:sz w:val="19"/>
          <w:szCs w:val="19"/>
          <w:color w:val="auto"/>
        </w:rPr>
      </w:pPr>
      <w:r>
        <w:rPr>
          <w:rFonts w:ascii="Arial" w:cs="Arial" w:eastAsia="Arial" w:hAnsi="Arial"/>
          <w:sz w:val="19"/>
          <w:szCs w:val="19"/>
          <w:color w:val="auto"/>
        </w:rPr>
        <w:t>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w:t>
      </w:r>
    </w:p>
    <w:p>
      <w:pPr>
        <w:jc w:val="both"/>
        <w:ind w:firstLine="8"/>
        <w:spacing w:after="0" w:line="310" w:lineRule="auto"/>
        <w:tabs>
          <w:tab w:leader="none" w:pos="399" w:val="left"/>
        </w:tabs>
        <w:numPr>
          <w:ilvl w:val="0"/>
          <w:numId w:val="443"/>
        </w:numPr>
        <w:rPr>
          <w:rFonts w:ascii="Arial" w:cs="Arial" w:eastAsia="Arial" w:hAnsi="Arial"/>
          <w:sz w:val="19"/>
          <w:szCs w:val="19"/>
          <w:color w:val="auto"/>
        </w:rPr>
      </w:pPr>
      <w:r>
        <w:rPr>
          <w:rFonts w:ascii="Arial" w:cs="Arial" w:eastAsia="Arial" w:hAnsi="Arial"/>
          <w:sz w:val="19"/>
          <w:szCs w:val="19"/>
          <w:color w:val="auto"/>
        </w:rPr>
        <w:t>upon such Person becoming an Unrestricted Subsidiary, or (iv) 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 Senior Secured Notes), and in any case set forth above, promptly upon receipt of a written request therefor from the Borrowers, the Administrative Agent will execute and deliver all documents as may reasonably be requested to evidence such release.</w:t>
      </w:r>
    </w:p>
    <w:p>
      <w:pPr>
        <w:spacing w:after="0" w:line="150" w:lineRule="exact"/>
        <w:rPr>
          <w:rFonts w:ascii="Arial" w:cs="Arial" w:eastAsia="Arial" w:hAnsi="Arial"/>
          <w:sz w:val="19"/>
          <w:szCs w:val="19"/>
          <w:color w:val="auto"/>
        </w:rPr>
      </w:pPr>
    </w:p>
    <w:p>
      <w:pPr>
        <w:jc w:val="both"/>
        <w:ind w:firstLine="1304"/>
        <w:spacing w:after="0" w:line="308" w:lineRule="auto"/>
        <w:tabs>
          <w:tab w:leader="none" w:pos="2290" w:val="left"/>
        </w:tabs>
        <w:numPr>
          <w:ilvl w:val="1"/>
          <w:numId w:val="443"/>
        </w:numPr>
        <w:rPr>
          <w:rFonts w:ascii="Arial" w:cs="Arial" w:eastAsia="Arial" w:hAnsi="Arial"/>
          <w:sz w:val="19"/>
          <w:szCs w:val="19"/>
          <w:color w:val="auto"/>
        </w:rPr>
      </w:pPr>
      <w:r>
        <w:rPr>
          <w:rFonts w:ascii="Arial" w:cs="Arial" w:eastAsia="Arial" w:hAnsi="Arial"/>
          <w:sz w:val="19"/>
          <w:szCs w:val="19"/>
          <w:color w:val="auto"/>
        </w:rPr>
        <w:t>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spacing w:after="0" w:line="15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 xml:space="preserve">SECTION 11.24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42" w:lineRule="exact"/>
        <w:rPr>
          <w:sz w:val="20"/>
          <w:szCs w:val="20"/>
          <w:color w:val="auto"/>
        </w:rPr>
      </w:pPr>
    </w:p>
    <w:p>
      <w:pPr>
        <w:ind w:left="2080" w:hanging="776"/>
        <w:spacing w:after="0"/>
        <w:tabs>
          <w:tab w:leader="none" w:pos="208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any Bail-In Action in relation to any such liability, including (without limitation):</w:t>
      </w:r>
    </w:p>
    <w:p>
      <w:pPr>
        <w:spacing w:after="0" w:line="233" w:lineRule="exact"/>
        <w:rPr>
          <w:rFonts w:ascii="Arial" w:cs="Arial" w:eastAsia="Arial" w:hAnsi="Arial"/>
          <w:sz w:val="22"/>
          <w:szCs w:val="22"/>
          <w:color w:val="auto"/>
        </w:rPr>
      </w:pPr>
    </w:p>
    <w:p>
      <w:pPr>
        <w:ind w:left="660" w:firstLine="1292"/>
        <w:spacing w:after="0" w:line="276" w:lineRule="auto"/>
        <w:tabs>
          <w:tab w:leader="none" w:pos="2794" w:val="left"/>
        </w:tabs>
        <w:numPr>
          <w:ilvl w:val="1"/>
          <w:numId w:val="444"/>
        </w:numPr>
        <w:rPr>
          <w:rFonts w:ascii="Arial" w:cs="Arial" w:eastAsia="Arial" w:hAnsi="Arial"/>
          <w:sz w:val="22"/>
          <w:szCs w:val="22"/>
          <w:color w:val="auto"/>
        </w:rPr>
      </w:pPr>
      <w:r>
        <w:rPr>
          <w:rFonts w:ascii="Arial" w:cs="Arial" w:eastAsia="Arial" w:hAnsi="Arial"/>
          <w:sz w:val="22"/>
          <w:szCs w:val="22"/>
          <w:color w:val="auto"/>
        </w:rPr>
        <w:t>a reduction, in full or in part, in the principal amount, or outstanding amount due (including any accrued but unpaid interest) in respect of any such liability;</w:t>
      </w:r>
    </w:p>
    <w:p>
      <w:pPr>
        <w:spacing w:after="0" w:line="174" w:lineRule="exact"/>
        <w:rPr>
          <w:rFonts w:ascii="Arial" w:cs="Arial" w:eastAsia="Arial" w:hAnsi="Arial"/>
          <w:sz w:val="22"/>
          <w:szCs w:val="22"/>
          <w:color w:val="auto"/>
        </w:rPr>
      </w:pPr>
    </w:p>
    <w:p>
      <w:pPr>
        <w:ind w:left="660" w:firstLine="1292"/>
        <w:spacing w:after="0" w:line="276" w:lineRule="auto"/>
        <w:tabs>
          <w:tab w:leader="none" w:pos="2760" w:val="left"/>
        </w:tabs>
        <w:numPr>
          <w:ilvl w:val="1"/>
          <w:numId w:val="444"/>
        </w:numPr>
        <w:rPr>
          <w:rFonts w:ascii="Arial" w:cs="Arial" w:eastAsia="Arial" w:hAnsi="Arial"/>
          <w:sz w:val="22"/>
          <w:szCs w:val="22"/>
          <w:color w:val="auto"/>
        </w:rPr>
      </w:pPr>
      <w:r>
        <w:rPr>
          <w:rFonts w:ascii="Arial" w:cs="Arial" w:eastAsia="Arial" w:hAnsi="Arial"/>
          <w:sz w:val="22"/>
          <w:szCs w:val="22"/>
          <w:color w:val="auto"/>
        </w:rPr>
        <w:t>a conversion of all, or part of, any such liability into shares or other instruments of ownership that may be issued to, or conferred on, it; and</w:t>
      </w:r>
    </w:p>
    <w:p>
      <w:pPr>
        <w:spacing w:after="0" w:line="174" w:lineRule="exact"/>
        <w:rPr>
          <w:rFonts w:ascii="Arial" w:cs="Arial" w:eastAsia="Arial" w:hAnsi="Arial"/>
          <w:sz w:val="22"/>
          <w:szCs w:val="22"/>
          <w:color w:val="auto"/>
        </w:rPr>
      </w:pPr>
    </w:p>
    <w:p>
      <w:pPr>
        <w:ind w:left="2820" w:hanging="868"/>
        <w:spacing w:after="0"/>
        <w:tabs>
          <w:tab w:leader="none" w:pos="2820" w:val="left"/>
        </w:tabs>
        <w:numPr>
          <w:ilvl w:val="1"/>
          <w:numId w:val="444"/>
        </w:numPr>
        <w:rPr>
          <w:rFonts w:ascii="Arial" w:cs="Arial" w:eastAsia="Arial" w:hAnsi="Arial"/>
          <w:sz w:val="22"/>
          <w:szCs w:val="22"/>
          <w:color w:val="auto"/>
        </w:rPr>
      </w:pPr>
      <w:r>
        <w:rPr>
          <w:rFonts w:ascii="Arial" w:cs="Arial" w:eastAsia="Arial" w:hAnsi="Arial"/>
          <w:sz w:val="22"/>
          <w:szCs w:val="22"/>
          <w:color w:val="auto"/>
        </w:rPr>
        <w:t>a cancellation of any such liability; and</w:t>
      </w:r>
    </w:p>
    <w:p>
      <w:pPr>
        <w:spacing w:after="0" w:line="233" w:lineRule="exact"/>
        <w:rPr>
          <w:rFonts w:ascii="Arial" w:cs="Arial" w:eastAsia="Arial" w:hAnsi="Arial"/>
          <w:sz w:val="22"/>
          <w:szCs w:val="22"/>
          <w:color w:val="auto"/>
        </w:rPr>
      </w:pPr>
    </w:p>
    <w:p>
      <w:pPr>
        <w:ind w:right="20" w:firstLine="1304"/>
        <w:spacing w:after="0" w:line="276" w:lineRule="auto"/>
        <w:tabs>
          <w:tab w:leader="none" w:pos="2088" w:val="left"/>
        </w:tabs>
        <w:numPr>
          <w:ilvl w:val="0"/>
          <w:numId w:val="444"/>
        </w:numPr>
        <w:rPr>
          <w:rFonts w:ascii="Arial" w:cs="Arial" w:eastAsia="Arial" w:hAnsi="Arial"/>
          <w:sz w:val="22"/>
          <w:szCs w:val="22"/>
          <w:color w:val="auto"/>
        </w:rPr>
      </w:pPr>
      <w:r>
        <w:rPr>
          <w:rFonts w:ascii="Arial" w:cs="Arial" w:eastAsia="Arial" w:hAnsi="Arial"/>
          <w:sz w:val="22"/>
          <w:szCs w:val="22"/>
          <w:color w:val="auto"/>
        </w:rPr>
        <w:t>a variation of any term of any Loan Document to the extent necessary to give effect to any Bail-In Action in relation to any such liability.</w:t>
      </w:r>
    </w:p>
    <w:p>
      <w:pPr>
        <w:spacing w:after="0" w:line="174"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auto"/>
        </w:rPr>
        <w:t>SECTION 11.25</w:t>
      </w:r>
      <w:r>
        <w:rPr>
          <w:sz w:val="20"/>
          <w:szCs w:val="20"/>
          <w:color w:val="auto"/>
        </w:rPr>
        <w:tab/>
      </w:r>
      <w:r>
        <w:rPr>
          <w:rFonts w:ascii="Arial" w:cs="Arial" w:eastAsia="Arial" w:hAnsi="Arial"/>
          <w:sz w:val="19"/>
          <w:szCs w:val="19"/>
          <w:u w:val="single" w:color="auto"/>
          <w:color w:val="auto"/>
        </w:rPr>
        <w:t>Confirmation of Lender’s Status as a Swiss Qualifying Lender</w:t>
      </w:r>
      <w:r>
        <w:rPr>
          <w:rFonts w:ascii="Arial" w:cs="Arial" w:eastAsia="Arial" w:hAnsi="Arial"/>
          <w:sz w:val="19"/>
          <w:szCs w:val="19"/>
          <w:color w:val="auto"/>
        </w:rPr>
        <w:t>.</w:t>
      </w:r>
    </w:p>
    <w:p>
      <w:pPr>
        <w:spacing w:after="0" w:line="233" w:lineRule="exact"/>
        <w:rPr>
          <w:sz w:val="20"/>
          <w:szCs w:val="20"/>
          <w:color w:val="auto"/>
        </w:rPr>
      </w:pPr>
    </w:p>
    <w:p>
      <w:pPr>
        <w:ind w:right="20" w:firstLine="1304"/>
        <w:spacing w:after="0" w:line="276" w:lineRule="auto"/>
        <w:tabs>
          <w:tab w:leader="none" w:pos="2427" w:val="left"/>
        </w:tabs>
        <w:numPr>
          <w:ilvl w:val="0"/>
          <w:numId w:val="445"/>
        </w:numPr>
        <w:rPr>
          <w:rFonts w:ascii="Arial" w:cs="Arial" w:eastAsia="Arial" w:hAnsi="Arial"/>
          <w:sz w:val="22"/>
          <w:szCs w:val="22"/>
          <w:color w:val="auto"/>
        </w:rPr>
      </w:pPr>
      <w:r>
        <w:rPr>
          <w:rFonts w:ascii="Arial" w:cs="Arial" w:eastAsia="Arial" w:hAnsi="Arial"/>
          <w:sz w:val="22"/>
          <w:szCs w:val="22"/>
          <w:color w:val="auto"/>
        </w:rPr>
        <w:t>Each Lender confirms that, as of the Effective Date, unless notified in writing to Parent and the Administrative Agent prior to the Effective Date, such Lender is a Swiss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6" w:name="page387"/>
    <w:bookmarkEnd w:id="386"/>
    <w:p>
      <w:pPr>
        <w:spacing w:after="0" w:line="276" w:lineRule="auto"/>
        <w:rPr>
          <w:sz w:val="20"/>
          <w:szCs w:val="20"/>
          <w:color w:val="auto"/>
        </w:rPr>
      </w:pPr>
      <w:r>
        <w:rPr>
          <w:rFonts w:ascii="Arial" w:cs="Arial" w:eastAsia="Arial" w:hAnsi="Arial"/>
          <w:sz w:val="22"/>
          <w:szCs w:val="22"/>
          <w:color w:val="auto"/>
        </w:rPr>
        <w:t>Qualifying Lender and has not entered into a participation arrangement with respect to this Agreement with any Person that is a Swiss Non-Qualifying Lender.</w:t>
      </w:r>
    </w:p>
    <w:p>
      <w:pPr>
        <w:spacing w:after="0" w:line="174" w:lineRule="exact"/>
        <w:rPr>
          <w:sz w:val="20"/>
          <w:szCs w:val="20"/>
          <w:color w:val="auto"/>
        </w:rPr>
      </w:pPr>
    </w:p>
    <w:p>
      <w:pPr>
        <w:jc w:val="both"/>
        <w:ind w:firstLine="1304"/>
        <w:spacing w:after="0" w:line="262" w:lineRule="auto"/>
        <w:tabs>
          <w:tab w:leader="none" w:pos="2641" w:val="left"/>
        </w:tabs>
        <w:numPr>
          <w:ilvl w:val="0"/>
          <w:numId w:val="446"/>
        </w:numPr>
        <w:rPr>
          <w:rFonts w:ascii="Arial" w:cs="Arial" w:eastAsia="Arial" w:hAnsi="Arial"/>
          <w:sz w:val="22"/>
          <w:szCs w:val="22"/>
          <w:color w:val="auto"/>
        </w:rPr>
      </w:pPr>
      <w:r>
        <w:rPr>
          <w:rFonts w:ascii="Arial" w:cs="Arial" w:eastAsia="Arial" w:hAnsi="Arial"/>
          <w:sz w:val="22"/>
          <w:szCs w:val="22"/>
          <w:color w:val="auto"/>
        </w:rPr>
        <w:t xml:space="preserve">Without limitation to any consent or other rights provided for in this Agreement (including </w:t>
      </w:r>
      <w:r>
        <w:rPr>
          <w:rFonts w:ascii="Arial" w:cs="Arial" w:eastAsia="Arial" w:hAnsi="Arial"/>
          <w:sz w:val="22"/>
          <w:szCs w:val="22"/>
          <w:u w:val="single" w:color="auto"/>
          <w:color w:val="auto"/>
        </w:rPr>
        <w:t>Section 11.05</w:t>
      </w:r>
      <w:r>
        <w:rPr>
          <w:rFonts w:ascii="Arial" w:cs="Arial" w:eastAsia="Arial" w:hAnsi="Arial"/>
          <w:sz w:val="22"/>
          <w:szCs w:val="22"/>
          <w:color w:val="auto"/>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spacing w:after="0" w:line="191" w:lineRule="exact"/>
        <w:rPr>
          <w:rFonts w:ascii="Arial" w:cs="Arial" w:eastAsia="Arial" w:hAnsi="Arial"/>
          <w:sz w:val="22"/>
          <w:szCs w:val="22"/>
          <w:color w:val="auto"/>
        </w:rPr>
      </w:pPr>
    </w:p>
    <w:p>
      <w:pPr>
        <w:ind w:left="660" w:firstLine="1292"/>
        <w:spacing w:after="0" w:line="358" w:lineRule="auto"/>
        <w:tabs>
          <w:tab w:leader="none" w:pos="3145" w:val="left"/>
        </w:tabs>
        <w:numPr>
          <w:ilvl w:val="1"/>
          <w:numId w:val="446"/>
        </w:numPr>
        <w:rPr>
          <w:rFonts w:ascii="Arial" w:cs="Arial" w:eastAsia="Arial" w:hAnsi="Arial"/>
          <w:sz w:val="19"/>
          <w:szCs w:val="19"/>
          <w:color w:val="auto"/>
        </w:rPr>
      </w:pPr>
      <w:r>
        <w:rPr>
          <w:rFonts w:ascii="Arial" w:cs="Arial" w:eastAsia="Arial" w:hAnsi="Arial"/>
          <w:sz w:val="19"/>
          <w:szCs w:val="19"/>
          <w:color w:val="auto"/>
        </w:rPr>
        <w:t>it is a Swiss Qualifying Lender and has not entered into a participation (including sub-participation) arrangement with respect to this Agreement with any Person that is a Swiss Non-Qualifying Lender; or</w:t>
      </w:r>
    </w:p>
    <w:p>
      <w:pPr>
        <w:spacing w:after="0" w:line="104" w:lineRule="exact"/>
        <w:rPr>
          <w:rFonts w:ascii="Arial" w:cs="Arial" w:eastAsia="Arial" w:hAnsi="Arial"/>
          <w:sz w:val="19"/>
          <w:szCs w:val="19"/>
          <w:color w:val="auto"/>
        </w:rPr>
      </w:pPr>
    </w:p>
    <w:p>
      <w:pPr>
        <w:ind w:left="660" w:right="20" w:firstLine="1292"/>
        <w:spacing w:after="0" w:line="276" w:lineRule="auto"/>
        <w:tabs>
          <w:tab w:leader="none" w:pos="2827" w:val="left"/>
        </w:tabs>
        <w:numPr>
          <w:ilvl w:val="1"/>
          <w:numId w:val="446"/>
        </w:numPr>
        <w:rPr>
          <w:rFonts w:ascii="Arial" w:cs="Arial" w:eastAsia="Arial" w:hAnsi="Arial"/>
          <w:sz w:val="22"/>
          <w:szCs w:val="22"/>
          <w:color w:val="auto"/>
        </w:rPr>
      </w:pPr>
      <w:r>
        <w:rPr>
          <w:rFonts w:ascii="Arial" w:cs="Arial" w:eastAsia="Arial" w:hAnsi="Arial"/>
          <w:sz w:val="22"/>
          <w:szCs w:val="22"/>
          <w:color w:val="auto"/>
        </w:rPr>
        <w:t>if it is a Swiss Non-Qualifying Lender, it counts as one single creditor for purposes of the Swiss Non-Bank Rules (taking into account any participations and sub-participations).</w:t>
      </w:r>
    </w:p>
    <w:p>
      <w:pPr>
        <w:spacing w:after="0" w:line="174" w:lineRule="exact"/>
        <w:rPr>
          <w:rFonts w:ascii="Arial" w:cs="Arial" w:eastAsia="Arial" w:hAnsi="Arial"/>
          <w:sz w:val="22"/>
          <w:szCs w:val="22"/>
          <w:color w:val="auto"/>
        </w:rPr>
      </w:pPr>
    </w:p>
    <w:p>
      <w:pPr>
        <w:ind w:firstLine="1304"/>
        <w:spacing w:after="0" w:line="276" w:lineRule="auto"/>
        <w:tabs>
          <w:tab w:leader="none" w:pos="2656" w:val="left"/>
        </w:tabs>
        <w:numPr>
          <w:ilvl w:val="0"/>
          <w:numId w:val="446"/>
        </w:numPr>
        <w:rPr>
          <w:rFonts w:ascii="Arial" w:cs="Arial" w:eastAsia="Arial" w:hAnsi="Arial"/>
          <w:sz w:val="22"/>
          <w:szCs w:val="22"/>
          <w:color w:val="auto"/>
        </w:rPr>
      </w:pPr>
      <w:r>
        <w:rPr>
          <w:rFonts w:ascii="Arial" w:cs="Arial" w:eastAsia="Arial" w:hAnsi="Arial"/>
          <w:sz w:val="22"/>
          <w:szCs w:val="22"/>
          <w:color w:val="auto"/>
        </w:rPr>
        <w:t>Each Lender or Participant (including sub-participants) shall promptly notify Parent and the Administrative Agent if for any reason it ceases to be a Swiss Qualifying Lender.</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 xml:space="preserve">SECTION 11.26 </w:t>
      </w:r>
      <w:r>
        <w:rPr>
          <w:rFonts w:ascii="Arial" w:cs="Arial" w:eastAsia="Arial" w:hAnsi="Arial"/>
          <w:sz w:val="19"/>
          <w:szCs w:val="19"/>
          <w:u w:val="single" w:color="auto"/>
          <w:color w:val="auto"/>
        </w:rPr>
        <w:t>Joint Lead Arrangers and Joint Book Runners</w:t>
      </w:r>
      <w:r>
        <w:rPr>
          <w:rFonts w:ascii="Arial" w:cs="Arial" w:eastAsia="Arial" w:hAnsi="Arial"/>
          <w:sz w:val="19"/>
          <w:szCs w:val="19"/>
          <w:color w:val="auto"/>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spacing w:after="0" w:line="15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SECTION 11.27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Agreements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5" w:lineRule="exact"/>
        <w:rPr>
          <w:sz w:val="20"/>
          <w:szCs w:val="20"/>
          <w:color w:val="auto"/>
        </w:rPr>
      </w:pPr>
    </w:p>
    <w:p>
      <w:pPr>
        <w:jc w:val="both"/>
        <w:ind w:firstLine="1304"/>
        <w:spacing w:after="0" w:line="266" w:lineRule="auto"/>
        <w:tabs>
          <w:tab w:leader="none" w:pos="2319" w:val="left"/>
        </w:tabs>
        <w:numPr>
          <w:ilvl w:val="0"/>
          <w:numId w:val="447"/>
        </w:numPr>
        <w:rPr>
          <w:rFonts w:ascii="Arial" w:cs="Arial" w:eastAsia="Arial" w:hAnsi="Arial"/>
          <w:sz w:val="22"/>
          <w:szCs w:val="22"/>
          <w:color w:val="auto"/>
        </w:rPr>
      </w:pPr>
      <w:r>
        <w:rPr>
          <w:rFonts w:ascii="Arial" w:cs="Arial" w:eastAsia="Arial" w:hAnsi="Arial"/>
          <w:sz w:val="22"/>
          <w:szCs w:val="22"/>
          <w:color w:val="auto"/>
        </w:rPr>
        <w:t>In the event a Covered Entity that is party to a Supported QFC (each, a “</w:t>
      </w:r>
      <w:r>
        <w:rPr>
          <w:rFonts w:ascii="Arial" w:cs="Arial" w:eastAsia="Arial" w:hAnsi="Arial"/>
          <w:sz w:val="22"/>
          <w:szCs w:val="22"/>
          <w:u w:val="single" w:color="auto"/>
          <w:color w:val="auto"/>
        </w:rPr>
        <w:t>Covered Party</w:t>
      </w:r>
      <w:r>
        <w:rPr>
          <w:rFonts w:ascii="Arial" w:cs="Arial" w:eastAsia="Arial" w:hAnsi="Arial"/>
          <w:sz w:val="22"/>
          <w:szCs w:val="22"/>
          <w:color w:val="auto"/>
        </w:rPr>
        <w:t>”) becomes subject to a proceeding under a U.S. Special Resolution Regime, the transfer of such Supported QFC and the benefit of such QFC Credit Support (and any interest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7" w:name="page388"/>
    <w:bookmarkEnd w:id="387"/>
    <w:p>
      <w:pPr>
        <w:jc w:val="both"/>
        <w:spacing w:after="0" w:line="302" w:lineRule="auto"/>
        <w:rPr>
          <w:sz w:val="20"/>
          <w:szCs w:val="20"/>
          <w:color w:val="auto"/>
        </w:rPr>
      </w:pPr>
      <w:r>
        <w:rPr>
          <w:rFonts w:ascii="Arial" w:cs="Arial" w:eastAsia="Arial" w:hAnsi="Arial"/>
          <w:sz w:val="19"/>
          <w:szCs w:val="19"/>
          <w:color w:val="auto"/>
        </w:rPr>
        <w:t>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2" w:lineRule="exact"/>
        <w:rPr>
          <w:sz w:val="20"/>
          <w:szCs w:val="20"/>
          <w:color w:val="auto"/>
        </w:rPr>
      </w:pPr>
    </w:p>
    <w:p>
      <w:pPr>
        <w:ind w:left="2100" w:hanging="796"/>
        <w:spacing w:after="0"/>
        <w:tabs>
          <w:tab w:leader="none" w:pos="2100" w:val="left"/>
        </w:tabs>
        <w:numPr>
          <w:ilvl w:val="0"/>
          <w:numId w:val="448"/>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11.27</w:t>
      </w:r>
      <w:r>
        <w:rPr>
          <w:rFonts w:ascii="Arial" w:cs="Arial" w:eastAsia="Arial" w:hAnsi="Arial"/>
          <w:sz w:val="22"/>
          <w:szCs w:val="22"/>
          <w:color w:val="auto"/>
        </w:rPr>
        <w:t>, the following terms have the following meanings:</w:t>
      </w:r>
    </w:p>
    <w:p>
      <w:pPr>
        <w:spacing w:after="0" w:line="233" w:lineRule="exact"/>
        <w:rPr>
          <w:rFonts w:ascii="Arial" w:cs="Arial" w:eastAsia="Arial" w:hAnsi="Arial"/>
          <w:sz w:val="22"/>
          <w:szCs w:val="22"/>
          <w:color w:val="auto"/>
        </w:rPr>
      </w:pPr>
    </w:p>
    <w:p>
      <w:pPr>
        <w:ind w:left="660" w:firstLine="1292"/>
        <w:spacing w:after="0" w:line="276" w:lineRule="auto"/>
        <w:tabs>
          <w:tab w:leader="none" w:pos="2713" w:val="left"/>
        </w:tabs>
        <w:numPr>
          <w:ilvl w:val="1"/>
          <w:numId w:val="4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4" w:lineRule="exact"/>
        <w:rPr>
          <w:rFonts w:ascii="Arial" w:cs="Arial" w:eastAsia="Arial" w:hAnsi="Arial"/>
          <w:sz w:val="22"/>
          <w:szCs w:val="22"/>
          <w:color w:val="auto"/>
        </w:rPr>
      </w:pPr>
    </w:p>
    <w:p>
      <w:pPr>
        <w:jc w:val="both"/>
        <w:ind w:left="660" w:firstLine="1292"/>
        <w:spacing w:after="0" w:line="262" w:lineRule="auto"/>
        <w:tabs>
          <w:tab w:leader="none" w:pos="276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91" w:lineRule="exact"/>
        <w:rPr>
          <w:rFonts w:ascii="Arial" w:cs="Arial" w:eastAsia="Arial" w:hAnsi="Arial"/>
          <w:sz w:val="22"/>
          <w:szCs w:val="22"/>
          <w:color w:val="auto"/>
        </w:rPr>
      </w:pPr>
    </w:p>
    <w:p>
      <w:pPr>
        <w:ind w:left="660" w:right="20" w:firstLine="1292"/>
        <w:spacing w:after="0" w:line="276" w:lineRule="auto"/>
        <w:tabs>
          <w:tab w:leader="none" w:pos="2874" w:val="left"/>
        </w:tabs>
        <w:numPr>
          <w:ilvl w:val="1"/>
          <w:numId w:val="4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4" w:lineRule="exact"/>
        <w:rPr>
          <w:rFonts w:ascii="Arial" w:cs="Arial" w:eastAsia="Arial" w:hAnsi="Arial"/>
          <w:sz w:val="22"/>
          <w:szCs w:val="22"/>
          <w:color w:val="auto"/>
        </w:rPr>
      </w:pPr>
    </w:p>
    <w:p>
      <w:pPr>
        <w:ind w:left="660" w:right="20" w:firstLine="1292"/>
        <w:spacing w:after="0" w:line="276" w:lineRule="auto"/>
        <w:tabs>
          <w:tab w:leader="none" w:pos="3064" w:val="left"/>
        </w:tabs>
        <w:numPr>
          <w:ilvl w:val="1"/>
          <w:numId w:val="4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 xml:space="preserve">SECTION 11.28 </w:t>
      </w:r>
      <w:r>
        <w:rPr>
          <w:rFonts w:ascii="Arial" w:cs="Arial" w:eastAsia="Arial" w:hAnsi="Arial"/>
          <w:sz w:val="22"/>
          <w:szCs w:val="22"/>
          <w:u w:val="single" w:color="auto"/>
          <w:color w:val="auto"/>
        </w:rPr>
        <w:t>Credit Reporting Act Notice</w:t>
      </w:r>
      <w:r>
        <w:rPr>
          <w:rFonts w:ascii="Arial" w:cs="Arial" w:eastAsia="Arial" w:hAnsi="Arial"/>
          <w:sz w:val="22"/>
          <w:szCs w:val="22"/>
          <w:color w:val="auto"/>
        </w:rPr>
        <w:t>. Under the Credit Reporting Act 2013 of Ireland,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The Central Credit Register is maintained and operated by the Central Bank of Ireland. For information on your rights and duties under the Credit Reporting Act 2013 please refer to the factsheet prepared by the Central Bank of Ireland. This factsheet is available on www.centralcreditregister.ie.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8" w:name="page389"/>
    <w:bookmarkEnd w:id="388"/>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ASSIGNMENT AND ASSUMPTION</w:t>
      </w:r>
    </w:p>
    <w:p>
      <w:pPr>
        <w:spacing w:after="0" w:line="23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This Assignment and Assumption (this “</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is dated as of the Effective Date set forth below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is entered into by and between [</w:t>
      </w:r>
      <w:r>
        <w:rPr>
          <w:rFonts w:ascii="Arial" w:cs="Arial" w:eastAsia="Arial" w:hAnsi="Arial"/>
          <w:sz w:val="22"/>
          <w:szCs w:val="22"/>
          <w:i w:val="1"/>
          <w:iCs w:val="1"/>
          <w:color w:val="auto"/>
        </w:rPr>
        <w:t>Insert name of Assignor</w:t>
      </w:r>
      <w:r>
        <w:rPr>
          <w:rFonts w:ascii="Arial" w:cs="Arial" w:eastAsia="Arial" w:hAnsi="Arial"/>
          <w:sz w:val="22"/>
          <w:szCs w:val="22"/>
          <w:color w:val="auto"/>
        </w:rPr>
        <w:t>] ([the] [each an]</w:t>
      </w:r>
      <w:r>
        <w:rPr>
          <w:rFonts w:ascii="Arial" w:cs="Arial" w:eastAsia="Arial" w:hAnsi="Arial"/>
          <w:sz w:val="35"/>
          <w:szCs w:val="35"/>
          <w:color w:val="auto"/>
          <w:vertAlign w:val="superscript"/>
        </w:rPr>
        <w:t>1</w:t>
      </w:r>
      <w:r>
        <w:rPr>
          <w:rFonts w:ascii="Arial" w:cs="Arial" w:eastAsia="Arial" w:hAnsi="Arial"/>
          <w:sz w:val="22"/>
          <w:szCs w:val="22"/>
          <w:color w:val="auto"/>
        </w:rPr>
        <w:t xml:space="preserve"> “</w:t>
      </w:r>
      <w:r>
        <w:rPr>
          <w:rFonts w:ascii="Arial" w:cs="Arial" w:eastAsia="Arial" w:hAnsi="Arial"/>
          <w:sz w:val="22"/>
          <w:szCs w:val="22"/>
          <w:u w:val="single" w:color="auto"/>
          <w:color w:val="auto"/>
        </w:rPr>
        <w:t>Assignor</w:t>
      </w:r>
      <w:r>
        <w:rPr>
          <w:rFonts w:ascii="Arial" w:cs="Arial" w:eastAsia="Arial" w:hAnsi="Arial"/>
          <w:sz w:val="22"/>
          <w:szCs w:val="22"/>
          <w:color w:val="auto"/>
        </w:rPr>
        <w:t>”) and [</w:t>
      </w:r>
      <w:r>
        <w:rPr>
          <w:rFonts w:ascii="Arial" w:cs="Arial" w:eastAsia="Arial" w:hAnsi="Arial"/>
          <w:sz w:val="22"/>
          <w:szCs w:val="22"/>
          <w:i w:val="1"/>
          <w:iCs w:val="1"/>
          <w:color w:val="auto"/>
        </w:rPr>
        <w:t>Insert name of Assignee</w:t>
      </w:r>
      <w:r>
        <w:rPr>
          <w:rFonts w:ascii="Arial" w:cs="Arial" w:eastAsia="Arial" w:hAnsi="Arial"/>
          <w:sz w:val="22"/>
          <w:szCs w:val="22"/>
          <w:color w:val="auto"/>
        </w:rPr>
        <w:t>]</w:t>
      </w:r>
      <w:r>
        <w:rPr>
          <w:rFonts w:ascii="Arial" w:cs="Arial" w:eastAsia="Arial" w:hAnsi="Arial"/>
          <w:sz w:val="35"/>
          <w:szCs w:val="35"/>
          <w:color w:val="auto"/>
          <w:vertAlign w:val="superscript"/>
        </w:rPr>
        <w:t>2</w:t>
      </w:r>
      <w:r>
        <w:rPr>
          <w:rFonts w:ascii="Arial" w:cs="Arial" w:eastAsia="Arial" w:hAnsi="Arial"/>
          <w:sz w:val="22"/>
          <w:szCs w:val="22"/>
          <w:color w:val="auto"/>
        </w:rPr>
        <w:t>, ([the] [each an] “</w:t>
      </w:r>
      <w:r>
        <w:rPr>
          <w:rFonts w:ascii="Arial" w:cs="Arial" w:eastAsia="Arial" w:hAnsi="Arial"/>
          <w:sz w:val="22"/>
          <w:szCs w:val="22"/>
          <w:u w:val="single" w:color="auto"/>
          <w:color w:val="auto"/>
        </w:rPr>
        <w:t>Assignee</w:t>
      </w:r>
      <w:r>
        <w:rPr>
          <w:rFonts w:ascii="Arial" w:cs="Arial" w:eastAsia="Arial" w:hAnsi="Arial"/>
          <w:sz w:val="22"/>
          <w:szCs w:val="22"/>
          <w:color w:val="auto"/>
        </w:rPr>
        <w:t>”). Capitalized terms used but not defined herein shall have the respective meanings given to them in the Credit Agreement identified below (as amended, restated, amended and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receipt of a copy of which is hereby acknowledged by the Assignee. The Standard Terms and Conditions set forth in </w:t>
      </w:r>
      <w:r>
        <w:rPr>
          <w:rFonts w:ascii="Arial" w:cs="Arial" w:eastAsia="Arial" w:hAnsi="Arial"/>
          <w:sz w:val="22"/>
          <w:szCs w:val="22"/>
          <w:u w:val="single" w:color="auto"/>
          <w:color w:val="auto"/>
        </w:rPr>
        <w:t>Annex 1</w:t>
      </w:r>
      <w:r>
        <w:rPr>
          <w:rFonts w:ascii="Arial" w:cs="Arial" w:eastAsia="Arial" w:hAnsi="Arial"/>
          <w:sz w:val="22"/>
          <w:szCs w:val="22"/>
          <w:color w:val="auto"/>
        </w:rPr>
        <w:t xml:space="preserve"> attached hereto (the “</w:t>
      </w:r>
      <w:r>
        <w:rPr>
          <w:rFonts w:ascii="Arial" w:cs="Arial" w:eastAsia="Arial" w:hAnsi="Arial"/>
          <w:sz w:val="22"/>
          <w:szCs w:val="22"/>
          <w:u w:val="single" w:color="auto"/>
          <w:color w:val="auto"/>
        </w:rPr>
        <w:t>Standard Terms and Conditions</w:t>
      </w:r>
      <w:r>
        <w:rPr>
          <w:rFonts w:ascii="Arial" w:cs="Arial" w:eastAsia="Arial" w:hAnsi="Arial"/>
          <w:sz w:val="22"/>
          <w:szCs w:val="22"/>
          <w:color w:val="auto"/>
        </w:rPr>
        <w:t>”) are hereby agreed to and incorporated herein by reference and made a part of this Assignment and Assumption as if set forth herein in full.</w:t>
      </w:r>
    </w:p>
    <w:p>
      <w:pPr>
        <w:spacing w:after="0" w:line="21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For an agreed consideration, [the] [each] Assignor hereby irrevocably sells and assigns to [the] [each] Assignee, and [the] [each] Assignee hereby irrevocably purchases and assumes from [the] [each] Assignor, subject to and in accordance with the Standard Terms and Conditions and the Credit Agreement, as of the Effective Date inserted by the Administrative Agent, as contemplated below, (i) all of [the] [each] Assignor’s rights and obligations in its capacity as a Lender under the Credit Agreement and the other Loan Documents to the extent related to the amount and percentage interest identified below of all of such outstanding rights and obligations of the [the] [each] Assignor under the Credit Agreement and the other Loan Documents and (ii) to the extent permitted to be assigned under applicable law, all claims, suits, causes of action and any other right of [the] [each]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by [the] [each] Assignor to [the] [each] Assignee pursuant to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 (the rights and obligations sold and assigned pursuant to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being referred to herein collectively as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[each] Assignor.</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The provisions set out in clause 10.01 (c) and (d) of the Credit Agreement shall apply to each Assignee as if it were an initial party to the Credit Agreement.</w:t>
      </w:r>
    </w:p>
    <w:p>
      <w:pPr>
        <w:spacing w:after="0" w:line="168" w:lineRule="exact"/>
        <w:rPr>
          <w:sz w:val="20"/>
          <w:szCs w:val="20"/>
          <w:color w:val="auto"/>
        </w:rPr>
      </w:pPr>
    </w:p>
    <w:p>
      <w:pPr>
        <w:ind w:left="600" w:hanging="592"/>
        <w:spacing w:after="0"/>
        <w:tabs>
          <w:tab w:leader="none" w:pos="6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Assignor[s]: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2960" w:type="dxa"/>
            <w:vAlign w:val="bottom"/>
          </w:tcPr>
          <w:p>
            <w:pPr>
              <w:ind w:left="240"/>
              <w:spacing w:after="0"/>
              <w:rPr>
                <w:sz w:val="20"/>
                <w:szCs w:val="20"/>
                <w:color w:val="auto"/>
              </w:rPr>
            </w:pPr>
            <w:r>
              <w:rPr>
                <w:rFonts w:ascii="Arial" w:cs="Arial" w:eastAsia="Arial" w:hAnsi="Arial"/>
                <w:sz w:val="18"/>
                <w:szCs w:val="18"/>
                <w:color w:val="auto"/>
              </w:rPr>
              <w:t>Assignee[s]:</w:t>
            </w:r>
          </w:p>
        </w:tc>
        <w:tc>
          <w:tcPr>
            <w:tcW w:w="3620" w:type="dxa"/>
            <w:vAlign w:val="bottom"/>
            <w:gridSpan w:val="3"/>
          </w:tcPr>
          <w:p>
            <w:pPr>
              <w:ind w:left="1120"/>
              <w:spacing w:after="0"/>
              <w:rPr>
                <w:sz w:val="20"/>
                <w:szCs w:val="20"/>
                <w:color w:val="auto"/>
              </w:rPr>
            </w:pPr>
            <w:r>
              <w:rPr>
                <w:rFonts w:ascii="Arial" w:cs="Arial" w:eastAsia="Arial" w:hAnsi="Arial"/>
                <w:sz w:val="18"/>
                <w:szCs w:val="18"/>
                <w:color w:val="auto"/>
              </w:rPr>
              <w:t>____________________</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6"/>
        </w:trPr>
        <w:tc>
          <w:tcPr>
            <w:tcW w:w="3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920" w:type="dxa"/>
            <w:vAlign w:val="bottom"/>
            <w:gridSpan w:val="11"/>
          </w:tcPr>
          <w:p>
            <w:pPr>
              <w:ind w:left="1120"/>
              <w:spacing w:after="0" w:line="226" w:lineRule="exact"/>
              <w:rPr>
                <w:sz w:val="20"/>
                <w:szCs w:val="20"/>
                <w:color w:val="auto"/>
              </w:rPr>
            </w:pPr>
            <w:r>
              <w:rPr>
                <w:rFonts w:ascii="Arial" w:cs="Arial" w:eastAsia="Arial" w:hAnsi="Arial"/>
                <w:sz w:val="16"/>
                <w:szCs w:val="16"/>
                <w:color w:val="auto"/>
              </w:rPr>
              <w:t>and is [a][an] [Lender][Affiliate or Approved Fund of [identify Lender]][other assignee]</w:t>
            </w:r>
            <w:r>
              <w:rPr>
                <w:rFonts w:ascii="Arial" w:cs="Arial" w:eastAsia="Arial" w:hAnsi="Arial"/>
                <w:sz w:val="26"/>
                <w:szCs w:val="26"/>
                <w:color w:val="auto"/>
                <w:vertAlign w:val="superscript"/>
              </w:rPr>
              <w:t>3</w:t>
            </w:r>
          </w:p>
        </w:tc>
      </w:tr>
      <w:tr>
        <w:trPr>
          <w:trHeight w:val="190"/>
        </w:trPr>
        <w:tc>
          <w:tcPr>
            <w:tcW w:w="360" w:type="dxa"/>
            <w:vAlign w:val="bottom"/>
          </w:tcPr>
          <w:p>
            <w:pPr>
              <w:jc w:val="right"/>
              <w:ind w:right="130"/>
              <w:spacing w:after="0" w:line="190" w:lineRule="exact"/>
              <w:rPr>
                <w:sz w:val="20"/>
                <w:szCs w:val="20"/>
                <w:color w:val="auto"/>
              </w:rPr>
            </w:pPr>
            <w:r>
              <w:rPr>
                <w:rFonts w:ascii="Arial" w:cs="Arial" w:eastAsia="Arial" w:hAnsi="Arial"/>
                <w:sz w:val="18"/>
                <w:szCs w:val="18"/>
                <w:color w:val="auto"/>
                <w:w w:val="79"/>
              </w:rPr>
              <w:t>3.</w:t>
            </w:r>
          </w:p>
        </w:tc>
        <w:tc>
          <w:tcPr>
            <w:tcW w:w="2960" w:type="dxa"/>
            <w:vAlign w:val="bottom"/>
          </w:tcPr>
          <w:p>
            <w:pPr>
              <w:ind w:left="240"/>
              <w:spacing w:after="0" w:line="190" w:lineRule="exact"/>
              <w:rPr>
                <w:sz w:val="20"/>
                <w:szCs w:val="20"/>
                <w:color w:val="auto"/>
              </w:rPr>
            </w:pPr>
            <w:r>
              <w:rPr>
                <w:rFonts w:ascii="Arial" w:cs="Arial" w:eastAsia="Arial" w:hAnsi="Arial"/>
                <w:sz w:val="18"/>
                <w:szCs w:val="18"/>
                <w:color w:val="auto"/>
              </w:rPr>
              <w:t>Borrowers:</w:t>
            </w:r>
          </w:p>
        </w:tc>
        <w:tc>
          <w:tcPr>
            <w:tcW w:w="7920" w:type="dxa"/>
            <w:vAlign w:val="bottom"/>
            <w:gridSpan w:val="11"/>
          </w:tcPr>
          <w:p>
            <w:pPr>
              <w:ind w:left="1120"/>
              <w:spacing w:after="0" w:line="190" w:lineRule="exact"/>
              <w:rPr>
                <w:sz w:val="20"/>
                <w:szCs w:val="20"/>
                <w:color w:val="auto"/>
              </w:rPr>
            </w:pPr>
            <w:r>
              <w:rPr>
                <w:rFonts w:ascii="Arial" w:cs="Arial" w:eastAsia="Arial" w:hAnsi="Arial"/>
                <w:sz w:val="18"/>
                <w:szCs w:val="18"/>
                <w:color w:val="auto"/>
                <w:w w:val="95"/>
              </w:rPr>
              <w:t>Weatherford  International  Ltd.,  a  Bermuda  exempted  company  (“WIL-Bermuda”)  and</w:t>
            </w:r>
          </w:p>
        </w:tc>
      </w:tr>
      <w:tr>
        <w:trPr>
          <w:trHeight w:val="20"/>
        </w:trPr>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920" w:type="dxa"/>
            <w:vAlign w:val="bottom"/>
            <w:gridSpan w:val="11"/>
          </w:tcPr>
          <w:p>
            <w:pPr>
              <w:ind w:left="1120"/>
              <w:spacing w:after="0" w:line="196" w:lineRule="exact"/>
              <w:rPr>
                <w:sz w:val="20"/>
                <w:szCs w:val="20"/>
                <w:color w:val="auto"/>
              </w:rPr>
            </w:pPr>
            <w:r>
              <w:rPr>
                <w:rFonts w:ascii="Arial" w:cs="Arial" w:eastAsia="Arial" w:hAnsi="Arial"/>
                <w:sz w:val="18"/>
                <w:szCs w:val="18"/>
                <w:color w:val="auto"/>
                <w:w w:val="95"/>
              </w:rPr>
              <w:t>Weatherford International, LLC, a Delaware limited liability company (“WIL-Delaware” and</w:t>
            </w:r>
          </w:p>
        </w:tc>
      </w:tr>
      <w:tr>
        <w:trPr>
          <w:trHeight w:val="196"/>
        </w:trPr>
        <w:tc>
          <w:tcPr>
            <w:tcW w:w="3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380" w:type="dxa"/>
            <w:vAlign w:val="bottom"/>
            <w:gridSpan w:val="8"/>
          </w:tcPr>
          <w:p>
            <w:pPr>
              <w:ind w:left="1120"/>
              <w:spacing w:after="0" w:line="196" w:lineRule="exact"/>
              <w:rPr>
                <w:sz w:val="20"/>
                <w:szCs w:val="20"/>
                <w:color w:val="auto"/>
              </w:rPr>
            </w:pPr>
            <w:r>
              <w:rPr>
                <w:rFonts w:ascii="Arial" w:cs="Arial" w:eastAsia="Arial" w:hAnsi="Arial"/>
                <w:sz w:val="18"/>
                <w:szCs w:val="18"/>
                <w:color w:val="auto"/>
              </w:rPr>
              <w:t>together with WIL-Bermuda, the “Borrowers”)</w:t>
            </w:r>
          </w:p>
        </w:tc>
        <w:tc>
          <w:tcPr>
            <w:tcW w:w="1100" w:type="dxa"/>
            <w:vAlign w:val="bottom"/>
            <w:tcBorders>
              <w:top w:val="single" w:sz="8" w:color="auto"/>
            </w:tcBorders>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r>
      <w:tr>
        <w:trPr>
          <w:trHeight w:val="196"/>
        </w:trPr>
        <w:tc>
          <w:tcPr>
            <w:tcW w:w="36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4.</w:t>
            </w:r>
          </w:p>
        </w:tc>
        <w:tc>
          <w:tcPr>
            <w:tcW w:w="2960" w:type="dxa"/>
            <w:vAlign w:val="bottom"/>
          </w:tcPr>
          <w:p>
            <w:pPr>
              <w:ind w:left="240"/>
              <w:spacing w:after="0" w:line="196" w:lineRule="exact"/>
              <w:rPr>
                <w:sz w:val="20"/>
                <w:szCs w:val="20"/>
                <w:color w:val="auto"/>
              </w:rPr>
            </w:pPr>
            <w:r>
              <w:rPr>
                <w:rFonts w:ascii="Arial" w:cs="Arial" w:eastAsia="Arial" w:hAnsi="Arial"/>
                <w:sz w:val="18"/>
                <w:szCs w:val="18"/>
                <w:color w:val="auto"/>
              </w:rPr>
              <w:t>Administrative Agent:</w:t>
            </w:r>
          </w:p>
        </w:tc>
        <w:tc>
          <w:tcPr>
            <w:tcW w:w="7920" w:type="dxa"/>
            <w:vAlign w:val="bottom"/>
            <w:gridSpan w:val="11"/>
          </w:tcPr>
          <w:p>
            <w:pPr>
              <w:ind w:left="1120"/>
              <w:spacing w:after="0" w:line="196" w:lineRule="exact"/>
              <w:rPr>
                <w:sz w:val="20"/>
                <w:szCs w:val="20"/>
                <w:color w:val="auto"/>
              </w:rPr>
            </w:pPr>
            <w:r>
              <w:rPr>
                <w:rFonts w:ascii="Arial" w:cs="Arial" w:eastAsia="Arial" w:hAnsi="Arial"/>
                <w:sz w:val="18"/>
                <w:szCs w:val="18"/>
                <w:color w:val="auto"/>
                <w:w w:val="92"/>
              </w:rPr>
              <w:t>Deutsche Bank Trust Company Americas (“DBTCA”), as the Administrative Agent under the</w:t>
            </w:r>
          </w:p>
        </w:tc>
      </w:tr>
      <w:tr>
        <w:trPr>
          <w:trHeight w:val="222"/>
        </w:trPr>
        <w:tc>
          <w:tcPr>
            <w:tcW w:w="3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320" w:type="dxa"/>
            <w:vAlign w:val="bottom"/>
            <w:gridSpan w:val="4"/>
          </w:tcPr>
          <w:p>
            <w:pPr>
              <w:ind w:left="1120"/>
              <w:spacing w:after="0"/>
              <w:rPr>
                <w:sz w:val="20"/>
                <w:szCs w:val="20"/>
                <w:color w:val="auto"/>
              </w:rPr>
            </w:pPr>
            <w:r>
              <w:rPr>
                <w:rFonts w:ascii="Arial" w:cs="Arial" w:eastAsia="Arial" w:hAnsi="Arial"/>
                <w:sz w:val="18"/>
                <w:szCs w:val="18"/>
                <w:color w:val="auto"/>
              </w:rPr>
              <w:t>Credit Agreement</w:t>
            </w:r>
          </w:p>
        </w:tc>
        <w:tc>
          <w:tcPr>
            <w:tcW w:w="600" w:type="dxa"/>
            <w:vAlign w:val="bottom"/>
            <w:tcBorders>
              <w:top w:val="single" w:sz="8" w:color="auto"/>
            </w:tcBorders>
            <w:gridSpan w:val="3"/>
          </w:tcPr>
          <w:p>
            <w:pPr>
              <w:spacing w:after="0"/>
              <w:rPr>
                <w:sz w:val="19"/>
                <w:szCs w:val="19"/>
                <w:color w:val="auto"/>
              </w:rPr>
            </w:pPr>
          </w:p>
        </w:tc>
        <w:tc>
          <w:tcPr>
            <w:tcW w:w="3000" w:type="dxa"/>
            <w:vAlign w:val="bottom"/>
            <w:gridSpan w:val="4"/>
          </w:tcPr>
          <w:p>
            <w:pPr>
              <w:spacing w:after="0"/>
              <w:rPr>
                <w:sz w:val="19"/>
                <w:szCs w:val="19"/>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2960" w:type="dxa"/>
            <w:vAlign w:val="bottom"/>
          </w:tcPr>
          <w:p>
            <w:pPr>
              <w:ind w:left="240"/>
              <w:spacing w:after="0"/>
              <w:rPr>
                <w:sz w:val="20"/>
                <w:szCs w:val="20"/>
                <w:color w:val="auto"/>
              </w:rPr>
            </w:pPr>
            <w:r>
              <w:rPr>
                <w:rFonts w:ascii="Arial" w:cs="Arial" w:eastAsia="Arial" w:hAnsi="Arial"/>
                <w:sz w:val="18"/>
                <w:szCs w:val="18"/>
                <w:color w:val="auto"/>
              </w:rPr>
              <w:t>Credit Agreement:</w:t>
            </w:r>
          </w:p>
        </w:tc>
        <w:tc>
          <w:tcPr>
            <w:tcW w:w="7920" w:type="dxa"/>
            <w:vAlign w:val="bottom"/>
            <w:gridSpan w:val="11"/>
          </w:tcPr>
          <w:p>
            <w:pPr>
              <w:ind w:left="1120"/>
              <w:spacing w:after="0"/>
              <w:rPr>
                <w:sz w:val="20"/>
                <w:szCs w:val="20"/>
                <w:color w:val="auto"/>
              </w:rPr>
            </w:pPr>
            <w:r>
              <w:rPr>
                <w:rFonts w:ascii="Arial" w:cs="Arial" w:eastAsia="Arial" w:hAnsi="Arial"/>
                <w:sz w:val="18"/>
                <w:szCs w:val="18"/>
                <w:color w:val="auto"/>
              </w:rPr>
              <w:t>LC Credit Agreement, dated as of December 13, 2019, among WIL-Bermuda, WIL-</w:t>
            </w:r>
          </w:p>
        </w:tc>
      </w:tr>
      <w:tr>
        <w:trPr>
          <w:trHeight w:val="190"/>
        </w:trPr>
        <w:tc>
          <w:tcPr>
            <w:tcW w:w="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920" w:type="dxa"/>
            <w:vAlign w:val="bottom"/>
            <w:gridSpan w:val="11"/>
          </w:tcPr>
          <w:p>
            <w:pPr>
              <w:ind w:left="1120"/>
              <w:spacing w:after="0" w:line="190" w:lineRule="exact"/>
              <w:rPr>
                <w:sz w:val="20"/>
                <w:szCs w:val="20"/>
                <w:color w:val="auto"/>
              </w:rPr>
            </w:pPr>
            <w:r>
              <w:rPr>
                <w:rFonts w:ascii="Arial" w:cs="Arial" w:eastAsia="Arial" w:hAnsi="Arial"/>
                <w:sz w:val="18"/>
                <w:szCs w:val="18"/>
                <w:color w:val="auto"/>
                <w:w w:val="98"/>
              </w:rPr>
              <w:t>Delaware, Weatherford International plc (“Parent”), the Lenders from time to time party</w:t>
            </w:r>
          </w:p>
        </w:tc>
      </w:tr>
      <w:tr>
        <w:trPr>
          <w:trHeight w:val="20"/>
        </w:trPr>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Borders>
              <w:right w:val="single" w:sz="8" w:color="auto"/>
            </w:tcBorders>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920" w:type="dxa"/>
            <w:vAlign w:val="bottom"/>
            <w:gridSpan w:val="11"/>
          </w:tcPr>
          <w:p>
            <w:pPr>
              <w:ind w:left="1120"/>
              <w:spacing w:after="0"/>
              <w:rPr>
                <w:sz w:val="20"/>
                <w:szCs w:val="20"/>
                <w:color w:val="auto"/>
              </w:rPr>
            </w:pPr>
            <w:r>
              <w:rPr>
                <w:rFonts w:ascii="Arial" w:cs="Arial" w:eastAsia="Arial" w:hAnsi="Arial"/>
                <w:sz w:val="18"/>
                <w:szCs w:val="18"/>
                <w:color w:val="auto"/>
                <w:w w:val="92"/>
              </w:rPr>
              <w:t>thereto, DBTCA, as administrative agent for the Lenders, and the Issuing Banks from time to</w:t>
            </w: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920" w:type="dxa"/>
            <w:vAlign w:val="bottom"/>
            <w:gridSpan w:val="11"/>
          </w:tcPr>
          <w:p>
            <w:pPr>
              <w:ind w:left="1120"/>
              <w:spacing w:after="0"/>
              <w:rPr>
                <w:sz w:val="20"/>
                <w:szCs w:val="20"/>
                <w:color w:val="auto"/>
              </w:rPr>
            </w:pPr>
            <w:r>
              <w:rPr>
                <w:rFonts w:ascii="Arial" w:cs="Arial" w:eastAsia="Arial" w:hAnsi="Arial"/>
                <w:sz w:val="18"/>
                <w:szCs w:val="18"/>
                <w:color w:val="auto"/>
                <w:w w:val="91"/>
              </w:rPr>
              <w:t>time party thereto, as amended, restated, amended and restated, supplemented or otherwise</w:t>
            </w: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920" w:type="dxa"/>
            <w:vAlign w:val="bottom"/>
            <w:gridSpan w:val="11"/>
          </w:tcPr>
          <w:p>
            <w:pPr>
              <w:ind w:left="1120"/>
              <w:spacing w:after="0"/>
              <w:rPr>
                <w:sz w:val="20"/>
                <w:szCs w:val="20"/>
                <w:color w:val="auto"/>
              </w:rPr>
            </w:pPr>
            <w:r>
              <w:rPr>
                <w:rFonts w:ascii="Arial" w:cs="Arial" w:eastAsia="Arial" w:hAnsi="Arial"/>
                <w:sz w:val="18"/>
                <w:szCs w:val="18"/>
                <w:color w:val="auto"/>
              </w:rPr>
              <w:t>modified from time to time</w:t>
            </w:r>
          </w:p>
        </w:tc>
      </w:tr>
      <w:tr>
        <w:trPr>
          <w:trHeight w:val="190"/>
        </w:trPr>
        <w:tc>
          <w:tcPr>
            <w:tcW w:w="360" w:type="dxa"/>
            <w:vAlign w:val="bottom"/>
          </w:tcPr>
          <w:p>
            <w:pPr>
              <w:jc w:val="right"/>
              <w:ind w:right="130"/>
              <w:spacing w:after="0" w:line="190" w:lineRule="exact"/>
              <w:rPr>
                <w:sz w:val="20"/>
                <w:szCs w:val="20"/>
                <w:color w:val="auto"/>
              </w:rPr>
            </w:pPr>
            <w:r>
              <w:rPr>
                <w:rFonts w:ascii="Arial" w:cs="Arial" w:eastAsia="Arial" w:hAnsi="Arial"/>
                <w:sz w:val="18"/>
                <w:szCs w:val="18"/>
                <w:color w:val="auto"/>
                <w:w w:val="79"/>
              </w:rPr>
              <w:t>6.</w:t>
            </w:r>
          </w:p>
        </w:tc>
        <w:tc>
          <w:tcPr>
            <w:tcW w:w="2960" w:type="dxa"/>
            <w:vAlign w:val="bottom"/>
          </w:tcPr>
          <w:p>
            <w:pPr>
              <w:ind w:left="240"/>
              <w:spacing w:after="0" w:line="190" w:lineRule="exact"/>
              <w:rPr>
                <w:sz w:val="20"/>
                <w:szCs w:val="20"/>
                <w:color w:val="auto"/>
              </w:rPr>
            </w:pPr>
            <w:r>
              <w:rPr>
                <w:rFonts w:ascii="Arial" w:cs="Arial" w:eastAsia="Arial" w:hAnsi="Arial"/>
                <w:sz w:val="18"/>
                <w:szCs w:val="18"/>
                <w:color w:val="auto"/>
              </w:rPr>
              <w:t>Assigned Interest:</w:t>
            </w:r>
          </w:p>
        </w:tc>
        <w:tc>
          <w:tcPr>
            <w:tcW w:w="7920" w:type="dxa"/>
            <w:vAlign w:val="bottom"/>
            <w:gridSpan w:val="11"/>
          </w:tcPr>
          <w:p>
            <w:pPr>
              <w:ind w:left="1120"/>
              <w:spacing w:after="0" w:line="190" w:lineRule="exact"/>
              <w:rPr>
                <w:sz w:val="20"/>
                <w:szCs w:val="20"/>
                <w:color w:val="auto"/>
              </w:rPr>
            </w:pPr>
            <w:r>
              <w:rPr>
                <w:rFonts w:ascii="Arial" w:cs="Arial" w:eastAsia="Arial" w:hAnsi="Arial"/>
                <w:sz w:val="18"/>
                <w:szCs w:val="18"/>
                <w:color w:val="auto"/>
              </w:rPr>
              <w:t>As set forth on Annex 2 attached hereto.</w:t>
            </w:r>
          </w:p>
        </w:tc>
      </w:tr>
      <w:tr>
        <w:trPr>
          <w:trHeight w:val="20"/>
        </w:trPr>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r>
      <w:tr>
        <w:trPr>
          <w:trHeight w:val="22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2960" w:type="dxa"/>
            <w:vAlign w:val="bottom"/>
          </w:tcPr>
          <w:p>
            <w:pPr>
              <w:ind w:left="240"/>
              <w:spacing w:after="0"/>
              <w:rPr>
                <w:sz w:val="20"/>
                <w:szCs w:val="20"/>
                <w:color w:val="auto"/>
              </w:rPr>
            </w:pPr>
            <w:r>
              <w:rPr>
                <w:rFonts w:ascii="Arial" w:cs="Arial" w:eastAsia="Arial" w:hAnsi="Arial"/>
                <w:sz w:val="18"/>
                <w:szCs w:val="18"/>
                <w:color w:val="auto"/>
              </w:rPr>
              <w:t>Effective Date:</w:t>
            </w:r>
          </w:p>
        </w:tc>
        <w:tc>
          <w:tcPr>
            <w:tcW w:w="7920" w:type="dxa"/>
            <w:vAlign w:val="bottom"/>
            <w:gridSpan w:val="11"/>
          </w:tcPr>
          <w:p>
            <w:pPr>
              <w:ind w:left="1120"/>
              <w:spacing w:after="0"/>
              <w:rPr>
                <w:sz w:val="20"/>
                <w:szCs w:val="20"/>
                <w:color w:val="auto"/>
              </w:rPr>
            </w:pPr>
            <w:r>
              <w:rPr>
                <w:rFonts w:ascii="Arial" w:cs="Arial" w:eastAsia="Arial" w:hAnsi="Arial"/>
                <w:sz w:val="18"/>
                <w:szCs w:val="18"/>
                <w:color w:val="auto"/>
                <w:w w:val="98"/>
              </w:rPr>
              <w:t>_____________,  20___  [TO  BE  INSERTED  BY  ADMINISTRATIVE  AGENT  AND</w:t>
            </w: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920" w:type="dxa"/>
            <w:vAlign w:val="bottom"/>
            <w:gridSpan w:val="11"/>
          </w:tcPr>
          <w:p>
            <w:pPr>
              <w:ind w:left="1120"/>
              <w:spacing w:after="0"/>
              <w:rPr>
                <w:sz w:val="20"/>
                <w:szCs w:val="20"/>
                <w:color w:val="auto"/>
              </w:rPr>
            </w:pPr>
            <w:r>
              <w:rPr>
                <w:rFonts w:ascii="Arial" w:cs="Arial" w:eastAsia="Arial" w:hAnsi="Arial"/>
                <w:sz w:val="18"/>
                <w:szCs w:val="18"/>
                <w:color w:val="auto"/>
              </w:rPr>
              <w:t>WHICH SHALL BE THE EFFECTIVE DATE OF RECORDATION OF TRANSFER IN</w:t>
            </w:r>
          </w:p>
        </w:tc>
      </w:tr>
      <w:tr>
        <w:trPr>
          <w:trHeight w:val="230"/>
        </w:trPr>
        <w:tc>
          <w:tcPr>
            <w:tcW w:w="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920" w:type="dxa"/>
            <w:vAlign w:val="bottom"/>
            <w:gridSpan w:val="11"/>
          </w:tcPr>
          <w:p>
            <w:pPr>
              <w:ind w:left="1120"/>
              <w:spacing w:after="0"/>
              <w:rPr>
                <w:sz w:val="20"/>
                <w:szCs w:val="20"/>
                <w:color w:val="auto"/>
              </w:rPr>
            </w:pPr>
            <w:r>
              <w:rPr>
                <w:rFonts w:ascii="Arial" w:cs="Arial" w:eastAsia="Arial" w:hAnsi="Arial"/>
                <w:sz w:val="18"/>
                <w:szCs w:val="18"/>
                <w:color w:val="auto"/>
              </w:rPr>
              <w:t>THE REGISTER THEREFOR.]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16459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firstLine="8"/>
        <w:spacing w:after="0" w:line="227" w:lineRule="auto"/>
        <w:tabs>
          <w:tab w:leader="none" w:pos="144" w:val="left"/>
        </w:tabs>
        <w:numPr>
          <w:ilvl w:val="0"/>
          <w:numId w:val="450"/>
        </w:numPr>
        <w:rPr>
          <w:rFonts w:ascii="Arial" w:cs="Arial" w:eastAsia="Arial" w:hAnsi="Arial"/>
          <w:sz w:val="31"/>
          <w:szCs w:val="31"/>
          <w:color w:val="auto"/>
          <w:vertAlign w:val="superscript"/>
        </w:rPr>
      </w:pPr>
      <w:r>
        <w:rPr>
          <w:rFonts w:ascii="Arial" w:cs="Arial" w:eastAsia="Arial" w:hAnsi="Arial"/>
          <w:sz w:val="19"/>
          <w:szCs w:val="19"/>
          <w:color w:val="auto"/>
        </w:rPr>
        <w:t>For bracketed language here and elsewhere in this form relating to the Assignor(s), if the assignment is from a single Assignor, choose the first bracketed language. If the assignment is to multiple Assignors, choose the second bracketed language.</w:t>
      </w:r>
    </w:p>
    <w:p>
      <w:pPr>
        <w:ind w:right="80"/>
        <w:spacing w:after="0" w:line="230" w:lineRule="auto"/>
        <w:rPr>
          <w:rFonts w:ascii="Arial" w:cs="Arial" w:eastAsia="Arial" w:hAnsi="Arial"/>
          <w:sz w:val="31"/>
          <w:szCs w:val="31"/>
          <w:color w:val="auto"/>
          <w:vertAlign w:val="superscript"/>
        </w:rPr>
      </w:pPr>
      <w:r>
        <w:rPr>
          <w:rFonts w:ascii="Arial" w:cs="Arial" w:eastAsia="Arial" w:hAnsi="Arial"/>
          <w:sz w:val="30"/>
          <w:szCs w:val="30"/>
          <w:color w:val="auto"/>
          <w:vertAlign w:val="superscript"/>
        </w:rPr>
        <w:t>2</w:t>
      </w:r>
      <w:r>
        <w:rPr>
          <w:rFonts w:ascii="Arial" w:cs="Arial" w:eastAsia="Arial" w:hAnsi="Arial"/>
          <w:sz w:val="19"/>
          <w:szCs w:val="19"/>
          <w:color w:val="auto"/>
        </w:rPr>
        <w:t xml:space="preserve"> For bracketed language here and elsewhere in this form relating to the Assignee(s), if the assignment is from a single Assignee, choose the first bracketed language. If the assignment is to multiple Assignees, choose the second bracketed language.</w:t>
      </w:r>
    </w:p>
    <w:p>
      <w:pPr>
        <w:spacing w:after="0"/>
        <w:rPr>
          <w:rFonts w:ascii="Arial" w:cs="Arial" w:eastAsia="Arial" w:hAnsi="Arial"/>
          <w:sz w:val="31"/>
          <w:szCs w:val="31"/>
          <w:color w:val="auto"/>
          <w:vertAlign w:val="superscript"/>
        </w:rPr>
      </w:pPr>
      <w:r>
        <w:rPr>
          <w:rFonts w:ascii="Arial" w:cs="Arial" w:eastAsia="Arial" w:hAnsi="Arial"/>
          <w:sz w:val="35"/>
          <w:szCs w:val="35"/>
          <w:color w:val="auto"/>
          <w:vertAlign w:val="superscript"/>
        </w:rPr>
        <w:t>3</w:t>
      </w:r>
      <w:r>
        <w:rPr>
          <w:rFonts w:ascii="Arial" w:cs="Arial" w:eastAsia="Arial" w:hAnsi="Arial"/>
          <w:sz w:val="22"/>
          <w:szCs w:val="22"/>
          <w:color w:val="auto"/>
        </w:rPr>
        <w:t xml:space="preserve"> 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817" w:gutter="0" w:footer="0" w:header="0"/>
        </w:sectPr>
      </w:pPr>
    </w:p>
    <w:bookmarkStart w:id="389" w:name="page390"/>
    <w:bookmarkEnd w:id="389"/>
    <w:p>
      <w:pPr>
        <w:spacing w:after="0"/>
        <w:rPr>
          <w:sz w:val="20"/>
          <w:szCs w:val="20"/>
          <w:color w:val="auto"/>
        </w:rPr>
      </w:pPr>
      <w:r>
        <w:rPr>
          <w:rFonts w:ascii="Arial" w:cs="Arial" w:eastAsia="Arial" w:hAnsi="Arial"/>
          <w:sz w:val="22"/>
          <w:szCs w:val="22"/>
          <w:color w:val="auto"/>
        </w:rPr>
        <w:t>The terms set forth in this Assignment and Assumption are hereby agreed to:</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ASSIGNOR</w:t>
      </w:r>
      <w:r>
        <w:rPr>
          <w:rFonts w:ascii="Arial" w:cs="Arial" w:eastAsia="Arial" w:hAnsi="Arial"/>
          <w:sz w:val="22"/>
          <w:szCs w:val="22"/>
          <w:color w:val="auto"/>
        </w:rPr>
        <w:t>:</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ASSIGNOR</w:t>
      </w:r>
      <w:r>
        <w:rPr>
          <w:rFonts w:ascii="Arial" w:cs="Arial" w:eastAsia="Arial" w:hAnsi="Arial"/>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By:_____________________________________</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ASSIGNEE</w:t>
      </w:r>
      <w:r>
        <w:rPr>
          <w:rFonts w:ascii="Arial" w:cs="Arial" w:eastAsia="Arial" w:hAnsi="Arial"/>
          <w:sz w:val="22"/>
          <w:szCs w:val="22"/>
          <w:color w:val="auto"/>
        </w:rPr>
        <w:t>:</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ASSIGNEE</w:t>
      </w:r>
      <w:r>
        <w:rPr>
          <w:rFonts w:ascii="Arial" w:cs="Arial" w:eastAsia="Arial" w:hAnsi="Arial"/>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By:_____________________________________</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1" w:right="1440" w:bottom="1440" w:gutter="0" w:footer="0" w:header="0"/>
        </w:sectPr>
      </w:pPr>
    </w:p>
    <w:bookmarkStart w:id="390" w:name="page391"/>
    <w:bookmarkEnd w:id="390"/>
    <w:p>
      <w:pPr>
        <w:spacing w:after="0"/>
        <w:rPr>
          <w:sz w:val="20"/>
          <w:szCs w:val="20"/>
          <w:color w:val="auto"/>
        </w:rPr>
      </w:pPr>
      <w:r>
        <w:rPr>
          <w:rFonts w:ascii="Arial" w:cs="Arial" w:eastAsia="Arial" w:hAnsi="Arial"/>
          <w:sz w:val="22"/>
          <w:szCs w:val="22"/>
          <w:color w:val="auto"/>
        </w:rPr>
        <w:t>[Consented to and]</w:t>
      </w:r>
      <w:r>
        <w:rPr>
          <w:rFonts w:ascii="Arial" w:cs="Arial" w:eastAsia="Arial" w:hAnsi="Arial"/>
          <w:sz w:val="35"/>
          <w:szCs w:val="35"/>
          <w:color w:val="auto"/>
          <w:vertAlign w:val="superscript"/>
        </w:rPr>
        <w:t>4</w:t>
      </w:r>
      <w:r>
        <w:rPr>
          <w:rFonts w:ascii="Arial" w:cs="Arial" w:eastAsia="Arial" w:hAnsi="Arial"/>
          <w:sz w:val="22"/>
          <w:szCs w:val="22"/>
          <w:color w:val="auto"/>
        </w:rPr>
        <w:t xml:space="preserve"> Accepted:</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LTD.,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Bermuda exempted company,</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Borrower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w:t>
      </w:r>
      <w:r>
        <w:rPr>
          <w:rFonts w:ascii="Arial" w:cs="Arial" w:eastAsia="Arial" w:hAnsi="Arial"/>
          <w:sz w:val="35"/>
          <w:szCs w:val="35"/>
          <w:color w:val="auto"/>
          <w:vertAlign w:val="superscript"/>
        </w:rPr>
        <w:t>5</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LLC,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Delaware limited liability company,</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Borrower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w:t>
      </w:r>
      <w:r>
        <w:rPr>
          <w:rFonts w:ascii="Arial" w:cs="Arial" w:eastAsia="Arial" w:hAnsi="Arial"/>
          <w:sz w:val="35"/>
          <w:szCs w:val="3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16459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hanging="152"/>
        <w:spacing w:after="0"/>
        <w:tabs>
          <w:tab w:leader="none" w:pos="160" w:val="left"/>
        </w:tabs>
        <w:numPr>
          <w:ilvl w:val="0"/>
          <w:numId w:val="451"/>
        </w:numPr>
        <w:rPr>
          <w:rFonts w:ascii="Arial" w:cs="Arial" w:eastAsia="Arial" w:hAnsi="Arial"/>
          <w:sz w:val="31"/>
          <w:szCs w:val="31"/>
          <w:color w:val="auto"/>
          <w:vertAlign w:val="superscript"/>
        </w:rPr>
      </w:pPr>
      <w:r>
        <w:rPr>
          <w:rFonts w:ascii="Arial" w:cs="Arial" w:eastAsia="Arial" w:hAnsi="Arial"/>
          <w:sz w:val="19"/>
          <w:szCs w:val="19"/>
          <w:color w:val="auto"/>
        </w:rPr>
        <w:t>To be added only if the consent of the Administrative Agent is required by the terms of the Credit Agreement.</w:t>
      </w:r>
    </w:p>
    <w:p>
      <w:pPr>
        <w:spacing w:after="0" w:line="13" w:lineRule="exact"/>
        <w:rPr>
          <w:rFonts w:ascii="Arial" w:cs="Arial" w:eastAsia="Arial" w:hAnsi="Arial"/>
          <w:sz w:val="31"/>
          <w:szCs w:val="31"/>
          <w:color w:val="auto"/>
          <w:vertAlign w:val="superscript"/>
        </w:rPr>
      </w:pPr>
    </w:p>
    <w:p>
      <w:pPr>
        <w:jc w:val="both"/>
        <w:ind w:right="1379"/>
        <w:spacing w:after="0" w:line="408" w:lineRule="auto"/>
        <w:rPr>
          <w:rFonts w:ascii="Arial" w:cs="Arial" w:eastAsia="Arial" w:hAnsi="Arial"/>
          <w:sz w:val="31"/>
          <w:szCs w:val="31"/>
          <w:color w:val="auto"/>
          <w:vertAlign w:val="superscript"/>
        </w:rPr>
      </w:pPr>
      <w:r>
        <w:rPr>
          <w:rFonts w:ascii="Arial" w:cs="Arial" w:eastAsia="Arial" w:hAnsi="Arial"/>
          <w:sz w:val="30"/>
          <w:szCs w:val="30"/>
          <w:color w:val="auto"/>
          <w:vertAlign w:val="superscript"/>
        </w:rPr>
        <w:t>5</w:t>
      </w:r>
      <w:r>
        <w:rPr>
          <w:rFonts w:ascii="Arial" w:cs="Arial" w:eastAsia="Arial" w:hAnsi="Arial"/>
          <w:sz w:val="19"/>
          <w:szCs w:val="19"/>
          <w:color w:val="auto"/>
        </w:rPr>
        <w:t xml:space="preserve"> To be added only if the consent of WIL-Bermuda is required by the terms of the Credit Agreement. </w:t>
      </w:r>
      <w:r>
        <w:rPr>
          <w:rFonts w:ascii="Arial" w:cs="Arial" w:eastAsia="Arial" w:hAnsi="Arial"/>
          <w:sz w:val="30"/>
          <w:szCs w:val="30"/>
          <w:color w:val="auto"/>
          <w:vertAlign w:val="superscript"/>
        </w:rPr>
        <w:t>6</w:t>
      </w:r>
      <w:r>
        <w:rPr>
          <w:rFonts w:ascii="Arial" w:cs="Arial" w:eastAsia="Arial" w:hAnsi="Arial"/>
          <w:sz w:val="19"/>
          <w:szCs w:val="19"/>
          <w:color w:val="auto"/>
        </w:rPr>
        <w:t xml:space="preserve"> To be added only if the consent of WIL-Delaware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5" w:right="1440" w:bottom="1440" w:gutter="0" w:footer="0" w:header="0"/>
        </w:sectPr>
      </w:pPr>
    </w:p>
    <w:bookmarkStart w:id="391" w:name="page392"/>
    <w:bookmarkEnd w:id="391"/>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DEUTSCHE BANK AG NEW YORK BRANCH,</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WELLS FARGO BANK, NATIONAL ASSOCIATION,</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BARCLAYS BANK PLC,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SENIOR FUNDING, INC.,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NORDEA BANK ABP, NEW YORK BRANCH,</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Issuing Bank,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33" w:lineRule="exact"/>
        <w:rPr>
          <w:sz w:val="20"/>
          <w:szCs w:val="20"/>
          <w:color w:val="auto"/>
        </w:rPr>
      </w:pPr>
    </w:p>
    <w:p>
      <w:pPr>
        <w:jc w:val="right"/>
        <w:ind w:right="8419"/>
        <w:spacing w:after="0"/>
        <w:rPr>
          <w:sz w:val="20"/>
          <w:szCs w:val="20"/>
          <w:color w:val="auto"/>
        </w:rPr>
      </w:pPr>
      <w:r>
        <w:rPr>
          <w:rFonts w:ascii="Arial" w:cs="Arial" w:eastAsia="Arial" w:hAnsi="Arial"/>
          <w:sz w:val="21"/>
          <w:szCs w:val="21"/>
          <w:color w:val="auto"/>
        </w:rPr>
        <w:t>[ISSUING BANK],</w:t>
      </w:r>
    </w:p>
    <w:p>
      <w:pPr>
        <w:spacing w:after="0" w:line="33" w:lineRule="exact"/>
        <w:rPr>
          <w:sz w:val="20"/>
          <w:szCs w:val="20"/>
          <w:color w:val="auto"/>
        </w:rPr>
      </w:pPr>
    </w:p>
    <w:p>
      <w:pPr>
        <w:jc w:val="right"/>
        <w:ind w:right="8379"/>
        <w:spacing w:after="0"/>
        <w:rPr>
          <w:sz w:val="20"/>
          <w:szCs w:val="20"/>
          <w:color w:val="auto"/>
        </w:rPr>
      </w:pPr>
      <w:r>
        <w:rPr>
          <w:rFonts w:ascii="Arial" w:cs="Arial" w:eastAsia="Arial" w:hAnsi="Arial"/>
          <w:sz w:val="22"/>
          <w:szCs w:val="22"/>
          <w:color w:val="auto"/>
        </w:rPr>
        <w:t>as Issuing Bank,</w:t>
      </w:r>
    </w:p>
    <w:p>
      <w:pPr>
        <w:sectPr>
          <w:pgSz w:w="11900" w:h="16838" w:orient="portrait"/>
          <w:cols w:equalWidth="0" w:num="1">
            <w:col w:w="10139"/>
          </w:cols>
          <w:pgMar w:left="320" w:top="401" w:right="1440" w:bottom="224" w:gutter="0" w:footer="0" w:header="0"/>
        </w:sectPr>
      </w:pPr>
    </w:p>
    <w:bookmarkStart w:id="392" w:name="page393"/>
    <w:bookmarkEnd w:id="392"/>
    <w:p>
      <w:pPr>
        <w:spacing w:after="0"/>
        <w:rPr>
          <w:sz w:val="20"/>
          <w:szCs w:val="20"/>
          <w:color w:val="auto"/>
        </w:rPr>
      </w:pPr>
      <w:r>
        <w:rPr>
          <w:rFonts w:ascii="Arial" w:cs="Arial" w:eastAsia="Arial" w:hAnsi="Arial"/>
          <w:sz w:val="19"/>
          <w:szCs w:val="19"/>
          <w:color w:val="auto"/>
        </w:rPr>
        <w:t>By:_____________________________________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r>
        <w:rPr>
          <w:rFonts w:ascii="Arial" w:cs="Arial" w:eastAsia="Arial" w:hAnsi="Arial"/>
          <w:sz w:val="35"/>
          <w:szCs w:val="35"/>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16459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hanging="152"/>
        <w:spacing w:after="0"/>
        <w:tabs>
          <w:tab w:leader="none" w:pos="160" w:val="left"/>
        </w:tabs>
        <w:numPr>
          <w:ilvl w:val="0"/>
          <w:numId w:val="452"/>
        </w:numPr>
        <w:rPr>
          <w:rFonts w:ascii="Arial" w:cs="Arial" w:eastAsia="Arial" w:hAnsi="Arial"/>
          <w:sz w:val="33"/>
          <w:szCs w:val="33"/>
          <w:color w:val="auto"/>
          <w:vertAlign w:val="superscript"/>
        </w:rPr>
      </w:pPr>
      <w:r>
        <w:rPr>
          <w:rFonts w:ascii="Arial" w:cs="Arial" w:eastAsia="Arial" w:hAnsi="Arial"/>
          <w:sz w:val="20"/>
          <w:szCs w:val="20"/>
          <w:color w:val="auto"/>
        </w:rPr>
        <w:t>To be added for any additional Issuing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93" w:name="page394"/>
    <w:bookmarkEnd w:id="393"/>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ANNEX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STANDARD TERMS AND CONDITIONS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AND ASSUMPTION</w:t>
      </w:r>
    </w:p>
    <w:p>
      <w:pPr>
        <w:spacing w:after="0" w:line="229" w:lineRule="exact"/>
        <w:rPr>
          <w:sz w:val="20"/>
          <w:szCs w:val="20"/>
          <w:color w:val="auto"/>
        </w:rPr>
      </w:pPr>
    </w:p>
    <w:p>
      <w:pPr>
        <w:ind w:left="1360" w:hanging="704"/>
        <w:spacing w:after="0"/>
        <w:tabs>
          <w:tab w:leader="none" w:pos="1360" w:val="left"/>
        </w:tabs>
        <w:numPr>
          <w:ilvl w:val="0"/>
          <w:numId w:val="45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Obligor, any of its Subsidiaries or Affiliates or any other Person obligated in respect of any Loan Document or</w:t>
      </w:r>
    </w:p>
    <w:p>
      <w:pPr>
        <w:spacing w:after="0" w:line="2" w:lineRule="exact"/>
        <w:rPr>
          <w:sz w:val="20"/>
          <w:szCs w:val="20"/>
          <w:color w:val="auto"/>
        </w:rPr>
      </w:pPr>
    </w:p>
    <w:p>
      <w:pPr>
        <w:ind w:right="20" w:firstLine="8"/>
        <w:spacing w:after="0" w:line="272" w:lineRule="auto"/>
        <w:tabs>
          <w:tab w:leader="none" w:pos="399" w:val="left"/>
        </w:tabs>
        <w:numPr>
          <w:ilvl w:val="0"/>
          <w:numId w:val="454"/>
        </w:numPr>
        <w:rPr>
          <w:rFonts w:ascii="Arial" w:cs="Arial" w:eastAsia="Arial" w:hAnsi="Arial"/>
          <w:sz w:val="22"/>
          <w:szCs w:val="22"/>
          <w:color w:val="auto"/>
        </w:rPr>
      </w:pPr>
      <w:r>
        <w:rPr>
          <w:rFonts w:ascii="Arial" w:cs="Arial" w:eastAsia="Arial" w:hAnsi="Arial"/>
          <w:sz w:val="22"/>
          <w:szCs w:val="22"/>
          <w:color w:val="auto"/>
        </w:rPr>
        <w:t>the performance or observance by any Obligor, any of its Subsidiaries or Affiliates or any other Person of any of their respective obligations under any Loan Document.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Collateral Agent or any other Lender, (vi) it is not an Ineligible Institution, [[and] (vii) it has delivered to the Administrative Agent an Administrative Questionnaire in which the Assignee designates one or more credit contacts to whom all syndicate-level information (which may contain material non-public information about the Borrowers and their respective Affiliates and their Related Parties or their respective securities) will be made available and who may receive such information in accordance with the Assignee’s compliance procedures and applicable laws, including Federal and state securities laws]</w:t>
      </w:r>
      <w:r>
        <w:rPr>
          <w:rFonts w:ascii="Arial" w:cs="Arial" w:eastAsia="Arial" w:hAnsi="Arial"/>
          <w:sz w:val="32"/>
          <w:szCs w:val="32"/>
          <w:color w:val="auto"/>
          <w:vertAlign w:val="superscript"/>
        </w:rPr>
        <w:t>8</w:t>
      </w:r>
      <w:r>
        <w:rPr>
          <w:rFonts w:ascii="Arial" w:cs="Arial" w:eastAsia="Arial" w:hAnsi="Arial"/>
          <w:sz w:val="20"/>
          <w:szCs w:val="20"/>
          <w:color w:val="auto"/>
        </w:rPr>
        <w:t xml:space="preserve">[,][ and] [(viii) attached to the Assignment and Assumption are the forms required under </w:t>
      </w:r>
      <w:r>
        <w:rPr>
          <w:rFonts w:ascii="Arial" w:cs="Arial" w:eastAsia="Arial" w:hAnsi="Arial"/>
          <w:sz w:val="20"/>
          <w:szCs w:val="20"/>
          <w:u w:val="single" w:color="auto"/>
          <w:color w:val="auto"/>
        </w:rPr>
        <w:t>Sections 4.02(c)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4.02(e)</w:t>
      </w:r>
      <w:r>
        <w:rPr>
          <w:rFonts w:ascii="Arial" w:cs="Arial" w:eastAsia="Arial" w:hAnsi="Arial"/>
          <w:sz w:val="20"/>
          <w:szCs w:val="20"/>
          <w:color w:val="auto"/>
        </w:rPr>
        <w:t xml:space="preserve"> of the Credit Agreement, duly completed and executed by the Assignee]</w:t>
      </w:r>
      <w:r>
        <w:rPr>
          <w:rFonts w:ascii="Arial" w:cs="Arial" w:eastAsia="Arial" w:hAnsi="Arial"/>
          <w:sz w:val="32"/>
          <w:szCs w:val="32"/>
          <w:color w:val="auto"/>
          <w:vertAlign w:val="superscript"/>
        </w:rPr>
        <w:t>9</w:t>
      </w:r>
      <w:r>
        <w:rPr>
          <w:rFonts w:ascii="Arial" w:cs="Arial" w:eastAsia="Arial" w:hAnsi="Arial"/>
          <w:sz w:val="20"/>
          <w:szCs w:val="20"/>
          <w:color w:val="auto"/>
        </w:rPr>
        <w:t>[,][ and] [(ix) it has delivered to Parent and the Administrative Agent an Assignee Certificate]</w:t>
      </w:r>
      <w:r>
        <w:rPr>
          <w:rFonts w:ascii="Arial" w:cs="Arial" w:eastAsia="Arial" w:hAnsi="Arial"/>
          <w:sz w:val="32"/>
          <w:szCs w:val="32"/>
          <w:color w:val="auto"/>
          <w:vertAlign w:val="superscript"/>
        </w:rPr>
        <w:t>10</w:t>
      </w:r>
      <w:r>
        <w:rPr>
          <w:rFonts w:ascii="Arial" w:cs="Arial" w:eastAsia="Arial" w:hAnsi="Arial"/>
          <w:sz w:val="20"/>
          <w:szCs w:val="20"/>
          <w:color w:val="auto"/>
        </w:rPr>
        <w:t xml:space="preserve"> [and (x) it is not subject under current law to any U.S. withholding tax on amounts payable to it under the Credit Agreement]</w:t>
      </w:r>
      <w:r>
        <w:rPr>
          <w:rFonts w:ascii="Arial" w:cs="Arial" w:eastAsia="Arial" w:hAnsi="Arial"/>
          <w:sz w:val="32"/>
          <w:szCs w:val="32"/>
          <w:color w:val="auto"/>
          <w:vertAlign w:val="superscript"/>
        </w:rPr>
        <w:t>11</w:t>
      </w:r>
      <w:r>
        <w:rPr>
          <w:rFonts w:ascii="Arial" w:cs="Arial" w:eastAsia="Arial" w:hAnsi="Arial"/>
          <w:sz w:val="20"/>
          <w:szCs w:val="20"/>
          <w:color w:val="auto"/>
        </w:rPr>
        <w:t>;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4" w:lineRule="exact"/>
        <w:rPr>
          <w:sz w:val="20"/>
          <w:szCs w:val="20"/>
          <w:color w:val="auto"/>
        </w:rPr>
      </w:pPr>
    </w:p>
    <w:p>
      <w:pPr>
        <w:jc w:val="both"/>
        <w:ind w:firstLine="656"/>
        <w:spacing w:after="0" w:line="262" w:lineRule="auto"/>
        <w:tabs>
          <w:tab w:leader="none" w:pos="1404" w:val="left"/>
        </w:tabs>
        <w:numPr>
          <w:ilvl w:val="0"/>
          <w:numId w:val="455"/>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91" w:lineRule="exact"/>
        <w:rPr>
          <w:rFonts w:ascii="Arial" w:cs="Arial" w:eastAsia="Arial" w:hAnsi="Arial"/>
          <w:sz w:val="22"/>
          <w:szCs w:val="22"/>
          <w:color w:val="auto"/>
        </w:rPr>
      </w:pPr>
    </w:p>
    <w:p>
      <w:pPr>
        <w:jc w:val="both"/>
        <w:ind w:firstLine="656"/>
        <w:spacing w:after="0" w:line="297" w:lineRule="auto"/>
        <w:tabs>
          <w:tab w:leader="none" w:pos="1593" w:val="left"/>
        </w:tabs>
        <w:numPr>
          <w:ilvl w:val="0"/>
          <w:numId w:val="455"/>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xml:space="preserve">. This Assignment and Assumption shall (a) be binding upon the parties hereto and their respective successors and assigns and (b) inure to the benefit of the parties hereto and their respective successors and assigns. This Assignment and Assumption may be executed in any number of counterparts, which together shall constitute one instrument. Delivery of an executed counterpart of a signature page to this Assignment and Assumption by facsimile (or by electronic communication, if arrangements for doing so have been approved by the Administrative Agent) shall be effective as a delivery of a manually executed counterpart of this Assignment and Assumption. </w:t>
      </w:r>
      <w:r>
        <w:rPr>
          <w:rFonts w:ascii="Arial" w:cs="Arial" w:eastAsia="Arial" w:hAnsi="Arial"/>
          <w:sz w:val="19"/>
          <w:szCs w:val="19"/>
          <w:b w:val="1"/>
          <w:bCs w:val="1"/>
          <w:color w:val="auto"/>
        </w:rPr>
        <w:t>THIS ASSIGNMENT AND ASSUMPTION</w:t>
      </w:r>
    </w:p>
    <w:p>
      <w:pPr>
        <w:spacing w:after="0" w:line="2" w:lineRule="exact"/>
        <w:rPr>
          <w:rFonts w:ascii="Arial" w:cs="Arial" w:eastAsia="Arial" w:hAnsi="Arial"/>
          <w:sz w:val="19"/>
          <w:szCs w:val="19"/>
          <w:color w:val="auto"/>
        </w:rPr>
      </w:pPr>
    </w:p>
    <w:p>
      <w:pPr>
        <w:spacing w:after="0" w:line="272" w:lineRule="auto"/>
        <w:rPr>
          <w:rFonts w:ascii="Arial" w:cs="Arial" w:eastAsia="Arial" w:hAnsi="Arial"/>
          <w:sz w:val="19"/>
          <w:szCs w:val="19"/>
          <w:color w:val="auto"/>
        </w:rPr>
      </w:pPr>
      <w:r>
        <w:rPr>
          <w:rFonts w:ascii="Arial" w:cs="Arial" w:eastAsia="Arial" w:hAnsi="Arial"/>
          <w:sz w:val="22"/>
          <w:szCs w:val="22"/>
          <w:b w:val="1"/>
          <w:bCs w:val="1"/>
          <w:color w:val="auto"/>
        </w:rPr>
        <w:t>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16459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ectPr>
          <w:pgSz w:w="11900" w:h="16874" w:orient="portrait"/>
          <w:cols w:equalWidth="0" w:num="1">
            <w:col w:w="11240"/>
          </w:cols>
          <w:pgMar w:left="320" w:top="40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hanging="152"/>
        <w:spacing w:after="0"/>
        <w:tabs>
          <w:tab w:leader="none" w:pos="160" w:val="left"/>
        </w:tabs>
        <w:numPr>
          <w:ilvl w:val="0"/>
          <w:numId w:val="456"/>
        </w:numPr>
        <w:rPr>
          <w:rFonts w:ascii="Arial" w:cs="Arial" w:eastAsia="Arial" w:hAnsi="Arial"/>
          <w:sz w:val="31"/>
          <w:szCs w:val="31"/>
          <w:color w:val="auto"/>
          <w:vertAlign w:val="superscript"/>
        </w:rPr>
      </w:pPr>
      <w:r>
        <w:rPr>
          <w:rFonts w:ascii="Arial" w:cs="Arial" w:eastAsia="Arial" w:hAnsi="Arial"/>
          <w:sz w:val="19"/>
          <w:szCs w:val="19"/>
          <w:color w:val="auto"/>
        </w:rPr>
        <w:t>Required to be delivered if Assignee is not a Lender.</w:t>
      </w:r>
    </w:p>
    <w:p>
      <w:pPr>
        <w:sectPr>
          <w:pgSz w:w="11900" w:h="16874" w:orient="portrait"/>
          <w:cols w:equalWidth="0" w:num="1">
            <w:col w:w="11240"/>
          </w:cols>
          <w:pgMar w:left="320" w:top="401" w:right="339" w:bottom="0" w:gutter="0" w:footer="0" w:header="0"/>
          <w:type w:val="continuous"/>
        </w:sectPr>
      </w:pPr>
    </w:p>
    <w:bookmarkStart w:id="394" w:name="page395"/>
    <w:bookmarkEnd w:id="394"/>
    <w:p>
      <w:pPr>
        <w:ind w:right="3859" w:firstLine="8"/>
        <w:spacing w:after="0" w:line="184" w:lineRule="auto"/>
        <w:tabs>
          <w:tab w:leader="none" w:pos="144" w:val="left"/>
        </w:tabs>
        <w:numPr>
          <w:ilvl w:val="0"/>
          <w:numId w:val="457"/>
        </w:numPr>
        <w:rPr>
          <w:rFonts w:ascii="Arial" w:cs="Arial" w:eastAsia="Arial" w:hAnsi="Arial"/>
          <w:sz w:val="32"/>
          <w:szCs w:val="32"/>
          <w:color w:val="auto"/>
          <w:vertAlign w:val="superscript"/>
        </w:rPr>
      </w:pPr>
      <w:r>
        <w:rPr>
          <w:rFonts w:ascii="Arial" w:cs="Arial" w:eastAsia="Arial" w:hAnsi="Arial"/>
          <w:sz w:val="20"/>
          <w:szCs w:val="20"/>
          <w:color w:val="auto"/>
        </w:rPr>
        <w:t xml:space="preserve">Not required when an Event of Default has occurred and is continuing. </w:t>
      </w:r>
      <w:r>
        <w:rPr>
          <w:rFonts w:ascii="Arial" w:cs="Arial" w:eastAsia="Arial" w:hAnsi="Arial"/>
          <w:sz w:val="31"/>
          <w:szCs w:val="31"/>
          <w:color w:val="auto"/>
          <w:vertAlign w:val="superscript"/>
        </w:rPr>
        <w:t>10</w:t>
      </w:r>
      <w:r>
        <w:rPr>
          <w:rFonts w:ascii="Arial" w:cs="Arial" w:eastAsia="Arial" w:hAnsi="Arial"/>
          <w:sz w:val="20"/>
          <w:szCs w:val="20"/>
          <w:color w:val="auto"/>
        </w:rPr>
        <w:t xml:space="preserve"> Required to be delivered if Assignee is not a Lender.</w:t>
      </w:r>
    </w:p>
    <w:p>
      <w:pPr>
        <w:spacing w:after="0" w:line="2" w:lineRule="exact"/>
        <w:rPr>
          <w:rFonts w:ascii="Arial" w:cs="Arial" w:eastAsia="Arial" w:hAnsi="Arial"/>
          <w:sz w:val="32"/>
          <w:szCs w:val="32"/>
          <w:color w:val="auto"/>
          <w:vertAlign w:val="superscript"/>
        </w:rPr>
      </w:pPr>
    </w:p>
    <w:p>
      <w:pPr>
        <w:spacing w:after="0"/>
        <w:rPr>
          <w:rFonts w:ascii="Arial" w:cs="Arial" w:eastAsia="Arial" w:hAnsi="Arial"/>
          <w:sz w:val="32"/>
          <w:szCs w:val="32"/>
          <w:color w:val="auto"/>
          <w:vertAlign w:val="superscript"/>
        </w:rPr>
      </w:pPr>
      <w:r>
        <w:rPr>
          <w:rFonts w:ascii="Arial" w:cs="Arial" w:eastAsia="Arial" w:hAnsi="Arial"/>
          <w:sz w:val="30"/>
          <w:szCs w:val="30"/>
          <w:color w:val="auto"/>
          <w:vertAlign w:val="superscript"/>
        </w:rPr>
        <w:t>11</w:t>
      </w:r>
      <w:r>
        <w:rPr>
          <w:rFonts w:ascii="Arial" w:cs="Arial" w:eastAsia="Arial" w:hAnsi="Arial"/>
          <w:sz w:val="19"/>
          <w:szCs w:val="19"/>
          <w:color w:val="auto"/>
        </w:rPr>
        <w:t xml:space="preserve"> Not required when an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95" w:name="page396"/>
    <w:bookmarkEnd w:id="395"/>
    <w:tbl>
      <w:tblPr>
        <w:tblLayout w:type="fixed"/>
        <w:tblInd w:w="10" w:type="dxa"/>
        <w:tblCellMar>
          <w:top w:w="0" w:type="dxa"/>
          <w:left w:w="0" w:type="dxa"/>
          <w:bottom w:w="0" w:type="dxa"/>
          <w:right w:w="0" w:type="dxa"/>
        </w:tblCellMar>
      </w:tblPr>
      <w:tr>
        <w:trPr>
          <w:trHeight w:val="253"/>
        </w:trPr>
        <w:tc>
          <w:tcPr>
            <w:tcW w:w="3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720" w:type="dxa"/>
            <w:vAlign w:val="bottom"/>
            <w:gridSpan w:val="2"/>
          </w:tcPr>
          <w:p>
            <w:pPr>
              <w:jc w:val="right"/>
              <w:spacing w:after="0"/>
              <w:rPr>
                <w:sz w:val="20"/>
                <w:szCs w:val="20"/>
                <w:color w:val="auto"/>
              </w:rPr>
            </w:pPr>
            <w:r>
              <w:rPr>
                <w:rFonts w:ascii="Arial" w:cs="Arial" w:eastAsia="Arial" w:hAnsi="Arial"/>
                <w:sz w:val="22"/>
                <w:szCs w:val="22"/>
                <w:color w:val="auto"/>
              </w:rPr>
              <w:t>ANNEX 2</w:t>
            </w:r>
          </w:p>
        </w:tc>
      </w:tr>
      <w:tr>
        <w:trPr>
          <w:trHeight w:val="743"/>
        </w:trPr>
        <w:tc>
          <w:tcPr>
            <w:tcW w:w="3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r>
      <w:tr>
        <w:trPr>
          <w:trHeight w:val="229"/>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Amount of Aggregate</w:t>
            </w:r>
          </w:p>
        </w:tc>
        <w:tc>
          <w:tcPr>
            <w:tcW w:w="37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Amount of Commitment / Letter of Credit</w:t>
            </w:r>
          </w:p>
        </w:tc>
        <w:tc>
          <w:tcPr>
            <w:tcW w:w="37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Percentage Assigned of Commitments / Letter of</w:t>
            </w:r>
          </w:p>
        </w:tc>
      </w:tr>
      <w:tr>
        <w:trPr>
          <w:trHeight w:val="23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Commitment / Total Letter of Credit Exposure</w:t>
            </w:r>
          </w:p>
        </w:tc>
        <w:tc>
          <w:tcPr>
            <w:tcW w:w="560" w:type="dxa"/>
            <w:vAlign w:val="bottom"/>
          </w:tcPr>
          <w:p>
            <w:pPr>
              <w:spacing w:after="0"/>
              <w:rPr>
                <w:sz w:val="20"/>
                <w:szCs w:val="20"/>
                <w:color w:val="auto"/>
              </w:rPr>
            </w:pPr>
          </w:p>
        </w:tc>
        <w:tc>
          <w:tcPr>
            <w:tcW w:w="318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88"/>
              </w:rPr>
              <w:t>Exposure Assigned</w:t>
            </w:r>
          </w:p>
        </w:tc>
        <w:tc>
          <w:tcPr>
            <w:tcW w:w="37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1"/>
              </w:rPr>
              <w:t>Credit Exposure</w:t>
            </w: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459"/>
        </w:trPr>
        <w:tc>
          <w:tcPr>
            <w:tcW w:w="3780" w:type="dxa"/>
            <w:vAlign w:val="bottom"/>
            <w:tcBorders>
              <w:left w:val="single" w:sz="8" w:color="auto"/>
              <w:right w:val="single" w:sz="8" w:color="auto"/>
            </w:tcBorders>
          </w:tcPr>
          <w:p>
            <w:pPr>
              <w:jc w:val="right"/>
              <w:ind w:right="352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31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473"/>
        </w:trPr>
        <w:tc>
          <w:tcPr>
            <w:tcW w:w="4340" w:type="dxa"/>
            <w:vAlign w:val="bottom"/>
            <w:gridSpan w:val="2"/>
          </w:tcPr>
          <w:p>
            <w:pPr>
              <w:jc w:val="right"/>
              <w:spacing w:after="0"/>
              <w:rPr>
                <w:sz w:val="20"/>
                <w:szCs w:val="20"/>
                <w:color w:val="auto"/>
              </w:rPr>
            </w:pPr>
            <w:r>
              <w:rPr>
                <w:rFonts w:ascii="Arial" w:cs="Arial" w:eastAsia="Arial" w:hAnsi="Arial"/>
                <w:sz w:val="22"/>
                <w:szCs w:val="22"/>
                <w:color w:val="auto"/>
                <w:w w:val="88"/>
              </w:rPr>
              <w:t>Applicable Percentage: _____________________</w:t>
            </w:r>
          </w:p>
        </w:tc>
        <w:tc>
          <w:tcPr>
            <w:tcW w:w="3180" w:type="dxa"/>
            <w:vAlign w:val="bottom"/>
          </w:tcPr>
          <w:p>
            <w:pPr>
              <w:jc w:val="right"/>
              <w:ind w:right="2770"/>
              <w:spacing w:after="0"/>
              <w:rPr>
                <w:sz w:val="20"/>
                <w:szCs w:val="20"/>
                <w:color w:val="auto"/>
              </w:rPr>
            </w:pPr>
            <w:r>
              <w:rPr>
                <w:rFonts w:ascii="Arial" w:cs="Arial" w:eastAsia="Arial" w:hAnsi="Arial"/>
                <w:sz w:val="18"/>
                <w:szCs w:val="18"/>
                <w:color w:val="auto"/>
              </w:rPr>
              <w:t>12</w:t>
            </w: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tcPr>
          <w:p>
            <w:pPr>
              <w:jc w:val="right"/>
              <w:ind w:right="2950"/>
              <w:spacing w:after="0"/>
              <w:rPr>
                <w:sz w:val="20"/>
                <w:szCs w:val="20"/>
                <w:color w:val="auto"/>
              </w:rPr>
            </w:pPr>
            <w:r>
              <w:rPr>
                <w:rFonts w:ascii="Arial" w:cs="Arial" w:eastAsia="Arial" w:hAnsi="Arial"/>
                <w:sz w:val="18"/>
                <w:szCs w:val="18"/>
                <w:color w:val="auto"/>
                <w:w w:val="74"/>
              </w:rPr>
              <w:t>%</w:t>
            </w:r>
          </w:p>
        </w:tc>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1877060</wp:posOffset>
            </wp:positionV>
            <wp:extent cx="16459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0" w:hanging="232"/>
        <w:spacing w:after="0"/>
        <w:tabs>
          <w:tab w:leader="none" w:pos="240" w:val="left"/>
        </w:tabs>
        <w:numPr>
          <w:ilvl w:val="0"/>
          <w:numId w:val="458"/>
        </w:numPr>
        <w:rPr>
          <w:rFonts w:ascii="Arial" w:cs="Arial" w:eastAsia="Arial" w:hAnsi="Arial"/>
          <w:sz w:val="31"/>
          <w:szCs w:val="31"/>
          <w:color w:val="auto"/>
          <w:vertAlign w:val="superscript"/>
        </w:rPr>
      </w:pPr>
      <w:r>
        <w:rPr>
          <w:rFonts w:ascii="Arial" w:cs="Arial" w:eastAsia="Arial" w:hAnsi="Arial"/>
          <w:sz w:val="19"/>
          <w:szCs w:val="19"/>
          <w:color w:val="auto"/>
        </w:rPr>
        <w:t>Set forth, to at least 12 decimals, as a percentage of the Aggregate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96" w:name="page397"/>
    <w:bookmarkEnd w:id="396"/>
    <w:p>
      <w:pPr>
        <w:jc w:val="right"/>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LETTER OF CREDIT REQUEST</w:t>
      </w:r>
    </w:p>
    <w:p>
      <w:pPr>
        <w:spacing w:after="0" w:line="239"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_______________, 20__</w:t>
      </w:r>
    </w:p>
    <w:p>
      <w:pPr>
        <w:spacing w:after="0" w:line="261"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[________]</w:t>
      </w:r>
      <w:r>
        <w:rPr>
          <w:rFonts w:ascii="Arial" w:cs="Arial" w:eastAsia="Arial" w:hAnsi="Arial"/>
          <w:sz w:val="35"/>
          <w:szCs w:val="35"/>
          <w:color w:val="auto"/>
          <w:vertAlign w:val="superscript"/>
        </w:rPr>
        <w:t>1</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[________]</w:t>
      </w:r>
      <w:r>
        <w:rPr>
          <w:rFonts w:ascii="Arial" w:cs="Arial" w:eastAsia="Arial" w:hAnsi="Arial"/>
          <w:sz w:val="35"/>
          <w:szCs w:val="35"/>
          <w:color w:val="auto"/>
          <w:vertAlign w:val="superscript"/>
        </w:rPr>
        <w:t>2</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 xml:space="preserve">This notice shall constitute a “Letter of Credit Request” for a Letter of Credit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of the LC Credit Agreement, dated as of December 13, 2019 (as amended, restated, amended and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Weatherford International Ltd., a Bermuda exempted company (“</w:t>
      </w:r>
      <w:r>
        <w:rPr>
          <w:rFonts w:ascii="Arial" w:cs="Arial" w:eastAsia="Arial" w:hAnsi="Arial"/>
          <w:sz w:val="19"/>
          <w:szCs w:val="19"/>
          <w:u w:val="single" w:color="auto"/>
          <w:color w:val="auto"/>
        </w:rPr>
        <w:t>WIL-Bermuda</w:t>
      </w:r>
      <w:r>
        <w:rPr>
          <w:rFonts w:ascii="Arial" w:cs="Arial" w:eastAsia="Arial" w:hAnsi="Arial"/>
          <w:sz w:val="19"/>
          <w:szCs w:val="19"/>
          <w:color w:val="auto"/>
        </w:rPr>
        <w:t>”), Weatherford International, LLC, a Delaware limited liability company (“</w:t>
      </w:r>
      <w:r>
        <w:rPr>
          <w:rFonts w:ascii="Arial" w:cs="Arial" w:eastAsia="Arial" w:hAnsi="Arial"/>
          <w:sz w:val="19"/>
          <w:szCs w:val="19"/>
          <w:u w:val="single" w:color="auto"/>
          <w:color w:val="auto"/>
        </w:rPr>
        <w:t>WIL-Delaware</w:t>
      </w:r>
      <w:r>
        <w:rPr>
          <w:rFonts w:ascii="Arial" w:cs="Arial" w:eastAsia="Arial" w:hAnsi="Arial"/>
          <w:sz w:val="19"/>
          <w:szCs w:val="19"/>
          <w:color w:val="auto"/>
        </w:rPr>
        <w:t>”), Weatherford International plc, an Irish public limited company (“</w:t>
      </w:r>
      <w:r>
        <w:rPr>
          <w:rFonts w:ascii="Arial" w:cs="Arial" w:eastAsia="Arial" w:hAnsi="Arial"/>
          <w:sz w:val="19"/>
          <w:szCs w:val="19"/>
          <w:u w:val="single" w:color="auto"/>
          <w:color w:val="auto"/>
        </w:rPr>
        <w:t>Parent</w:t>
      </w:r>
      <w:r>
        <w:rPr>
          <w:rFonts w:ascii="Arial" w:cs="Arial" w:eastAsia="Arial" w:hAnsi="Arial"/>
          <w:sz w:val="19"/>
          <w:szCs w:val="19"/>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(the “</w:t>
      </w:r>
      <w:r>
        <w:rPr>
          <w:rFonts w:ascii="Arial" w:cs="Arial" w:eastAsia="Arial" w:hAnsi="Arial"/>
          <w:sz w:val="20"/>
          <w:szCs w:val="20"/>
          <w:u w:val="single" w:color="auto"/>
          <w:color w:val="auto"/>
        </w:rPr>
        <w:t>Borrower</w:t>
      </w:r>
      <w:r>
        <w:rPr>
          <w:rFonts w:ascii="Arial" w:cs="Arial" w:eastAsia="Arial" w:hAnsi="Arial"/>
          <w:sz w:val="20"/>
          <w:szCs w:val="20"/>
          <w:color w:val="auto"/>
        </w:rPr>
        <w:t>”) hereby requests that [________]</w:t>
      </w:r>
      <w:r>
        <w:rPr>
          <w:rFonts w:ascii="Arial" w:cs="Arial" w:eastAsia="Arial" w:hAnsi="Arial"/>
          <w:sz w:val="32"/>
          <w:szCs w:val="32"/>
          <w:color w:val="auto"/>
          <w:vertAlign w:val="superscript"/>
        </w:rPr>
        <w:t>3</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Issuing Bank</w:t>
      </w:r>
      <w:r>
        <w:rPr>
          <w:rFonts w:ascii="Arial" w:cs="Arial" w:eastAsia="Arial" w:hAnsi="Arial"/>
          <w:sz w:val="20"/>
          <w:szCs w:val="20"/>
          <w:color w:val="auto"/>
        </w:rPr>
        <w:t>”) issue a Letter of Credit on</w:t>
      </w:r>
    </w:p>
    <w:p>
      <w:pPr>
        <w:spacing w:after="0" w:line="181" w:lineRule="auto"/>
        <w:rPr>
          <w:sz w:val="20"/>
          <w:szCs w:val="20"/>
          <w:color w:val="auto"/>
        </w:rPr>
      </w:pPr>
      <w:r>
        <w:rPr>
          <w:rFonts w:ascii="Arial" w:cs="Arial" w:eastAsia="Arial" w:hAnsi="Arial"/>
          <w:sz w:val="20"/>
          <w:szCs w:val="20"/>
          <w:color w:val="auto"/>
        </w:rPr>
        <w:t>[________]</w:t>
      </w:r>
      <w:r>
        <w:rPr>
          <w:rFonts w:ascii="Arial" w:cs="Arial" w:eastAsia="Arial" w:hAnsi="Arial"/>
          <w:sz w:val="31"/>
          <w:szCs w:val="31"/>
          <w:color w:val="auto"/>
          <w:vertAlign w:val="superscript"/>
        </w:rPr>
        <w:t>4</w:t>
      </w:r>
      <w:r>
        <w:rPr>
          <w:rFonts w:ascii="Arial" w:cs="Arial" w:eastAsia="Arial" w:hAnsi="Arial"/>
          <w:sz w:val="20"/>
          <w:szCs w:val="20"/>
          <w:color w:val="auto"/>
        </w:rPr>
        <w:t xml:space="preserve"> in the aggregate amount of [_______]</w:t>
      </w:r>
      <w:r>
        <w:rPr>
          <w:rFonts w:ascii="Arial" w:cs="Arial" w:eastAsia="Arial" w:hAnsi="Arial"/>
          <w:sz w:val="31"/>
          <w:szCs w:val="31"/>
          <w:color w:val="auto"/>
          <w:vertAlign w:val="superscript"/>
        </w:rPr>
        <w:t>5</w:t>
      </w:r>
      <w:r>
        <w:rPr>
          <w:rFonts w:ascii="Arial" w:cs="Arial" w:eastAsia="Arial" w:hAnsi="Arial"/>
          <w:sz w:val="20"/>
          <w:szCs w:val="20"/>
          <w:color w:val="auto"/>
        </w:rPr>
        <w:t>. The beneficiary of the requested Letter of Credit will be [_______]</w:t>
      </w:r>
      <w:r>
        <w:rPr>
          <w:rFonts w:ascii="Arial" w:cs="Arial" w:eastAsia="Arial" w:hAnsi="Arial"/>
          <w:sz w:val="31"/>
          <w:szCs w:val="31"/>
          <w:color w:val="auto"/>
          <w:vertAlign w:val="superscript"/>
        </w:rPr>
        <w:t>6</w:t>
      </w:r>
      <w:r>
        <w:rPr>
          <w:rFonts w:ascii="Arial" w:cs="Arial" w:eastAsia="Arial" w:hAnsi="Arial"/>
          <w:sz w:val="20"/>
          <w:szCs w:val="20"/>
          <w:color w:val="auto"/>
        </w:rPr>
        <w:t>,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such Letter of Credit will be in support of [_______]</w:t>
      </w:r>
      <w:r>
        <w:rPr>
          <w:rFonts w:ascii="Arial" w:cs="Arial" w:eastAsia="Arial" w:hAnsi="Arial"/>
          <w:sz w:val="35"/>
          <w:szCs w:val="35"/>
          <w:color w:val="auto"/>
          <w:vertAlign w:val="superscript"/>
        </w:rPr>
        <w:t>7</w:t>
      </w:r>
      <w:r>
        <w:rPr>
          <w:rFonts w:ascii="Arial" w:cs="Arial" w:eastAsia="Arial" w:hAnsi="Arial"/>
          <w:sz w:val="22"/>
          <w:szCs w:val="22"/>
          <w:color w:val="auto"/>
        </w:rPr>
        <w:t xml:space="preserve"> and will have a stated expiration date of [_______]</w:t>
      </w:r>
      <w:r>
        <w:rPr>
          <w:rFonts w:ascii="Arial" w:cs="Arial" w:eastAsia="Arial" w:hAnsi="Arial"/>
          <w:sz w:val="35"/>
          <w:szCs w:val="35"/>
          <w:color w:val="auto"/>
          <w:vertAlign w:val="superscript"/>
        </w:rPr>
        <w:t>8</w:t>
      </w:r>
      <w:r>
        <w:rPr>
          <w:rFonts w:ascii="Arial" w:cs="Arial" w:eastAsia="Arial" w:hAnsi="Arial"/>
          <w:sz w:val="22"/>
          <w:szCs w:val="22"/>
          <w:color w:val="auto"/>
        </w:rPr>
        <w:t>.]</w:t>
      </w:r>
      <w:r>
        <w:rPr>
          <w:rFonts w:ascii="Arial" w:cs="Arial" w:eastAsia="Arial" w:hAnsi="Arial"/>
          <w:sz w:val="35"/>
          <w:szCs w:val="35"/>
          <w:color w:val="auto"/>
          <w:vertAlign w:val="superscript"/>
        </w:rPr>
        <w:t>9</w:t>
      </w:r>
    </w:p>
    <w:p>
      <w:pPr>
        <w:ind w:left="660"/>
        <w:spacing w:after="0" w:line="230" w:lineRule="auto"/>
        <w:rPr>
          <w:sz w:val="20"/>
          <w:szCs w:val="20"/>
          <w:color w:val="auto"/>
        </w:rPr>
      </w:pPr>
      <w:r>
        <w:rPr>
          <w:rFonts w:ascii="Arial" w:cs="Arial" w:eastAsia="Arial" w:hAnsi="Arial"/>
          <w:sz w:val="20"/>
          <w:szCs w:val="20"/>
          <w:color w:val="auto"/>
        </w:rPr>
        <w:t>[The undersigned (the “</w:t>
      </w:r>
      <w:r>
        <w:rPr>
          <w:rFonts w:ascii="Arial" w:cs="Arial" w:eastAsia="Arial" w:hAnsi="Arial"/>
          <w:sz w:val="20"/>
          <w:szCs w:val="20"/>
          <w:u w:val="single" w:color="auto"/>
          <w:color w:val="auto"/>
        </w:rPr>
        <w:t>Borrower</w:t>
      </w:r>
      <w:r>
        <w:rPr>
          <w:rFonts w:ascii="Arial" w:cs="Arial" w:eastAsia="Arial" w:hAnsi="Arial"/>
          <w:sz w:val="20"/>
          <w:szCs w:val="20"/>
          <w:color w:val="auto"/>
        </w:rPr>
        <w:t>”) hereby requests that [______]</w:t>
      </w:r>
      <w:r>
        <w:rPr>
          <w:rFonts w:ascii="Arial" w:cs="Arial" w:eastAsia="Arial" w:hAnsi="Arial"/>
          <w:sz w:val="32"/>
          <w:szCs w:val="32"/>
          <w:color w:val="auto"/>
          <w:vertAlign w:val="superscript"/>
        </w:rPr>
        <w:t>10</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Issuing Bank</w:t>
      </w:r>
      <w:r>
        <w:rPr>
          <w:rFonts w:ascii="Arial" w:cs="Arial" w:eastAsia="Arial" w:hAnsi="Arial"/>
          <w:sz w:val="20"/>
          <w:szCs w:val="20"/>
          <w:color w:val="auto"/>
        </w:rPr>
        <w:t>”) [amend] [renew] [extend] on</w:t>
      </w:r>
    </w:p>
    <w:p>
      <w:pPr>
        <w:spacing w:after="0" w:line="182" w:lineRule="auto"/>
        <w:rPr>
          <w:sz w:val="20"/>
          <w:szCs w:val="20"/>
          <w:color w:val="auto"/>
        </w:rPr>
      </w:pPr>
      <w:r>
        <w:rPr>
          <w:rFonts w:ascii="Arial" w:cs="Arial" w:eastAsia="Arial" w:hAnsi="Arial"/>
          <w:sz w:val="20"/>
          <w:szCs w:val="20"/>
          <w:color w:val="auto"/>
        </w:rPr>
        <w:t>[______]</w:t>
      </w:r>
      <w:r>
        <w:rPr>
          <w:rFonts w:ascii="Arial" w:cs="Arial" w:eastAsia="Arial" w:hAnsi="Arial"/>
          <w:sz w:val="31"/>
          <w:szCs w:val="31"/>
          <w:color w:val="auto"/>
          <w:vertAlign w:val="superscript"/>
        </w:rPr>
        <w:t>11</w:t>
      </w:r>
      <w:r>
        <w:rPr>
          <w:rFonts w:ascii="Arial" w:cs="Arial" w:eastAsia="Arial" w:hAnsi="Arial"/>
          <w:sz w:val="20"/>
          <w:szCs w:val="20"/>
          <w:color w:val="auto"/>
        </w:rPr>
        <w:t xml:space="preserve"> the following Letter of Credit, which was previously issued by the Issuing Bank: [</w:t>
      </w:r>
      <w:r>
        <w:rPr>
          <w:rFonts w:ascii="Arial" w:cs="Arial" w:eastAsia="Arial" w:hAnsi="Arial"/>
          <w:sz w:val="20"/>
          <w:szCs w:val="20"/>
          <w:i w:val="1"/>
          <w:iCs w:val="1"/>
          <w:color w:val="auto"/>
        </w:rPr>
        <w:t>insert title of Letter of Credit</w:t>
      </w:r>
      <w:r>
        <w:rPr>
          <w:rFonts w:ascii="Arial" w:cs="Arial" w:eastAsia="Arial" w:hAnsi="Arial"/>
          <w:sz w:val="20"/>
          <w:szCs w:val="20"/>
          <w:color w:val="auto"/>
        </w:rPr>
        <w:t>],</w:t>
      </w:r>
    </w:p>
    <w:p>
      <w:pPr>
        <w:spacing w:after="0" w:line="182" w:lineRule="auto"/>
        <w:rPr>
          <w:sz w:val="20"/>
          <w:szCs w:val="20"/>
          <w:color w:val="auto"/>
        </w:rPr>
      </w:pPr>
      <w:r>
        <w:rPr>
          <w:rFonts w:ascii="Arial" w:cs="Arial" w:eastAsia="Arial" w:hAnsi="Arial"/>
          <w:sz w:val="20"/>
          <w:szCs w:val="20"/>
          <w:color w:val="auto"/>
        </w:rPr>
        <w:t>Number [_________</w:t>
      </w:r>
      <w:r>
        <w:rPr>
          <w:rFonts w:ascii="Arial" w:cs="Arial" w:eastAsia="Arial" w:hAnsi="Arial"/>
          <w:sz w:val="20"/>
          <w:szCs w:val="20"/>
          <w:u w:val="single" w:color="auto"/>
          <w:color w:val="auto"/>
        </w:rPr>
        <w:t>]</w:t>
      </w:r>
      <w:r>
        <w:rPr>
          <w:rFonts w:ascii="Arial" w:cs="Arial" w:eastAsia="Arial" w:hAnsi="Arial"/>
          <w:sz w:val="20"/>
          <w:szCs w:val="20"/>
          <w:color w:val="auto"/>
        </w:rPr>
        <w:t>, dated as of [________</w:t>
      </w:r>
      <w:r>
        <w:rPr>
          <w:rFonts w:ascii="Arial" w:cs="Arial" w:eastAsia="Arial" w:hAnsi="Arial"/>
          <w:sz w:val="20"/>
          <w:szCs w:val="20"/>
          <w:u w:val="single" w:color="auto"/>
          <w:color w:val="auto"/>
        </w:rPr>
        <w:t>]</w:t>
      </w:r>
      <w:r>
        <w:rPr>
          <w:rFonts w:ascii="Arial" w:cs="Arial" w:eastAsia="Arial" w:hAnsi="Arial"/>
          <w:sz w:val="20"/>
          <w:szCs w:val="20"/>
          <w:color w:val="auto"/>
        </w:rPr>
        <w:t xml:space="preserve">, and in the aggregate amount of </w:t>
      </w:r>
      <w:r>
        <w:rPr>
          <w:rFonts w:ascii="Arial" w:cs="Arial" w:eastAsia="Arial" w:hAnsi="Arial"/>
          <w:sz w:val="20"/>
          <w:szCs w:val="20"/>
          <w:u w:val="single" w:color="auto"/>
          <w:color w:val="auto"/>
        </w:rPr>
        <w:t>[________]</w:t>
      </w:r>
      <w:r>
        <w:rPr>
          <w:rFonts w:ascii="Arial" w:cs="Arial" w:eastAsia="Arial" w:hAnsi="Arial"/>
          <w:sz w:val="31"/>
          <w:szCs w:val="31"/>
          <w:u w:val="single" w:color="auto"/>
          <w:color w:val="auto"/>
          <w:vertAlign w:val="superscript"/>
        </w:rPr>
        <w:t>12</w:t>
      </w:r>
      <w:r>
        <w:rPr>
          <w:rFonts w:ascii="Arial" w:cs="Arial" w:eastAsia="Arial" w:hAnsi="Arial"/>
          <w:sz w:val="20"/>
          <w:szCs w:val="20"/>
          <w:color w:val="auto"/>
        </w:rPr>
        <w:t>. [</w:t>
      </w:r>
      <w:r>
        <w:rPr>
          <w:rFonts w:ascii="Arial" w:cs="Arial" w:eastAsia="Arial" w:hAnsi="Arial"/>
          <w:sz w:val="20"/>
          <w:szCs w:val="20"/>
          <w:i w:val="1"/>
          <w:iCs w:val="1"/>
          <w:color w:val="auto"/>
        </w:rPr>
        <w:t>Insert description of requested</w:t>
      </w:r>
    </w:p>
    <w:p>
      <w:pPr>
        <w:spacing w:after="0"/>
        <w:rPr>
          <w:sz w:val="20"/>
          <w:szCs w:val="20"/>
          <w:color w:val="auto"/>
        </w:rPr>
      </w:pPr>
      <w:r>
        <w:rPr>
          <w:rFonts w:ascii="Arial" w:cs="Arial" w:eastAsia="Arial" w:hAnsi="Arial"/>
          <w:sz w:val="22"/>
          <w:szCs w:val="22"/>
          <w:i w:val="1"/>
          <w:iCs w:val="1"/>
          <w:color w:val="auto"/>
        </w:rPr>
        <w:t>amendment or details of proposed terms of renewal or extension, as applicable</w:t>
      </w:r>
      <w:r>
        <w:rPr>
          <w:rFonts w:ascii="Arial" w:cs="Arial" w:eastAsia="Arial" w:hAnsi="Arial"/>
          <w:sz w:val="22"/>
          <w:szCs w:val="22"/>
          <w:color w:val="auto"/>
        </w:rPr>
        <w:t>].]</w:t>
      </w:r>
      <w:r>
        <w:rPr>
          <w:rFonts w:ascii="Arial" w:cs="Arial" w:eastAsia="Arial" w:hAnsi="Arial"/>
          <w:sz w:val="35"/>
          <w:szCs w:val="35"/>
          <w:color w:val="auto"/>
          <w:vertAlign w:val="superscript"/>
        </w:rPr>
        <w:t>13</w:t>
      </w:r>
    </w:p>
    <w:p>
      <w:pPr>
        <w:spacing w:after="0" w:line="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any other information as shall be necessary in order for the Issuing Bank to prepare the requested Letter of Credit</w:t>
      </w:r>
      <w:r>
        <w:rPr>
          <w:rFonts w:ascii="Arial" w:cs="Arial" w:eastAsia="Arial" w:hAnsi="Arial"/>
          <w:sz w:val="22"/>
          <w:szCs w:val="22"/>
          <w:color w:val="auto"/>
        </w:rPr>
        <w:t xml:space="preserve"> </w:t>
      </w:r>
      <w:r>
        <w:rPr>
          <w:rFonts w:ascii="Arial" w:cs="Arial" w:eastAsia="Arial" w:hAnsi="Arial"/>
          <w:sz w:val="22"/>
          <w:szCs w:val="22"/>
          <w:i w:val="1"/>
          <w:iCs w:val="1"/>
          <w:color w:val="auto"/>
        </w:rPr>
        <w:t>or amend, renew or extend the existing Letter of Credit, as applicable</w:t>
      </w:r>
      <w:r>
        <w:rPr>
          <w:rFonts w:ascii="Arial" w:cs="Arial" w:eastAsia="Arial" w:hAnsi="Arial"/>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564515</wp:posOffset>
            </wp:positionV>
            <wp:extent cx="164592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0" w:hanging="152"/>
        <w:spacing w:after="0"/>
        <w:tabs>
          <w:tab w:leader="none" w:pos="160" w:val="left"/>
        </w:tabs>
        <w:numPr>
          <w:ilvl w:val="0"/>
          <w:numId w:val="459"/>
        </w:numPr>
        <w:rPr>
          <w:rFonts w:ascii="Arial" w:cs="Arial" w:eastAsia="Arial" w:hAnsi="Arial"/>
          <w:sz w:val="36"/>
          <w:szCs w:val="36"/>
          <w:color w:val="auto"/>
          <w:vertAlign w:val="superscript"/>
        </w:rPr>
      </w:pPr>
      <w:r>
        <w:rPr>
          <w:rFonts w:ascii="Arial" w:cs="Arial" w:eastAsia="Arial" w:hAnsi="Arial"/>
          <w:sz w:val="22"/>
          <w:szCs w:val="22"/>
          <w:color w:val="auto"/>
        </w:rPr>
        <w:t>Insert name of Issuing Bank</w:t>
      </w:r>
    </w:p>
    <w:p>
      <w:pPr>
        <w:spacing w:after="0" w:line="13" w:lineRule="exact"/>
        <w:rPr>
          <w:rFonts w:ascii="Arial" w:cs="Arial" w:eastAsia="Arial" w:hAnsi="Arial"/>
          <w:sz w:val="36"/>
          <w:szCs w:val="36"/>
          <w:color w:val="auto"/>
          <w:vertAlign w:val="superscript"/>
        </w:rPr>
      </w:pPr>
    </w:p>
    <w:p>
      <w:pPr>
        <w:spacing w:after="0" w:line="181" w:lineRule="auto"/>
        <w:rPr>
          <w:rFonts w:ascii="Arial" w:cs="Arial" w:eastAsia="Arial" w:hAnsi="Arial"/>
          <w:sz w:val="36"/>
          <w:szCs w:val="36"/>
          <w:color w:val="auto"/>
          <w:vertAlign w:val="superscript"/>
        </w:rPr>
      </w:pPr>
      <w:r>
        <w:rPr>
          <w:rFonts w:ascii="Arial" w:cs="Arial" w:eastAsia="Arial" w:hAnsi="Arial"/>
          <w:sz w:val="31"/>
          <w:szCs w:val="31"/>
          <w:color w:val="auto"/>
          <w:vertAlign w:val="superscript"/>
        </w:rPr>
        <w:t>2</w:t>
      </w:r>
      <w:r>
        <w:rPr>
          <w:rFonts w:ascii="Arial" w:cs="Arial" w:eastAsia="Arial" w:hAnsi="Arial"/>
          <w:sz w:val="20"/>
          <w:szCs w:val="20"/>
          <w:color w:val="auto"/>
        </w:rPr>
        <w:t xml:space="preserve"> Insert address of Issuing Bank</w:t>
      </w:r>
    </w:p>
    <w:p>
      <w:pPr>
        <w:spacing w:after="0" w:line="1" w:lineRule="exact"/>
        <w:rPr>
          <w:rFonts w:ascii="Arial" w:cs="Arial" w:eastAsia="Arial" w:hAnsi="Arial"/>
          <w:sz w:val="36"/>
          <w:szCs w:val="36"/>
          <w:color w:val="auto"/>
          <w:vertAlign w:val="superscript"/>
        </w:rPr>
      </w:pPr>
    </w:p>
    <w:p>
      <w:pPr>
        <w:spacing w:after="0" w:line="181" w:lineRule="auto"/>
        <w:rPr>
          <w:rFonts w:ascii="Arial" w:cs="Arial" w:eastAsia="Arial" w:hAnsi="Arial"/>
          <w:sz w:val="36"/>
          <w:szCs w:val="36"/>
          <w:color w:val="auto"/>
          <w:vertAlign w:val="superscript"/>
        </w:rPr>
      </w:pPr>
      <w:r>
        <w:rPr>
          <w:rFonts w:ascii="Arial" w:cs="Arial" w:eastAsia="Arial" w:hAnsi="Arial"/>
          <w:sz w:val="31"/>
          <w:szCs w:val="31"/>
          <w:color w:val="auto"/>
          <w:vertAlign w:val="superscript"/>
        </w:rPr>
        <w:t>3</w:t>
      </w:r>
      <w:r>
        <w:rPr>
          <w:rFonts w:ascii="Arial" w:cs="Arial" w:eastAsia="Arial" w:hAnsi="Arial"/>
          <w:sz w:val="20"/>
          <w:szCs w:val="20"/>
          <w:color w:val="auto"/>
        </w:rPr>
        <w:t xml:space="preserve"> Insert name of Issuing Bank</w:t>
      </w:r>
    </w:p>
    <w:p>
      <w:pPr>
        <w:spacing w:after="0" w:line="1" w:lineRule="exact"/>
        <w:rPr>
          <w:rFonts w:ascii="Arial" w:cs="Arial" w:eastAsia="Arial" w:hAnsi="Arial"/>
          <w:sz w:val="36"/>
          <w:szCs w:val="36"/>
          <w:color w:val="auto"/>
          <w:vertAlign w:val="superscript"/>
        </w:rPr>
      </w:pPr>
    </w:p>
    <w:p>
      <w:pPr>
        <w:ind w:right="240"/>
        <w:spacing w:after="0" w:line="192" w:lineRule="auto"/>
        <w:rPr>
          <w:rFonts w:ascii="Arial" w:cs="Arial" w:eastAsia="Arial" w:hAnsi="Arial"/>
          <w:sz w:val="36"/>
          <w:szCs w:val="36"/>
          <w:color w:val="auto"/>
          <w:vertAlign w:val="superscript"/>
        </w:rPr>
      </w:pPr>
      <w:r>
        <w:rPr>
          <w:rFonts w:ascii="Arial" w:cs="Arial" w:eastAsia="Arial" w:hAnsi="Arial"/>
          <w:sz w:val="35"/>
          <w:szCs w:val="35"/>
          <w:color w:val="auto"/>
          <w:vertAlign w:val="superscript"/>
        </w:rPr>
        <w:t>4</w:t>
      </w:r>
      <w:r>
        <w:rPr>
          <w:rFonts w:ascii="Arial" w:cs="Arial" w:eastAsia="Arial" w:hAnsi="Arial"/>
          <w:sz w:val="22"/>
          <w:szCs w:val="22"/>
          <w:color w:val="auto"/>
        </w:rPr>
        <w:t xml:space="preserve"> Insert proposed date of issuance of the requested Letter of Credit, which must be at least three Business Days after the date of this Letter of Credit Request.</w:t>
      </w:r>
    </w:p>
    <w:p>
      <w:pPr>
        <w:spacing w:after="0" w:line="2" w:lineRule="exact"/>
        <w:rPr>
          <w:rFonts w:ascii="Arial" w:cs="Arial" w:eastAsia="Arial" w:hAnsi="Arial"/>
          <w:sz w:val="36"/>
          <w:szCs w:val="36"/>
          <w:color w:val="auto"/>
          <w:vertAlign w:val="superscript"/>
        </w:rPr>
      </w:pPr>
    </w:p>
    <w:p>
      <w:pPr>
        <w:ind w:right="440"/>
        <w:spacing w:after="0" w:line="197" w:lineRule="auto"/>
        <w:rPr>
          <w:rFonts w:ascii="Arial" w:cs="Arial" w:eastAsia="Arial" w:hAnsi="Arial"/>
          <w:sz w:val="36"/>
          <w:szCs w:val="36"/>
          <w:color w:val="auto"/>
          <w:vertAlign w:val="superscript"/>
        </w:rPr>
      </w:pPr>
      <w:r>
        <w:rPr>
          <w:rFonts w:ascii="Arial" w:cs="Arial" w:eastAsia="Arial" w:hAnsi="Arial"/>
          <w:sz w:val="35"/>
          <w:szCs w:val="35"/>
          <w:color w:val="auto"/>
          <w:vertAlign w:val="superscript"/>
        </w:rPr>
        <w:t>5</w:t>
      </w:r>
      <w:r>
        <w:rPr>
          <w:rFonts w:ascii="Arial" w:cs="Arial" w:eastAsia="Arial" w:hAnsi="Arial"/>
          <w:sz w:val="22"/>
          <w:szCs w:val="22"/>
          <w:color w:val="auto"/>
        </w:rPr>
        <w:t xml:space="preserve"> Insert initial amount of the requested Letter of Credit and whether such amount is denominated in Dollars or an Alternative Currency.</w:t>
      </w:r>
    </w:p>
    <w:p>
      <w:pPr>
        <w:spacing w:after="0" w:line="2" w:lineRule="exact"/>
        <w:rPr>
          <w:rFonts w:ascii="Arial" w:cs="Arial" w:eastAsia="Arial" w:hAnsi="Arial"/>
          <w:sz w:val="36"/>
          <w:szCs w:val="36"/>
          <w:color w:val="auto"/>
          <w:vertAlign w:val="superscript"/>
        </w:rPr>
      </w:pPr>
    </w:p>
    <w:p>
      <w:pPr>
        <w:spacing w:after="0" w:line="184" w:lineRule="auto"/>
        <w:rPr>
          <w:rFonts w:ascii="Arial" w:cs="Arial" w:eastAsia="Arial" w:hAnsi="Arial"/>
          <w:sz w:val="36"/>
          <w:szCs w:val="36"/>
          <w:color w:val="auto"/>
          <w:vertAlign w:val="superscript"/>
        </w:rPr>
      </w:pPr>
      <w:r>
        <w:rPr>
          <w:rFonts w:ascii="Arial" w:cs="Arial" w:eastAsia="Arial" w:hAnsi="Arial"/>
          <w:sz w:val="32"/>
          <w:szCs w:val="32"/>
          <w:color w:val="auto"/>
          <w:vertAlign w:val="superscript"/>
        </w:rPr>
        <w:t>6</w:t>
      </w:r>
      <w:r>
        <w:rPr>
          <w:rFonts w:ascii="Arial" w:cs="Arial" w:eastAsia="Arial" w:hAnsi="Arial"/>
          <w:sz w:val="20"/>
          <w:szCs w:val="20"/>
          <w:color w:val="auto"/>
        </w:rPr>
        <w:t xml:space="preserve"> Insert full name and address of the beneficiary of this Letter of Credit Request.</w:t>
      </w:r>
    </w:p>
    <w:p>
      <w:pPr>
        <w:spacing w:after="0" w:line="1" w:lineRule="exact"/>
        <w:rPr>
          <w:rFonts w:ascii="Arial" w:cs="Arial" w:eastAsia="Arial" w:hAnsi="Arial"/>
          <w:sz w:val="36"/>
          <w:szCs w:val="36"/>
          <w:color w:val="auto"/>
          <w:vertAlign w:val="superscript"/>
        </w:rPr>
      </w:pPr>
    </w:p>
    <w:p>
      <w:pPr>
        <w:spacing w:after="0" w:line="181" w:lineRule="auto"/>
        <w:rPr>
          <w:rFonts w:ascii="Arial" w:cs="Arial" w:eastAsia="Arial" w:hAnsi="Arial"/>
          <w:sz w:val="36"/>
          <w:szCs w:val="36"/>
          <w:color w:val="auto"/>
          <w:vertAlign w:val="superscript"/>
        </w:rPr>
      </w:pPr>
      <w:r>
        <w:rPr>
          <w:rFonts w:ascii="Arial" w:cs="Arial" w:eastAsia="Arial" w:hAnsi="Arial"/>
          <w:sz w:val="31"/>
          <w:szCs w:val="31"/>
          <w:color w:val="auto"/>
          <w:vertAlign w:val="superscript"/>
        </w:rPr>
        <w:t>7</w:t>
      </w:r>
      <w:r>
        <w:rPr>
          <w:rFonts w:ascii="Arial" w:cs="Arial" w:eastAsia="Arial" w:hAnsi="Arial"/>
          <w:sz w:val="20"/>
          <w:szCs w:val="20"/>
          <w:color w:val="auto"/>
        </w:rPr>
        <w:t xml:space="preserve"> Insert brief description of obligation to be supported by the Letter of Credit.</w:t>
      </w:r>
    </w:p>
    <w:p>
      <w:pPr>
        <w:spacing w:after="0" w:line="1" w:lineRule="exact"/>
        <w:rPr>
          <w:rFonts w:ascii="Arial" w:cs="Arial" w:eastAsia="Arial" w:hAnsi="Arial"/>
          <w:sz w:val="36"/>
          <w:szCs w:val="36"/>
          <w:color w:val="auto"/>
          <w:vertAlign w:val="superscript"/>
        </w:rPr>
      </w:pPr>
    </w:p>
    <w:p>
      <w:pPr>
        <w:spacing w:after="0" w:line="181" w:lineRule="auto"/>
        <w:rPr>
          <w:rFonts w:ascii="Arial" w:cs="Arial" w:eastAsia="Arial" w:hAnsi="Arial"/>
          <w:sz w:val="36"/>
          <w:szCs w:val="36"/>
          <w:color w:val="auto"/>
          <w:vertAlign w:val="superscript"/>
        </w:rPr>
      </w:pPr>
      <w:r>
        <w:rPr>
          <w:rFonts w:ascii="Arial" w:cs="Arial" w:eastAsia="Arial" w:hAnsi="Arial"/>
          <w:sz w:val="31"/>
          <w:szCs w:val="31"/>
          <w:color w:val="auto"/>
          <w:vertAlign w:val="superscript"/>
        </w:rPr>
        <w:t>8</w:t>
      </w:r>
      <w:r>
        <w:rPr>
          <w:rFonts w:ascii="Arial" w:cs="Arial" w:eastAsia="Arial" w:hAnsi="Arial"/>
          <w:sz w:val="20"/>
          <w:szCs w:val="20"/>
          <w:color w:val="auto"/>
        </w:rPr>
        <w:t xml:space="preserve"> Insert expiration date of the Letter of Credit, which shall comply with Section 3.01(c) of the Credit Agreement.</w:t>
      </w:r>
    </w:p>
    <w:p>
      <w:pPr>
        <w:spacing w:after="0" w:line="1" w:lineRule="exact"/>
        <w:rPr>
          <w:rFonts w:ascii="Arial" w:cs="Arial" w:eastAsia="Arial" w:hAnsi="Arial"/>
          <w:sz w:val="36"/>
          <w:szCs w:val="36"/>
          <w:color w:val="auto"/>
          <w:vertAlign w:val="superscript"/>
        </w:rPr>
      </w:pPr>
    </w:p>
    <w:p>
      <w:pPr>
        <w:spacing w:after="0" w:line="181" w:lineRule="auto"/>
        <w:rPr>
          <w:rFonts w:ascii="Arial" w:cs="Arial" w:eastAsia="Arial" w:hAnsi="Arial"/>
          <w:sz w:val="36"/>
          <w:szCs w:val="36"/>
          <w:color w:val="auto"/>
          <w:vertAlign w:val="superscript"/>
        </w:rPr>
      </w:pPr>
      <w:r>
        <w:rPr>
          <w:rFonts w:ascii="Arial" w:cs="Arial" w:eastAsia="Arial" w:hAnsi="Arial"/>
          <w:sz w:val="31"/>
          <w:szCs w:val="31"/>
          <w:color w:val="auto"/>
          <w:vertAlign w:val="superscript"/>
        </w:rPr>
        <w:t>9</w:t>
      </w:r>
      <w:r>
        <w:rPr>
          <w:rFonts w:ascii="Arial" w:cs="Arial" w:eastAsia="Arial" w:hAnsi="Arial"/>
          <w:sz w:val="20"/>
          <w:szCs w:val="20"/>
          <w:color w:val="auto"/>
        </w:rPr>
        <w:t xml:space="preserve"> Insert this paragraph for any issuance of a Letter of Credit.</w:t>
      </w:r>
    </w:p>
    <w:p>
      <w:pPr>
        <w:spacing w:after="0" w:line="1" w:lineRule="exact"/>
        <w:rPr>
          <w:rFonts w:ascii="Arial" w:cs="Arial" w:eastAsia="Arial" w:hAnsi="Arial"/>
          <w:sz w:val="36"/>
          <w:szCs w:val="36"/>
          <w:color w:val="auto"/>
          <w:vertAlign w:val="superscript"/>
        </w:rPr>
      </w:pPr>
    </w:p>
    <w:p>
      <w:pPr>
        <w:spacing w:after="0" w:line="181" w:lineRule="auto"/>
        <w:rPr>
          <w:rFonts w:ascii="Arial" w:cs="Arial" w:eastAsia="Arial" w:hAnsi="Arial"/>
          <w:sz w:val="36"/>
          <w:szCs w:val="36"/>
          <w:color w:val="auto"/>
          <w:vertAlign w:val="superscript"/>
        </w:rPr>
      </w:pPr>
      <w:r>
        <w:rPr>
          <w:rFonts w:ascii="Arial" w:cs="Arial" w:eastAsia="Arial" w:hAnsi="Arial"/>
          <w:sz w:val="31"/>
          <w:szCs w:val="31"/>
          <w:color w:val="auto"/>
          <w:vertAlign w:val="superscript"/>
        </w:rPr>
        <w:t>10</w:t>
      </w:r>
      <w:r>
        <w:rPr>
          <w:rFonts w:ascii="Arial" w:cs="Arial" w:eastAsia="Arial" w:hAnsi="Arial"/>
          <w:sz w:val="20"/>
          <w:szCs w:val="20"/>
          <w:color w:val="auto"/>
        </w:rPr>
        <w:t xml:space="preserve"> Insert name of Issuing Bank.</w:t>
      </w:r>
    </w:p>
    <w:p>
      <w:pPr>
        <w:spacing w:after="0" w:line="1" w:lineRule="exact"/>
        <w:rPr>
          <w:rFonts w:ascii="Arial" w:cs="Arial" w:eastAsia="Arial" w:hAnsi="Arial"/>
          <w:sz w:val="36"/>
          <w:szCs w:val="36"/>
          <w:color w:val="auto"/>
          <w:vertAlign w:val="superscript"/>
        </w:rPr>
      </w:pPr>
    </w:p>
    <w:p>
      <w:pPr>
        <w:ind w:right="760"/>
        <w:spacing w:after="0" w:line="192" w:lineRule="auto"/>
        <w:rPr>
          <w:rFonts w:ascii="Arial" w:cs="Arial" w:eastAsia="Arial" w:hAnsi="Arial"/>
          <w:sz w:val="36"/>
          <w:szCs w:val="36"/>
          <w:color w:val="auto"/>
          <w:vertAlign w:val="superscript"/>
        </w:rPr>
      </w:pPr>
      <w:r>
        <w:rPr>
          <w:rFonts w:ascii="Arial" w:cs="Arial" w:eastAsia="Arial" w:hAnsi="Arial"/>
          <w:sz w:val="35"/>
          <w:szCs w:val="35"/>
          <w:color w:val="auto"/>
          <w:vertAlign w:val="superscript"/>
        </w:rPr>
        <w:t>11</w:t>
      </w:r>
      <w:r>
        <w:rPr>
          <w:rFonts w:ascii="Arial" w:cs="Arial" w:eastAsia="Arial" w:hAnsi="Arial"/>
          <w:sz w:val="22"/>
          <w:szCs w:val="22"/>
          <w:color w:val="auto"/>
        </w:rPr>
        <w:t xml:space="preserve"> Insert proposed date of amendment, renewal or extension of the applicable Letter of Credit, which must be at least one Business Day after the date of this Letter of Credit Request.</w:t>
      </w:r>
    </w:p>
    <w:p>
      <w:pPr>
        <w:spacing w:after="0" w:line="2" w:lineRule="exact"/>
        <w:rPr>
          <w:rFonts w:ascii="Arial" w:cs="Arial" w:eastAsia="Arial" w:hAnsi="Arial"/>
          <w:sz w:val="36"/>
          <w:szCs w:val="36"/>
          <w:color w:val="auto"/>
          <w:vertAlign w:val="superscript"/>
        </w:rPr>
      </w:pPr>
    </w:p>
    <w:p>
      <w:pPr>
        <w:ind w:right="220"/>
        <w:spacing w:after="0" w:line="197" w:lineRule="auto"/>
        <w:rPr>
          <w:rFonts w:ascii="Arial" w:cs="Arial" w:eastAsia="Arial" w:hAnsi="Arial"/>
          <w:sz w:val="36"/>
          <w:szCs w:val="36"/>
          <w:color w:val="auto"/>
          <w:vertAlign w:val="superscript"/>
        </w:rPr>
      </w:pPr>
      <w:r>
        <w:rPr>
          <w:rFonts w:ascii="Arial" w:cs="Arial" w:eastAsia="Arial" w:hAnsi="Arial"/>
          <w:sz w:val="35"/>
          <w:szCs w:val="35"/>
          <w:color w:val="auto"/>
          <w:vertAlign w:val="superscript"/>
        </w:rPr>
        <w:t>12</w:t>
      </w:r>
      <w:r>
        <w:rPr>
          <w:rFonts w:ascii="Arial" w:cs="Arial" w:eastAsia="Arial" w:hAnsi="Arial"/>
          <w:sz w:val="22"/>
          <w:szCs w:val="22"/>
          <w:color w:val="auto"/>
        </w:rPr>
        <w:t xml:space="preserve"> Insert the aggregate amount of the existing Letter of Credit to be amended, renewed or extended and whether such amount is denominated in Dollars or an Alternative Currency.</w:t>
      </w:r>
    </w:p>
    <w:p>
      <w:pPr>
        <w:spacing w:after="0" w:line="2" w:lineRule="exact"/>
        <w:rPr>
          <w:rFonts w:ascii="Arial" w:cs="Arial" w:eastAsia="Arial" w:hAnsi="Arial"/>
          <w:sz w:val="36"/>
          <w:szCs w:val="36"/>
          <w:color w:val="auto"/>
          <w:vertAlign w:val="superscript"/>
        </w:rPr>
      </w:pPr>
    </w:p>
    <w:p>
      <w:pPr>
        <w:spacing w:after="0"/>
        <w:rPr>
          <w:rFonts w:ascii="Arial" w:cs="Arial" w:eastAsia="Arial" w:hAnsi="Arial"/>
          <w:sz w:val="36"/>
          <w:szCs w:val="36"/>
          <w:color w:val="auto"/>
          <w:vertAlign w:val="superscript"/>
        </w:rPr>
      </w:pPr>
      <w:r>
        <w:rPr>
          <w:rFonts w:ascii="Arial" w:cs="Arial" w:eastAsia="Arial" w:hAnsi="Arial"/>
          <w:sz w:val="35"/>
          <w:szCs w:val="35"/>
          <w:color w:val="auto"/>
          <w:vertAlign w:val="superscript"/>
        </w:rPr>
        <w:t>13</w:t>
      </w:r>
      <w:r>
        <w:rPr>
          <w:rFonts w:ascii="Arial" w:cs="Arial" w:eastAsia="Arial" w:hAnsi="Arial"/>
          <w:sz w:val="22"/>
          <w:szCs w:val="22"/>
          <w:color w:val="auto"/>
        </w:rPr>
        <w:t xml:space="preserve"> Insert this paragraph for any amendment, renewal or extension of an existing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97" w:name="page398"/>
    <w:bookmarkEnd w:id="397"/>
    <w:p>
      <w:pPr>
        <w:ind w:left="660"/>
        <w:spacing w:after="0"/>
        <w:rPr>
          <w:sz w:val="20"/>
          <w:szCs w:val="20"/>
          <w:color w:val="auto"/>
        </w:rPr>
      </w:pPr>
      <w:r>
        <w:rPr>
          <w:rFonts w:ascii="Arial" w:cs="Arial" w:eastAsia="Arial" w:hAnsi="Arial"/>
          <w:sz w:val="19"/>
          <w:szCs w:val="19"/>
          <w:color w:val="auto"/>
        </w:rPr>
        <w:t>IN WITNESS WHEREOF, the undersigned has executed this Letter of Credit Request this ____ day of 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20___.</w:t>
      </w:r>
    </w:p>
    <w:p>
      <w:pPr>
        <w:spacing w:after="0" w:line="29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REQUESTING</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BORROWER</w:t>
      </w:r>
      <w:r>
        <w:rPr>
          <w:rFonts w:ascii="Arial" w:cs="Arial" w:eastAsia="Arial" w:hAnsi="Arial"/>
          <w:sz w:val="22"/>
          <w:szCs w:val="22"/>
          <w:color w:val="auto"/>
        </w:rPr>
        <w:t>] a [_________]</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00" w:hanging="892"/>
        <w:spacing w:after="0"/>
        <w:tabs>
          <w:tab w:leader="none" w:pos="900" w:val="left"/>
        </w:tabs>
        <w:numPr>
          <w:ilvl w:val="0"/>
          <w:numId w:val="460"/>
        </w:numPr>
        <w:rPr>
          <w:rFonts w:ascii="Arial" w:cs="Arial" w:eastAsia="Arial" w:hAnsi="Arial"/>
          <w:sz w:val="22"/>
          <w:szCs w:val="22"/>
          <w:color w:val="auto"/>
        </w:rPr>
      </w:pPr>
      <w:r>
        <w:rPr>
          <w:rFonts w:ascii="Arial" w:cs="Arial" w:eastAsia="Arial" w:hAnsi="Arial"/>
          <w:sz w:val="22"/>
          <w:szCs w:val="22"/>
          <w:color w:val="auto"/>
        </w:rPr>
        <w:t>Deutsche Bank Trust Company Americas</w:t>
      </w:r>
    </w:p>
    <w:p>
      <w:pPr>
        <w:spacing w:after="0" w:line="2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60 Wall Street</w:t>
      </w:r>
    </w:p>
    <w:p>
      <w:pPr>
        <w:spacing w:after="0" w:line="1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New York, New York 10005</w:t>
      </w:r>
    </w:p>
    <w:p>
      <w:pPr>
        <w:spacing w:after="0" w:line="1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Attention: Project Finance Agency Services, Weatherford</w:t>
      </w:r>
    </w:p>
    <w:p>
      <w:pPr>
        <w:spacing w:after="0" w:line="1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Fax: (646) 961-3317</w:t>
      </w:r>
    </w:p>
    <w:p>
      <w:pPr>
        <w:spacing w:after="0" w:line="1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Electronic Mail Address: Mary.Coseo@db.com, Weatherford.LCAgency@db.com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58" w:right="399" w:bottom="1440" w:gutter="0" w:footer="0" w:header="0"/>
        </w:sectPr>
      </w:pPr>
    </w:p>
    <w:bookmarkStart w:id="398" w:name="page399"/>
    <w:bookmarkEnd w:id="398"/>
    <w:p>
      <w:pPr>
        <w:jc w:val="right"/>
        <w:spacing w:after="0"/>
        <w:rPr>
          <w:sz w:val="20"/>
          <w:szCs w:val="20"/>
          <w:color w:val="auto"/>
        </w:rPr>
      </w:pPr>
      <w:r>
        <w:rPr>
          <w:rFonts w:ascii="Arial" w:cs="Arial" w:eastAsia="Arial" w:hAnsi="Arial"/>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COMPLIANCE CERTIFICATE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hereby certifies that such officer is the _______________________</w:t>
      </w:r>
      <w:r>
        <w:rPr>
          <w:rFonts w:ascii="Arial" w:cs="Arial" w:eastAsia="Arial" w:hAnsi="Arial"/>
          <w:sz w:val="30"/>
          <w:szCs w:val="30"/>
          <w:color w:val="auto"/>
          <w:vertAlign w:val="superscript"/>
        </w:rPr>
        <w:t>1</w:t>
      </w:r>
      <w:r>
        <w:rPr>
          <w:rFonts w:ascii="Arial" w:cs="Arial" w:eastAsia="Arial" w:hAnsi="Arial"/>
          <w:sz w:val="19"/>
          <w:szCs w:val="19"/>
          <w:color w:val="auto"/>
        </w:rPr>
        <w:t xml:space="preserve"> of Weatherford International plc, an</w:t>
      </w:r>
    </w:p>
    <w:p>
      <w:pPr>
        <w:jc w:val="both"/>
        <w:spacing w:after="0" w:line="270" w:lineRule="auto"/>
        <w:rPr>
          <w:sz w:val="20"/>
          <w:szCs w:val="20"/>
          <w:color w:val="auto"/>
        </w:rPr>
      </w:pPr>
      <w:r>
        <w:rPr>
          <w:rFonts w:ascii="Arial" w:cs="Arial" w:eastAsia="Arial" w:hAnsi="Arial"/>
          <w:sz w:val="21"/>
          <w:szCs w:val="21"/>
          <w:color w:val="auto"/>
        </w:rPr>
        <w:t>Irish public limited company (“</w:t>
      </w:r>
      <w:r>
        <w:rPr>
          <w:rFonts w:ascii="Arial" w:cs="Arial" w:eastAsia="Arial" w:hAnsi="Arial"/>
          <w:sz w:val="21"/>
          <w:szCs w:val="21"/>
          <w:u w:val="single" w:color="auto"/>
          <w:color w:val="auto"/>
        </w:rPr>
        <w:t>Parent</w:t>
      </w:r>
      <w:r>
        <w:rPr>
          <w:rFonts w:ascii="Arial" w:cs="Arial" w:eastAsia="Arial" w:hAnsi="Arial"/>
          <w:sz w:val="21"/>
          <w:szCs w:val="21"/>
          <w:color w:val="auto"/>
        </w:rPr>
        <w:t>”), and that such officer is authorized to execute this certificate on behalf of Parent pursuant to the LC Credit Agreement, dated as of December 13, 2019 (as amended, restated, amended and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Weatherford International Ltd., a Bermuda exempted company (“</w:t>
      </w:r>
      <w:r>
        <w:rPr>
          <w:rFonts w:ascii="Arial" w:cs="Arial" w:eastAsia="Arial" w:hAnsi="Arial"/>
          <w:sz w:val="21"/>
          <w:szCs w:val="21"/>
          <w:u w:val="single" w:color="auto"/>
          <w:color w:val="auto"/>
        </w:rPr>
        <w:t>WIL-Bermuda</w:t>
      </w:r>
      <w:r>
        <w:rPr>
          <w:rFonts w:ascii="Arial" w:cs="Arial" w:eastAsia="Arial" w:hAnsi="Arial"/>
          <w:sz w:val="21"/>
          <w:szCs w:val="21"/>
          <w:color w:val="auto"/>
        </w:rPr>
        <w:t>”), Weatherford International, LLC, a Delaware limited liability company (“</w:t>
      </w:r>
      <w:r>
        <w:rPr>
          <w:rFonts w:ascii="Arial" w:cs="Arial" w:eastAsia="Arial" w:hAnsi="Arial"/>
          <w:sz w:val="21"/>
          <w:szCs w:val="21"/>
          <w:u w:val="single" w:color="auto"/>
          <w:color w:val="auto"/>
        </w:rPr>
        <w:t>WIL-Delaware</w:t>
      </w:r>
      <w:r>
        <w:rPr>
          <w:rFonts w:ascii="Arial" w:cs="Arial" w:eastAsia="Arial" w:hAnsi="Arial"/>
          <w:sz w:val="21"/>
          <w:szCs w:val="21"/>
          <w:color w:val="auto"/>
        </w:rPr>
        <w:t>”), Parent,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undersigned also hereby certifies that a review of the Obligors has been made under such officer’s supervision with a view to determining whether the Obligors have fulfilled all of their respective obligations under the Credit Agreement and the other Loan Documents; and in his/her capacity as such officer of Parent, and on behalf of Parent further certifies, represents and warrants that, to the knowledge of such officer:</w:t>
      </w:r>
    </w:p>
    <w:p>
      <w:pPr>
        <w:spacing w:after="0" w:line="191" w:lineRule="exact"/>
        <w:rPr>
          <w:sz w:val="20"/>
          <w:szCs w:val="20"/>
          <w:color w:val="auto"/>
        </w:rPr>
      </w:pPr>
    </w:p>
    <w:p>
      <w:pPr>
        <w:ind w:firstLine="980"/>
        <w:spacing w:after="0" w:line="276" w:lineRule="auto"/>
        <w:tabs>
          <w:tab w:leader="none" w:pos="1201" w:val="left"/>
        </w:tabs>
        <w:numPr>
          <w:ilvl w:val="0"/>
          <w:numId w:val="461"/>
        </w:numPr>
        <w:rPr>
          <w:rFonts w:ascii="Arial" w:cs="Arial" w:eastAsia="Arial" w:hAnsi="Arial"/>
          <w:sz w:val="22"/>
          <w:szCs w:val="22"/>
          <w:color w:val="auto"/>
        </w:rPr>
      </w:pPr>
      <w:r>
        <w:rPr>
          <w:rFonts w:ascii="Arial" w:cs="Arial" w:eastAsia="Arial" w:hAnsi="Arial"/>
          <w:sz w:val="22"/>
          <w:szCs w:val="22"/>
          <w:color w:val="auto"/>
        </w:rPr>
        <w:t>No Default has occurred (or if any Default has occurred, attached is a description of such event and any action taken or proposed to be taken with respect thereto).</w:t>
      </w:r>
    </w:p>
    <w:p>
      <w:pPr>
        <w:spacing w:after="0" w:line="174" w:lineRule="exact"/>
        <w:rPr>
          <w:rFonts w:ascii="Arial" w:cs="Arial" w:eastAsia="Arial" w:hAnsi="Arial"/>
          <w:sz w:val="22"/>
          <w:szCs w:val="22"/>
          <w:color w:val="auto"/>
        </w:rPr>
      </w:pPr>
    </w:p>
    <w:p>
      <w:pPr>
        <w:ind w:left="1200" w:hanging="220"/>
        <w:spacing w:after="0"/>
        <w:tabs>
          <w:tab w:leader="none" w:pos="12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Liquidity is not less than $200,000,000.</w:t>
      </w:r>
    </w:p>
    <w:p>
      <w:pPr>
        <w:spacing w:after="0" w:line="233" w:lineRule="exact"/>
        <w:rPr>
          <w:rFonts w:ascii="Arial" w:cs="Arial" w:eastAsia="Arial" w:hAnsi="Arial"/>
          <w:sz w:val="22"/>
          <w:szCs w:val="22"/>
          <w:color w:val="auto"/>
        </w:rPr>
      </w:pPr>
    </w:p>
    <w:p>
      <w:pPr>
        <w:ind w:right="20" w:firstLine="980"/>
        <w:spacing w:after="0" w:line="301" w:lineRule="auto"/>
        <w:tabs>
          <w:tab w:leader="none" w:pos="1228" w:val="left"/>
        </w:tabs>
        <w:numPr>
          <w:ilvl w:val="0"/>
          <w:numId w:val="461"/>
        </w:numPr>
        <w:rPr>
          <w:rFonts w:ascii="Arial" w:cs="Arial" w:eastAsia="Arial" w:hAnsi="Arial"/>
          <w:sz w:val="21"/>
          <w:szCs w:val="21"/>
          <w:color w:val="auto"/>
        </w:rPr>
      </w:pPr>
      <w:r>
        <w:rPr>
          <w:rFonts w:ascii="Arial" w:cs="Arial" w:eastAsia="Arial" w:hAnsi="Arial"/>
          <w:sz w:val="21"/>
          <w:szCs w:val="21"/>
          <w:color w:val="auto"/>
        </w:rPr>
        <w:t xml:space="preserve">Attached as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is a list of all Material Specified Subsidiaries, which specifies whether any Material Specified Subsidiaries are organized in jurisdictions other than Specified Jurisdictions or Excluded Jurisdictions.</w:t>
      </w:r>
    </w:p>
    <w:p>
      <w:pPr>
        <w:spacing w:after="0" w:line="150" w:lineRule="exact"/>
        <w:rPr>
          <w:rFonts w:ascii="Arial" w:cs="Arial" w:eastAsia="Arial" w:hAnsi="Arial"/>
          <w:sz w:val="21"/>
          <w:szCs w:val="21"/>
          <w:color w:val="auto"/>
        </w:rPr>
      </w:pPr>
    </w:p>
    <w:p>
      <w:pPr>
        <w:jc w:val="both"/>
        <w:ind w:firstLine="980"/>
        <w:spacing w:after="0" w:line="327" w:lineRule="auto"/>
        <w:tabs>
          <w:tab w:leader="none" w:pos="1188" w:val="left"/>
        </w:tabs>
        <w:numPr>
          <w:ilvl w:val="0"/>
          <w:numId w:val="461"/>
        </w:numPr>
        <w:rPr>
          <w:rFonts w:ascii="Arial" w:cs="Arial" w:eastAsia="Arial" w:hAnsi="Arial"/>
          <w:sz w:val="19"/>
          <w:szCs w:val="19"/>
          <w:color w:val="auto"/>
        </w:rPr>
      </w:pPr>
      <w:r>
        <w:rPr>
          <w:rFonts w:ascii="Arial" w:cs="Arial" w:eastAsia="Arial" w:hAnsi="Arial"/>
          <w:sz w:val="19"/>
          <w:szCs w:val="19"/>
          <w:color w:val="auto"/>
        </w:rPr>
        <w:t xml:space="preserve">There have been no changes in GAAP or in the application thereof since the date of Parent’s consolidated financial statements most recently delivered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of the Credit Agreement (or if any such change has occurred, attached is a description of the effect of such change on the financial statements accompanying this Compliance Certificate).</w:t>
      </w:r>
    </w:p>
    <w:p>
      <w:pPr>
        <w:spacing w:after="0" w:line="132" w:lineRule="exact"/>
        <w:rPr>
          <w:rFonts w:ascii="Arial" w:cs="Arial" w:eastAsia="Arial" w:hAnsi="Arial"/>
          <w:sz w:val="19"/>
          <w:szCs w:val="19"/>
          <w:color w:val="auto"/>
        </w:rPr>
      </w:pPr>
    </w:p>
    <w:p>
      <w:pPr>
        <w:jc w:val="both"/>
        <w:ind w:firstLine="980"/>
        <w:spacing w:after="0" w:line="262" w:lineRule="auto"/>
        <w:tabs>
          <w:tab w:leader="none" w:pos="1228" w:val="left"/>
        </w:tabs>
        <w:numPr>
          <w:ilvl w:val="0"/>
          <w:numId w:val="461"/>
        </w:numPr>
        <w:rPr>
          <w:rFonts w:ascii="Arial" w:cs="Arial" w:eastAsia="Arial" w:hAnsi="Arial"/>
          <w:sz w:val="22"/>
          <w:szCs w:val="22"/>
          <w:color w:val="auto"/>
        </w:rPr>
      </w:pPr>
      <w:r>
        <w:rPr>
          <w:rFonts w:ascii="Arial" w:cs="Arial" w:eastAsia="Arial" w:hAnsi="Arial"/>
          <w:sz w:val="22"/>
          <w:szCs w:val="22"/>
          <w:color w:val="auto"/>
        </w:rPr>
        <w:t xml:space="preserve">There have been no changes to exhibits or schedules to any Collateral Document since the date of Parent’s Compliance Certificate most recently delivered pursuant to </w:t>
      </w:r>
      <w:r>
        <w:rPr>
          <w:rFonts w:ascii="Arial" w:cs="Arial" w:eastAsia="Arial" w:hAnsi="Arial"/>
          <w:sz w:val="22"/>
          <w:szCs w:val="22"/>
          <w:u w:val="single" w:color="auto"/>
          <w:color w:val="auto"/>
        </w:rPr>
        <w:t>Section 7.01(e)</w:t>
      </w:r>
      <w:r>
        <w:rPr>
          <w:rFonts w:ascii="Arial" w:cs="Arial" w:eastAsia="Arial" w:hAnsi="Arial"/>
          <w:sz w:val="22"/>
          <w:szCs w:val="22"/>
          <w:color w:val="auto"/>
        </w:rPr>
        <w:t xml:space="preserve"> of the Credit Agreement (or if any such change has occurred, attached as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 are amended or amended and restated exhibits or schedules to the applicable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16459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hanging="152"/>
        <w:spacing w:after="0"/>
        <w:tabs>
          <w:tab w:leader="none" w:pos="160" w:val="left"/>
        </w:tabs>
        <w:numPr>
          <w:ilvl w:val="0"/>
          <w:numId w:val="462"/>
        </w:numPr>
        <w:rPr>
          <w:rFonts w:ascii="Arial" w:cs="Arial" w:eastAsia="Arial" w:hAnsi="Arial"/>
          <w:sz w:val="36"/>
          <w:szCs w:val="36"/>
          <w:color w:val="auto"/>
          <w:vertAlign w:val="superscript"/>
        </w:rPr>
      </w:pPr>
      <w:r>
        <w:rPr>
          <w:rFonts w:ascii="Arial" w:cs="Arial" w:eastAsia="Arial" w:hAnsi="Arial"/>
          <w:sz w:val="22"/>
          <w:szCs w:val="22"/>
          <w:color w:val="auto"/>
        </w:rPr>
        <w:t>Must be executed by a Principal Financial Officer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9" w:name="page400"/>
    <w:bookmarkEnd w:id="399"/>
    <w:p>
      <w:pPr>
        <w:spacing w:after="0"/>
        <w:rPr>
          <w:sz w:val="20"/>
          <w:szCs w:val="20"/>
          <w:color w:val="auto"/>
        </w:rPr>
      </w:pPr>
      <w:r>
        <w:rPr>
          <w:rFonts w:ascii="Arial" w:cs="Arial" w:eastAsia="Arial" w:hAnsi="Arial"/>
          <w:sz w:val="22"/>
          <w:szCs w:val="22"/>
          <w:color w:val="auto"/>
        </w:rPr>
        <w:t>DATED as of _____________________.</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WEATHERFORD INTERNATIONAL PLC, an Irish public limited company</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1659255</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31" w:right="979" w:bottom="1440" w:gutter="0" w:footer="0" w:header="0"/>
        </w:sectPr>
      </w:pPr>
    </w:p>
    <w:bookmarkStart w:id="400" w:name="page401"/>
    <w:bookmarkEnd w:id="400"/>
    <w:p>
      <w:pPr>
        <w:jc w:val="center"/>
        <w:ind w:right="19"/>
        <w:spacing w:after="0"/>
        <w:rPr>
          <w:sz w:val="20"/>
          <w:szCs w:val="20"/>
          <w:color w:val="auto"/>
        </w:rPr>
      </w:pPr>
      <w:r>
        <w:rPr>
          <w:rFonts w:ascii="Arial" w:cs="Arial" w:eastAsia="Arial" w:hAnsi="Arial"/>
          <w:sz w:val="22"/>
          <w:szCs w:val="22"/>
          <w:u w:val="single" w:color="auto"/>
          <w:color w:val="auto"/>
        </w:rPr>
        <w:t>Schedule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List of all Material Specified Subsidiaries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459105</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401" w:name="page402"/>
    <w:bookmarkEnd w:id="401"/>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[None. /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480695</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402" w:name="page403"/>
    <w:bookmarkEnd w:id="402"/>
    <w:p>
      <w:pPr>
        <w:jc w:val="right"/>
        <w:spacing w:after="0"/>
        <w:rPr>
          <w:sz w:val="20"/>
          <w:szCs w:val="20"/>
          <w:color w:val="auto"/>
        </w:rPr>
      </w:pPr>
      <w:r>
        <w:rPr>
          <w:rFonts w:ascii="Arial" w:cs="Arial" w:eastAsia="Arial" w:hAnsi="Arial"/>
          <w:sz w:val="22"/>
          <w:szCs w:val="22"/>
          <w:b w:val="1"/>
          <w:bCs w:val="1"/>
          <w:u w:val="single" w:color="auto"/>
          <w:color w:val="auto"/>
        </w:rPr>
        <w:t>EXHIBIT 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ASSIGNEE CERTIFICATE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Weatherford International, LLC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77056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Telephone: (713) 836-4000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Email: LegalWeatherford@weatherford.com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 Wall Street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Project Finance Agency Services, Weatherford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Fax: (646) 961-3317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Electronic Mail Address: Mary.Coseo@db.com</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Reference is made to that certain LC Credit Agreement, dated as of December 13, 2019 (as amended, restated, amended and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Parent</w:t>
      </w:r>
      <w:r>
        <w:rPr>
          <w:rFonts w:ascii="Arial" w:cs="Arial" w:eastAsia="Arial" w:hAnsi="Arial"/>
          <w:sz w:val="22"/>
          <w:szCs w:val="22"/>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11.05(b)(ii)(H)</w:t>
      </w:r>
      <w:r>
        <w:rPr>
          <w:rFonts w:ascii="Arial" w:cs="Arial" w:eastAsia="Arial" w:hAnsi="Arial"/>
          <w:sz w:val="22"/>
          <w:szCs w:val="22"/>
          <w:color w:val="auto"/>
        </w:rPr>
        <w:t xml:space="preserve"> of the Credit Agreement, the undersigned is a prospective assignee of rights and obligations of a Lender under the Credit Agreement but is not currently a Lender (the “</w:t>
      </w:r>
      <w:r>
        <w:rPr>
          <w:rFonts w:ascii="Arial" w:cs="Arial" w:eastAsia="Arial" w:hAnsi="Arial"/>
          <w:sz w:val="22"/>
          <w:szCs w:val="22"/>
          <w:u w:val="single" w:color="auto"/>
          <w:color w:val="auto"/>
        </w:rPr>
        <w:t>Assignee</w:t>
      </w:r>
      <w:r>
        <w:rPr>
          <w:rFonts w:ascii="Arial" w:cs="Arial" w:eastAsia="Arial" w:hAnsi="Arial"/>
          <w:sz w:val="22"/>
          <w:szCs w:val="22"/>
          <w:color w:val="auto"/>
        </w:rPr>
        <w:t>”) and is required to deliver this Assignee Certificate.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Assignee hereby confirms that, as of date set forth below (check one):</w:t>
      </w:r>
    </w:p>
    <w:p>
      <w:pPr>
        <w:spacing w:after="0" w:line="227" w:lineRule="exact"/>
        <w:rPr>
          <w:sz w:val="20"/>
          <w:szCs w:val="20"/>
          <w:color w:val="auto"/>
        </w:rPr>
      </w:pPr>
    </w:p>
    <w:p>
      <w:pPr>
        <w:ind w:left="1620" w:hanging="316"/>
        <w:spacing w:after="0" w:line="277" w:lineRule="auto"/>
        <w:tabs>
          <w:tab w:leader="none" w:pos="1620" w:val="left"/>
        </w:tabs>
        <w:numPr>
          <w:ilvl w:val="0"/>
          <w:numId w:val="463"/>
        </w:numPr>
        <w:rPr>
          <w:rFonts w:ascii="MS PGothic" w:cs="MS PGothic" w:eastAsia="MS PGothic" w:hAnsi="MS PGothic"/>
          <w:sz w:val="18"/>
          <w:szCs w:val="18"/>
          <w:color w:val="auto"/>
        </w:rPr>
      </w:pPr>
      <w:r>
        <w:rPr>
          <w:rFonts w:ascii="Arial" w:cs="Arial" w:eastAsia="Arial" w:hAnsi="Arial"/>
          <w:sz w:val="18"/>
          <w:szCs w:val="18"/>
          <w:color w:val="auto"/>
        </w:rPr>
        <w:t>Assignee is a Swiss Qualifying Lender and has not entered into a participation (including sub-participation) arrangement with respect to the Credit Agreement with any Person that is a Swiss Non-Qualifying Lender.</w:t>
      </w:r>
    </w:p>
    <w:p>
      <w:pPr>
        <w:spacing w:after="0" w:line="170" w:lineRule="exact"/>
        <w:rPr>
          <w:rFonts w:ascii="MS PGothic" w:cs="MS PGothic" w:eastAsia="MS PGothic" w:hAnsi="MS PGothic"/>
          <w:sz w:val="18"/>
          <w:szCs w:val="18"/>
          <w:color w:val="auto"/>
        </w:rPr>
      </w:pPr>
    </w:p>
    <w:p>
      <w:pPr>
        <w:jc w:val="both"/>
        <w:ind w:left="1620" w:hanging="316"/>
        <w:spacing w:after="0" w:line="263" w:lineRule="auto"/>
        <w:tabs>
          <w:tab w:leader="none" w:pos="1620" w:val="left"/>
        </w:tabs>
        <w:numPr>
          <w:ilvl w:val="0"/>
          <w:numId w:val="463"/>
        </w:numPr>
        <w:rPr>
          <w:rFonts w:ascii="MS PGothic" w:cs="MS PGothic" w:eastAsia="MS PGothic" w:hAnsi="MS PGothic"/>
          <w:sz w:val="18"/>
          <w:szCs w:val="18"/>
          <w:color w:val="auto"/>
        </w:rPr>
      </w:pPr>
      <w:r>
        <w:rPr>
          <w:rFonts w:ascii="Arial" w:cs="Arial" w:eastAsia="Arial" w:hAnsi="Arial"/>
          <w:sz w:val="18"/>
          <w:szCs w:val="18"/>
          <w:color w:val="auto"/>
        </w:rPr>
        <w:t>Assignee is a Swiss Non-Qualifying Lender, and counts as one single creditor for purposes of the Swiss Non-Bank Rules and has not entered into a participation (including any sub-participation) arrangement with respect to the Agreement with any Person that is a Swiss Non-Qualifying Lender.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foregoing:</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Swiss Guidelines</w:t>
      </w:r>
      <w:r>
        <w:rPr>
          <w:rFonts w:ascii="Arial" w:cs="Arial" w:eastAsia="Arial" w:hAnsi="Arial"/>
          <w:sz w:val="21"/>
          <w:szCs w:val="21"/>
          <w:color w:val="auto"/>
        </w:rPr>
        <w:t>” means, together, guideline S-02.123 in relation to interbank loans of 22 September 1986 (</w:t>
      </w:r>
      <w:r>
        <w:rPr>
          <w:rFonts w:ascii="Arial" w:cs="Arial" w:eastAsia="Arial" w:hAnsi="Arial"/>
          <w:sz w:val="21"/>
          <w:szCs w:val="21"/>
          <w:i w:val="1"/>
          <w:iCs w:val="1"/>
          <w:color w:val="auto"/>
        </w:rPr>
        <w:t>Merkblatt</w:t>
      </w:r>
      <w:r>
        <w:rPr>
          <w:rFonts w:ascii="Arial" w:cs="Arial" w:eastAsia="Arial" w:hAnsi="Arial"/>
          <w:sz w:val="21"/>
          <w:szCs w:val="21"/>
          <w:color w:val="auto"/>
        </w:rPr>
        <w:t xml:space="preserve"> </w:t>
      </w:r>
      <w:r>
        <w:rPr>
          <w:rFonts w:ascii="Arial" w:cs="Arial" w:eastAsia="Arial" w:hAnsi="Arial"/>
          <w:sz w:val="21"/>
          <w:szCs w:val="21"/>
          <w:i w:val="1"/>
          <w:iCs w:val="1"/>
          <w:color w:val="auto"/>
        </w:rPr>
        <w:t>“Verrechnungssteuer auf Zinsen von Bankguthaben, deren Gläubiger Banken sind (Interbankguthaben)” vom 22. September 1986</w:t>
      </w:r>
      <w:r>
        <w:rPr>
          <w:rFonts w:ascii="Arial" w:cs="Arial" w:eastAsia="Arial" w:hAnsi="Arial"/>
          <w:sz w:val="21"/>
          <w:szCs w:val="21"/>
          <w:color w:val="auto"/>
        </w:rPr>
        <w:t>), circular letter No. 47 in relation to bonds of 25 July 2019 (1-047-V-2019) (</w:t>
      </w:r>
      <w:r>
        <w:rPr>
          <w:rFonts w:ascii="Arial" w:cs="Arial" w:eastAsia="Arial" w:hAnsi="Arial"/>
          <w:sz w:val="21"/>
          <w:szCs w:val="21"/>
          <w:i w:val="1"/>
          <w:iCs w:val="1"/>
          <w:color w:val="auto"/>
        </w:rPr>
        <w:t>Kreisschreiben Nr. 47 “Obligationen” vom 25. Juli 2019</w:t>
      </w:r>
      <w:r>
        <w:rPr>
          <w:rFonts w:ascii="Arial" w:cs="Arial" w:eastAsia="Arial" w:hAnsi="Arial"/>
          <w:sz w:val="21"/>
          <w:szCs w:val="21"/>
          <w:color w:val="auto"/>
        </w:rPr>
        <w:t>), guideline S-02.130.1 in relation to money market instruments and book claims of April 1999 (</w:t>
      </w:r>
      <w:r>
        <w:rPr>
          <w:rFonts w:ascii="Arial" w:cs="Arial" w:eastAsia="Arial" w:hAnsi="Arial"/>
          <w:sz w:val="21"/>
          <w:szCs w:val="21"/>
          <w:i w:val="1"/>
          <w:iCs w:val="1"/>
          <w:color w:val="auto"/>
        </w:rPr>
        <w:t>Merkblatt vom April 1999 betreffend Geldmarktpapiere und Buchforderungen inländischer Schuldner</w:t>
      </w:r>
      <w:r>
        <w:rPr>
          <w:rFonts w:ascii="Arial" w:cs="Arial" w:eastAsia="Arial" w:hAnsi="Arial"/>
          <w:sz w:val="21"/>
          <w:szCs w:val="21"/>
          <w:color w:val="auto"/>
        </w:rPr>
        <w:t>), circular letter No. 46 of 24 July 2019 (1-046-VS-2019) in relation to syndicated credit facilities (</w:t>
      </w:r>
      <w:r>
        <w:rPr>
          <w:rFonts w:ascii="Arial" w:cs="Arial" w:eastAsia="Arial" w:hAnsi="Arial"/>
          <w:sz w:val="21"/>
          <w:szCs w:val="21"/>
          <w:i w:val="1"/>
          <w:iCs w:val="1"/>
          <w:color w:val="auto"/>
        </w:rPr>
        <w:t>Kreisschreiben Nr. 46 “Steuerliche Behandlung von Konsortialdarlehen,</w:t>
      </w:r>
      <w:r>
        <w:rPr>
          <w:rFonts w:ascii="Arial" w:cs="Arial" w:eastAsia="Arial" w:hAnsi="Arial"/>
          <w:sz w:val="21"/>
          <w:szCs w:val="21"/>
          <w:color w:val="auto"/>
        </w:rPr>
        <w:t xml:space="preserve"> </w:t>
      </w:r>
      <w:r>
        <w:rPr>
          <w:rFonts w:ascii="Arial" w:cs="Arial" w:eastAsia="Arial" w:hAnsi="Arial"/>
          <w:sz w:val="21"/>
          <w:szCs w:val="21"/>
          <w:i w:val="1"/>
          <w:iCs w:val="1"/>
          <w:color w:val="auto"/>
        </w:rPr>
        <w:t>Schuldscheindarlehen, Wechseln und Unterbeteiligungen” vom 24. Juli 2019</w:t>
      </w:r>
      <w:r>
        <w:rPr>
          <w:rFonts w:ascii="Arial" w:cs="Arial" w:eastAsia="Arial" w:hAnsi="Arial"/>
          <w:sz w:val="21"/>
          <w:szCs w:val="21"/>
          <w:color w:val="auto"/>
        </w:rPr>
        <w:t>), circular letter No. 34 of 26 July 2011 (1-034-V-2011) in relation to deposits (</w:t>
      </w:r>
      <w:r>
        <w:rPr>
          <w:rFonts w:ascii="Arial" w:cs="Arial" w:eastAsia="Arial" w:hAnsi="Arial"/>
          <w:sz w:val="21"/>
          <w:szCs w:val="21"/>
          <w:i w:val="1"/>
          <w:iCs w:val="1"/>
          <w:color w:val="auto"/>
        </w:rPr>
        <w:t>Kreisschreiben Nr. 34 “Kundenguthaben” vom 26. Juli 2011</w:t>
      </w:r>
      <w:r>
        <w:rPr>
          <w:rFonts w:ascii="Arial" w:cs="Arial" w:eastAsia="Arial" w:hAnsi="Arial"/>
          <w:sz w:val="21"/>
          <w:szCs w:val="21"/>
          <w:color w:val="auto"/>
        </w:rPr>
        <w:t>); the circular letter No. 15 of 3 October 2017 (1-015-DVS-2017) in relation to bonds and derivative financial instruments as subject matter of taxation of Swiss federal income tax, Swiss withholding tax and Swiss stamp taxes (</w:t>
      </w:r>
      <w:r>
        <w:rPr>
          <w:rFonts w:ascii="Arial" w:cs="Arial" w:eastAsia="Arial" w:hAnsi="Arial"/>
          <w:sz w:val="21"/>
          <w:szCs w:val="21"/>
          <w:i w:val="1"/>
          <w:iCs w:val="1"/>
          <w:color w:val="auto"/>
        </w:rPr>
        <w:t>Kreisschreiben Nr. 15 “Obligationen und derivative</w:t>
      </w:r>
      <w:r>
        <w:rPr>
          <w:rFonts w:ascii="Arial" w:cs="Arial" w:eastAsia="Arial" w:hAnsi="Arial"/>
          <w:sz w:val="21"/>
          <w:szCs w:val="21"/>
          <w:color w:val="auto"/>
        </w:rPr>
        <w:t xml:space="preserve"> </w:t>
      </w:r>
      <w:r>
        <w:rPr>
          <w:rFonts w:ascii="Arial" w:cs="Arial" w:eastAsia="Arial" w:hAnsi="Arial"/>
          <w:sz w:val="21"/>
          <w:szCs w:val="21"/>
          <w:i w:val="1"/>
          <w:iCs w:val="1"/>
          <w:color w:val="auto"/>
        </w:rPr>
        <w:t>Finanzinstrumente als Gegenstand der direkten Bundessteuer, der Verrechnungssteuer und der Stempelabgaben” vom 3. Oktober 2017</w:t>
      </w:r>
      <w:r>
        <w:rPr>
          <w:rFonts w:ascii="Arial" w:cs="Arial" w:eastAsia="Arial" w:hAnsi="Arial"/>
          <w:sz w:val="21"/>
          <w:szCs w:val="21"/>
          <w:color w:val="auto"/>
        </w:rPr>
        <w:t>) and the notification regarding credit balances in groups (Mitteilung 010-DVS-2019 of February 2019 betreffend</w:t>
      </w:r>
      <w:r>
        <w:rPr>
          <w:rFonts w:ascii="Arial" w:cs="Arial" w:eastAsia="Arial" w:hAnsi="Arial"/>
          <w:sz w:val="21"/>
          <w:szCs w:val="21"/>
          <w:i w:val="1"/>
          <w:iCs w:val="1"/>
          <w:color w:val="auto"/>
        </w:rPr>
        <w:t xml:space="preserve"> </w:t>
      </w:r>
      <w:r>
        <w:rPr>
          <w:rFonts w:ascii="Arial" w:cs="Arial" w:eastAsia="Arial" w:hAnsi="Arial"/>
          <w:sz w:val="21"/>
          <w:szCs w:val="21"/>
          <w:color w:val="auto"/>
        </w:rPr>
        <w:t>"Verrechnungssteuer: 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Swiss Qualifying Lender</w:t>
      </w:r>
      <w:r>
        <w:rPr>
          <w:rFonts w:ascii="Arial" w:cs="Arial" w:eastAsia="Arial" w:hAnsi="Arial"/>
          <w:sz w:val="19"/>
          <w:szCs w:val="19"/>
          <w:color w:val="auto"/>
        </w:rPr>
        <w:t>” means a Person that (i) is a bank as defined in the Swiss Federal Code for Banks and Savings Banks dated 8 November 1934 (</w:t>
      </w:r>
      <w:r>
        <w:rPr>
          <w:rFonts w:ascii="Arial" w:cs="Arial" w:eastAsia="Arial" w:hAnsi="Arial"/>
          <w:sz w:val="19"/>
          <w:szCs w:val="19"/>
          <w:i w:val="1"/>
          <w:iCs w:val="1"/>
          <w:color w:val="auto"/>
        </w:rPr>
        <w:t>Bundesgesetz über die Banken und Sparkassen</w:t>
      </w:r>
      <w:r>
        <w:rPr>
          <w:rFonts w:ascii="Arial" w:cs="Arial" w:eastAsia="Arial" w:hAnsi="Arial"/>
          <w:sz w:val="19"/>
          <w:szCs w:val="19"/>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w:t>
      </w:r>
    </w:p>
    <w:p>
      <w:pPr>
        <w:sectPr>
          <w:pgSz w:w="11900" w:h="16838" w:orient="portrait"/>
          <w:cols w:equalWidth="0" w:num="1">
            <w:col w:w="11240"/>
          </w:cols>
          <w:pgMar w:left="320" w:top="125" w:right="339" w:bottom="0" w:gutter="0" w:footer="0" w:header="0"/>
        </w:sectPr>
      </w:pPr>
    </w:p>
    <w:bookmarkStart w:id="403" w:name="page404"/>
    <w:bookmarkEnd w:id="403"/>
    <w:p>
      <w:pPr>
        <w:spacing w:after="0" w:line="276" w:lineRule="auto"/>
        <w:rPr>
          <w:sz w:val="20"/>
          <w:szCs w:val="20"/>
          <w:color w:val="auto"/>
        </w:rPr>
      </w:pPr>
      <w:r>
        <w:rPr>
          <w:rFonts w:ascii="Arial" w:cs="Arial" w:eastAsia="Arial" w:hAnsi="Arial"/>
          <w:sz w:val="22"/>
          <w:szCs w:val="22"/>
          <w:color w:val="auto"/>
        </w:rPr>
        <w:t>a branch, issued in accordance with the banking laws in the jurisdiction of such branch, all and in each case in accordance with the Swiss Guidelines.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Non-Qualifying Lender</w:t>
      </w:r>
      <w:r>
        <w:rPr>
          <w:rFonts w:ascii="Arial" w:cs="Arial" w:eastAsia="Arial" w:hAnsi="Arial"/>
          <w:sz w:val="22"/>
          <w:szCs w:val="22"/>
          <w:color w:val="auto"/>
        </w:rPr>
        <w:t>” means a person which does not qualify as a Swiss Qualifying Lender.</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left blank; 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04" w:name="page405"/>
    <w:bookmarkEnd w:id="404"/>
    <w:p>
      <w:pPr>
        <w:ind w:left="660"/>
        <w:spacing w:after="0"/>
        <w:rPr>
          <w:sz w:val="20"/>
          <w:szCs w:val="20"/>
          <w:color w:val="auto"/>
        </w:rPr>
      </w:pPr>
      <w:r>
        <w:rPr>
          <w:rFonts w:ascii="Arial" w:cs="Arial" w:eastAsia="Arial" w:hAnsi="Arial"/>
          <w:sz w:val="19"/>
          <w:szCs w:val="19"/>
          <w:color w:val="auto"/>
        </w:rPr>
        <w:t>IN WITNESS WHEREOF, the undersigned has executed this Assignee Certificate this _____ day of 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20___.</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ASSIGNEE</w:t>
      </w:r>
      <w:r>
        <w:rPr>
          <w:rFonts w:ascii="Arial" w:cs="Arial" w:eastAsia="Arial" w:hAnsi="Arial"/>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405" w:name="page406"/>
    <w:bookmarkEnd w:id="405"/>
    <w:p>
      <w:pPr>
        <w:jc w:val="right"/>
        <w:spacing w:after="0"/>
        <w:rPr>
          <w:sz w:val="20"/>
          <w:szCs w:val="20"/>
          <w:color w:val="auto"/>
        </w:rPr>
      </w:pPr>
      <w:r>
        <w:rPr>
          <w:rFonts w:ascii="Arial" w:cs="Arial" w:eastAsia="Arial" w:hAnsi="Arial"/>
          <w:sz w:val="22"/>
          <w:szCs w:val="22"/>
          <w:b w:val="1"/>
          <w:bCs w:val="1"/>
          <w:u w:val="single" w:color="auto"/>
          <w:color w:val="auto"/>
        </w:rPr>
        <w:t>EXHIBIT 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INCREASING LENDER SUPPLEMENT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INCREASING LENDER SUPPLEMENT, dated as of ____________, 20___ (this “</w:t>
      </w:r>
      <w:r>
        <w:rPr>
          <w:rFonts w:ascii="Arial" w:cs="Arial" w:eastAsia="Arial" w:hAnsi="Arial"/>
          <w:sz w:val="19"/>
          <w:szCs w:val="19"/>
          <w:u w:val="single" w:color="auto"/>
          <w:color w:val="auto"/>
        </w:rPr>
        <w:t>Supplement</w:t>
      </w:r>
      <w:r>
        <w:rPr>
          <w:rFonts w:ascii="Arial" w:cs="Arial" w:eastAsia="Arial" w:hAnsi="Arial"/>
          <w:sz w:val="19"/>
          <w:szCs w:val="19"/>
          <w:color w:val="auto"/>
        </w:rPr>
        <w:t>”), by and among each of</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the signatories hereto, to the LC Credit Agreement, dated as of December 13, 2019 (as amended, restated, amended and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Parent</w:t>
      </w:r>
      <w:r>
        <w:rPr>
          <w:rFonts w:ascii="Arial" w:cs="Arial" w:eastAsia="Arial" w:hAnsi="Arial"/>
          <w:sz w:val="22"/>
          <w:szCs w:val="22"/>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of the Credit Agreement, the Borrowers have the right, subject to the terms and conditions thereof, to effectuate from time to time an increase in the aggregate Commitments under the Credit Agreement by requesting one or more Lenders to increase the amount of their Commitments;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WHEREAS, the Borrowers have given notice to the Administrative Agent of their intention to increase the aggregate Commitments pursuant to such </w:t>
      </w:r>
      <w:r>
        <w:rPr>
          <w:rFonts w:ascii="Arial" w:cs="Arial" w:eastAsia="Arial" w:hAnsi="Arial"/>
          <w:sz w:val="22"/>
          <w:szCs w:val="22"/>
          <w:u w:val="single" w:color="auto"/>
          <w:color w:val="auto"/>
        </w:rPr>
        <w:t>Section 2.11</w:t>
      </w:r>
      <w:r>
        <w:rPr>
          <w:rFonts w:ascii="Arial" w:cs="Arial" w:eastAsia="Arial" w:hAnsi="Arial"/>
          <w:sz w:val="22"/>
          <w:szCs w:val="22"/>
          <w:color w:val="auto"/>
        </w:rPr>
        <w:t>; and</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of the Credit Agreement, the undersigned Increasing Lender now desires to increase the amount of its Commitment under the Credit Agreement by executing and delivering to the Borrowers and the Administrative Agent this Supplement;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each of the parties hereto hereby agrees as follows:</w:t>
      </w:r>
    </w:p>
    <w:p>
      <w:pPr>
        <w:spacing w:after="0" w:line="233" w:lineRule="exact"/>
        <w:rPr>
          <w:sz w:val="20"/>
          <w:szCs w:val="20"/>
          <w:color w:val="auto"/>
        </w:rPr>
      </w:pPr>
    </w:p>
    <w:p>
      <w:pPr>
        <w:jc w:val="both"/>
        <w:ind w:firstLine="656"/>
        <w:spacing w:after="0" w:line="266" w:lineRule="auto"/>
        <w:tabs>
          <w:tab w:leader="none" w:pos="1363" w:val="left"/>
        </w:tabs>
        <w:numPr>
          <w:ilvl w:val="0"/>
          <w:numId w:val="464"/>
        </w:numPr>
        <w:rPr>
          <w:rFonts w:ascii="Arial" w:cs="Arial" w:eastAsia="Arial" w:hAnsi="Arial"/>
          <w:sz w:val="22"/>
          <w:szCs w:val="22"/>
          <w:color w:val="auto"/>
        </w:rPr>
      </w:pPr>
      <w:r>
        <w:rPr>
          <w:rFonts w:ascii="Arial" w:cs="Arial" w:eastAsia="Arial" w:hAnsi="Arial"/>
          <w:sz w:val="22"/>
          <w:szCs w:val="22"/>
          <w:color w:val="auto"/>
        </w:rPr>
        <w:t>The undersigned Increasing Lender agrees, subject to the terms and conditions of the Credit Agreement, that as of the date of this Supplement it shall have its Commitment increased by $[______________], thereby making the total amount of its Commitment equal to $[___________</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firstLine="656"/>
        <w:spacing w:after="0" w:line="276" w:lineRule="auto"/>
        <w:tabs>
          <w:tab w:leader="none" w:pos="1431" w:val="left"/>
        </w:tabs>
        <w:numPr>
          <w:ilvl w:val="0"/>
          <w:numId w:val="464"/>
        </w:numPr>
        <w:rPr>
          <w:rFonts w:ascii="Arial" w:cs="Arial" w:eastAsia="Arial" w:hAnsi="Arial"/>
          <w:sz w:val="22"/>
          <w:szCs w:val="22"/>
          <w:color w:val="auto"/>
        </w:rPr>
      </w:pPr>
      <w:r>
        <w:rPr>
          <w:rFonts w:ascii="Arial" w:cs="Arial" w:eastAsia="Arial" w:hAnsi="Arial"/>
          <w:sz w:val="22"/>
          <w:szCs w:val="22"/>
          <w:color w:val="auto"/>
        </w:rPr>
        <w:t>The Borrowers hereby represent and warrant that no Default or Event of Default has occurred and is continuing on and as of the date hereof.</w:t>
      </w:r>
    </w:p>
    <w:p>
      <w:pPr>
        <w:spacing w:after="0" w:line="174" w:lineRule="exact"/>
        <w:rPr>
          <w:rFonts w:ascii="Arial" w:cs="Arial" w:eastAsia="Arial" w:hAnsi="Arial"/>
          <w:sz w:val="22"/>
          <w:szCs w:val="22"/>
          <w:color w:val="auto"/>
        </w:rPr>
      </w:pPr>
    </w:p>
    <w:p>
      <w:pPr>
        <w:ind w:left="1360" w:hanging="704"/>
        <w:spacing w:after="0"/>
        <w:tabs>
          <w:tab w:leader="none" w:pos="1360" w:val="left"/>
        </w:tabs>
        <w:numPr>
          <w:ilvl w:val="0"/>
          <w:numId w:val="464"/>
        </w:numPr>
        <w:rPr>
          <w:rFonts w:ascii="Arial" w:cs="Arial" w:eastAsia="Arial" w:hAnsi="Arial"/>
          <w:sz w:val="21"/>
          <w:szCs w:val="21"/>
          <w:color w:val="auto"/>
        </w:rPr>
      </w:pPr>
      <w:r>
        <w:rPr>
          <w:rFonts w:ascii="Arial" w:cs="Arial" w:eastAsia="Arial" w:hAnsi="Arial"/>
          <w:sz w:val="21"/>
          <w:szCs w:val="21"/>
          <w:color w:val="auto"/>
        </w:rPr>
        <w:t>Terms defined in the Credit Agreement shall have their respective defined meanings when used herein.</w:t>
      </w:r>
    </w:p>
    <w:p>
      <w:pPr>
        <w:spacing w:after="0" w:line="244" w:lineRule="exact"/>
        <w:rPr>
          <w:rFonts w:ascii="Arial" w:cs="Arial" w:eastAsia="Arial" w:hAnsi="Arial"/>
          <w:sz w:val="21"/>
          <w:szCs w:val="21"/>
          <w:color w:val="auto"/>
        </w:rPr>
      </w:pPr>
    </w:p>
    <w:p>
      <w:pPr>
        <w:ind w:left="1360" w:hanging="704"/>
        <w:spacing w:after="0"/>
        <w:tabs>
          <w:tab w:leader="none" w:pos="1360" w:val="left"/>
        </w:tabs>
        <w:numPr>
          <w:ilvl w:val="0"/>
          <w:numId w:val="464"/>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 New York.</w:t>
      </w:r>
    </w:p>
    <w:p>
      <w:pPr>
        <w:spacing w:after="0" w:line="267" w:lineRule="exact"/>
        <w:rPr>
          <w:rFonts w:ascii="Arial" w:cs="Arial" w:eastAsia="Arial" w:hAnsi="Arial"/>
          <w:sz w:val="19"/>
          <w:szCs w:val="19"/>
          <w:color w:val="auto"/>
        </w:rPr>
      </w:pPr>
    </w:p>
    <w:p>
      <w:pPr>
        <w:jc w:val="both"/>
        <w:ind w:firstLine="656"/>
        <w:spacing w:after="0" w:line="266" w:lineRule="auto"/>
        <w:tabs>
          <w:tab w:leader="none" w:pos="1579" w:val="left"/>
        </w:tabs>
        <w:numPr>
          <w:ilvl w:val="0"/>
          <w:numId w:val="464"/>
        </w:numPr>
        <w:rPr>
          <w:rFonts w:ascii="Arial" w:cs="Arial" w:eastAsia="Arial" w:hAnsi="Arial"/>
          <w:sz w:val="22"/>
          <w:szCs w:val="22"/>
          <w:color w:val="auto"/>
        </w:rPr>
      </w:pPr>
      <w:r>
        <w:rPr>
          <w:rFonts w:ascii="Arial" w:cs="Arial" w:eastAsia="Arial" w:hAnsi="Arial"/>
          <w:sz w:val="22"/>
          <w:szCs w:val="22"/>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6" w:name="page407"/>
    <w:bookmarkEnd w:id="406"/>
    <w:p>
      <w:pPr>
        <w:ind w:firstLine="648"/>
        <w:spacing w:after="0" w:line="276" w:lineRule="auto"/>
        <w:rPr>
          <w:sz w:val="20"/>
          <w:szCs w:val="20"/>
          <w:color w:val="auto"/>
        </w:rPr>
      </w:pPr>
      <w:r>
        <w:rPr>
          <w:rFonts w:ascii="Arial" w:cs="Arial" w:eastAsia="Arial" w:hAnsi="Arial"/>
          <w:sz w:val="22"/>
          <w:szCs w:val="22"/>
          <w:color w:val="auto"/>
        </w:rPr>
        <w:t>IN WITNESS WHEREOF, each of the undersigned has caused this Supplement to be executed and delivered by a duly authorized officer on the date first above written.</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INCREASING LENDER</w:t>
      </w:r>
      <w:r>
        <w:rPr>
          <w:rFonts w:ascii="Arial" w:cs="Arial" w:eastAsia="Arial" w:hAnsi="Arial"/>
          <w:sz w:val="22"/>
          <w:szCs w:val="22"/>
          <w:color w:val="auto"/>
        </w:rPr>
        <w:t>:</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[INSERT NAME OF INCREASING LENDER]</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WIL-BERMUDA</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WIL-DELAWARE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LLC,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Delaware limited liability company,</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Borrower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PARENT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Acknowledged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333" w:gutter="0" w:footer="0" w:header="0"/>
        </w:sectPr>
      </w:pPr>
    </w:p>
    <w:bookmarkStart w:id="407" w:name="page408"/>
    <w:bookmarkEnd w:id="407"/>
    <w:p>
      <w:pPr>
        <w:jc w:val="right"/>
        <w:spacing w:after="0"/>
        <w:rPr>
          <w:sz w:val="20"/>
          <w:szCs w:val="20"/>
          <w:color w:val="auto"/>
        </w:rPr>
      </w:pPr>
      <w:r>
        <w:rPr>
          <w:rFonts w:ascii="Arial" w:cs="Arial" w:eastAsia="Arial" w:hAnsi="Arial"/>
          <w:sz w:val="22"/>
          <w:szCs w:val="22"/>
          <w:b w:val="1"/>
          <w:bCs w:val="1"/>
          <w:u w:val="single" w:color="auto"/>
          <w:color w:val="auto"/>
        </w:rPr>
        <w:t>EXHIBIT 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ADDITIONAL LENDER SUPPLEMENT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ADDITIONAL LENDER SUPPLEMENT, dated as of ____________, 20___ (this “</w:t>
      </w:r>
      <w:r>
        <w:rPr>
          <w:rFonts w:ascii="Arial" w:cs="Arial" w:eastAsia="Arial" w:hAnsi="Arial"/>
          <w:sz w:val="19"/>
          <w:szCs w:val="19"/>
          <w:u w:val="single" w:color="auto"/>
          <w:color w:val="auto"/>
        </w:rPr>
        <w:t>Supplement</w:t>
      </w:r>
      <w:r>
        <w:rPr>
          <w:rFonts w:ascii="Arial" w:cs="Arial" w:eastAsia="Arial" w:hAnsi="Arial"/>
          <w:sz w:val="19"/>
          <w:szCs w:val="19"/>
          <w:color w:val="auto"/>
        </w:rPr>
        <w:t>”), by and among each of</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the signatories hereto, to the LC Credit Agreement, dated as of December 13, 2019 (as amended, restated, amended and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Parent</w:t>
      </w:r>
      <w:r>
        <w:rPr>
          <w:rFonts w:ascii="Arial" w:cs="Arial" w:eastAsia="Arial" w:hAnsi="Arial"/>
          <w:sz w:val="22"/>
          <w:szCs w:val="22"/>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3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of the Credit Agreement, the Borrowers have the right, subject to the terms and conditions thereof, to effectuate from time to time an increase in the aggregate Commitments under the Credit Agreement by requesting one or more Persons meeting the qualifications set forth in such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to provide an Incremental Commitment;</w:t>
      </w:r>
    </w:p>
    <w:p>
      <w:pPr>
        <w:spacing w:after="0" w:line="1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WHEREAS, the Credit Agreement provides in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thereof that any Person providing an Incremental Commitment that is not already a Lender must meet the requirements to be an assignee under </w:t>
      </w:r>
      <w:r>
        <w:rPr>
          <w:rFonts w:ascii="Arial" w:cs="Arial" w:eastAsia="Arial" w:hAnsi="Arial"/>
          <w:sz w:val="22"/>
          <w:szCs w:val="22"/>
          <w:u w:val="single" w:color="auto"/>
          <w:color w:val="auto"/>
        </w:rPr>
        <w:t>Section 11.05(b)</w:t>
      </w:r>
      <w:r>
        <w:rPr>
          <w:rFonts w:ascii="Arial" w:cs="Arial" w:eastAsia="Arial" w:hAnsi="Arial"/>
          <w:sz w:val="22"/>
          <w:szCs w:val="22"/>
          <w:color w:val="auto"/>
        </w:rPr>
        <w:t xml:space="preserve"> of the Credit Agreement (subject to such consents, if any, as may be required under </w:t>
      </w:r>
      <w:r>
        <w:rPr>
          <w:rFonts w:ascii="Arial" w:cs="Arial" w:eastAsia="Arial" w:hAnsi="Arial"/>
          <w:sz w:val="22"/>
          <w:szCs w:val="22"/>
          <w:u w:val="single" w:color="auto"/>
          <w:color w:val="auto"/>
        </w:rPr>
        <w:t>Section 11.05(b)</w:t>
      </w:r>
      <w:r>
        <w:rPr>
          <w:rFonts w:ascii="Arial" w:cs="Arial" w:eastAsia="Arial" w:hAnsi="Arial"/>
          <w:sz w:val="22"/>
          <w:szCs w:val="22"/>
          <w:color w:val="auto"/>
        </w:rPr>
        <w:t>);</w:t>
      </w:r>
    </w:p>
    <w:p>
      <w:pPr>
        <w:spacing w:after="0" w:line="18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WHEREAS, immediately prior to giving effect to this Supplement, the undersigned Additional Lender was not a Lender under the Credit Agreement, but now desires to become a party thereto as a Lender thereunder;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each of the parties hereto hereby agrees as follows:</w:t>
      </w:r>
    </w:p>
    <w:p>
      <w:pPr>
        <w:spacing w:after="0" w:line="233" w:lineRule="exact"/>
        <w:rPr>
          <w:sz w:val="20"/>
          <w:szCs w:val="20"/>
          <w:color w:val="auto"/>
        </w:rPr>
      </w:pPr>
    </w:p>
    <w:p>
      <w:pPr>
        <w:jc w:val="both"/>
        <w:ind w:firstLine="656"/>
        <w:spacing w:after="0" w:line="284" w:lineRule="auto"/>
        <w:tabs>
          <w:tab w:leader="none" w:pos="1471" w:val="left"/>
        </w:tabs>
        <w:numPr>
          <w:ilvl w:val="0"/>
          <w:numId w:val="465"/>
        </w:numPr>
        <w:rPr>
          <w:rFonts w:ascii="Arial" w:cs="Arial" w:eastAsia="Arial" w:hAnsi="Arial"/>
          <w:sz w:val="21"/>
          <w:szCs w:val="21"/>
          <w:color w:val="auto"/>
        </w:rPr>
      </w:pPr>
      <w:r>
        <w:rPr>
          <w:rFonts w:ascii="Arial" w:cs="Arial" w:eastAsia="Arial" w:hAnsi="Arial"/>
          <w:sz w:val="21"/>
          <w:szCs w:val="21"/>
          <w:color w:val="auto"/>
        </w:rPr>
        <w:t>The undersigned Additional Lender agrees to be bound by the provisions of the Credit Agreement as a Lender thereunder and agrees that it shall, as of the date of this Supplement, become a Lender for all purposes of the Credit Agreement to the same extent as if originally a party thereto, with a Commitment equal to $[__________].</w:t>
      </w:r>
    </w:p>
    <w:p>
      <w:pPr>
        <w:spacing w:after="0" w:line="168" w:lineRule="exact"/>
        <w:rPr>
          <w:rFonts w:ascii="Arial" w:cs="Arial" w:eastAsia="Arial" w:hAnsi="Arial"/>
          <w:sz w:val="21"/>
          <w:szCs w:val="21"/>
          <w:color w:val="auto"/>
        </w:rPr>
      </w:pPr>
    </w:p>
    <w:p>
      <w:pPr>
        <w:jc w:val="both"/>
        <w:ind w:firstLine="656"/>
        <w:spacing w:after="0" w:line="300" w:lineRule="auto"/>
        <w:tabs>
          <w:tab w:leader="none" w:pos="1471" w:val="left"/>
        </w:tabs>
        <w:numPr>
          <w:ilvl w:val="0"/>
          <w:numId w:val="465"/>
        </w:numPr>
        <w:rPr>
          <w:rFonts w:ascii="Arial" w:cs="Arial" w:eastAsia="Arial" w:hAnsi="Arial"/>
          <w:sz w:val="19"/>
          <w:szCs w:val="19"/>
          <w:color w:val="auto"/>
        </w:rPr>
      </w:pPr>
      <w:r>
        <w:rPr>
          <w:rFonts w:ascii="Arial" w:cs="Arial" w:eastAsia="Arial" w:hAnsi="Arial"/>
          <w:sz w:val="19"/>
          <w:szCs w:val="19"/>
          <w:color w:val="auto"/>
        </w:rPr>
        <w:t xml:space="preserve">The undersigned Additional Lender (a) represents and warrants that (i) it has full power and authority, and has taken all action necessary, to execute and deliver this Supplement and to consummate the transactions contemplated hereby and to become a Lender under the Credit Agreement, (ii) it has delivered to Parent and the Administrative Agent the forms required under </w:t>
      </w:r>
      <w:r>
        <w:rPr>
          <w:rFonts w:ascii="Arial" w:cs="Arial" w:eastAsia="Arial" w:hAnsi="Arial"/>
          <w:sz w:val="19"/>
          <w:szCs w:val="19"/>
          <w:u w:val="single" w:color="auto"/>
          <w:color w:val="auto"/>
        </w:rPr>
        <w:t>Sections 4.02(c)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4.02(e)</w:t>
      </w:r>
      <w:r>
        <w:rPr>
          <w:rFonts w:ascii="Arial" w:cs="Arial" w:eastAsia="Arial" w:hAnsi="Arial"/>
          <w:sz w:val="19"/>
          <w:szCs w:val="19"/>
          <w:color w:val="auto"/>
        </w:rPr>
        <w:t xml:space="preserve"> of the Credit Agreement and an Assignee Certificate, in each case duly completed and executed by the undersigned Additional Lender, and (iii) it is not subject under current law to any withholding tax on amounts payable to it under the Credit Agreement; (b) confirms that it has received a copy of the Credit Agreement, together with copies of the most recent financial statements delivered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thereof,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irrevocably designates, appoints and authorizes the Administrative Agent as the agent of such Lender under the Credit Agreement and the other Loan Documents; (e) irrevocably authorizes the Administrative Agent to take such actions on its behalf under the provisions of the Credit Agreement and the other Loan Documents, including execution of the other Loan Documents, and to exercise such powers and perform such duties as are expressly delegated to the Administrative Agent by the terms of the Credit Agreement and of the other Loan Documents, together with such actions and powers as are reasonably incidental thereto; and (f) agrees that it will be bound by the provisions of the Credit Agreement and will perform in accordance with its terms all the obligations which by the terms of the Credit Agreement are required to be performed by it as a Lender.</w:t>
      </w:r>
    </w:p>
    <w:p>
      <w:pPr>
        <w:spacing w:after="0" w:line="160" w:lineRule="exact"/>
        <w:rPr>
          <w:rFonts w:ascii="Arial" w:cs="Arial" w:eastAsia="Arial" w:hAnsi="Arial"/>
          <w:sz w:val="19"/>
          <w:szCs w:val="19"/>
          <w:color w:val="auto"/>
        </w:rPr>
      </w:pPr>
    </w:p>
    <w:p>
      <w:pPr>
        <w:ind w:left="1360" w:hanging="704"/>
        <w:spacing w:after="0"/>
        <w:tabs>
          <w:tab w:leader="none" w:pos="1360" w:val="left"/>
        </w:tabs>
        <w:numPr>
          <w:ilvl w:val="0"/>
          <w:numId w:val="465"/>
        </w:numPr>
        <w:rPr>
          <w:rFonts w:ascii="Arial" w:cs="Arial" w:eastAsia="Arial" w:hAnsi="Arial"/>
          <w:sz w:val="22"/>
          <w:szCs w:val="22"/>
          <w:color w:val="auto"/>
        </w:rPr>
      </w:pPr>
      <w:r>
        <w:rPr>
          <w:rFonts w:ascii="Arial" w:cs="Arial" w:eastAsia="Arial" w:hAnsi="Arial"/>
          <w:sz w:val="22"/>
          <w:szCs w:val="22"/>
          <w:color w:val="auto"/>
        </w:rPr>
        <w:t>The undersigned’s address for notices for the purposes of the Credit Agreement is as follows:</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[___________]</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[___________]</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[___________]</w:t>
      </w:r>
    </w:p>
    <w:p>
      <w:pPr>
        <w:spacing w:after="0" w:line="233" w:lineRule="exact"/>
        <w:rPr>
          <w:sz w:val="20"/>
          <w:szCs w:val="20"/>
          <w:color w:val="auto"/>
        </w:rPr>
      </w:pPr>
    </w:p>
    <w:p>
      <w:pPr>
        <w:ind w:firstLine="656"/>
        <w:spacing w:after="0" w:line="276" w:lineRule="auto"/>
        <w:tabs>
          <w:tab w:leader="none" w:pos="1431" w:val="left"/>
        </w:tabs>
        <w:numPr>
          <w:ilvl w:val="0"/>
          <w:numId w:val="466"/>
        </w:numPr>
        <w:rPr>
          <w:rFonts w:ascii="Arial" w:cs="Arial" w:eastAsia="Arial" w:hAnsi="Arial"/>
          <w:sz w:val="22"/>
          <w:szCs w:val="22"/>
          <w:color w:val="auto"/>
        </w:rPr>
      </w:pPr>
      <w:r>
        <w:rPr>
          <w:rFonts w:ascii="Arial" w:cs="Arial" w:eastAsia="Arial" w:hAnsi="Arial"/>
          <w:sz w:val="22"/>
          <w:szCs w:val="22"/>
          <w:color w:val="auto"/>
        </w:rPr>
        <w:t>The Borrowers hereby represent and warrant that no Default or Event of Default has occurred and is continuing on and as of the date hereof.</w:t>
      </w:r>
    </w:p>
    <w:p>
      <w:pPr>
        <w:spacing w:after="0" w:line="174" w:lineRule="exact"/>
        <w:rPr>
          <w:rFonts w:ascii="Arial" w:cs="Arial" w:eastAsia="Arial" w:hAnsi="Arial"/>
          <w:sz w:val="22"/>
          <w:szCs w:val="22"/>
          <w:color w:val="auto"/>
        </w:rPr>
      </w:pPr>
    </w:p>
    <w:p>
      <w:pPr>
        <w:ind w:left="1360" w:hanging="704"/>
        <w:spacing w:after="0"/>
        <w:tabs>
          <w:tab w:leader="none" w:pos="1360" w:val="left"/>
        </w:tabs>
        <w:numPr>
          <w:ilvl w:val="0"/>
          <w:numId w:val="466"/>
        </w:numPr>
        <w:rPr>
          <w:rFonts w:ascii="Arial" w:cs="Arial" w:eastAsia="Arial" w:hAnsi="Arial"/>
          <w:sz w:val="21"/>
          <w:szCs w:val="21"/>
          <w:color w:val="auto"/>
        </w:rPr>
      </w:pPr>
      <w:r>
        <w:rPr>
          <w:rFonts w:ascii="Arial" w:cs="Arial" w:eastAsia="Arial" w:hAnsi="Arial"/>
          <w:sz w:val="21"/>
          <w:szCs w:val="21"/>
          <w:color w:val="auto"/>
        </w:rPr>
        <w:t>Terms defined in the Credit Agreement shall have their respective defined meanings when used herein.</w:t>
      </w:r>
    </w:p>
    <w:p>
      <w:pPr>
        <w:sectPr>
          <w:pgSz w:w="11900" w:h="16838" w:orient="portrait"/>
          <w:cols w:equalWidth="0" w:num="1">
            <w:col w:w="11240"/>
          </w:cols>
          <w:pgMar w:left="320" w:top="125" w:right="339" w:bottom="0" w:gutter="0" w:footer="0" w:header="0"/>
        </w:sectPr>
      </w:pPr>
    </w:p>
    <w:bookmarkStart w:id="408" w:name="page409"/>
    <w:bookmarkEnd w:id="408"/>
    <w:p>
      <w:pPr>
        <w:ind w:left="1340" w:hanging="704"/>
        <w:spacing w:after="0"/>
        <w:tabs>
          <w:tab w:leader="none" w:pos="1340" w:val="left"/>
        </w:tabs>
        <w:numPr>
          <w:ilvl w:val="0"/>
          <w:numId w:val="467"/>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 New York.</w:t>
      </w:r>
    </w:p>
    <w:p>
      <w:pPr>
        <w:spacing w:after="0" w:line="267" w:lineRule="exact"/>
        <w:rPr>
          <w:rFonts w:ascii="Arial" w:cs="Arial" w:eastAsia="Arial" w:hAnsi="Arial"/>
          <w:sz w:val="19"/>
          <w:szCs w:val="19"/>
          <w:color w:val="auto"/>
        </w:rPr>
      </w:pPr>
    </w:p>
    <w:p>
      <w:pPr>
        <w:jc w:val="both"/>
        <w:ind w:left="-20" w:firstLine="656"/>
        <w:spacing w:after="0" w:line="266" w:lineRule="auto"/>
        <w:tabs>
          <w:tab w:leader="none" w:pos="1559" w:val="left"/>
        </w:tabs>
        <w:numPr>
          <w:ilvl w:val="0"/>
          <w:numId w:val="467"/>
        </w:numPr>
        <w:rPr>
          <w:rFonts w:ascii="Arial" w:cs="Arial" w:eastAsia="Arial" w:hAnsi="Arial"/>
          <w:sz w:val="22"/>
          <w:szCs w:val="22"/>
          <w:color w:val="auto"/>
        </w:rPr>
      </w:pPr>
      <w:r>
        <w:rPr>
          <w:rFonts w:ascii="Arial" w:cs="Arial" w:eastAsia="Arial" w:hAnsi="Arial"/>
          <w:sz w:val="22"/>
          <w:szCs w:val="22"/>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31" w:right="339" w:bottom="1440" w:gutter="0" w:footer="0" w:header="0"/>
        </w:sectPr>
      </w:pPr>
    </w:p>
    <w:bookmarkStart w:id="409" w:name="page410"/>
    <w:bookmarkEnd w:id="409"/>
    <w:p>
      <w:pPr>
        <w:ind w:firstLine="648"/>
        <w:spacing w:after="0" w:line="276" w:lineRule="auto"/>
        <w:rPr>
          <w:sz w:val="20"/>
          <w:szCs w:val="20"/>
          <w:color w:val="auto"/>
        </w:rPr>
      </w:pPr>
      <w:r>
        <w:rPr>
          <w:rFonts w:ascii="Arial" w:cs="Arial" w:eastAsia="Arial" w:hAnsi="Arial"/>
          <w:sz w:val="22"/>
          <w:szCs w:val="22"/>
          <w:color w:val="auto"/>
        </w:rPr>
        <w:t>IN WITNESS WHEREOF, each of the undersigned has caused this Supplement to be executed and delivered by a duly authorized officer on the date first above written.</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[INSERT NAME OF ADDITIONAL LENDER]</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WIL-BERMUDA</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WIL-DELAWARE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PARENT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904875</wp:posOffset>
            </wp:positionV>
            <wp:extent cx="71323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0" w:name="page411"/>
    <w:bookmarkEnd w:id="410"/>
    <w:p>
      <w:pPr>
        <w:spacing w:after="0"/>
        <w:rPr>
          <w:sz w:val="20"/>
          <w:szCs w:val="20"/>
          <w:color w:val="auto"/>
        </w:rPr>
      </w:pPr>
      <w:r>
        <w:rPr>
          <w:rFonts w:ascii="Arial" w:cs="Arial" w:eastAsia="Arial" w:hAnsi="Arial"/>
          <w:sz w:val="19"/>
          <w:szCs w:val="19"/>
          <w:color w:val="auto"/>
        </w:rPr>
        <w:t>Consented to and acknowledged as of the date first written above: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11" w:name="page412"/>
    <w:bookmarkEnd w:id="411"/>
    <w:p>
      <w:pPr>
        <w:jc w:val="right"/>
        <w:spacing w:after="0"/>
        <w:rPr>
          <w:sz w:val="20"/>
          <w:szCs w:val="20"/>
          <w:color w:val="auto"/>
        </w:rPr>
      </w:pPr>
      <w:r>
        <w:rPr>
          <w:rFonts w:ascii="Arial" w:cs="Arial" w:eastAsia="Arial" w:hAnsi="Arial"/>
          <w:sz w:val="22"/>
          <w:szCs w:val="22"/>
          <w:b w:val="1"/>
          <w:bCs w:val="1"/>
          <w:u w:val="single" w:color="auto"/>
          <w:color w:val="auto"/>
        </w:rPr>
        <w:t>EXHIBIT G</w:t>
      </w:r>
    </w:p>
    <w:p>
      <w:pPr>
        <w:spacing w:after="0" w:line="233" w:lineRule="exact"/>
        <w:rPr>
          <w:sz w:val="20"/>
          <w:szCs w:val="20"/>
          <w:color w:val="auto"/>
        </w:rPr>
      </w:pPr>
    </w:p>
    <w:p>
      <w:pPr>
        <w:ind w:left="2320"/>
        <w:spacing w:after="0"/>
        <w:rPr>
          <w:sz w:val="20"/>
          <w:szCs w:val="20"/>
          <w:color w:val="auto"/>
        </w:rPr>
      </w:pPr>
      <w:r>
        <w:rPr>
          <w:rFonts w:ascii="Arial" w:cs="Arial" w:eastAsia="Arial" w:hAnsi="Arial"/>
          <w:sz w:val="22"/>
          <w:szCs w:val="22"/>
          <w:b w:val="1"/>
          <w:bCs w:val="1"/>
          <w:u w:val="single" w:color="auto"/>
          <w:color w:val="auto"/>
        </w:rPr>
        <w:t>FORM OF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12" w:name="page413"/>
    <w:bookmarkEnd w:id="412"/>
    <w:p>
      <w:pPr>
        <w:jc w:val="center"/>
        <w:ind w:right="19"/>
        <w:spacing w:after="0"/>
        <w:rPr>
          <w:sz w:val="20"/>
          <w:szCs w:val="20"/>
          <w:color w:val="auto"/>
        </w:rPr>
      </w:pPr>
      <w:r>
        <w:rPr>
          <w:rFonts w:ascii="Arial" w:cs="Arial" w:eastAsia="Arial" w:hAnsi="Arial"/>
          <w:sz w:val="22"/>
          <w:szCs w:val="22"/>
          <w:b w:val="1"/>
          <w:bCs w:val="1"/>
          <w:color w:val="auto"/>
        </w:rPr>
        <w:t>FORM OF INTERCREDITOR AGREEMENT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49"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[__________, 20__]</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49" w:lineRule="exact"/>
        <w:rPr>
          <w:sz w:val="20"/>
          <w:szCs w:val="20"/>
          <w:color w:val="auto"/>
        </w:rPr>
      </w:pPr>
    </w:p>
    <w:p>
      <w:pPr>
        <w:ind w:left="2140" w:right="2099" w:hanging="45"/>
        <w:spacing w:after="0" w:line="358" w:lineRule="auto"/>
        <w:rPr>
          <w:sz w:val="20"/>
          <w:szCs w:val="20"/>
          <w:color w:val="auto"/>
        </w:rPr>
      </w:pPr>
      <w:r>
        <w:rPr>
          <w:rFonts w:ascii="Arial" w:cs="Arial" w:eastAsia="Arial" w:hAnsi="Arial"/>
          <w:sz w:val="19"/>
          <w:szCs w:val="19"/>
          <w:color w:val="auto"/>
        </w:rPr>
        <w:t>WELLS FARGO BANK, NATIONAL ASSOCIATION as ABL Collateral Agent and Foreign Collateral Agent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LC Collateral Agent,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BTA INSTITUTIONAL SERVICES AUSTRALIA LIMITED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when joined hereto, as LC Australian Collateral Agent,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Grantors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290195</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67" w:right="1440" w:bottom="1440" w:gutter="0" w:footer="0" w:header="0"/>
        </w:sectPr>
      </w:pPr>
    </w:p>
    <w:bookmarkStart w:id="413" w:name="page414"/>
    <w:bookmarkEnd w:id="41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4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280" w:type="dxa"/>
            <w:vAlign w:val="bottom"/>
            <w:gridSpan w:val="2"/>
          </w:tcPr>
          <w:p>
            <w:pPr>
              <w:ind w:left="1820"/>
              <w:spacing w:after="0"/>
              <w:rPr>
                <w:sz w:val="20"/>
                <w:szCs w:val="20"/>
                <w:color w:val="auto"/>
              </w:rPr>
            </w:pPr>
            <w:r>
              <w:rPr>
                <w:rFonts w:ascii="Arial" w:cs="Arial" w:eastAsia="Arial" w:hAnsi="Arial"/>
                <w:sz w:val="22"/>
                <w:szCs w:val="22"/>
                <w:b w:val="1"/>
                <w:bCs w:val="1"/>
                <w:color w:val="auto"/>
                <w:w w:val="83"/>
              </w:rPr>
              <w:t>Page</w:t>
            </w:r>
          </w:p>
        </w:tc>
        <w:tc>
          <w:tcPr>
            <w:tcW w:w="0" w:type="dxa"/>
            <w:vAlign w:val="bottom"/>
          </w:tcPr>
          <w:p>
            <w:pPr>
              <w:spacing w:after="0"/>
              <w:rPr>
                <w:sz w:val="1"/>
                <w:szCs w:val="1"/>
                <w:color w:val="auto"/>
              </w:rPr>
            </w:pPr>
          </w:p>
        </w:tc>
      </w:tr>
      <w:tr>
        <w:trPr>
          <w:trHeight w:val="479"/>
        </w:trPr>
        <w:tc>
          <w:tcPr>
            <w:tcW w:w="898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I Definitions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1.01</w:t>
            </w:r>
          </w:p>
        </w:tc>
        <w:tc>
          <w:tcPr>
            <w:tcW w:w="7560" w:type="dxa"/>
            <w:vAlign w:val="bottom"/>
          </w:tcPr>
          <w:p>
            <w:pPr>
              <w:ind w:left="280"/>
              <w:spacing w:after="0"/>
              <w:rPr>
                <w:sz w:val="20"/>
                <w:szCs w:val="20"/>
                <w:color w:val="auto"/>
              </w:rPr>
            </w:pPr>
            <w:r>
              <w:rPr>
                <w:rFonts w:ascii="Arial" w:cs="Arial" w:eastAsia="Arial" w:hAnsi="Arial"/>
                <w:sz w:val="18"/>
                <w:szCs w:val="18"/>
                <w:color w:val="auto"/>
              </w:rPr>
              <w:t>Construction; Certain Defined Terms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1.02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Luxembourg Terms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1.03</w:t>
            </w:r>
          </w:p>
        </w:tc>
        <w:tc>
          <w:tcPr>
            <w:tcW w:w="7560" w:type="dxa"/>
            <w:vAlign w:val="bottom"/>
          </w:tcPr>
          <w:p>
            <w:pPr>
              <w:ind w:left="280"/>
              <w:spacing w:after="0"/>
              <w:rPr>
                <w:sz w:val="20"/>
                <w:szCs w:val="20"/>
                <w:color w:val="auto"/>
              </w:rPr>
            </w:pPr>
            <w:r>
              <w:rPr>
                <w:rFonts w:ascii="Arial" w:cs="Arial" w:eastAsia="Arial" w:hAnsi="Arial"/>
                <w:sz w:val="18"/>
                <w:szCs w:val="18"/>
                <w:color w:val="auto"/>
              </w:rPr>
              <w:t>Designation of Swap and Banking Obligations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II Priorities and Agreements with Respect to Collateral</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2.01</w:t>
            </w:r>
          </w:p>
        </w:tc>
        <w:tc>
          <w:tcPr>
            <w:tcW w:w="7560" w:type="dxa"/>
            <w:vAlign w:val="bottom"/>
          </w:tcPr>
          <w:p>
            <w:pPr>
              <w:ind w:left="280"/>
              <w:spacing w:after="0"/>
              <w:rPr>
                <w:sz w:val="20"/>
                <w:szCs w:val="20"/>
                <w:color w:val="auto"/>
              </w:rPr>
            </w:pPr>
            <w:r>
              <w:rPr>
                <w:rFonts w:ascii="Arial" w:cs="Arial" w:eastAsia="Arial" w:hAnsi="Arial"/>
                <w:sz w:val="18"/>
                <w:szCs w:val="18"/>
                <w:color w:val="auto"/>
              </w:rPr>
              <w:t>Priority of Claims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Actions With Respect to Collateral; Prohibition on Contesting Liens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2.03</w:t>
            </w:r>
          </w:p>
        </w:tc>
        <w:tc>
          <w:tcPr>
            <w:tcW w:w="7560" w:type="dxa"/>
            <w:vAlign w:val="bottom"/>
          </w:tcPr>
          <w:p>
            <w:pPr>
              <w:ind w:left="280"/>
              <w:spacing w:after="0"/>
              <w:rPr>
                <w:sz w:val="20"/>
                <w:szCs w:val="20"/>
                <w:color w:val="auto"/>
              </w:rPr>
            </w:pPr>
            <w:r>
              <w:rPr>
                <w:rFonts w:ascii="Arial" w:cs="Arial" w:eastAsia="Arial" w:hAnsi="Arial"/>
                <w:sz w:val="18"/>
                <w:szCs w:val="18"/>
                <w:color w:val="auto"/>
              </w:rPr>
              <w:t>No Duties of Senior Representative; Provision of 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2.04</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No Interference; Payment Over; Reinstatement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2.05</w:t>
            </w:r>
          </w:p>
        </w:tc>
        <w:tc>
          <w:tcPr>
            <w:tcW w:w="7560" w:type="dxa"/>
            <w:vAlign w:val="bottom"/>
          </w:tcPr>
          <w:p>
            <w:pPr>
              <w:ind w:left="280"/>
              <w:spacing w:after="0"/>
              <w:rPr>
                <w:sz w:val="20"/>
                <w:szCs w:val="20"/>
                <w:color w:val="auto"/>
              </w:rPr>
            </w:pPr>
            <w:r>
              <w:rPr>
                <w:rFonts w:ascii="Arial" w:cs="Arial" w:eastAsia="Arial" w:hAnsi="Arial"/>
                <w:sz w:val="18"/>
                <w:szCs w:val="18"/>
                <w:color w:val="auto"/>
              </w:rPr>
              <w:t>Automatic Release of Junior Liens</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2.06</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Certain Agreements With Respect to Insolvency or Liquidation Proceedings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2.07</w:t>
            </w:r>
          </w:p>
        </w:tc>
        <w:tc>
          <w:tcPr>
            <w:tcW w:w="756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2.08</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Entry Upon Premises by the ABL Collateral Agent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2.09</w:t>
            </w:r>
          </w:p>
        </w:tc>
        <w:tc>
          <w:tcPr>
            <w:tcW w:w="756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22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2.10</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Refinancings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2.11</w:t>
            </w:r>
          </w:p>
        </w:tc>
        <w:tc>
          <w:tcPr>
            <w:tcW w:w="7560" w:type="dxa"/>
            <w:vAlign w:val="bottom"/>
          </w:tcPr>
          <w:p>
            <w:pPr>
              <w:ind w:left="280"/>
              <w:spacing w:after="0"/>
              <w:rPr>
                <w:sz w:val="20"/>
                <w:szCs w:val="20"/>
                <w:color w:val="auto"/>
              </w:rPr>
            </w:pPr>
            <w:r>
              <w:rPr>
                <w:rFonts w:ascii="Arial" w:cs="Arial" w:eastAsia="Arial" w:hAnsi="Arial"/>
                <w:sz w:val="18"/>
                <w:szCs w:val="18"/>
                <w:color w:val="auto"/>
              </w:rPr>
              <w:t>Amendments to Security Documents</w:t>
            </w:r>
          </w:p>
        </w:tc>
        <w:tc>
          <w:tcPr>
            <w:tcW w:w="22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2.12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Possessory Collateral Agent as Gratuitous Bailee for Perfection</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2.13</w:t>
            </w:r>
          </w:p>
        </w:tc>
        <w:tc>
          <w:tcPr>
            <w:tcW w:w="7560" w:type="dxa"/>
            <w:vAlign w:val="bottom"/>
          </w:tcPr>
          <w:p>
            <w:pPr>
              <w:ind w:left="280"/>
              <w:spacing w:after="0"/>
              <w:rPr>
                <w:sz w:val="20"/>
                <w:szCs w:val="20"/>
                <w:color w:val="auto"/>
              </w:rPr>
            </w:pPr>
            <w:r>
              <w:rPr>
                <w:rFonts w:ascii="Arial" w:cs="Arial" w:eastAsia="Arial" w:hAnsi="Arial"/>
                <w:sz w:val="18"/>
                <w:szCs w:val="18"/>
                <w:color w:val="auto"/>
              </w:rPr>
              <w:t>Control Agreements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2.14</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Rights under Permits and Licenses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ARTICLE III Existence and Amounts of Liens and Obligations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IV Consent of Grantors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2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5.01</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Representations and Warranties of Each Party</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5.02</w:t>
            </w:r>
          </w:p>
        </w:tc>
        <w:tc>
          <w:tcPr>
            <w:tcW w:w="7560" w:type="dxa"/>
            <w:vAlign w:val="bottom"/>
          </w:tcPr>
          <w:p>
            <w:pPr>
              <w:ind w:left="280"/>
              <w:spacing w:after="0"/>
              <w:rPr>
                <w:sz w:val="20"/>
                <w:szCs w:val="20"/>
                <w:color w:val="auto"/>
              </w:rPr>
            </w:pPr>
            <w:r>
              <w:rPr>
                <w:rFonts w:ascii="Arial" w:cs="Arial" w:eastAsia="Arial" w:hAnsi="Arial"/>
                <w:sz w:val="18"/>
                <w:szCs w:val="18"/>
                <w:color w:val="auto"/>
              </w:rPr>
              <w:t>Representations and Warranties of Each Representative</w:t>
            </w:r>
          </w:p>
        </w:tc>
        <w:tc>
          <w:tcPr>
            <w:tcW w:w="22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VI Collateral Agency for Foreign Collateral</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6.01</w:t>
            </w:r>
          </w:p>
        </w:tc>
        <w:tc>
          <w:tcPr>
            <w:tcW w:w="7560" w:type="dxa"/>
            <w:vAlign w:val="bottom"/>
          </w:tcPr>
          <w:p>
            <w:pPr>
              <w:ind w:left="280"/>
              <w:spacing w:after="0"/>
              <w:rPr>
                <w:sz w:val="20"/>
                <w:szCs w:val="20"/>
                <w:color w:val="auto"/>
              </w:rPr>
            </w:pPr>
            <w:r>
              <w:rPr>
                <w:rFonts w:ascii="Arial" w:cs="Arial" w:eastAsia="Arial" w:hAnsi="Arial"/>
                <w:sz w:val="18"/>
                <w:szCs w:val="18"/>
                <w:color w:val="auto"/>
              </w:rPr>
              <w:t>Appointment of Foreign Collateral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Rights as a Secured Party</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6.03</w:t>
            </w:r>
          </w:p>
        </w:tc>
        <w:tc>
          <w:tcPr>
            <w:tcW w:w="7560" w:type="dxa"/>
            <w:vAlign w:val="bottom"/>
          </w:tcPr>
          <w:p>
            <w:pPr>
              <w:ind w:left="280"/>
              <w:spacing w:after="0"/>
              <w:rPr>
                <w:sz w:val="20"/>
                <w:szCs w:val="20"/>
                <w:color w:val="auto"/>
              </w:rPr>
            </w:pPr>
            <w:r>
              <w:rPr>
                <w:rFonts w:ascii="Arial" w:cs="Arial" w:eastAsia="Arial" w:hAnsi="Arial"/>
                <w:sz w:val="18"/>
                <w:szCs w:val="18"/>
                <w:color w:val="auto"/>
              </w:rPr>
              <w:t>Exculpatory Provisions</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6.04</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Reliance by the Foreign Collateral Agent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6.05</w:t>
            </w:r>
          </w:p>
        </w:tc>
        <w:tc>
          <w:tcPr>
            <w:tcW w:w="7560" w:type="dxa"/>
            <w:vAlign w:val="bottom"/>
          </w:tcPr>
          <w:p>
            <w:pPr>
              <w:ind w:left="280"/>
              <w:spacing w:after="0"/>
              <w:rPr>
                <w:sz w:val="20"/>
                <w:szCs w:val="20"/>
                <w:color w:val="auto"/>
              </w:rPr>
            </w:pPr>
            <w:r>
              <w:rPr>
                <w:rFonts w:ascii="Arial" w:cs="Arial" w:eastAsia="Arial" w:hAnsi="Arial"/>
                <w:sz w:val="18"/>
                <w:szCs w:val="18"/>
                <w:color w:val="auto"/>
              </w:rPr>
              <w:t>Delegation of Duties</w:t>
            </w:r>
          </w:p>
        </w:tc>
        <w:tc>
          <w:tcPr>
            <w:tcW w:w="2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6.06</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Resignation of Foreign Collateral Agent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6.07</w:t>
            </w:r>
          </w:p>
        </w:tc>
        <w:tc>
          <w:tcPr>
            <w:tcW w:w="7560" w:type="dxa"/>
            <w:vAlign w:val="bottom"/>
          </w:tcPr>
          <w:p>
            <w:pPr>
              <w:ind w:left="280"/>
              <w:spacing w:after="0"/>
              <w:rPr>
                <w:sz w:val="20"/>
                <w:szCs w:val="20"/>
                <w:color w:val="auto"/>
              </w:rPr>
            </w:pPr>
            <w:r>
              <w:rPr>
                <w:rFonts w:ascii="Arial" w:cs="Arial" w:eastAsia="Arial" w:hAnsi="Arial"/>
                <w:sz w:val="18"/>
                <w:szCs w:val="18"/>
                <w:color w:val="auto"/>
              </w:rPr>
              <w:t>Non-Reliance on Foreign Collateral Agent and Other Secured Parties</w:t>
            </w:r>
          </w:p>
        </w:tc>
        <w:tc>
          <w:tcPr>
            <w:tcW w:w="22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6.08</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Collateral Matters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6.09</w:t>
            </w:r>
          </w:p>
        </w:tc>
        <w:tc>
          <w:tcPr>
            <w:tcW w:w="7560" w:type="dxa"/>
            <w:vAlign w:val="bottom"/>
          </w:tcPr>
          <w:p>
            <w:pPr>
              <w:ind w:left="280"/>
              <w:spacing w:after="0"/>
              <w:rPr>
                <w:sz w:val="20"/>
                <w:szCs w:val="20"/>
                <w:color w:val="auto"/>
              </w:rPr>
            </w:pPr>
            <w:r>
              <w:rPr>
                <w:rFonts w:ascii="Arial" w:cs="Arial" w:eastAsia="Arial" w:hAnsi="Arial"/>
                <w:sz w:val="18"/>
                <w:szCs w:val="18"/>
                <w:color w:val="auto"/>
              </w:rPr>
              <w:t>Discretionary Rights</w:t>
            </w: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6.10</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Indemnification of Foreign Collateral Agent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6.11</w:t>
            </w:r>
          </w:p>
        </w:tc>
        <w:tc>
          <w:tcPr>
            <w:tcW w:w="7560" w:type="dxa"/>
            <w:vAlign w:val="bottom"/>
          </w:tcPr>
          <w:p>
            <w:pPr>
              <w:ind w:left="280"/>
              <w:spacing w:after="0"/>
              <w:rPr>
                <w:sz w:val="20"/>
                <w:szCs w:val="20"/>
                <w:color w:val="auto"/>
              </w:rPr>
            </w:pPr>
            <w:r>
              <w:rPr>
                <w:rFonts w:ascii="Arial" w:cs="Arial" w:eastAsia="Arial" w:hAnsi="Arial"/>
                <w:sz w:val="18"/>
                <w:szCs w:val="18"/>
                <w:color w:val="auto"/>
              </w:rPr>
              <w:t>Treatment of Proceeds of Foreign Collateral</w:t>
            </w:r>
          </w:p>
        </w:tc>
        <w:tc>
          <w:tcPr>
            <w:tcW w:w="22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Currency Conversion</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6.13</w:t>
            </w:r>
          </w:p>
        </w:tc>
        <w:tc>
          <w:tcPr>
            <w:tcW w:w="7560" w:type="dxa"/>
            <w:vAlign w:val="bottom"/>
          </w:tcPr>
          <w:p>
            <w:pPr>
              <w:ind w:left="280"/>
              <w:spacing w:after="0"/>
              <w:rPr>
                <w:sz w:val="20"/>
                <w:szCs w:val="20"/>
                <w:color w:val="auto"/>
              </w:rPr>
            </w:pPr>
            <w:r>
              <w:rPr>
                <w:rFonts w:ascii="Arial" w:cs="Arial" w:eastAsia="Arial" w:hAnsi="Arial"/>
                <w:sz w:val="18"/>
                <w:szCs w:val="18"/>
                <w:color w:val="auto"/>
              </w:rPr>
              <w:t>Swiss Collateral</w:t>
            </w: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6.14</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Scottish Collateral</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2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7.01</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Legends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7.02</w:t>
            </w:r>
          </w:p>
        </w:tc>
        <w:tc>
          <w:tcPr>
            <w:tcW w:w="7560" w:type="dxa"/>
            <w:vAlign w:val="bottom"/>
          </w:tcPr>
          <w:p>
            <w:pPr>
              <w:ind w:left="280"/>
              <w:spacing w:after="0"/>
              <w:rPr>
                <w:sz w:val="20"/>
                <w:szCs w:val="20"/>
                <w:color w:val="auto"/>
              </w:rPr>
            </w:pPr>
            <w:r>
              <w:rPr>
                <w:rFonts w:ascii="Arial" w:cs="Arial" w:eastAsia="Arial" w:hAnsi="Arial"/>
                <w:sz w:val="18"/>
                <w:szCs w:val="18"/>
                <w:color w:val="auto"/>
              </w:rPr>
              <w:t>Notices</w:t>
            </w:r>
          </w:p>
        </w:tc>
        <w:tc>
          <w:tcPr>
            <w:tcW w:w="22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7.03</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Waivers; Amendment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7.04</w:t>
            </w:r>
          </w:p>
        </w:tc>
        <w:tc>
          <w:tcPr>
            <w:tcW w:w="7560" w:type="dxa"/>
            <w:vAlign w:val="bottom"/>
          </w:tcPr>
          <w:p>
            <w:pPr>
              <w:ind w:left="280"/>
              <w:spacing w:after="0"/>
              <w:rPr>
                <w:sz w:val="20"/>
                <w:szCs w:val="20"/>
                <w:color w:val="auto"/>
              </w:rPr>
            </w:pPr>
            <w:r>
              <w:rPr>
                <w:rFonts w:ascii="Arial" w:cs="Arial" w:eastAsia="Arial" w:hAnsi="Arial"/>
                <w:sz w:val="18"/>
                <w:szCs w:val="18"/>
                <w:color w:val="auto"/>
              </w:rPr>
              <w:t>Parties in Interest</w:t>
            </w:r>
          </w:p>
        </w:tc>
        <w:tc>
          <w:tcPr>
            <w:tcW w:w="22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7.05</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Survival of Agreement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7.06</w:t>
            </w:r>
          </w:p>
        </w:tc>
        <w:tc>
          <w:tcPr>
            <w:tcW w:w="756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22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7.07</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Severability</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7.08</w:t>
            </w:r>
          </w:p>
        </w:tc>
        <w:tc>
          <w:tcPr>
            <w:tcW w:w="7560" w:type="dxa"/>
            <w:vAlign w:val="bottom"/>
          </w:tcPr>
          <w:p>
            <w:pPr>
              <w:ind w:left="280"/>
              <w:spacing w:after="0"/>
              <w:rPr>
                <w:sz w:val="20"/>
                <w:szCs w:val="20"/>
                <w:color w:val="auto"/>
              </w:rPr>
            </w:pPr>
            <w:r>
              <w:rPr>
                <w:rFonts w:ascii="Arial" w:cs="Arial" w:eastAsia="Arial" w:hAnsi="Arial"/>
                <w:sz w:val="18"/>
                <w:szCs w:val="18"/>
                <w:color w:val="auto"/>
              </w:rPr>
              <w:t>Governing Law; Jurisdiction; Consent to Service of Process</w:t>
            </w:r>
          </w:p>
        </w:tc>
        <w:tc>
          <w:tcPr>
            <w:tcW w:w="22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7.09</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WAIVER OF JURY TRIAL</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7.10</w:t>
            </w:r>
          </w:p>
        </w:tc>
        <w:tc>
          <w:tcPr>
            <w:tcW w:w="7560" w:type="dxa"/>
            <w:vAlign w:val="bottom"/>
          </w:tcPr>
          <w:p>
            <w:pPr>
              <w:ind w:left="280"/>
              <w:spacing w:after="0"/>
              <w:rPr>
                <w:sz w:val="20"/>
                <w:szCs w:val="20"/>
                <w:color w:val="auto"/>
              </w:rPr>
            </w:pPr>
            <w:r>
              <w:rPr>
                <w:rFonts w:ascii="Arial" w:cs="Arial" w:eastAsia="Arial" w:hAnsi="Arial"/>
                <w:sz w:val="18"/>
                <w:szCs w:val="18"/>
                <w:color w:val="auto"/>
              </w:rPr>
              <w:t>Headings</w:t>
            </w:r>
          </w:p>
        </w:tc>
        <w:tc>
          <w:tcPr>
            <w:tcW w:w="22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7.11</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Conflicts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7.12</w:t>
            </w:r>
          </w:p>
        </w:tc>
        <w:tc>
          <w:tcPr>
            <w:tcW w:w="7560" w:type="dxa"/>
            <w:vAlign w:val="bottom"/>
          </w:tcPr>
          <w:p>
            <w:pPr>
              <w:ind w:left="280"/>
              <w:spacing w:after="0"/>
              <w:rPr>
                <w:sz w:val="20"/>
                <w:szCs w:val="20"/>
                <w:color w:val="auto"/>
              </w:rPr>
            </w:pPr>
            <w:r>
              <w:rPr>
                <w:rFonts w:ascii="Arial" w:cs="Arial" w:eastAsia="Arial" w:hAnsi="Arial"/>
                <w:sz w:val="18"/>
                <w:szCs w:val="18"/>
                <w:color w:val="auto"/>
              </w:rPr>
              <w:t>Provisions Solely to Define Relative Rights</w:t>
            </w:r>
          </w:p>
        </w:tc>
        <w:tc>
          <w:tcPr>
            <w:tcW w:w="22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7.13</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Agent Capacities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7.14</w:t>
            </w:r>
          </w:p>
        </w:tc>
        <w:tc>
          <w:tcPr>
            <w:tcW w:w="7560" w:type="dxa"/>
            <w:vAlign w:val="bottom"/>
          </w:tcPr>
          <w:p>
            <w:pPr>
              <w:ind w:left="280"/>
              <w:spacing w:after="0"/>
              <w:rPr>
                <w:sz w:val="20"/>
                <w:szCs w:val="20"/>
                <w:color w:val="auto"/>
              </w:rPr>
            </w:pPr>
            <w:r>
              <w:rPr>
                <w:rFonts w:ascii="Arial" w:cs="Arial" w:eastAsia="Arial" w:hAnsi="Arial"/>
                <w:sz w:val="18"/>
                <w:szCs w:val="18"/>
                <w:color w:val="auto"/>
              </w:rPr>
              <w:t>Supplements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7.15</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Collateral Agent Rights, Protections and Immunities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7.16</w:t>
            </w:r>
          </w:p>
        </w:tc>
        <w:tc>
          <w:tcPr>
            <w:tcW w:w="7560" w:type="dxa"/>
            <w:vAlign w:val="bottom"/>
          </w:tcPr>
          <w:p>
            <w:pPr>
              <w:ind w:left="280"/>
              <w:spacing w:after="0"/>
              <w:rPr>
                <w:sz w:val="20"/>
                <w:szCs w:val="20"/>
                <w:color w:val="auto"/>
              </w:rPr>
            </w:pPr>
            <w:r>
              <w:rPr>
                <w:rFonts w:ascii="Arial" w:cs="Arial" w:eastAsia="Arial" w:hAnsi="Arial"/>
                <w:sz w:val="18"/>
                <w:szCs w:val="18"/>
                <w:color w:val="auto"/>
              </w:rPr>
              <w:t>Other Junior Intercreditor Agreements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7.17</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Additional Grantors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7.18</w:t>
            </w:r>
          </w:p>
        </w:tc>
        <w:tc>
          <w:tcPr>
            <w:tcW w:w="7560" w:type="dxa"/>
            <w:vAlign w:val="bottom"/>
          </w:tcPr>
          <w:p>
            <w:pPr>
              <w:ind w:left="280"/>
              <w:spacing w:after="0"/>
              <w:rPr>
                <w:sz w:val="20"/>
                <w:szCs w:val="20"/>
                <w:color w:val="auto"/>
              </w:rPr>
            </w:pPr>
            <w:r>
              <w:rPr>
                <w:rFonts w:ascii="Arial" w:cs="Arial" w:eastAsia="Arial" w:hAnsi="Arial"/>
                <w:sz w:val="18"/>
                <w:szCs w:val="18"/>
                <w:color w:val="auto"/>
              </w:rPr>
              <w:t>Joinder of LC Australian Collateral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4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14" w:name="page415"/>
    <w:bookmarkEnd w:id="414"/>
    <w:p>
      <w:pPr>
        <w:spacing w:after="0" w:line="29"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This INTERCREDITOR AGREEMENT (as amended,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[__________, 20__], is among Wells Fargo Bank, National Association (“</w:t>
      </w:r>
      <w:r>
        <w:rPr>
          <w:rFonts w:ascii="Arial" w:cs="Arial" w:eastAsia="Arial" w:hAnsi="Arial"/>
          <w:sz w:val="19"/>
          <w:szCs w:val="19"/>
          <w:b w:val="1"/>
          <w:bCs w:val="1"/>
          <w:i w:val="1"/>
          <w:iCs w:val="1"/>
          <w:color w:val="auto"/>
        </w:rPr>
        <w:t>WF</w:t>
      </w:r>
      <w:r>
        <w:rPr>
          <w:rFonts w:ascii="Arial" w:cs="Arial" w:eastAsia="Arial" w:hAnsi="Arial"/>
          <w:sz w:val="19"/>
          <w:szCs w:val="19"/>
          <w:color w:val="auto"/>
        </w:rPr>
        <w:t>”), as</w:t>
      </w:r>
    </w:p>
    <w:p>
      <w:pPr>
        <w:jc w:val="both"/>
        <w:spacing w:after="0" w:line="302" w:lineRule="auto"/>
        <w:rPr>
          <w:sz w:val="20"/>
          <w:szCs w:val="20"/>
          <w:color w:val="auto"/>
        </w:rPr>
      </w:pPr>
      <w:r>
        <w:rPr>
          <w:rFonts w:ascii="Arial" w:cs="Arial" w:eastAsia="Arial" w:hAnsi="Arial"/>
          <w:sz w:val="19"/>
          <w:szCs w:val="19"/>
          <w:color w:val="auto"/>
        </w:rPr>
        <w:t>administrative agent and collateral agent for the ABL Secured Parties referred to herein (in such capacity, together with its successors or co-agents in substantially the same capacity as may from time to time be appointed, the “</w:t>
      </w:r>
      <w:r>
        <w:rPr>
          <w:rFonts w:ascii="Arial" w:cs="Arial" w:eastAsia="Arial" w:hAnsi="Arial"/>
          <w:sz w:val="19"/>
          <w:szCs w:val="19"/>
          <w:b w:val="1"/>
          <w:bCs w:val="1"/>
          <w:i w:val="1"/>
          <w:iCs w:val="1"/>
          <w:color w:val="auto"/>
        </w:rPr>
        <w:t>ABL Collateral Agent</w:t>
      </w:r>
      <w:r>
        <w:rPr>
          <w:rFonts w:ascii="Arial" w:cs="Arial" w:eastAsia="Arial" w:hAnsi="Arial"/>
          <w:sz w:val="19"/>
          <w:szCs w:val="19"/>
          <w:color w:val="auto"/>
        </w:rPr>
        <w:t>”) and as the initial Foreign Collateral Agent (as defined below), when joined to this Agreement, BTA Institutional Services Australia Limited (ABN 48 002 916 396), in its capacity as trustee of the LC Australian Security Trust referred to herein (when joined to this Agreement, in such capacity, together with its successors in substantially the same capacity as may from time to time be appointed, the “</w:t>
      </w:r>
      <w:r>
        <w:rPr>
          <w:rFonts w:ascii="Arial" w:cs="Arial" w:eastAsia="Arial" w:hAnsi="Arial"/>
          <w:sz w:val="19"/>
          <w:szCs w:val="19"/>
          <w:b w:val="1"/>
          <w:bCs w:val="1"/>
          <w:i w:val="1"/>
          <w:iCs w:val="1"/>
          <w:color w:val="auto"/>
        </w:rPr>
        <w:t>LC Australian Collateral Agent</w:t>
      </w:r>
      <w:r>
        <w:rPr>
          <w:rFonts w:ascii="Arial" w:cs="Arial" w:eastAsia="Arial" w:hAnsi="Arial"/>
          <w:sz w:val="19"/>
          <w:szCs w:val="19"/>
          <w:color w:val="auto"/>
        </w:rPr>
        <w:t>”), Deutsche Bank Trust Company Americas (“</w:t>
      </w:r>
      <w:r>
        <w:rPr>
          <w:rFonts w:ascii="Arial" w:cs="Arial" w:eastAsia="Arial" w:hAnsi="Arial"/>
          <w:sz w:val="19"/>
          <w:szCs w:val="19"/>
          <w:b w:val="1"/>
          <w:bCs w:val="1"/>
          <w:i w:val="1"/>
          <w:iCs w:val="1"/>
          <w:color w:val="auto"/>
        </w:rPr>
        <w:t>DBTCA</w:t>
      </w:r>
      <w:r>
        <w:rPr>
          <w:rFonts w:ascii="Arial" w:cs="Arial" w:eastAsia="Arial" w:hAnsi="Arial"/>
          <w:sz w:val="19"/>
          <w:szCs w:val="19"/>
          <w:color w:val="auto"/>
        </w:rPr>
        <w:t>”), as administrative agent and collateral 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w:t>
      </w:r>
      <w:r>
        <w:rPr>
          <w:rFonts w:ascii="Arial" w:cs="Arial" w:eastAsia="Arial" w:hAnsi="Arial"/>
          <w:sz w:val="19"/>
          <w:szCs w:val="19"/>
          <w:b w:val="1"/>
          <w:bCs w:val="1"/>
          <w:i w:val="1"/>
          <w:iCs w:val="1"/>
          <w:color w:val="auto"/>
        </w:rPr>
        <w:t>LC Collateral Agent</w:t>
      </w:r>
      <w:r>
        <w:rPr>
          <w:rFonts w:ascii="Arial" w:cs="Arial" w:eastAsia="Arial" w:hAnsi="Arial"/>
          <w:sz w:val="19"/>
          <w:szCs w:val="19"/>
          <w:color w:val="auto"/>
        </w:rPr>
        <w:t>”), the Parent (as defined below) and the other Subsidiaries of the Parent from time to time party hereto.</w:t>
      </w:r>
    </w:p>
    <w:p>
      <w:pPr>
        <w:spacing w:after="0" w:line="16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2"/>
          <w:szCs w:val="22"/>
          <w:color w:val="auto"/>
        </w:rPr>
        <w:t>Weatherford International plc, a public limited company incorporated in the Republic of Ireland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Weatherford International Ltd., a Bermuda exempted company limited by shares (“</w:t>
      </w:r>
      <w:r>
        <w:rPr>
          <w:rFonts w:ascii="Arial" w:cs="Arial" w:eastAsia="Arial" w:hAnsi="Arial"/>
          <w:sz w:val="22"/>
          <w:szCs w:val="22"/>
          <w:b w:val="1"/>
          <w:bCs w:val="1"/>
          <w:i w:val="1"/>
          <w:iCs w:val="1"/>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b w:val="1"/>
          <w:bCs w:val="1"/>
          <w:i w:val="1"/>
          <w:iCs w:val="1"/>
          <w:color w:val="auto"/>
        </w:rPr>
        <w:t>WIL-Delaware</w:t>
      </w:r>
      <w:r>
        <w:rPr>
          <w:rFonts w:ascii="Arial" w:cs="Arial" w:eastAsia="Arial" w:hAnsi="Arial"/>
          <w:sz w:val="22"/>
          <w:szCs w:val="22"/>
          <w:color w:val="auto"/>
        </w:rPr>
        <w:t>”), Weatherford Oil Tool GmbH, a German private limited company, Weatherford Products GmbH, a Swiss limited liability company (the “</w:t>
      </w:r>
      <w:r>
        <w:rPr>
          <w:rFonts w:ascii="Arial" w:cs="Arial" w:eastAsia="Arial" w:hAnsi="Arial"/>
          <w:sz w:val="22"/>
          <w:szCs w:val="22"/>
          <w:b w:val="1"/>
          <w:bCs w:val="1"/>
          <w:i w:val="1"/>
          <w:iCs w:val="1"/>
          <w:color w:val="auto"/>
        </w:rPr>
        <w:t>ABL Borrowers</w:t>
      </w:r>
      <w:r>
        <w:rPr>
          <w:rFonts w:ascii="Arial" w:cs="Arial" w:eastAsia="Arial" w:hAnsi="Arial"/>
          <w:sz w:val="22"/>
          <w:szCs w:val="22"/>
          <w:color w:val="auto"/>
        </w:rPr>
        <w:t>”), the lenders and other parties party thereto from time to time and the ABL Collateral Agent are party to the Credit Agreement, dated as of the date hereof (“</w:t>
      </w:r>
      <w:r>
        <w:rPr>
          <w:rFonts w:ascii="Arial" w:cs="Arial" w:eastAsia="Arial" w:hAnsi="Arial"/>
          <w:sz w:val="22"/>
          <w:szCs w:val="22"/>
          <w:b w:val="1"/>
          <w:bCs w:val="1"/>
          <w:i w:val="1"/>
          <w:iCs w:val="1"/>
          <w:color w:val="auto"/>
        </w:rPr>
        <w:t>Existing ABL Credit Agreement</w:t>
      </w:r>
      <w:r>
        <w:rPr>
          <w:rFonts w:ascii="Arial" w:cs="Arial" w:eastAsia="Arial" w:hAnsi="Arial"/>
          <w:sz w:val="22"/>
          <w:szCs w:val="22"/>
          <w:color w:val="auto"/>
        </w:rPr>
        <w:t>”).</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21"/>
          <w:szCs w:val="21"/>
          <w:color w:val="auto"/>
        </w:rPr>
        <w:t>WIL-Bermuda and WIL-Delaware (the “</w:t>
      </w:r>
      <w:r>
        <w:rPr>
          <w:rFonts w:ascii="Arial" w:cs="Arial" w:eastAsia="Arial" w:hAnsi="Arial"/>
          <w:sz w:val="21"/>
          <w:szCs w:val="21"/>
          <w:b w:val="1"/>
          <w:bCs w:val="1"/>
          <w:i w:val="1"/>
          <w:iCs w:val="1"/>
          <w:color w:val="auto"/>
        </w:rPr>
        <w:t>LC Borrowers</w:t>
      </w:r>
      <w:r>
        <w:rPr>
          <w:rFonts w:ascii="Arial" w:cs="Arial" w:eastAsia="Arial" w:hAnsi="Arial"/>
          <w:sz w:val="21"/>
          <w:szCs w:val="21"/>
          <w:color w:val="auto"/>
        </w:rPr>
        <w:t>”), the issuing lenders from time to time party thereto (the “</w:t>
      </w:r>
      <w:r>
        <w:rPr>
          <w:rFonts w:ascii="Arial" w:cs="Arial" w:eastAsia="Arial" w:hAnsi="Arial"/>
          <w:sz w:val="21"/>
          <w:szCs w:val="21"/>
          <w:b w:val="1"/>
          <w:bCs w:val="1"/>
          <w:i w:val="1"/>
          <w:iCs w:val="1"/>
          <w:color w:val="auto"/>
        </w:rPr>
        <w:t>Issuing Lenders</w:t>
      </w:r>
      <w:r>
        <w:rPr>
          <w:rFonts w:ascii="Arial" w:cs="Arial" w:eastAsia="Arial" w:hAnsi="Arial"/>
          <w:sz w:val="21"/>
          <w:szCs w:val="21"/>
          <w:color w:val="auto"/>
        </w:rPr>
        <w:t>”), the lenders from time to time party thereto (the “</w:t>
      </w:r>
      <w:r>
        <w:rPr>
          <w:rFonts w:ascii="Arial" w:cs="Arial" w:eastAsia="Arial" w:hAnsi="Arial"/>
          <w:sz w:val="21"/>
          <w:szCs w:val="21"/>
          <w:b w:val="1"/>
          <w:bCs w:val="1"/>
          <w:i w:val="1"/>
          <w:iCs w:val="1"/>
          <w:color w:val="auto"/>
        </w:rPr>
        <w:t>LC Lenders</w:t>
      </w:r>
      <w:r>
        <w:rPr>
          <w:rFonts w:ascii="Arial" w:cs="Arial" w:eastAsia="Arial" w:hAnsi="Arial"/>
          <w:sz w:val="21"/>
          <w:szCs w:val="21"/>
          <w:color w:val="auto"/>
        </w:rPr>
        <w:t>”) and the LC Collateral Agent are party to the Credit Agreement, dated as of the date hereof, pursuant to which the Issuing Lenders have agreed to issue, and the LC Lenders have agreed to purchase participations in, letters of credit (the “</w:t>
      </w:r>
      <w:r>
        <w:rPr>
          <w:rFonts w:ascii="Arial" w:cs="Arial" w:eastAsia="Arial" w:hAnsi="Arial"/>
          <w:sz w:val="21"/>
          <w:szCs w:val="21"/>
          <w:b w:val="1"/>
          <w:bCs w:val="1"/>
          <w:i w:val="1"/>
          <w:iCs w:val="1"/>
          <w:color w:val="auto"/>
        </w:rPr>
        <w:t>Existing LC Credit Agreement</w:t>
      </w:r>
      <w:r>
        <w:rPr>
          <w:rFonts w:ascii="Arial" w:cs="Arial" w:eastAsia="Arial" w:hAnsi="Arial"/>
          <w:sz w:val="21"/>
          <w:szCs w:val="21"/>
          <w:color w:val="auto"/>
        </w:rPr>
        <w:t>”).</w:t>
      </w:r>
    </w:p>
    <w:p>
      <w:pPr>
        <w:spacing w:after="0" w:line="173"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This Agreement governs the relationship between the LC Secured Parties as a group, on the one hand, and the ABL Secured Parties, on the other hand, with respect to the Collateral shared by the LC Secured Parties and the ABL Secured Parties. In addition, it is understood and agreed that not all of the Secured Parties may have security interests in all of the Collateral and nothing in this Agreement is intended to give rights to any Person in any Collateral in which such Person (or their Representative or Collateral Agent) does not otherwise have a security interest under their respective security documents.</w:t>
      </w:r>
    </w:p>
    <w:p>
      <w:pPr>
        <w:spacing w:after="0" w:line="15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In consideration of the mutual agreements herein contained and other good and valuable consideration, the receipt and sufficiency of which are hereby acknowledged, the parties hereto hereby agree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b w:val="1"/>
          <w:bCs w:val="1"/>
          <w:i w:val="1"/>
          <w:iCs w:val="1"/>
          <w:color w:val="auto"/>
        </w:rPr>
        <w:t>Construction; Certain Defined Terms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1" w:lineRule="auto"/>
        <w:tabs>
          <w:tab w:leader="none" w:pos="2116" w:val="left"/>
        </w:tabs>
        <w:numPr>
          <w:ilvl w:val="0"/>
          <w:numId w:val="468"/>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Exhibits shall be construed to refer to Articles, Sections and Exhibits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63" w:lineRule="exact"/>
        <w:rPr>
          <w:rFonts w:ascii="Arial" w:cs="Arial" w:eastAsia="Arial" w:hAnsi="Arial"/>
          <w:sz w:val="19"/>
          <w:szCs w:val="19"/>
          <w:color w:val="auto"/>
        </w:rPr>
      </w:pPr>
    </w:p>
    <w:p>
      <w:pPr>
        <w:ind w:left="2100" w:hanging="796"/>
        <w:spacing w:after="0"/>
        <w:tabs>
          <w:tab w:leader="none" w:pos="2100" w:val="left"/>
        </w:tabs>
        <w:numPr>
          <w:ilvl w:val="0"/>
          <w:numId w:val="468"/>
        </w:numPr>
        <w:rPr>
          <w:rFonts w:ascii="Arial" w:cs="Arial" w:eastAsia="Arial" w:hAnsi="Arial"/>
          <w:sz w:val="22"/>
          <w:szCs w:val="22"/>
          <w:color w:val="auto"/>
        </w:rPr>
      </w:pPr>
      <w:r>
        <w:rPr>
          <w:rFonts w:ascii="Arial" w:cs="Arial" w:eastAsia="Arial" w:hAnsi="Arial"/>
          <w:sz w:val="22"/>
          <w:szCs w:val="22"/>
          <w:color w:val="auto"/>
        </w:rPr>
        <w:t>As used in this Agreement, the following terms have the meanings specified below:</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ABL Credit Agreement</w:t>
      </w:r>
      <w:r>
        <w:rPr>
          <w:rFonts w:ascii="Arial" w:cs="Arial" w:eastAsia="Arial" w:hAnsi="Arial"/>
          <w:sz w:val="19"/>
          <w:szCs w:val="19"/>
          <w:color w:val="auto"/>
        </w:rPr>
        <w:t>” means (a) the Existing ABL Credit Agreement, as amended, restated, supplemented, waived, replaced (whether or not upon termination, and whether with the original lenders or otherwise), restructured, repaid, refunded, Refinanced or otherwise modified from time to time after the date hereof, in accordance with the terms hereof, including any agreement or indenture extending the maturity thereof, Refinancing, replacing or otherwise restructuring all or any portion of the indebtedness under such agreement or agreements or indenture or indentures or any successor or replacement</w:t>
      </w:r>
    </w:p>
    <w:p>
      <w:pPr>
        <w:sectPr>
          <w:pgSz w:w="11900" w:h="16868" w:orient="portrait"/>
          <w:cols w:equalWidth="0" w:num="1">
            <w:col w:w="11240"/>
          </w:cols>
          <w:pgMar w:left="320" w:top="131" w:right="339" w:bottom="0" w:gutter="0" w:footer="0" w:header="0"/>
        </w:sectPr>
      </w:pPr>
    </w:p>
    <w:bookmarkStart w:id="415" w:name="page416"/>
    <w:bookmarkEnd w:id="415"/>
    <w:p>
      <w:pPr>
        <w:jc w:val="both"/>
        <w:spacing w:after="0" w:line="297" w:lineRule="auto"/>
        <w:rPr>
          <w:sz w:val="20"/>
          <w:szCs w:val="20"/>
          <w:color w:val="auto"/>
        </w:rPr>
      </w:pPr>
      <w:r>
        <w:rPr>
          <w:rFonts w:ascii="Arial" w:cs="Arial" w:eastAsia="Arial" w:hAnsi="Arial"/>
          <w:sz w:val="19"/>
          <w:szCs w:val="19"/>
          <w:color w:val="auto"/>
        </w:rPr>
        <w:t>agreement or agreements or indenture or indentures or increasing the amount loaned or issued thereunder or altering the maturity thereof (except to the extent any such Refinancing, replacement or restructuring is designated by the Parent not to be included in the definition of “ABL Credit Agreement”), and (b) whether or not the facility referred to in clause (a) remains outstanding, if designated by the Parent to be included in the definition of “ABL Credit Agreement,” one or more (i) debt facilities or commercial paper facilities, providing for revolving credit loans, term loans, receivables financing (including through the sale of receivables to lenders or to special purpose entities formed to borrow from lenders against such receivables) or letters of credit,</w:t>
      </w:r>
    </w:p>
    <w:p>
      <w:pPr>
        <w:spacing w:after="0" w:line="2" w:lineRule="exact"/>
        <w:rPr>
          <w:sz w:val="20"/>
          <w:szCs w:val="20"/>
          <w:color w:val="auto"/>
        </w:rPr>
      </w:pPr>
    </w:p>
    <w:p>
      <w:pPr>
        <w:jc w:val="both"/>
        <w:ind w:firstLine="8"/>
        <w:spacing w:after="0" w:line="277" w:lineRule="auto"/>
        <w:tabs>
          <w:tab w:leader="none" w:pos="330" w:val="left"/>
        </w:tabs>
        <w:numPr>
          <w:ilvl w:val="0"/>
          <w:numId w:val="469"/>
        </w:numPr>
        <w:rPr>
          <w:rFonts w:ascii="Arial" w:cs="Arial" w:eastAsia="Arial" w:hAnsi="Arial"/>
          <w:sz w:val="21"/>
          <w:szCs w:val="21"/>
          <w:color w:val="auto"/>
        </w:rPr>
      </w:pPr>
      <w:r>
        <w:rPr>
          <w:rFonts w:ascii="Arial" w:cs="Arial" w:eastAsia="Arial" w:hAnsi="Arial"/>
          <w:sz w:val="21"/>
          <w:szCs w:val="21"/>
          <w:color w:val="auto"/>
        </w:rPr>
        <w:t>debt securities, indentures or other forms of debt financing (including convertible or exchangeable debt instruments or bank guarantees or bankers’ acceptances) or (iii)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7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Documents</w:t>
      </w:r>
      <w:r>
        <w:rPr>
          <w:rFonts w:ascii="Arial" w:cs="Arial" w:eastAsia="Arial" w:hAnsi="Arial"/>
          <w:sz w:val="22"/>
          <w:szCs w:val="22"/>
          <w:color w:val="auto"/>
        </w:rPr>
        <w:t>” means the ABL Credit Agreement, the ABL Security Documents and the other “Loan Documents” as defined in the ABL Credit Agreement.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Mortgages</w:t>
      </w:r>
      <w:r>
        <w:rPr>
          <w:rFonts w:ascii="Arial" w:cs="Arial" w:eastAsia="Arial" w:hAnsi="Arial"/>
          <w:sz w:val="22"/>
          <w:szCs w:val="22"/>
          <w:color w:val="auto"/>
        </w:rPr>
        <w:t>” means all “Mortgages” as defined in the ABL Credit Agreement.</w:t>
      </w:r>
    </w:p>
    <w:p>
      <w:pPr>
        <w:spacing w:after="0" w:line="23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ABL Obligations</w:t>
      </w:r>
      <w:r>
        <w:rPr>
          <w:rFonts w:ascii="Arial" w:cs="Arial" w:eastAsia="Arial" w:hAnsi="Arial"/>
          <w:sz w:val="19"/>
          <w:szCs w:val="19"/>
          <w:color w:val="auto"/>
        </w:rPr>
        <w:t>” means all “Obligations” (as such term is defined in the ABL Credit Agreement) of the ABL Borrowers and all other obligors under the ABL Credit Agreement or any of the other ABL Documents, including obligations to pay principal, premiums, if any, interest, attorneys fees, fees, costs, charges, expenses, Bank Product Obligations (as defined in the ABL Credit Agreement) and Letter of Credit (as defined in the ABL Credit Agreement) commissions, fees and charges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ABL Documents and the performance of all other Obligations of the obligors thereunder to the lenders and agents under the ABL Documents according to the respective terms thereof.</w:t>
      </w:r>
    </w:p>
    <w:p>
      <w:pPr>
        <w:spacing w:after="0" w:line="15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Priority Collateral</w:t>
      </w:r>
      <w:r>
        <w:rPr>
          <w:rFonts w:ascii="Arial" w:cs="Arial" w:eastAsia="Arial" w:hAnsi="Arial"/>
          <w:sz w:val="22"/>
          <w:szCs w:val="22"/>
          <w:color w:val="auto"/>
        </w:rPr>
        <w:t>” means all Collateral now owned or at any time hereafter acquired (including, for the avoidance of doubt, any such assets that, but for the application of Section 552 of the Bankruptcy Code (or any provision of any other Debtor Relief Law), would constitute ABL Priority Collateral) by the ABL Borrowers or any other Grantor consisting of the following:</w:t>
      </w:r>
    </w:p>
    <w:p>
      <w:pPr>
        <w:spacing w:after="0" w:line="191" w:lineRule="exact"/>
        <w:rPr>
          <w:sz w:val="20"/>
          <w:szCs w:val="20"/>
          <w:color w:val="auto"/>
        </w:rPr>
      </w:pPr>
    </w:p>
    <w:p>
      <w:pPr>
        <w:jc w:val="both"/>
        <w:ind w:firstLine="1304"/>
        <w:spacing w:after="0" w:line="297" w:lineRule="auto"/>
        <w:tabs>
          <w:tab w:leader="none" w:pos="1613" w:val="left"/>
        </w:tabs>
        <w:numPr>
          <w:ilvl w:val="1"/>
          <w:numId w:val="470"/>
        </w:numPr>
        <w:rPr>
          <w:rFonts w:ascii="Arial" w:cs="Arial" w:eastAsia="Arial" w:hAnsi="Arial"/>
          <w:sz w:val="19"/>
          <w:szCs w:val="19"/>
          <w:color w:val="auto"/>
        </w:rPr>
      </w:pPr>
      <w:r>
        <w:rPr>
          <w:rFonts w:ascii="Arial" w:cs="Arial" w:eastAsia="Arial" w:hAnsi="Arial"/>
          <w:sz w:val="19"/>
          <w:szCs w:val="19"/>
          <w:color w:val="auto"/>
        </w:rPr>
        <w:t>all Accounts; (b) all Chattel Paper and rights to payment evidenced thereby; (c) all Inventory; (d) all assets constituting ABL Priority Rental Tool Assets; (e) all cash and cash equivalents, (other than identifiable cash proceeds of the LC Facility Priority Collateral); (f) all deposit accounts and securities accounts (including any funds or other property held in or on deposit therein but specifically excluding identifiable cash proceeds of LC Facility Priority Collateral); (g) all Payment Intangibles in respect of the items referred to in the previous clauses (a)-(f); (h) to the extent related to, substituted or exchanged for, evidencing, supporting or arising from any of the items referred to in the preceding clauses (a)-(g), all Documents, Letter-of-credit rights, Instruments and rights to payment evidenced thereby, Supporting Obligations, all General Intangibles (other than the Capital Stock of each Grantor and its subsidiaries and Intellectual Property) and books and records, including customer lists;</w:t>
      </w:r>
    </w:p>
    <w:p>
      <w:pPr>
        <w:spacing w:after="0" w:line="1" w:lineRule="exact"/>
        <w:rPr>
          <w:rFonts w:ascii="Arial" w:cs="Arial" w:eastAsia="Arial" w:hAnsi="Arial"/>
          <w:sz w:val="19"/>
          <w:szCs w:val="19"/>
          <w:color w:val="auto"/>
        </w:rPr>
      </w:pPr>
    </w:p>
    <w:p>
      <w:pPr>
        <w:jc w:val="both"/>
        <w:ind w:firstLine="8"/>
        <w:spacing w:after="0" w:line="273" w:lineRule="auto"/>
        <w:tabs>
          <w:tab w:leader="none" w:pos="258" w:val="left"/>
        </w:tabs>
        <w:numPr>
          <w:ilvl w:val="0"/>
          <w:numId w:val="471"/>
        </w:numPr>
        <w:rPr>
          <w:rFonts w:ascii="Arial" w:cs="Arial" w:eastAsia="Arial" w:hAnsi="Arial"/>
          <w:sz w:val="21"/>
          <w:szCs w:val="21"/>
          <w:color w:val="auto"/>
        </w:rPr>
      </w:pPr>
      <w:r>
        <w:rPr>
          <w:rFonts w:ascii="Arial" w:cs="Arial" w:eastAsia="Arial" w:hAnsi="Arial"/>
          <w:sz w:val="21"/>
          <w:szCs w:val="21"/>
          <w:color w:val="auto"/>
        </w:rPr>
        <w:t xml:space="preserve">to the extent attributed or pertaining to any ABL Priority Collateral, all Commercial Tort Claims; (j) all intercompany payables and other intercompany claims, business interruption insurance proceeds, representation and warranty insurance proceeds, and tax refunds; and (k) all substitutions, replacements, accessions, products, or proceeds of any of the foregoing, in any form, including insurance proceeds and all claims against third parties for loss or damage to, or destruction of, or other involuntary conversion (including claims in respect of condemnation or expropriation) of any kind or nature of any or all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case shall ABL Priority Collateral include any identifiable cash proceeds from a sale, lease, conveyance or disposition of any LC Priority Collateral.</w:t>
      </w:r>
    </w:p>
    <w:p>
      <w:pPr>
        <w:spacing w:after="0" w:line="17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All capitalized terms used in this definition and not defined elsewhere in this Agreement have the meanings assigned to them in the New York UCC.</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Priority Possessory Collateral</w:t>
      </w:r>
      <w:r>
        <w:rPr>
          <w:rFonts w:ascii="Arial" w:cs="Arial" w:eastAsia="Arial" w:hAnsi="Arial"/>
          <w:sz w:val="22"/>
          <w:szCs w:val="22"/>
          <w:color w:val="auto"/>
        </w:rPr>
        <w:t>” means ABL Priority Collateral that is Possessory Collateral.</w:t>
      </w:r>
    </w:p>
    <w:p>
      <w:pPr>
        <w:spacing w:after="0" w:line="233"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ABL Priority Rental Tool Assets</w:t>
      </w:r>
      <w:r>
        <w:rPr>
          <w:rFonts w:ascii="Arial" w:cs="Arial" w:eastAsia="Arial" w:hAnsi="Arial"/>
          <w:sz w:val="19"/>
          <w:szCs w:val="19"/>
          <w:color w:val="auto"/>
        </w:rPr>
        <w:t>” means unfinanced drilling, fracking, well maintenance and other similar rental tools, including, without limitation, artificial lift equipment, cementation production, drilling services, drilling tools, intervention services, line hanger, pressure drilling, open and case hole, pressure pumping, production automation, sand control, testing, tubular running services, well services, and wireline, in each case constituting Inventory or Equipment of a Domestic Borrowing Base Loan Party or a Canadian Borrowing Base Loan Party (as each such term is defined in the ABL Credit Agreement), that is held in the ordinary course of business for rental to another Person that is not an affiliate of any Grantor.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Secured Parties</w:t>
      </w:r>
      <w:r>
        <w:rPr>
          <w:rFonts w:ascii="Arial" w:cs="Arial" w:eastAsia="Arial" w:hAnsi="Arial"/>
          <w:sz w:val="22"/>
          <w:szCs w:val="22"/>
          <w:color w:val="auto"/>
        </w:rPr>
        <w:t>” means the “Secured Parties” as defined in the ABL Security Agreement.</w:t>
      </w:r>
    </w:p>
    <w:p>
      <w:pPr>
        <w:spacing w:after="0" w:line="233" w:lineRule="exact"/>
        <w:rPr>
          <w:sz w:val="20"/>
          <w:szCs w:val="20"/>
          <w:color w:val="auto"/>
        </w:rPr>
      </w:pPr>
    </w:p>
    <w:p>
      <w:pPr>
        <w:jc w:val="both"/>
        <w:ind w:firstLine="1363"/>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Security Agreement</w:t>
      </w:r>
      <w:r>
        <w:rPr>
          <w:rFonts w:ascii="Arial" w:cs="Arial" w:eastAsia="Arial" w:hAnsi="Arial"/>
          <w:sz w:val="22"/>
          <w:szCs w:val="22"/>
          <w:color w:val="auto"/>
        </w:rPr>
        <w:t>” means the U.S. Security Agreement, dated as of the date hereof, among the Parent, each other pledgor party thereto and the ABL Collateral Agent, as amended, amended and restated, supplemented or modified from time to time.</w:t>
      </w:r>
    </w:p>
    <w:p>
      <w:pPr>
        <w:sectPr>
          <w:pgSz w:w="11900" w:h="16838" w:orient="portrait"/>
          <w:cols w:equalWidth="0" w:num="1">
            <w:col w:w="11240"/>
          </w:cols>
          <w:pgMar w:left="320" w:top="131" w:right="339" w:bottom="0" w:gutter="0" w:footer="0" w:header="0"/>
        </w:sectPr>
      </w:pPr>
    </w:p>
    <w:bookmarkStart w:id="416" w:name="page417"/>
    <w:bookmarkEnd w:id="416"/>
    <w:p>
      <w:pPr>
        <w:spacing w:after="0" w:line="2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ABL Security Documents</w:t>
      </w:r>
      <w:r>
        <w:rPr>
          <w:rFonts w:ascii="Arial" w:cs="Arial" w:eastAsia="Arial" w:hAnsi="Arial"/>
          <w:sz w:val="22"/>
          <w:szCs w:val="22"/>
          <w:color w:val="auto"/>
        </w:rPr>
        <w:t>” means the ABL Security Agreement, the ABL Mortgages and any other documents now existing or entered into after the date hereof that create or purport to create Liens on any assets or properties of any Grantor to secure any ABL Obligations.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Junior Collateral Agent</w:t>
      </w:r>
      <w:r>
        <w:rPr>
          <w:rFonts w:ascii="Arial" w:cs="Arial" w:eastAsia="Arial" w:hAnsi="Arial"/>
          <w:sz w:val="22"/>
          <w:szCs w:val="22"/>
          <w:color w:val="auto"/>
        </w:rPr>
        <w:t>” means (a) with respect to the LC Priority Collateral, the ABL Collateral Agent (b) with respect to the ABL Priority Collateral, the LC Collateral Agent.</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Possessory Collateral Agent</w:t>
      </w:r>
      <w:r>
        <w:rPr>
          <w:rFonts w:ascii="Arial" w:cs="Arial" w:eastAsia="Arial" w:hAnsi="Arial"/>
          <w:sz w:val="22"/>
          <w:szCs w:val="22"/>
          <w:color w:val="auto"/>
        </w:rPr>
        <w:t>” means (a) with respect to ABL Priority Possessory Collateral, the ABL Collateral Agent (b) with respect to LC Priority Possessory Collateral, the LC Collateral Agent and (c) notwithstanding the foregoing, with respect to Foreign Collateral, the Foreign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Senior Collateral Agent</w:t>
      </w:r>
      <w:r>
        <w:rPr>
          <w:rFonts w:ascii="Arial" w:cs="Arial" w:eastAsia="Arial" w:hAnsi="Arial"/>
          <w:sz w:val="22"/>
          <w:szCs w:val="22"/>
          <w:color w:val="auto"/>
        </w:rPr>
        <w:t>” means (a) with respect to the ABL Priority Collateral, the ABL Collateral Agent, and (b) with respect to the LC Priority Collateral, the LC Collateral Agent.</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 Product Obligations</w:t>
      </w:r>
      <w:r>
        <w:rPr>
          <w:rFonts w:ascii="Arial" w:cs="Arial" w:eastAsia="Arial" w:hAnsi="Arial"/>
          <w:sz w:val="22"/>
          <w:szCs w:val="22"/>
          <w:color w:val="auto"/>
        </w:rPr>
        <w:t>” means all “Bank Product Obligations” as defined in the ABL Credit Agreement (other than “Excluded Swap Obligations” as defined in the ABL Credit Agreement) and all “Banking Services Obligations” and all “Swap Obligations” as defined in the LC Credit Agreement (other than “Excluded Swap Obligations” as defined in the LC Credit Agreement).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Case</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Title 11 of the United States Code, as amended.</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that is not a Saturday, Sunday or other day that is a legal holiday under the laws of the State of New York or on which banking institutions in the State of New York are required or authorized by law or other governmental action to close.</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Stock</w:t>
      </w:r>
      <w:r>
        <w:rPr>
          <w:rFonts w:ascii="Arial" w:cs="Arial" w:eastAsia="Arial" w:hAnsi="Arial"/>
          <w:sz w:val="22"/>
          <w:szCs w:val="22"/>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has the meaning set forth in the definition of Senior Secured Obligations.</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means all assets and properties subject to (or purportedly subject to) Liens in favor of any Secured Party created by any of the Foreign Collateral Documents, ABL Security Documents or the LC Security Documents, as applicable, to secure the ABL Obligations or the LC Obligations, as applicable.</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Agent</w:t>
      </w:r>
      <w:r>
        <w:rPr>
          <w:rFonts w:ascii="Arial" w:cs="Arial" w:eastAsia="Arial" w:hAnsi="Arial"/>
          <w:sz w:val="22"/>
          <w:szCs w:val="22"/>
          <w:color w:val="auto"/>
        </w:rPr>
        <w:t>” means the Foreign Collateral Agent, ABL Collateral Agent, the LC Collateral Agent, or any of the foregoing, as the context may require.</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Junior Priority Collateral Document</w:t>
      </w:r>
      <w:r>
        <w:rPr>
          <w:rFonts w:ascii="Arial" w:cs="Arial" w:eastAsia="Arial" w:hAnsi="Arial"/>
          <w:sz w:val="22"/>
          <w:szCs w:val="22"/>
          <w:color w:val="auto"/>
        </w:rPr>
        <w:t>” means, in relation to any Senior Secured Obligations Collateral subject to any Lien created (or purportedly created) under any Senior Secured Obligations Collateral Document, those Junior Secured Obligations Collateral Documents that create (or purport to create) a Lien on the same Collateral, granted by the same Grantor.</w:t>
      </w:r>
    </w:p>
    <w:p>
      <w:pPr>
        <w:spacing w:after="0" w:line="19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Controlling Party</w:t>
      </w:r>
      <w:r>
        <w:rPr>
          <w:rFonts w:ascii="Arial" w:cs="Arial" w:eastAsia="Arial" w:hAnsi="Arial"/>
          <w:sz w:val="22"/>
          <w:szCs w:val="22"/>
          <w:color w:val="auto"/>
        </w:rPr>
        <w:t>” means (i) for decisions relating to Foreign Collateral that is ABL Priority Collateral (or only incidentally includes LC Priority Collateral), the ABL Collateral Agent and; (ii) for decisions relating to Foreign Collateral that is LC Priority Collateral (or only incidentally includes ABL Priority Collateral), the LC Collateral Agent (and in the case of the LC Australian Collateral Agent, acting for, and with any decisions relating to LC Australian Collateral made by, the LC Administrative Agent).</w:t>
      </w:r>
    </w:p>
    <w:p>
      <w:pPr>
        <w:spacing w:after="0" w:line="19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Debtor Relief Laws</w:t>
      </w:r>
      <w:r>
        <w:rPr>
          <w:rFonts w:ascii="Arial" w:cs="Arial" w:eastAsia="Arial" w:hAnsi="Arial"/>
          <w:sz w:val="19"/>
          <w:szCs w:val="19"/>
          <w:color w:val="auto"/>
        </w:rPr>
        <w:t>” means the Bankruptcy Code, the United Kingdom’s Insolvency Act 1986, the Council Regulation (EU) No. 2015/848 of 20 May 2015 on insolvency proceedings (recast), as amended, the Bankruptcy and Insolvency Act (Canada), the Companies’ Creditors Arrangement Act (Canada), Dutch Bankruptcy Act (</w:t>
      </w:r>
      <w:r>
        <w:rPr>
          <w:rFonts w:ascii="Arial" w:cs="Arial" w:eastAsia="Arial" w:hAnsi="Arial"/>
          <w:sz w:val="19"/>
          <w:szCs w:val="19"/>
          <w:i w:val="1"/>
          <w:iCs w:val="1"/>
          <w:color w:val="auto"/>
        </w:rPr>
        <w:t>faillissementswet</w:t>
      </w:r>
      <w:r>
        <w:rPr>
          <w:rFonts w:ascii="Arial" w:cs="Arial" w:eastAsia="Arial" w:hAnsi="Arial"/>
          <w:sz w:val="19"/>
          <w:szCs w:val="19"/>
          <w:color w:val="auto"/>
        </w:rPr>
        <w:t>), the Winding-Up and Restructuring Act (Canada), the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Swiss Federal Debt Collection and Bankruptcy Act (</w:t>
      </w:r>
      <w:r>
        <w:rPr>
          <w:rFonts w:ascii="Arial" w:cs="Arial" w:eastAsia="Arial" w:hAnsi="Arial"/>
          <w:sz w:val="19"/>
          <w:szCs w:val="19"/>
          <w:i w:val="1"/>
          <w:iCs w:val="1"/>
          <w:color w:val="auto"/>
        </w:rPr>
        <w:t>Bundesgesetz über Schuldbetreibung und Konkurs</w:t>
      </w:r>
      <w:r>
        <w:rPr>
          <w:rFonts w:ascii="Arial" w:cs="Arial" w:eastAsia="Arial" w:hAnsi="Arial"/>
          <w:sz w:val="19"/>
          <w:szCs w:val="19"/>
          <w:color w:val="auto"/>
        </w:rPr>
        <w:t>), Part XIII of the Bermuda Companies Act 1981, the Luxembourg Commercial Code and the Luxembourg Act dated 10 August 1915 on Commercial Companies, the Insolvency Act 2003 of the British Virgin Islands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in each case as amended, including any corporate law of any jurisdiction which may be used by a debtor to obtain a stay or a compromise, settlement, adjustment or arrangement of the claims</w:t>
      </w:r>
    </w:p>
    <w:p>
      <w:pPr>
        <w:sectPr>
          <w:pgSz w:w="11900" w:h="16860" w:orient="portrait"/>
          <w:cols w:equalWidth="0" w:num="1">
            <w:col w:w="11240"/>
          </w:cols>
          <w:pgMar w:left="320" w:top="131" w:right="339" w:bottom="0" w:gutter="0" w:footer="0" w:header="0"/>
        </w:sectPr>
      </w:pPr>
    </w:p>
    <w:bookmarkStart w:id="417" w:name="page418"/>
    <w:bookmarkEnd w:id="417"/>
    <w:p>
      <w:pPr>
        <w:jc w:val="both"/>
        <w:spacing w:after="0" w:line="301" w:lineRule="auto"/>
        <w:rPr>
          <w:sz w:val="20"/>
          <w:szCs w:val="20"/>
          <w:color w:val="auto"/>
        </w:rPr>
      </w:pPr>
      <w:r>
        <w:rPr>
          <w:rFonts w:ascii="Arial" w:cs="Arial" w:eastAsia="Arial" w:hAnsi="Arial"/>
          <w:sz w:val="21"/>
          <w:szCs w:val="21"/>
          <w:color w:val="auto"/>
        </w:rPr>
        <w:t>of its creditors against it and including any rules and regulations pursuant thereto (but, in each case, shall exclude any part of such laws, rules or regulations which relate solely to any solvent reorganization or solvent restructuring process).</w:t>
      </w:r>
    </w:p>
    <w:p>
      <w:pPr>
        <w:spacing w:after="0" w:line="150"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Disposition</w:t>
      </w:r>
      <w:r>
        <w:rPr>
          <w:rFonts w:ascii="Arial" w:cs="Arial" w:eastAsia="Arial" w:hAnsi="Arial"/>
          <w:sz w:val="19"/>
          <w:szCs w:val="19"/>
          <w:color w:val="auto"/>
        </w:rPr>
        <w:t>” means any private or public sale or disposition of all or any material portion of the Senior Secured Obligations Collateral (including Foreign Collateral) by one or more Grantors with the consent of Senior Collateral Agent or Foreign Collateral Agent (as instructed by the Controlling Party), as applicable, after the occurrence and during the continuation of an Event of Default under the Senior Secured Obligations Security Documents or the ABL Credit Agreement or LC Credit Agreement, as applicable (and prior to the Discharge of the Senior Secured Obligations), including any disposition contemplated by Section 9-620 of the UCC, which disposition is conducted by such Grantors with the consent of Senior Collateral Agent or Foreign Collateral Agent (as instructed by the Controlling Party) in connection with good faith efforts by Senior Collateral Agent or Foreign Collateral Agent (as instructed by the Controlling Party) to collect the Senior Secured Obligations through the disposition of Senior Secured Obligations Collateral (including any Foreign Collateral).</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 Liens</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Lenders</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Discharge</w:t>
      </w:r>
      <w:r>
        <w:rPr>
          <w:rFonts w:ascii="Arial" w:cs="Arial" w:eastAsia="Arial" w:hAnsi="Arial"/>
          <w:sz w:val="19"/>
          <w:szCs w:val="19"/>
          <w:color w:val="auto"/>
        </w:rPr>
        <w:t>” means, with respect to any Obligations, except to the extent otherwise provided herein with respect to the reinstatement or continuation of any such Obligations, the payment in full in cash (except for contingent indemnities and cost and reimbursement obligations to the extent no claim has been threatened (in writing) or asserted) of all such Obligations then outstanding, if any, and, with respect to (x) letters of credit or letter of credit guaranties outstanding under the agreements or instruments governing such Obligations (as related to all or any subset of Obligations, the “</w:t>
      </w:r>
      <w:r>
        <w:rPr>
          <w:rFonts w:ascii="Arial" w:cs="Arial" w:eastAsia="Arial" w:hAnsi="Arial"/>
          <w:sz w:val="19"/>
          <w:szCs w:val="19"/>
          <w:b w:val="1"/>
          <w:bCs w:val="1"/>
          <w:i w:val="1"/>
          <w:iCs w:val="1"/>
          <w:color w:val="auto"/>
        </w:rPr>
        <w:t>Relevant Instruments</w:t>
      </w:r>
      <w:r>
        <w:rPr>
          <w:rFonts w:ascii="Arial" w:cs="Arial" w:eastAsia="Arial" w:hAnsi="Arial"/>
          <w:sz w:val="19"/>
          <w:szCs w:val="19"/>
          <w:color w:val="auto"/>
        </w:rPr>
        <w:t xml:space="preserve">”); (y) Bank Product Obligations (as defined in the ABL Credit Agreement); and (z) asserted or threatened (in writing) claims, demands, actions, suits, investigations, liabilities, fines, costs, or damages for which a party may be entitled to indemnification or reimbursement by any Grantor, delivery of cash collateral or backstop letters of credit in respect thereof in a manner consistent with such Relevant Instruments, in each case after or concurrently with the termination of all commitments to extend credit thereunder, and the termination of all commitments of “secured parties” under the Relevant Instruments (including, in any event, all such interest, fees, costs, expenses and other charges regardless of whether such amounts are allowed, allowable or reasonable in any Insolvency or Liquidation Proceeding, whether under Section 506 of the Bankruptcy Code of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1" w:lineRule="exact"/>
        <w:rPr>
          <w:sz w:val="20"/>
          <w:szCs w:val="20"/>
          <w:color w:val="auto"/>
        </w:rPr>
      </w:pPr>
    </w:p>
    <w:p>
      <w:pPr>
        <w:jc w:val="both"/>
        <w:ind w:firstLine="8"/>
        <w:spacing w:after="0" w:line="272" w:lineRule="auto"/>
        <w:tabs>
          <w:tab w:leader="none" w:pos="277" w:val="left"/>
        </w:tabs>
        <w:numPr>
          <w:ilvl w:val="0"/>
          <w:numId w:val="472"/>
        </w:numPr>
        <w:rPr>
          <w:rFonts w:ascii="Arial" w:cs="Arial" w:eastAsia="Arial" w:hAnsi="Arial"/>
          <w:sz w:val="21"/>
          <w:szCs w:val="21"/>
          <w:color w:val="auto"/>
        </w:rPr>
      </w:pPr>
      <w:r>
        <w:rPr>
          <w:rFonts w:ascii="Arial" w:cs="Arial" w:eastAsia="Arial" w:hAnsi="Arial"/>
          <w:sz w:val="21"/>
          <w:szCs w:val="21"/>
          <w:color w:val="auto"/>
        </w:rPr>
        <w:t>the Discharge of ABL Obligations shall not be deemed to have occurred if such payments are made in connection with the establishment of a replacement ABL Credit Agreement and (ii) the Discharge of LC Obligations shall not be deemed to have occurred if such payments are made with the proceeds of LC Obligations that constitute an exchange or replacement for or a refinancing of such Obligations or LC Obligations. In the event any Obligations are modified and such Obligations are paid over time or otherwise modified, in each case, pursuant to Section 1129 of the Bankruptcy Code or similar Debtor Relief Law, such Obligations shall be deemed to be discharged only when the final payment is made, in cash, in respect of such indebtedness and any obligations pursuant to such new or modified indebtedness shall have been satisfied. The term “</w:t>
      </w:r>
      <w:r>
        <w:rPr>
          <w:rFonts w:ascii="Arial" w:cs="Arial" w:eastAsia="Arial" w:hAnsi="Arial"/>
          <w:sz w:val="21"/>
          <w:szCs w:val="21"/>
          <w:b w:val="1"/>
          <w:bCs w:val="1"/>
          <w:i w:val="1"/>
          <w:iCs w:val="1"/>
          <w:color w:val="auto"/>
        </w:rPr>
        <w:t>Discharged</w:t>
      </w:r>
      <w:r>
        <w:rPr>
          <w:rFonts w:ascii="Arial" w:cs="Arial" w:eastAsia="Arial" w:hAnsi="Arial"/>
          <w:sz w:val="21"/>
          <w:szCs w:val="21"/>
          <w:color w:val="auto"/>
        </w:rPr>
        <w:t>” shall have a corresponding meaning.</w:t>
      </w:r>
    </w:p>
    <w:p>
      <w:pPr>
        <w:spacing w:after="0" w:line="18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European Insolvency Regulation</w:t>
      </w:r>
      <w:r>
        <w:rPr>
          <w:rFonts w:ascii="Arial" w:cs="Arial" w:eastAsia="Arial" w:hAnsi="Arial"/>
          <w:sz w:val="22"/>
          <w:szCs w:val="22"/>
          <w:color w:val="auto"/>
        </w:rPr>
        <w:t>” means Regulation (EU) 2015/848 of the European Parliament and of the Council of 20 May 2015 on insolvency proceedings (recast)</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means an “Event of Default” under and as defined in the ABL Credit Agreement or the LC Credit Agreement, as the context may require.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w:t>
      </w:r>
      <w:r>
        <w:rPr>
          <w:rFonts w:ascii="Arial" w:cs="Arial" w:eastAsia="Arial" w:hAnsi="Arial"/>
          <w:sz w:val="22"/>
          <w:szCs w:val="22"/>
          <w:color w:val="auto"/>
        </w:rPr>
        <w:t>” has the meaning set forth in Section 2.01(d).</w:t>
      </w:r>
    </w:p>
    <w:p>
      <w:pPr>
        <w:spacing w:after="0" w:line="233"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 Agent</w:t>
      </w:r>
      <w:r>
        <w:rPr>
          <w:rFonts w:ascii="Arial" w:cs="Arial" w:eastAsia="Arial" w:hAnsi="Arial"/>
          <w:sz w:val="22"/>
          <w:szCs w:val="22"/>
          <w:color w:val="auto"/>
        </w:rPr>
        <w:t>” means ABL Collateral Agent and its successors (as appointed in accordance with Article VI hereof) or assigns.</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 Documents</w:t>
      </w:r>
      <w:r>
        <w:rPr>
          <w:rFonts w:ascii="Arial" w:cs="Arial" w:eastAsia="Arial" w:hAnsi="Arial"/>
          <w:sz w:val="22"/>
          <w:szCs w:val="22"/>
          <w:color w:val="auto"/>
        </w:rPr>
        <w:t>” means the documents listed on Schedule I attached hereto and any other documents creating (or purporting to create) a Lien on any Foreign Collateral in favor of Foreign Collateral Agent and all documents delivered therewith.</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Grantor</w:t>
      </w:r>
      <w:r>
        <w:rPr>
          <w:rFonts w:ascii="Arial" w:cs="Arial" w:eastAsia="Arial" w:hAnsi="Arial"/>
          <w:sz w:val="22"/>
          <w:szCs w:val="22"/>
          <w:color w:val="auto"/>
        </w:rPr>
        <w:t>” means Parent and each Subsidiary of Parent that shall have granted any Lien in favor of any Collateral Agent on any of its assets or properties to secure any of the Obligations.</w:t>
      </w:r>
    </w:p>
    <w:p>
      <w:pPr>
        <w:spacing w:after="0" w:line="17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Insolvency or Liquidation Proceeding</w:t>
      </w:r>
      <w:r>
        <w:rPr>
          <w:rFonts w:ascii="Arial" w:cs="Arial" w:eastAsia="Arial" w:hAnsi="Arial"/>
          <w:sz w:val="19"/>
          <w:szCs w:val="19"/>
          <w:color w:val="auto"/>
        </w:rPr>
        <w:t>” means (a) any case or proceeding commenced by or against the Parent or any other Grantor under the Bankruptcy Code or other Debtor Relief Laws or any other process or proceeding for the reorganization, recapitalization, restructuring, adjustment, arrangement or marshalling of the assets or liabilities of the Parent or any other Grantor or any receivership or assignment for the benefit of creditors relating to the Parent or any other Grantor or relating to all or a substantial part of the property or assets of the Parent or any other Grantor or any similar case or proceeding</w:t>
      </w:r>
    </w:p>
    <w:p>
      <w:pPr>
        <w:sectPr>
          <w:pgSz w:w="11900" w:h="16838" w:orient="portrait"/>
          <w:cols w:equalWidth="0" w:num="1">
            <w:col w:w="11240"/>
          </w:cols>
          <w:pgMar w:left="320" w:top="131" w:right="339" w:bottom="0" w:gutter="0" w:footer="0" w:header="0"/>
        </w:sectPr>
      </w:pPr>
    </w:p>
    <w:bookmarkStart w:id="418" w:name="page419"/>
    <w:bookmarkEnd w:id="418"/>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relative to the Parent or any other Grantor, or their respective property or their respective creditors, as such, in each case whether or not voluntary; (b) any process or proceeding for the appointment of any trustee in bankruptcy, receiver, receiver and manager, interim receiver, administrator, liquidator, monitor, custodian, sequestrator, conservator or any similar official appointed for or relating to the Parent or any other Grantor or all or a substantial portion of their respective property and assets, in each case whether or not voluntary; (c) any liquidation, dissolution, marshalling of assets or liabilities or other winding up (or similar process) of or relating to the Parent or any other Grantor, in each case whether or not voluntary and whether or not involving bankruptcy or insolvency; or (d) any other proceeding of any type or nature in which substantially all claims of creditors of the Parent or any other Grantor, or of a class of creditors of the Parent or any other Grantor, are stayed, compromised, restructured or determined and any payment, distribution, restructuring or arrangement is or may be made on account of or in relation to such claims.</w:t>
      </w:r>
    </w:p>
    <w:p>
      <w:pPr>
        <w:spacing w:after="0" w:line="189"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Claims</w:t>
      </w:r>
      <w:r>
        <w:rPr>
          <w:rFonts w:ascii="Arial" w:cs="Arial" w:eastAsia="Arial" w:hAnsi="Arial"/>
          <w:sz w:val="22"/>
          <w:szCs w:val="22"/>
          <w:color w:val="auto"/>
        </w:rPr>
        <w:t>” means (a) with respect to the ABL Priority Collateral, the LC Obligations secured by such Collateral and (b) with respect to the LC Priority Collateral, the ABL Obligations secured by such Collateral.</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Collateral Agent</w:t>
      </w:r>
      <w:r>
        <w:rPr>
          <w:rFonts w:ascii="Arial" w:cs="Arial" w:eastAsia="Arial" w:hAnsi="Arial"/>
          <w:sz w:val="22"/>
          <w:szCs w:val="22"/>
          <w:color w:val="auto"/>
        </w:rPr>
        <w:t>” means (a) with respect to the LC Priority Collateral, the ABL Collateral Agent and (b) with respect to the ABL Priority Collateral, the LC Collateral Agent.</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Representative</w:t>
      </w:r>
      <w:r>
        <w:rPr>
          <w:rFonts w:ascii="Arial" w:cs="Arial" w:eastAsia="Arial" w:hAnsi="Arial"/>
          <w:sz w:val="22"/>
          <w:szCs w:val="22"/>
          <w:color w:val="auto"/>
        </w:rPr>
        <w:t>” means (a) with respect to the LC Priority Collateral, the ABL Collateral Agent and (b) with respect to the ABL Priority Collateral, the LC Collateral Agent.</w:t>
      </w:r>
    </w:p>
    <w:p>
      <w:pPr>
        <w:spacing w:after="0" w:line="17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Junior Secured Obligations</w:t>
      </w:r>
      <w:r>
        <w:rPr>
          <w:rFonts w:ascii="Arial" w:cs="Arial" w:eastAsia="Arial" w:hAnsi="Arial"/>
          <w:sz w:val="21"/>
          <w:szCs w:val="21"/>
          <w:color w:val="auto"/>
        </w:rPr>
        <w:t>” means (a) with respect to the ABL Obligations (to the extent such Obligations are secured by the ABL Priority Collateral), the LC Obligations (to the extent such Obligations are secured by the ABL Priority Collateral) and (b) with respect to the LC Obligations (to the extent such Obligations are secured by the LC Priority Collateral), the ABL Obligations (to the extent such Obligations are secured by the LC Priority Collateral).</w:t>
      </w:r>
    </w:p>
    <w:p>
      <w:pPr>
        <w:spacing w:after="0" w:line="17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w:t>
      </w:r>
      <w:r>
        <w:rPr>
          <w:rFonts w:ascii="Arial" w:cs="Arial" w:eastAsia="Arial" w:hAnsi="Arial"/>
          <w:sz w:val="22"/>
          <w:szCs w:val="22"/>
          <w:color w:val="auto"/>
        </w:rPr>
        <w:t>” means, with respect to any Obligations, the Collateral in respect of which such Obligations constitute Junior Claims.</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 Documents</w:t>
      </w:r>
      <w:r>
        <w:rPr>
          <w:rFonts w:ascii="Arial" w:cs="Arial" w:eastAsia="Arial" w:hAnsi="Arial"/>
          <w:sz w:val="22"/>
          <w:szCs w:val="22"/>
          <w:color w:val="auto"/>
        </w:rPr>
        <w:t>” means (a) with respect to the LC Obligations, the ABL Security Documents and (b) with respect to the ABL Obligations, the LC Security Documents.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Secured Parties</w:t>
      </w:r>
      <w:r>
        <w:rPr>
          <w:rFonts w:ascii="Arial" w:cs="Arial" w:eastAsia="Arial" w:hAnsi="Arial"/>
          <w:sz w:val="22"/>
          <w:szCs w:val="22"/>
          <w:color w:val="auto"/>
        </w:rPr>
        <w:t>” means (a) with respect to the LC Priority Collateral, the ABL Secured Parties (to the extent that the Obligations owing to such ABL Secured Parties are secured by the LC Priority Collateral) and (b) with respect to the ABL Priority Collateral, the LC Secured Parties (to the extent that the Obligations owing to such LC Secured Parties are secured by the ABL Priority Collateral).</w:t>
      </w:r>
    </w:p>
    <w:p>
      <w:pPr>
        <w:spacing w:after="0" w:line="191"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Administrative Agent</w:t>
      </w:r>
      <w:r>
        <w:rPr>
          <w:rFonts w:ascii="Arial" w:cs="Arial" w:eastAsia="Arial" w:hAnsi="Arial"/>
          <w:sz w:val="19"/>
          <w:szCs w:val="19"/>
          <w:color w:val="auto"/>
        </w:rPr>
        <w:t>” means the Administrative Agent under, and as defined in, the LC Credit Agreement together with its successors and co-agents in substantially the same capacity as may from time to time be appointed.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Australian Security Trust</w:t>
      </w:r>
      <w:r>
        <w:rPr>
          <w:rFonts w:ascii="Arial" w:cs="Arial" w:eastAsia="Arial" w:hAnsi="Arial"/>
          <w:sz w:val="19"/>
          <w:szCs w:val="19"/>
          <w:color w:val="auto"/>
        </w:rPr>
        <w:t>” means the “Security Trust” under and as defined in the LC Australian Security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 Deed.</w:t>
      </w:r>
    </w:p>
    <w:p>
      <w:pPr>
        <w:spacing w:after="0" w:line="22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Trust Deed</w:t>
      </w:r>
      <w:r>
        <w:rPr>
          <w:rFonts w:ascii="Arial" w:cs="Arial" w:eastAsia="Arial" w:hAnsi="Arial"/>
          <w:sz w:val="22"/>
          <w:szCs w:val="22"/>
          <w:color w:val="auto"/>
        </w:rPr>
        <w:t>” means the Security Trust Deed to be entered into among the Borrowers, the LC Administrative Agent, the LC Lenders and the LC Australian Collateral Agent.</w:t>
      </w:r>
    </w:p>
    <w:p>
      <w:pPr>
        <w:spacing w:after="0" w:line="174" w:lineRule="exact"/>
        <w:rPr>
          <w:sz w:val="20"/>
          <w:szCs w:val="20"/>
          <w:color w:val="auto"/>
        </w:rPr>
      </w:pPr>
    </w:p>
    <w:p>
      <w:pPr>
        <w:jc w:val="both"/>
        <w:ind w:firstLine="1363"/>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Documents</w:t>
      </w:r>
      <w:r>
        <w:rPr>
          <w:rFonts w:ascii="Arial" w:cs="Arial" w:eastAsia="Arial" w:hAnsi="Arial"/>
          <w:sz w:val="22"/>
          <w:szCs w:val="22"/>
          <w:color w:val="auto"/>
        </w:rPr>
        <w:t>” means the LC Australian Security Trust Deed and each other Australian law governed document now existing or entered into after the date hereof that create Liens on any assets or properties of any Grantor to secure any LC Obligations in favor of the LC Australian Collateral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Credit Agreement</w:t>
      </w:r>
      <w:r>
        <w:rPr>
          <w:rFonts w:ascii="Arial" w:cs="Arial" w:eastAsia="Arial" w:hAnsi="Arial"/>
          <w:sz w:val="19"/>
          <w:szCs w:val="19"/>
          <w:color w:val="auto"/>
        </w:rPr>
        <w:t>” means (a) the Existing LC Credit Agreement, as amended, restated, supplemented, waived, replaced (whether or not upon termination, and whether with the original lenders or otherwise), restructured, repaid, refunded, Refinanced or otherwise modified from time to time after the date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“LC Credit Agreement”) and (b) whether or not the facility referred to in clause (a) remains outstanding, if designated by the Parent to be included in the definition of “LC Credit Agreement,” one or more (i) debt facilities or commercial paper facilities, providing for revolving credit loans, term loans, receivables financing (including through the sale of receivables to lenders or to special purpose entities formed to borrow from lenders against such receivables) or letters of credit, (ii) debt securities, indentures or other forms</w:t>
      </w:r>
    </w:p>
    <w:p>
      <w:pPr>
        <w:sectPr>
          <w:pgSz w:w="11900" w:h="16910" w:orient="portrait"/>
          <w:cols w:equalWidth="0" w:num="1">
            <w:col w:w="11240"/>
          </w:cols>
          <w:pgMar w:left="320" w:top="131" w:right="339" w:bottom="0" w:gutter="0" w:footer="0" w:header="0"/>
        </w:sectPr>
      </w:pPr>
    </w:p>
    <w:bookmarkStart w:id="419" w:name="page420"/>
    <w:bookmarkEnd w:id="419"/>
    <w:p>
      <w:pPr>
        <w:jc w:val="both"/>
        <w:spacing w:after="0" w:line="262" w:lineRule="auto"/>
        <w:rPr>
          <w:sz w:val="20"/>
          <w:szCs w:val="20"/>
          <w:color w:val="auto"/>
        </w:rPr>
      </w:pPr>
      <w:r>
        <w:rPr>
          <w:rFonts w:ascii="Arial" w:cs="Arial" w:eastAsia="Arial" w:hAnsi="Arial"/>
          <w:sz w:val="22"/>
          <w:szCs w:val="22"/>
          <w:color w:val="auto"/>
        </w:rPr>
        <w:t>of debt financing (including convertible or exchangeable debt instruments or bank guarantees or bankers’ acceptances) or (iii)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91"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Documents</w:t>
      </w:r>
      <w:r>
        <w:rPr>
          <w:rFonts w:ascii="Arial" w:cs="Arial" w:eastAsia="Arial" w:hAnsi="Arial"/>
          <w:sz w:val="22"/>
          <w:szCs w:val="22"/>
          <w:color w:val="auto"/>
        </w:rPr>
        <w:t>” means the LC Credit Agreement, the LC Security Agreement, the LC Mortgages, the LC Australian Security Documents and the other “Loan Documents” as defined in the LC Credit Agreement.</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Guarantee</w:t>
      </w:r>
      <w:r>
        <w:rPr>
          <w:rFonts w:ascii="Arial" w:cs="Arial" w:eastAsia="Arial" w:hAnsi="Arial"/>
          <w:sz w:val="22"/>
          <w:szCs w:val="22"/>
          <w:color w:val="auto"/>
        </w:rPr>
        <w:t>” means any guarantee of the Obligations of the Parent under the LC Credit Agreement by any Person in accordance with the provisions of the LC Credit Agreement.</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Guarantor</w:t>
      </w:r>
      <w:r>
        <w:rPr>
          <w:rFonts w:ascii="Arial" w:cs="Arial" w:eastAsia="Arial" w:hAnsi="Arial"/>
          <w:sz w:val="22"/>
          <w:szCs w:val="22"/>
          <w:color w:val="auto"/>
        </w:rPr>
        <w:t xml:space="preserve">” means any Person that incurs a LC Facility Guarantee;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release or discharge of such Person from its LC Facility Guarantee in accordance with the LC Credit Agreement, such Person ceases to be a LC Facility Guarantor.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Secured Parties</w:t>
      </w:r>
      <w:r>
        <w:rPr>
          <w:rFonts w:ascii="Arial" w:cs="Arial" w:eastAsia="Arial" w:hAnsi="Arial"/>
          <w:sz w:val="22"/>
          <w:szCs w:val="22"/>
          <w:color w:val="auto"/>
        </w:rPr>
        <w:t>” means the “Secured Parties” as defined in the LC Credit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Lenders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Mortgages</w:t>
      </w:r>
      <w:r>
        <w:rPr>
          <w:rFonts w:ascii="Arial" w:cs="Arial" w:eastAsia="Arial" w:hAnsi="Arial"/>
          <w:sz w:val="22"/>
          <w:szCs w:val="22"/>
          <w:color w:val="auto"/>
        </w:rPr>
        <w:t>” means all “Mortgages” as defined in the LC Credit Agreement.</w:t>
      </w:r>
    </w:p>
    <w:p>
      <w:pPr>
        <w:spacing w:after="0" w:line="23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Obligations</w:t>
      </w:r>
      <w:r>
        <w:rPr>
          <w:rFonts w:ascii="Arial" w:cs="Arial" w:eastAsia="Arial" w:hAnsi="Arial"/>
          <w:sz w:val="19"/>
          <w:szCs w:val="19"/>
          <w:color w:val="auto"/>
        </w:rPr>
        <w:t>” means all “Secured Obligations” (as such term is defined in the LC Credit Agreement) of the LC Borrowers and other obligors under the LC Credit Agreement or any of the other LC Documents, including obligations to pay principal, premiums, if any, and interest, attorneys fees, fees, costs, charges, expenses, Letters of Credit (as defined in the LC Credit Agreement) and commissions,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LC Documents and the performance of all other Obligations of the obligors thereunder under the LC Documents, according to the respective terms thereof.</w:t>
      </w:r>
    </w:p>
    <w:p>
      <w:pPr>
        <w:spacing w:after="0" w:line="15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Collateral</w:t>
      </w:r>
      <w:r>
        <w:rPr>
          <w:rFonts w:ascii="Arial" w:cs="Arial" w:eastAsia="Arial" w:hAnsi="Arial"/>
          <w:sz w:val="22"/>
          <w:szCs w:val="22"/>
          <w:color w:val="auto"/>
        </w:rPr>
        <w:t>” means all Collateral (other than ABL Priority Collateral) now owned or at any time hereafter acquired (including, for the avoidance of doubt, any such assets that, but for the application of Section 552 of the Bankruptcy Code (or any provision of any other Debtor Relief Law), would constitute LC Priority Collateral) of any Grantor (including, for the avoidance of doubt, (a) all Real Estate Assets of Grantors; (b) all intellectual property; (c) all Capital Stock in each Grantor’s subsidiaries (as defined in the LC Credit Agreement); (d) all proceeds of insurance policies other than business interruption insurance or representations and warranties insurance policies (excluding any such proceeds that relate to ABL Priority Collateral); and (e) all products and proceeds of any and all of the foregoing (other than any such proceeds that are ABL Priority Collateral)).</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Possessory Collateral</w:t>
      </w:r>
      <w:r>
        <w:rPr>
          <w:rFonts w:ascii="Arial" w:cs="Arial" w:eastAsia="Arial" w:hAnsi="Arial"/>
          <w:sz w:val="22"/>
          <w:szCs w:val="22"/>
          <w:color w:val="auto"/>
        </w:rPr>
        <w:t>” means LC Priority Collateral that is Possessory Collateral.</w:t>
      </w:r>
    </w:p>
    <w:p>
      <w:pPr>
        <w:spacing w:after="0" w:line="233"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Secured Parties</w:t>
      </w:r>
      <w:r>
        <w:rPr>
          <w:rFonts w:ascii="Arial" w:cs="Arial" w:eastAsia="Arial" w:hAnsi="Arial"/>
          <w:sz w:val="22"/>
          <w:szCs w:val="22"/>
          <w:color w:val="auto"/>
        </w:rPr>
        <w:t>” means the (a) the LC Collateral Agent (including for avoidance of doubt the LC Australian Collateral Agent), and (b) the LC Facility Secured Parties.</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Agreement</w:t>
      </w:r>
      <w:r>
        <w:rPr>
          <w:rFonts w:ascii="Arial" w:cs="Arial" w:eastAsia="Arial" w:hAnsi="Arial"/>
          <w:sz w:val="22"/>
          <w:szCs w:val="22"/>
          <w:color w:val="auto"/>
        </w:rPr>
        <w:t>” means the U.S. Security Agreement, dated as of the date hereof, by and among the Parent, LC Borrowers, each other pledgor party thereto and the LC Collateral Agent, as amended, amended and restated, supplemented or modified from time to time.</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Documents</w:t>
      </w:r>
      <w:r>
        <w:rPr>
          <w:rFonts w:ascii="Arial" w:cs="Arial" w:eastAsia="Arial" w:hAnsi="Arial"/>
          <w:sz w:val="22"/>
          <w:szCs w:val="22"/>
          <w:color w:val="auto"/>
        </w:rPr>
        <w:t>” means the LC Security Agreement, the LC Mortgages, the LC Australian Security Documents and any other documents now existing or entered into after the date hereof that create Liens on any assets or properties of any Grantor to secure any LC Obligations.</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xml:space="preserve">” means any lien, mortgage, deed of trust, pledge, hypothecation, security interest, charge or encumbrance of any kind, including any conditional sale or other title retention agreement or any lease in the nature thereof or a ‘security interest’ (as defined in section 12 (1) and (2) of the </w:t>
      </w:r>
      <w:r>
        <w:rPr>
          <w:rFonts w:ascii="Arial" w:cs="Arial" w:eastAsia="Arial" w:hAnsi="Arial"/>
          <w:sz w:val="22"/>
          <w:szCs w:val="22"/>
          <w:i w:val="1"/>
          <w:iCs w:val="1"/>
          <w:color w:val="auto"/>
        </w:rPr>
        <w:t>Personal Property Securities Act 2009 (Cth))</w:t>
      </w:r>
      <w:r>
        <w:rPr>
          <w:rFonts w:ascii="Arial" w:cs="Arial" w:eastAsia="Arial" w:hAnsi="Arial"/>
          <w:sz w:val="22"/>
          <w:szCs w:val="22"/>
          <w:color w:val="auto"/>
        </w:rPr>
        <w:t xml:space="preserve"> (whether voluntary or involuntary and whether imposed or created by operation of law or otherwise).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Luxembourg Obligors</w:t>
      </w:r>
      <w:r>
        <w:rPr>
          <w:rFonts w:ascii="Arial" w:cs="Arial" w:eastAsia="Arial" w:hAnsi="Arial"/>
          <w:sz w:val="19"/>
          <w:szCs w:val="19"/>
          <w:color w:val="auto"/>
        </w:rPr>
        <w:t>” means any Grantor organized under the laws of the Grand Duchy of Luxembourg.</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Memorandum</w:t>
      </w:r>
      <w:r>
        <w:rPr>
          <w:rFonts w:ascii="Arial" w:cs="Arial" w:eastAsia="Arial" w:hAnsi="Arial"/>
          <w:sz w:val="22"/>
          <w:szCs w:val="22"/>
          <w:color w:val="auto"/>
        </w:rPr>
        <w:t>” has the meaning set forth in Section 2.02(c).</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Mortgages</w:t>
      </w:r>
      <w:r>
        <w:rPr>
          <w:rFonts w:ascii="Arial" w:cs="Arial" w:eastAsia="Arial" w:hAnsi="Arial"/>
          <w:sz w:val="22"/>
          <w:szCs w:val="22"/>
          <w:color w:val="auto"/>
        </w:rPr>
        <w:t>” means the ABL Mortgages and the LC Mortgages.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New York UCC</w:t>
      </w:r>
      <w:r>
        <w:rPr>
          <w:rFonts w:ascii="Arial" w:cs="Arial" w:eastAsia="Arial" w:hAnsi="Arial"/>
          <w:sz w:val="19"/>
          <w:szCs w:val="19"/>
          <w:color w:val="auto"/>
        </w:rPr>
        <w:t>” means the Uniform Commercial Code as from time to time in effect in the State of New York.</w:t>
      </w:r>
    </w:p>
    <w:p>
      <w:pPr>
        <w:sectPr>
          <w:pgSz w:w="11900" w:h="16838" w:orient="portrait"/>
          <w:cols w:equalWidth="0" w:num="1">
            <w:col w:w="11240"/>
          </w:cols>
          <w:pgMar w:left="320" w:top="131" w:right="339" w:bottom="101" w:gutter="0" w:footer="0" w:header="0"/>
        </w:sectPr>
      </w:pPr>
    </w:p>
    <w:bookmarkStart w:id="420" w:name="page421"/>
    <w:bookmarkEnd w:id="420"/>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 Controlling Party Situation</w:t>
      </w:r>
      <w:r>
        <w:rPr>
          <w:rFonts w:ascii="Arial" w:cs="Arial" w:eastAsia="Arial" w:hAnsi="Arial"/>
          <w:sz w:val="22"/>
          <w:szCs w:val="22"/>
          <w:color w:val="auto"/>
        </w:rPr>
        <w:t>” means any decision relating to Foreign Collateral whereby (a) due to the mixed nature of the Collateral involved, there is no Controlling Party or (b) the instructions from LC Collateral Agent as Controlling Party and ABL Collateral Agent as Controlling Party are in conflict.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Obligations</w:t>
      </w:r>
      <w:r>
        <w:rPr>
          <w:rFonts w:ascii="Arial" w:cs="Arial" w:eastAsia="Arial" w:hAnsi="Arial"/>
          <w:sz w:val="22"/>
          <w:szCs w:val="22"/>
          <w:color w:val="auto"/>
        </w:rPr>
        <w:t>” means the ABL Obligations and the LC Obligations.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Discretion</w:t>
      </w:r>
      <w:r>
        <w:rPr>
          <w:rFonts w:ascii="Arial" w:cs="Arial" w:eastAsia="Arial" w:hAnsi="Arial"/>
          <w:sz w:val="19"/>
          <w:szCs w:val="19"/>
          <w:color w:val="auto"/>
        </w:rPr>
        <w:t>” means a determination made in the exercise of good faith and reasonable credit judgment (from the perspective of a secured lender giving due regard to the nature of both the ABL Priority Collateral and the LC Priority Collateral and the relative proportion of each such collateral type over which such discretion is being exercised).</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Remedies</w:t>
      </w:r>
      <w:r>
        <w:rPr>
          <w:rFonts w:ascii="Arial" w:cs="Arial" w:eastAsia="Arial" w:hAnsi="Arial"/>
          <w:sz w:val="22"/>
          <w:szCs w:val="22"/>
          <w:color w:val="auto"/>
        </w:rPr>
        <w:t>” means, with respect to any Junior Secured Obligations:</w:t>
      </w:r>
    </w:p>
    <w:p>
      <w:pPr>
        <w:spacing w:after="0" w:line="233" w:lineRule="exact"/>
        <w:rPr>
          <w:sz w:val="20"/>
          <w:szCs w:val="20"/>
          <w:color w:val="auto"/>
        </w:rPr>
      </w:pPr>
    </w:p>
    <w:p>
      <w:pPr>
        <w:ind w:firstLine="1304"/>
        <w:spacing w:after="0" w:line="276" w:lineRule="auto"/>
        <w:tabs>
          <w:tab w:leader="none" w:pos="240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 xml:space="preserve">filing a proof of claim or statement of interest with respect to such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Insolvency or Liquidation Proceeding has been commenced by or against any Grantor;</w:t>
      </w:r>
    </w:p>
    <w:p>
      <w:pPr>
        <w:spacing w:after="0" w:line="174"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473"/>
        </w:numPr>
        <w:rPr>
          <w:rFonts w:ascii="Arial" w:cs="Arial" w:eastAsia="Arial" w:hAnsi="Arial"/>
          <w:sz w:val="22"/>
          <w:szCs w:val="22"/>
          <w:color w:val="auto"/>
        </w:rPr>
      </w:pPr>
      <w:r>
        <w:rPr>
          <w:rFonts w:ascii="Arial" w:cs="Arial" w:eastAsia="Arial" w:hAnsi="Arial"/>
          <w:sz w:val="22"/>
          <w:szCs w:val="22"/>
          <w:color w:val="auto"/>
        </w:rPr>
        <w:t>taking any action (not adverse to the Liens securing Senior Secured Obligations, the priority status thereof, or the rights of the Applicable Senior Collateral Agent or any of the Senior Secured Obligations Secured Parties to exercise rights, powers and/or remedies in respect thereof) in order to create, perfect, preserve or protect (but not enforce) its Lien on any of the Collateral;</w:t>
      </w:r>
    </w:p>
    <w:p>
      <w:pPr>
        <w:spacing w:after="0" w:line="191" w:lineRule="exact"/>
        <w:rPr>
          <w:rFonts w:ascii="Arial" w:cs="Arial" w:eastAsia="Arial" w:hAnsi="Arial"/>
          <w:sz w:val="22"/>
          <w:szCs w:val="22"/>
          <w:color w:val="auto"/>
        </w:rPr>
      </w:pPr>
    </w:p>
    <w:p>
      <w:pPr>
        <w:jc w:val="both"/>
        <w:ind w:firstLine="1304"/>
        <w:spacing w:after="0" w:line="262" w:lineRule="auto"/>
        <w:tabs>
          <w:tab w:leader="none" w:pos="2278" w:val="left"/>
        </w:tabs>
        <w:numPr>
          <w:ilvl w:val="0"/>
          <w:numId w:val="473"/>
        </w:numPr>
        <w:rPr>
          <w:rFonts w:ascii="Arial" w:cs="Arial" w:eastAsia="Arial" w:hAnsi="Arial"/>
          <w:sz w:val="22"/>
          <w:szCs w:val="22"/>
          <w:color w:val="auto"/>
        </w:rPr>
      </w:pPr>
      <w:r>
        <w:rPr>
          <w:rFonts w:ascii="Arial" w:cs="Arial" w:eastAsia="Arial" w:hAnsi="Arial"/>
          <w:sz w:val="22"/>
          <w:szCs w:val="22"/>
          <w:color w:val="auto"/>
        </w:rPr>
        <w:t>filing any necessary responsive or defensive pleadings in opposition to any motion, claim, adversary proceeding or other pleading made by any person objecting to or otherwise seeking the disallowance of the claims of the Junior Secured Obligations Secured Parties, including any claims secured by the Junior Secured Obligations Collateral, in each case in accordance with the terms of this Agreement;</w:t>
      </w:r>
    </w:p>
    <w:p>
      <w:pPr>
        <w:spacing w:after="0" w:line="191"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473"/>
        </w:numPr>
        <w:rPr>
          <w:rFonts w:ascii="Arial" w:cs="Arial" w:eastAsia="Arial" w:hAnsi="Arial"/>
          <w:sz w:val="22"/>
          <w:szCs w:val="22"/>
          <w:color w:val="auto"/>
        </w:rPr>
      </w:pPr>
      <w:r>
        <w:rPr>
          <w:rFonts w:ascii="Arial" w:cs="Arial" w:eastAsia="Arial" w:hAnsi="Arial"/>
          <w:sz w:val="22"/>
          <w:szCs w:val="22"/>
          <w:color w:val="auto"/>
        </w:rPr>
        <w:t>filing any pleadings, objections, motions or agreements which assert rights or interests available to unsecured creditors of the Grantors arising under either any Insolvency or Liquidation Proceeding or applicable non-bankruptcy law, in each case in accordance with the terms of this Agreement or applicable law (including the bankruptcy laws of any applicable jurisdiction);</w:t>
      </w:r>
    </w:p>
    <w:p>
      <w:pPr>
        <w:spacing w:after="0" w:line="191" w:lineRule="exact"/>
        <w:rPr>
          <w:rFonts w:ascii="Arial" w:cs="Arial" w:eastAsia="Arial" w:hAnsi="Arial"/>
          <w:sz w:val="22"/>
          <w:szCs w:val="22"/>
          <w:color w:val="auto"/>
        </w:rPr>
      </w:pPr>
    </w:p>
    <w:p>
      <w:pPr>
        <w:jc w:val="both"/>
        <w:ind w:firstLine="1304"/>
        <w:spacing w:after="0" w:line="308" w:lineRule="auto"/>
        <w:tabs>
          <w:tab w:leader="none" w:pos="2211" w:val="left"/>
        </w:tabs>
        <w:numPr>
          <w:ilvl w:val="0"/>
          <w:numId w:val="473"/>
        </w:numPr>
        <w:rPr>
          <w:rFonts w:ascii="Arial" w:cs="Arial" w:eastAsia="Arial" w:hAnsi="Arial"/>
          <w:sz w:val="19"/>
          <w:szCs w:val="19"/>
          <w:color w:val="auto"/>
        </w:rPr>
      </w:pPr>
      <w:r>
        <w:rPr>
          <w:rFonts w:ascii="Arial" w:cs="Arial" w:eastAsia="Arial" w:hAnsi="Arial"/>
          <w:sz w:val="19"/>
          <w:szCs w:val="19"/>
          <w:color w:val="auto"/>
        </w:rPr>
        <w:t>join (but not exercise any control with respect to) any judicial foreclosure proceeding or other judicial lien enforcement proceeding with respect to the Senior Secured Obligations Collateral of the Senior Collateral Agent initiated by such Senior Collateral Agent to the extent that any such action could not reasonably be expected, in any material respect, to restrain, hinder, limit, delay for any material period or otherwise interfere with an enforcement action by such Senior Collateral Agent (it being understood that neither the Junior Collateral Agent nor any Junior Secured Obligations Secured Parties shall be entitled to receive any proceeds from the Senior Secured Obligations Collateral unless otherwise expressly permitted herein);</w:t>
      </w:r>
    </w:p>
    <w:p>
      <w:pPr>
        <w:spacing w:after="0" w:line="153" w:lineRule="exact"/>
        <w:rPr>
          <w:rFonts w:ascii="Arial" w:cs="Arial" w:eastAsia="Arial" w:hAnsi="Arial"/>
          <w:sz w:val="19"/>
          <w:szCs w:val="19"/>
          <w:color w:val="auto"/>
        </w:rPr>
      </w:pPr>
    </w:p>
    <w:p>
      <w:pPr>
        <w:jc w:val="both"/>
        <w:ind w:firstLine="1304"/>
        <w:spacing w:after="0" w:line="327" w:lineRule="auto"/>
        <w:tabs>
          <w:tab w:leader="none" w:pos="2052" w:val="left"/>
        </w:tabs>
        <w:numPr>
          <w:ilvl w:val="0"/>
          <w:numId w:val="47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2.04(a)(iii)</w:t>
      </w:r>
      <w:r>
        <w:rPr>
          <w:rFonts w:ascii="Arial" w:cs="Arial" w:eastAsia="Arial" w:hAnsi="Arial"/>
          <w:sz w:val="19"/>
          <w:szCs w:val="19"/>
          <w:color w:val="auto"/>
        </w:rPr>
        <w:t>, inspect, appraise or value the Collateral (and to engage or retain investment bankers or appraisers for the purposes of appraising or valuing the Collateral) or to receive information or reports concerning the Collateral, in each case pursuant to the terms of the ABL Documents or LC Documents, as applicable, or applicable law;</w:t>
      </w:r>
    </w:p>
    <w:p>
      <w:pPr>
        <w:spacing w:after="0" w:line="132" w:lineRule="exact"/>
        <w:rPr>
          <w:rFonts w:ascii="Arial" w:cs="Arial" w:eastAsia="Arial" w:hAnsi="Arial"/>
          <w:sz w:val="19"/>
          <w:szCs w:val="19"/>
          <w:color w:val="auto"/>
        </w:rPr>
      </w:pPr>
    </w:p>
    <w:p>
      <w:pPr>
        <w:jc w:val="both"/>
        <w:ind w:firstLine="1304"/>
        <w:spacing w:after="0" w:line="260" w:lineRule="auto"/>
        <w:tabs>
          <w:tab w:leader="none" w:pos="2101" w:val="left"/>
        </w:tabs>
        <w:numPr>
          <w:ilvl w:val="0"/>
          <w:numId w:val="47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2.04(a)(iii)</w:t>
      </w:r>
      <w:r>
        <w:rPr>
          <w:rFonts w:ascii="Arial" w:cs="Arial" w:eastAsia="Arial" w:hAnsi="Arial"/>
          <w:sz w:val="22"/>
          <w:szCs w:val="22"/>
          <w:color w:val="auto"/>
        </w:rPr>
        <w:t xml:space="preserve">, take any action to seek and obtain specific performance or injunctive relief to compel a Grantor to comply with (or not to violate or breach) an obligation under the ABL Documents or LC Documents,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action does not include any action by a Junior Secured Obligations Secured Party to seek specific performance or injunctive relief against any Senior Secured Obligations Secured Party or the sale or disposition of any such Senior Secured Obligations Secured Party’s Senior Secured Obligations Collateral in contravention of the other provisions of this Agreement;</w:t>
      </w:r>
    </w:p>
    <w:p>
      <w:pPr>
        <w:spacing w:after="0" w:line="191" w:lineRule="exact"/>
        <w:rPr>
          <w:rFonts w:ascii="Arial" w:cs="Arial" w:eastAsia="Arial" w:hAnsi="Arial"/>
          <w:sz w:val="22"/>
          <w:szCs w:val="22"/>
          <w:color w:val="auto"/>
        </w:rPr>
      </w:pPr>
    </w:p>
    <w:p>
      <w:pPr>
        <w:jc w:val="both"/>
        <w:ind w:firstLine="1304"/>
        <w:spacing w:after="0" w:line="306" w:lineRule="auto"/>
        <w:tabs>
          <w:tab w:leader="none" w:pos="2209" w:val="left"/>
        </w:tabs>
        <w:numPr>
          <w:ilvl w:val="0"/>
          <w:numId w:val="473"/>
        </w:numPr>
        <w:rPr>
          <w:rFonts w:ascii="Arial" w:cs="Arial" w:eastAsia="Arial" w:hAnsi="Arial"/>
          <w:sz w:val="19"/>
          <w:szCs w:val="19"/>
          <w:color w:val="auto"/>
        </w:rPr>
      </w:pPr>
      <w:r>
        <w:rPr>
          <w:rFonts w:ascii="Arial" w:cs="Arial" w:eastAsia="Arial" w:hAnsi="Arial"/>
          <w:sz w:val="19"/>
          <w:szCs w:val="19"/>
          <w:color w:val="auto"/>
        </w:rPr>
        <w:t xml:space="preserve">make a cash or, if allowed pursuant to applicable law, credit bid for Collateral at any public or private sale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Secured Party does not challenge the bid of any Senior Secured Obligations Secured Party for its Senior Secured Obligations Collateral other than by the submission of a competing bid, (ii) each Senior Secured Obligations Secured Party may, subject to the terms of its Senior Secured Obligations Collateral Documents, offset its Senior Secured Obligations against the purchase price for the Senior Secured Obligations Collateral and (iii) if such sale includes Junior Secured Obligations Collateral and Senior Secured Obligations Collateral, the Junior Secured Obligations Secured Parties may only bid cash with respect to the Senior Secured Obligations Collateral; and</w:t>
      </w:r>
    </w:p>
    <w:p>
      <w:pPr>
        <w:spacing w:after="0" w:line="156" w:lineRule="exact"/>
        <w:rPr>
          <w:rFonts w:ascii="Arial" w:cs="Arial" w:eastAsia="Arial" w:hAnsi="Arial"/>
          <w:sz w:val="19"/>
          <w:szCs w:val="19"/>
          <w:color w:val="auto"/>
        </w:rPr>
      </w:pPr>
    </w:p>
    <w:p>
      <w:pPr>
        <w:jc w:val="both"/>
        <w:ind w:firstLine="1304"/>
        <w:spacing w:after="0" w:line="262" w:lineRule="auto"/>
        <w:tabs>
          <w:tab w:leader="none" w:pos="2229" w:val="left"/>
        </w:tabs>
        <w:numPr>
          <w:ilvl w:val="0"/>
          <w:numId w:val="473"/>
        </w:numPr>
        <w:rPr>
          <w:rFonts w:ascii="Arial" w:cs="Arial" w:eastAsia="Arial" w:hAnsi="Arial"/>
          <w:sz w:val="22"/>
          <w:szCs w:val="22"/>
          <w:color w:val="auto"/>
        </w:rPr>
      </w:pPr>
      <w:r>
        <w:rPr>
          <w:rFonts w:ascii="Arial" w:cs="Arial" w:eastAsia="Arial" w:hAnsi="Arial"/>
          <w:sz w:val="22"/>
          <w:szCs w:val="22"/>
          <w:color w:val="auto"/>
        </w:rPr>
        <w:t>in any Insolvency or Liquidation Proceeding, (i) voting on any Plan of Reorganization, (ii) filing any proof of claim and (iii) making other filings and motions and making any arguments in connection therewith (including in support of or opposition to, as applicable, the confirmation or approval of any Plan of Reorganization) that comply with the terms of this Agreement.</w:t>
      </w:r>
    </w:p>
    <w:p>
      <w:pPr>
        <w:sectPr>
          <w:pgSz w:w="11900" w:h="16838" w:orient="portrait"/>
          <w:cols w:equalWidth="0" w:num="1">
            <w:col w:w="11240"/>
          </w:cols>
          <w:pgMar w:left="320" w:top="131" w:right="339" w:bottom="79" w:gutter="0" w:footer="0" w:header="0"/>
        </w:sectPr>
      </w:pPr>
    </w:p>
    <w:bookmarkStart w:id="421" w:name="page422"/>
    <w:bookmarkEnd w:id="421"/>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business trust, joint venture, association, company, partnership, limited liability partnership, limited liability company or government, individual or family trusts or any agency or political subdivision thereof.</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Reorganization</w:t>
      </w:r>
      <w:r>
        <w:rPr>
          <w:rFonts w:ascii="Arial" w:cs="Arial" w:eastAsia="Arial" w:hAnsi="Arial"/>
          <w:sz w:val="22"/>
          <w:szCs w:val="22"/>
          <w:color w:val="auto"/>
        </w:rPr>
        <w:t>” means any plan of reorganization, scheme of arrangement, plan of arrangement or compromise, proposal, plan of liquidation, agreement for composition or other type of plan, proposal or arrangement proposed in or in connection with any Insolvency or Liquidation Proceeding.</w:t>
      </w:r>
    </w:p>
    <w:p>
      <w:pPr>
        <w:spacing w:after="0" w:line="185"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Possessory Collateral</w:t>
      </w:r>
      <w:r>
        <w:rPr>
          <w:rFonts w:ascii="Arial" w:cs="Arial" w:eastAsia="Arial" w:hAnsi="Arial"/>
          <w:sz w:val="19"/>
          <w:szCs w:val="19"/>
          <w:color w:val="auto"/>
        </w:rPr>
        <w:t>” means the Collateral in the possession or control of any Collateral Agent (or its agents or bailees), to the extent that possession or control thereof (a) perfects a Lien thereon under the Uniform Commercial Code or (b) provides a substantially similar legal effects as “perfection” under the Uniform Commercial Code under other applicable legislation of any jurisdiction. Possessory Collateral includes, without limitation, any Certificated Securities, Promissory Notes, Instruments and Chattel Paper, in each case, delivered to or in the possession of any Collateral Agent under the terms of the ABL Security Documents or the LC Security Documents. All capitalized terms used in this definition and not defined elsewhere in this Agreement have the meanings assigned to them in the New York UCC.</w:t>
      </w:r>
    </w:p>
    <w:p>
      <w:pPr>
        <w:spacing w:after="0" w:line="15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Possessory Collateral Agent</w:t>
      </w:r>
      <w:r>
        <w:rPr>
          <w:rFonts w:ascii="Arial" w:cs="Arial" w:eastAsia="Arial" w:hAnsi="Arial"/>
          <w:sz w:val="22"/>
          <w:szCs w:val="22"/>
          <w:color w:val="auto"/>
        </w:rPr>
        <w:t>” means, with respect to any Possessory Collateral, the Collateral Agent having possession or control (including through its agents or bailees) of same.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Proceeds</w:t>
      </w:r>
      <w:r>
        <w:rPr>
          <w:rFonts w:ascii="Arial" w:cs="Arial" w:eastAsia="Arial" w:hAnsi="Arial"/>
          <w:sz w:val="22"/>
          <w:szCs w:val="22"/>
          <w:color w:val="auto"/>
        </w:rPr>
        <w:t>” has the meaning set forth in Section 2.01(a).</w:t>
      </w:r>
    </w:p>
    <w:p>
      <w:pPr>
        <w:spacing w:after="0" w:line="233"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 Estate Asset</w:t>
      </w:r>
      <w:r>
        <w:rPr>
          <w:rFonts w:ascii="Arial" w:cs="Arial" w:eastAsia="Arial" w:hAnsi="Arial"/>
          <w:sz w:val="19"/>
          <w:szCs w:val="19"/>
          <w:color w:val="auto"/>
        </w:rPr>
        <w:t>” means, at any time of determination, any interest (fee, leasehold or otherwise) then owned by any Grantor in any real property that does not constitute Excluded Assets (as defined in the LC Credit Agreement).</w:t>
      </w:r>
    </w:p>
    <w:p>
      <w:pPr>
        <w:spacing w:after="0" w:line="10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Refinance</w:t>
      </w:r>
      <w:r>
        <w:rPr>
          <w:rFonts w:ascii="Arial" w:cs="Arial" w:eastAsia="Arial" w:hAnsi="Arial"/>
          <w:sz w:val="19"/>
          <w:szCs w:val="19"/>
          <w:color w:val="auto"/>
        </w:rPr>
        <w:t>” means to amend, restate, supplement, waive, replace (whether or not upon termination, and whether with the original parties or otherwise), restructure, repay, refund, refinance or otherwise modify from time to time (including by means of any agreement or indenture extending the maturity thereof, refinancing, replacing or otherwise restructuring all or any portion of the obligations under such agreement or agreements or indentures or any successor or replacement agreement or agreements or indentures or increasing the amount loaned or issued thereunder or altering the maturity thereof). “</w:t>
      </w:r>
      <w:r>
        <w:rPr>
          <w:rFonts w:ascii="Arial" w:cs="Arial" w:eastAsia="Arial" w:hAnsi="Arial"/>
          <w:sz w:val="19"/>
          <w:szCs w:val="19"/>
          <w:b w:val="1"/>
          <w:bCs w:val="1"/>
          <w:i w:val="1"/>
          <w:iCs w:val="1"/>
          <w:color w:val="auto"/>
        </w:rPr>
        <w:t>Refinanced</w:t>
      </w:r>
      <w:r>
        <w:rPr>
          <w:rFonts w:ascii="Arial" w:cs="Arial" w:eastAsia="Arial" w:hAnsi="Arial"/>
          <w:sz w:val="19"/>
          <w:szCs w:val="19"/>
          <w:color w:val="auto"/>
        </w:rPr>
        <w:t>” and “</w:t>
      </w:r>
      <w:r>
        <w:rPr>
          <w:rFonts w:ascii="Arial" w:cs="Arial" w:eastAsia="Arial" w:hAnsi="Arial"/>
          <w:sz w:val="19"/>
          <w:szCs w:val="19"/>
          <w:b w:val="1"/>
          <w:bCs w:val="1"/>
          <w:i w:val="1"/>
          <w:iCs w:val="1"/>
          <w:color w:val="auto"/>
        </w:rPr>
        <w:t>Refinancing</w:t>
      </w:r>
      <w:r>
        <w:rPr>
          <w:rFonts w:ascii="Arial" w:cs="Arial" w:eastAsia="Arial" w:hAnsi="Arial"/>
          <w:sz w:val="19"/>
          <w:szCs w:val="19"/>
          <w:color w:val="auto"/>
        </w:rPr>
        <w:t xml:space="preserve">” shall have correlative meanings;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that any of the foregoing that increases the principal amount of Senior Claims with respect to any Collateral shall be effective for purposes hereof only if such increase does not contravene the documents pursuant to which any Junior Claims with respect to such Collateral have been incurred, all as in effect on the date hereof or as may be amended in accordance with the terms hereof.</w:t>
      </w:r>
    </w:p>
    <w:p>
      <w:pPr>
        <w:spacing w:after="0" w:line="155"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means (a) in the case of any ABL Obligations, the ABL Collateral Agent and (b) in the case of any LC Obligations, the LC Collateral Agent.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Secured Parties</w:t>
      </w:r>
      <w:r>
        <w:rPr>
          <w:rFonts w:ascii="Arial" w:cs="Arial" w:eastAsia="Arial" w:hAnsi="Arial"/>
          <w:sz w:val="22"/>
          <w:szCs w:val="22"/>
          <w:color w:val="auto"/>
        </w:rPr>
        <w:t>” means (a) the ABL Secured Parties and (b) the LC Secured Parties.</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Claims</w:t>
      </w:r>
      <w:r>
        <w:rPr>
          <w:rFonts w:ascii="Arial" w:cs="Arial" w:eastAsia="Arial" w:hAnsi="Arial"/>
          <w:sz w:val="22"/>
          <w:szCs w:val="22"/>
          <w:color w:val="auto"/>
        </w:rPr>
        <w:t>” means (a) with respect to the ABL Priority Collateral, the ABL Obligations secured by such Collateral and (b) with respect to the LC Priority Collateral, the LC Obligations secured by such Collateral.</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Collateral Agent</w:t>
      </w:r>
      <w:r>
        <w:rPr>
          <w:rFonts w:ascii="Arial" w:cs="Arial" w:eastAsia="Arial" w:hAnsi="Arial"/>
          <w:sz w:val="22"/>
          <w:szCs w:val="22"/>
          <w:color w:val="auto"/>
        </w:rPr>
        <w:t>” means (a) with respect to the LC Priority Collateral, the LC Collateral Agent and (b) with respect to the ABL Priority Collateral, the ABL Collateral Agent.</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Representative</w:t>
      </w:r>
      <w:r>
        <w:rPr>
          <w:rFonts w:ascii="Arial" w:cs="Arial" w:eastAsia="Arial" w:hAnsi="Arial"/>
          <w:sz w:val="22"/>
          <w:szCs w:val="22"/>
          <w:color w:val="auto"/>
        </w:rPr>
        <w:t>” means (a) with respect to the LC Priority Collateral, the LC Collateral Agent and (b) with respect to the ABL Priority Collateral, the ABL Collateral Agent.</w:t>
      </w:r>
    </w:p>
    <w:p>
      <w:pPr>
        <w:spacing w:after="0" w:line="17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w:t>
      </w:r>
      <w:r>
        <w:rPr>
          <w:rFonts w:ascii="Arial" w:cs="Arial" w:eastAsia="Arial" w:hAnsi="Arial"/>
          <w:sz w:val="22"/>
          <w:szCs w:val="22"/>
          <w:color w:val="auto"/>
        </w:rPr>
        <w:t>” means (a) with respect to the ABL Obligations (to the extent such Obligations are secured by the LC Priority Collateral), the LC Obligations, and (b) with respect to the LC Obligations (to the extent such Obligations are secured by the ABL Priority Collateral), the ABL Obligations; the LC Obligations shall, collectively, constitute one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 and the ABL Obligations shall constitute a separate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w:t>
      </w:r>
    </w:p>
    <w:p>
      <w:pPr>
        <w:spacing w:after="0" w:line="19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w:t>
      </w:r>
      <w:r>
        <w:rPr>
          <w:rFonts w:ascii="Arial" w:cs="Arial" w:eastAsia="Arial" w:hAnsi="Arial"/>
          <w:sz w:val="22"/>
          <w:szCs w:val="22"/>
          <w:color w:val="auto"/>
        </w:rPr>
        <w:t>” means, with respect to any Obligations, the Collateral in respect of which such Obligations constitute Senior Claims. For the avoidance of doubt, notwithstanding the Foreign Collateral Agent holding any Liens on Foreign Collateral for the benefit of the Secured Parties, subject to Article VI, Foreign Collateral shall not be treated differently from other Collateral when determining whether such Collateral or its proceeds are Senior Secured Obligations Collateral.</w:t>
      </w:r>
    </w:p>
    <w:p>
      <w:pPr>
        <w:sectPr>
          <w:pgSz w:w="11900" w:h="16838" w:orient="portrait"/>
          <w:cols w:equalWidth="0" w:num="1">
            <w:col w:w="11240"/>
          </w:cols>
          <w:pgMar w:left="320" w:top="131" w:right="339" w:bottom="132" w:gutter="0" w:footer="0" w:header="0"/>
        </w:sectPr>
      </w:pPr>
    </w:p>
    <w:bookmarkStart w:id="422" w:name="page423"/>
    <w:bookmarkEnd w:id="422"/>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 Documents</w:t>
      </w:r>
      <w:r>
        <w:rPr>
          <w:rFonts w:ascii="Arial" w:cs="Arial" w:eastAsia="Arial" w:hAnsi="Arial"/>
          <w:sz w:val="22"/>
          <w:szCs w:val="22"/>
          <w:color w:val="auto"/>
        </w:rPr>
        <w:t>” means (a) with respect to the LC Obligations, the LC Security Documents and (b) with respect to the ABL Obligations, the ABL Security Documents.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Secured Parties</w:t>
      </w:r>
      <w:r>
        <w:rPr>
          <w:rFonts w:ascii="Arial" w:cs="Arial" w:eastAsia="Arial" w:hAnsi="Arial"/>
          <w:sz w:val="22"/>
          <w:szCs w:val="22"/>
          <w:color w:val="auto"/>
        </w:rPr>
        <w:t>” means (a) with respect to the LC Priority Collateral, the LC Secured Parties (to the extent that the Obligations owing to such LC Secured Parties are secured by the LC Priority Collateral) and (b) with respect to the ABL Priority Collateral, the ABL Secured Parties (to the extent that the Obligations owing to such ABL Secured Parties are secured by the ABL Priority Collateral).</w:t>
      </w:r>
    </w:p>
    <w:p>
      <w:pPr>
        <w:spacing w:after="0" w:line="19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w:t>
      </w:r>
    </w:p>
    <w:p>
      <w:pPr>
        <w:spacing w:after="0" w:line="18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b w:val="1"/>
          <w:bCs w:val="1"/>
          <w:i w:val="1"/>
          <w:iCs w:val="1"/>
          <w:color w:val="auto"/>
        </w:rPr>
        <w:t>Luxembourg Terms</w:t>
      </w:r>
      <w:r>
        <w:rPr>
          <w:rFonts w:ascii="Arial" w:cs="Arial" w:eastAsia="Arial" w:hAnsi="Arial"/>
          <w:sz w:val="22"/>
          <w:szCs w:val="22"/>
          <w:color w:val="auto"/>
        </w:rPr>
        <w:t>. In this Agreement, in respect of any Luxembourg Obligor or any other entity which is organized under the laws of the Grand-Duchy of Luxembourg or has its “centre of main interests” (as that term is used in Article 3(1) of the European Insolvency Regulation in Luxembourg, a reference to:</w:t>
      </w:r>
    </w:p>
    <w:p>
      <w:pPr>
        <w:spacing w:after="0" w:line="185" w:lineRule="exact"/>
        <w:rPr>
          <w:sz w:val="20"/>
          <w:szCs w:val="20"/>
          <w:color w:val="auto"/>
        </w:rPr>
      </w:pPr>
    </w:p>
    <w:p>
      <w:pPr>
        <w:ind w:firstLine="1304"/>
        <w:spacing w:after="0" w:line="276" w:lineRule="auto"/>
        <w:tabs>
          <w:tab w:leader="none" w:pos="2359" w:val="left"/>
        </w:tabs>
        <w:numPr>
          <w:ilvl w:val="0"/>
          <w:numId w:val="474"/>
        </w:numPr>
        <w:rPr>
          <w:rFonts w:ascii="Arial" w:cs="Arial" w:eastAsia="Arial" w:hAnsi="Arial"/>
          <w:sz w:val="22"/>
          <w:szCs w:val="22"/>
          <w:color w:val="auto"/>
        </w:rPr>
      </w:pPr>
      <w:r>
        <w:rPr>
          <w:rFonts w:ascii="Arial" w:cs="Arial" w:eastAsia="Arial" w:hAnsi="Arial"/>
          <w:sz w:val="22"/>
          <w:szCs w:val="22"/>
          <w:color w:val="auto"/>
        </w:rPr>
        <w:t>a “liquidator”, “trustee”, “custodian”, “compulsory manager”, “receiver”, “administrative receiver”, “administrator” or “similar officer” includes any:</w:t>
      </w:r>
    </w:p>
    <w:p>
      <w:pPr>
        <w:spacing w:after="0" w:line="174" w:lineRule="exact"/>
        <w:rPr>
          <w:rFonts w:ascii="Arial" w:cs="Arial" w:eastAsia="Arial" w:hAnsi="Arial"/>
          <w:sz w:val="22"/>
          <w:szCs w:val="22"/>
          <w:color w:val="auto"/>
        </w:rPr>
      </w:pPr>
    </w:p>
    <w:p>
      <w:pPr>
        <w:ind w:left="2700" w:hanging="748"/>
        <w:spacing w:after="0"/>
        <w:tabs>
          <w:tab w:leader="none" w:pos="2700" w:val="left"/>
        </w:tabs>
        <w:numPr>
          <w:ilvl w:val="1"/>
          <w:numId w:val="474"/>
        </w:numPr>
        <w:rPr>
          <w:rFonts w:ascii="Arial" w:cs="Arial" w:eastAsia="Arial" w:hAnsi="Arial"/>
          <w:sz w:val="19"/>
          <w:szCs w:val="19"/>
          <w:color w:val="auto"/>
        </w:rPr>
      </w:pPr>
      <w:r>
        <w:rPr>
          <w:rFonts w:ascii="Arial" w:cs="Arial" w:eastAsia="Arial" w:hAnsi="Arial"/>
          <w:sz w:val="19"/>
          <w:szCs w:val="19"/>
          <w:i w:val="1"/>
          <w:iCs w:val="1"/>
          <w:color w:val="auto"/>
        </w:rPr>
        <w:t xml:space="preserve">juge-commissaire </w:t>
      </w:r>
      <w:r>
        <w:rPr>
          <w:rFonts w:ascii="Arial" w:cs="Arial" w:eastAsia="Arial" w:hAnsi="Arial"/>
          <w:sz w:val="19"/>
          <w:szCs w:val="19"/>
          <w:color w:val="auto"/>
        </w:rPr>
        <w:t>or insolvency receiver (</w:t>
      </w:r>
      <w:r>
        <w:rPr>
          <w:rFonts w:ascii="Arial" w:cs="Arial" w:eastAsia="Arial" w:hAnsi="Arial"/>
          <w:sz w:val="19"/>
          <w:szCs w:val="19"/>
          <w:i w:val="1"/>
          <w:iCs w:val="1"/>
          <w:color w:val="auto"/>
        </w:rPr>
        <w:t>curateur</w:t>
      </w:r>
      <w:r>
        <w:rPr>
          <w:rFonts w:ascii="Arial" w:cs="Arial" w:eastAsia="Arial" w:hAnsi="Arial"/>
          <w:sz w:val="19"/>
          <w:szCs w:val="19"/>
          <w:color w:val="auto"/>
        </w:rPr>
        <w:t>) appointed under the Luxembourg Commercial</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28" w:lineRule="exact"/>
        <w:rPr>
          <w:rFonts w:ascii="Arial" w:cs="Arial" w:eastAsia="Arial" w:hAnsi="Arial"/>
          <w:sz w:val="19"/>
          <w:szCs w:val="19"/>
          <w:color w:val="auto"/>
        </w:rPr>
      </w:pPr>
    </w:p>
    <w:p>
      <w:pPr>
        <w:ind w:left="1300" w:firstLine="652"/>
        <w:spacing w:after="0" w:line="276" w:lineRule="auto"/>
        <w:tabs>
          <w:tab w:leader="none" w:pos="2819" w:val="left"/>
        </w:tabs>
        <w:numPr>
          <w:ilvl w:val="1"/>
          <w:numId w:val="474"/>
        </w:numPr>
        <w:rPr>
          <w:rFonts w:ascii="Arial" w:cs="Arial" w:eastAsia="Arial" w:hAnsi="Arial"/>
          <w:sz w:val="22"/>
          <w:szCs w:val="22"/>
          <w:color w:val="auto"/>
        </w:rPr>
      </w:pPr>
      <w:r>
        <w:rPr>
          <w:rFonts w:ascii="Arial" w:cs="Arial" w:eastAsia="Arial" w:hAnsi="Arial"/>
          <w:sz w:val="22"/>
          <w:szCs w:val="22"/>
          <w:i w:val="1"/>
          <w:iCs w:val="1"/>
          <w:color w:val="auto"/>
        </w:rPr>
        <w:t xml:space="preserve">liquidateur </w:t>
      </w:r>
      <w:r>
        <w:rPr>
          <w:rFonts w:ascii="Arial" w:cs="Arial" w:eastAsia="Arial" w:hAnsi="Arial"/>
          <w:sz w:val="22"/>
          <w:szCs w:val="22"/>
          <w:color w:val="auto"/>
        </w:rPr>
        <w:t>appointed under Articles 1100-1 to 1100-15 (inclusive) of the Luxembourg act dated</w:t>
      </w:r>
      <w:r>
        <w:rPr>
          <w:rFonts w:ascii="Arial" w:cs="Arial" w:eastAsia="Arial" w:hAnsi="Arial"/>
          <w:sz w:val="22"/>
          <w:szCs w:val="22"/>
          <w:i w:val="1"/>
          <w:iCs w:val="1"/>
          <w:color w:val="auto"/>
        </w:rPr>
        <w:t xml:space="preserve"> </w:t>
      </w:r>
      <w:r>
        <w:rPr>
          <w:rFonts w:ascii="Arial" w:cs="Arial" w:eastAsia="Arial" w:hAnsi="Arial"/>
          <w:sz w:val="22"/>
          <w:szCs w:val="22"/>
          <w:color w:val="auto"/>
        </w:rPr>
        <w:t>10 August 1915 on commercial companies, as amended;</w:t>
      </w:r>
    </w:p>
    <w:p>
      <w:pPr>
        <w:spacing w:after="0" w:line="174" w:lineRule="exact"/>
        <w:rPr>
          <w:rFonts w:ascii="Arial" w:cs="Arial" w:eastAsia="Arial" w:hAnsi="Arial"/>
          <w:sz w:val="22"/>
          <w:szCs w:val="22"/>
          <w:color w:val="auto"/>
        </w:rPr>
      </w:pPr>
    </w:p>
    <w:p>
      <w:pPr>
        <w:ind w:left="1300" w:firstLine="652"/>
        <w:spacing w:after="0" w:line="276" w:lineRule="auto"/>
        <w:tabs>
          <w:tab w:leader="none" w:pos="2839" w:val="left"/>
        </w:tabs>
        <w:numPr>
          <w:ilvl w:val="1"/>
          <w:numId w:val="474"/>
        </w:numPr>
        <w:rPr>
          <w:rFonts w:ascii="Arial" w:cs="Arial" w:eastAsia="Arial" w:hAnsi="Arial"/>
          <w:sz w:val="22"/>
          <w:szCs w:val="22"/>
          <w:color w:val="auto"/>
        </w:rPr>
      </w:pPr>
      <w:r>
        <w:rPr>
          <w:rFonts w:ascii="Arial" w:cs="Arial" w:eastAsia="Arial" w:hAnsi="Arial"/>
          <w:sz w:val="22"/>
          <w:szCs w:val="22"/>
          <w:i w:val="1"/>
          <w:iCs w:val="1"/>
          <w:color w:val="auto"/>
        </w:rPr>
        <w:t xml:space="preserve">juge-commissaire </w:t>
      </w:r>
      <w:r>
        <w:rPr>
          <w:rFonts w:ascii="Arial" w:cs="Arial" w:eastAsia="Arial" w:hAnsi="Arial"/>
          <w:sz w:val="22"/>
          <w:szCs w:val="22"/>
          <w:color w:val="auto"/>
        </w:rPr>
        <w:t>or</w:t>
      </w:r>
      <w:r>
        <w:rPr>
          <w:rFonts w:ascii="Arial" w:cs="Arial" w:eastAsia="Arial" w:hAnsi="Arial"/>
          <w:sz w:val="22"/>
          <w:szCs w:val="22"/>
          <w:i w:val="1"/>
          <w:iCs w:val="1"/>
          <w:color w:val="auto"/>
        </w:rPr>
        <w:t xml:space="preserve"> liquidateur </w:t>
      </w:r>
      <w:r>
        <w:rPr>
          <w:rFonts w:ascii="Arial" w:cs="Arial" w:eastAsia="Arial" w:hAnsi="Arial"/>
          <w:sz w:val="22"/>
          <w:szCs w:val="22"/>
          <w:color w:val="auto"/>
        </w:rPr>
        <w:t>appointed under Article 1200-1 of the Luxembourg act dated 10</w:t>
      </w:r>
      <w:r>
        <w:rPr>
          <w:rFonts w:ascii="Arial" w:cs="Arial" w:eastAsia="Arial" w:hAnsi="Arial"/>
          <w:sz w:val="22"/>
          <w:szCs w:val="22"/>
          <w:i w:val="1"/>
          <w:iCs w:val="1"/>
          <w:color w:val="auto"/>
        </w:rPr>
        <w:t xml:space="preserve"> </w:t>
      </w:r>
      <w:r>
        <w:rPr>
          <w:rFonts w:ascii="Arial" w:cs="Arial" w:eastAsia="Arial" w:hAnsi="Arial"/>
          <w:sz w:val="22"/>
          <w:szCs w:val="22"/>
          <w:color w:val="auto"/>
        </w:rPr>
        <w:t>August 1915 on commercial companies, as amended;</w:t>
      </w:r>
    </w:p>
    <w:p>
      <w:pPr>
        <w:spacing w:after="0" w:line="174" w:lineRule="exact"/>
        <w:rPr>
          <w:rFonts w:ascii="Arial" w:cs="Arial" w:eastAsia="Arial" w:hAnsi="Arial"/>
          <w:sz w:val="22"/>
          <w:szCs w:val="22"/>
          <w:color w:val="auto"/>
        </w:rPr>
      </w:pPr>
    </w:p>
    <w:p>
      <w:pPr>
        <w:ind w:left="1300" w:firstLine="652"/>
        <w:spacing w:after="0" w:line="358" w:lineRule="auto"/>
        <w:tabs>
          <w:tab w:leader="none" w:pos="3164" w:val="left"/>
        </w:tabs>
        <w:numPr>
          <w:ilvl w:val="1"/>
          <w:numId w:val="474"/>
        </w:numPr>
        <w:rPr>
          <w:rFonts w:ascii="Arial" w:cs="Arial" w:eastAsia="Arial" w:hAnsi="Arial"/>
          <w:sz w:val="19"/>
          <w:szCs w:val="19"/>
          <w:color w:val="auto"/>
        </w:rPr>
      </w:pPr>
      <w:r>
        <w:rPr>
          <w:rFonts w:ascii="Arial" w:cs="Arial" w:eastAsia="Arial" w:hAnsi="Arial"/>
          <w:sz w:val="19"/>
          <w:szCs w:val="19"/>
          <w:i w:val="1"/>
          <w:iCs w:val="1"/>
          <w:color w:val="auto"/>
        </w:rPr>
        <w:t xml:space="preserve">commissaire </w:t>
      </w:r>
      <w:r>
        <w:rPr>
          <w:rFonts w:ascii="Arial" w:cs="Arial" w:eastAsia="Arial" w:hAnsi="Arial"/>
          <w:sz w:val="19"/>
          <w:szCs w:val="19"/>
          <w:color w:val="auto"/>
        </w:rPr>
        <w:t>appointed under the Grand-Ducal decree of 24 May 1935 on the controlled</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regime or under Articles 593 to 614 (inclusive) of the Luxembourg Commercial Code; and</w:t>
      </w:r>
    </w:p>
    <w:p>
      <w:pPr>
        <w:spacing w:after="0" w:line="104" w:lineRule="exact"/>
        <w:rPr>
          <w:rFonts w:ascii="Arial" w:cs="Arial" w:eastAsia="Arial" w:hAnsi="Arial"/>
          <w:sz w:val="19"/>
          <w:szCs w:val="19"/>
          <w:color w:val="auto"/>
        </w:rPr>
      </w:pPr>
    </w:p>
    <w:p>
      <w:pPr>
        <w:ind w:left="1300" w:firstLine="652"/>
        <w:spacing w:after="0" w:line="276" w:lineRule="auto"/>
        <w:tabs>
          <w:tab w:leader="none" w:pos="2807" w:val="left"/>
        </w:tabs>
        <w:numPr>
          <w:ilvl w:val="1"/>
          <w:numId w:val="474"/>
        </w:numPr>
        <w:rPr>
          <w:rFonts w:ascii="Arial" w:cs="Arial" w:eastAsia="Arial" w:hAnsi="Arial"/>
          <w:sz w:val="22"/>
          <w:szCs w:val="22"/>
          <w:color w:val="auto"/>
        </w:rPr>
      </w:pPr>
      <w:r>
        <w:rPr>
          <w:rFonts w:ascii="Arial" w:cs="Arial" w:eastAsia="Arial" w:hAnsi="Arial"/>
          <w:sz w:val="22"/>
          <w:szCs w:val="22"/>
          <w:i w:val="1"/>
          <w:iCs w:val="1"/>
          <w:color w:val="auto"/>
        </w:rPr>
        <w:t xml:space="preserve">juge délégué </w:t>
      </w:r>
      <w:r>
        <w:rPr>
          <w:rFonts w:ascii="Arial" w:cs="Arial" w:eastAsia="Arial" w:hAnsi="Arial"/>
          <w:sz w:val="22"/>
          <w:szCs w:val="22"/>
          <w:color w:val="auto"/>
        </w:rPr>
        <w:t>appointed under the Luxembourg act of 14 April 1886 on the composition to avoid</w:t>
      </w:r>
      <w:r>
        <w:rPr>
          <w:rFonts w:ascii="Arial" w:cs="Arial" w:eastAsia="Arial" w:hAnsi="Arial"/>
          <w:sz w:val="22"/>
          <w:szCs w:val="22"/>
          <w:i w:val="1"/>
          <w:iCs w:val="1"/>
          <w:color w:val="auto"/>
        </w:rPr>
        <w:t xml:space="preserve"> </w:t>
      </w:r>
      <w:r>
        <w:rPr>
          <w:rFonts w:ascii="Arial" w:cs="Arial" w:eastAsia="Arial" w:hAnsi="Arial"/>
          <w:sz w:val="22"/>
          <w:szCs w:val="22"/>
          <w:color w:val="auto"/>
        </w:rPr>
        <w:t>bankruptcy, as amended; and</w:t>
      </w:r>
    </w:p>
    <w:p>
      <w:pPr>
        <w:spacing w:after="0" w:line="174" w:lineRule="exact"/>
        <w:rPr>
          <w:rFonts w:ascii="Arial" w:cs="Arial" w:eastAsia="Arial" w:hAnsi="Arial"/>
          <w:sz w:val="22"/>
          <w:szCs w:val="22"/>
          <w:color w:val="auto"/>
        </w:rPr>
      </w:pPr>
    </w:p>
    <w:p>
      <w:pPr>
        <w:jc w:val="both"/>
        <w:ind w:firstLine="1304"/>
        <w:spacing w:after="0" w:line="266" w:lineRule="auto"/>
        <w:tabs>
          <w:tab w:leader="none" w:pos="2115" w:val="left"/>
        </w:tabs>
        <w:numPr>
          <w:ilvl w:val="0"/>
          <w:numId w:val="474"/>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i w:val="1"/>
          <w:iCs w:val="1"/>
          <w:color w:val="auto"/>
        </w:rPr>
        <w:t>winding-up</w:t>
      </w:r>
      <w:r>
        <w:rPr>
          <w:rFonts w:ascii="Arial" w:cs="Arial" w:eastAsia="Arial" w:hAnsi="Arial"/>
          <w:sz w:val="22"/>
          <w:szCs w:val="22"/>
          <w:color w:val="auto"/>
        </w:rPr>
        <w:t>”, “</w:t>
      </w:r>
      <w:r>
        <w:rPr>
          <w:rFonts w:ascii="Arial" w:cs="Arial" w:eastAsia="Arial" w:hAnsi="Arial"/>
          <w:sz w:val="22"/>
          <w:szCs w:val="22"/>
          <w:i w:val="1"/>
          <w:iCs w:val="1"/>
          <w:color w:val="auto"/>
        </w:rPr>
        <w:t>administration</w:t>
      </w:r>
      <w:r>
        <w:rPr>
          <w:rFonts w:ascii="Arial" w:cs="Arial" w:eastAsia="Arial" w:hAnsi="Arial"/>
          <w:sz w:val="22"/>
          <w:szCs w:val="22"/>
          <w:color w:val="auto"/>
        </w:rPr>
        <w:t>”, “</w:t>
      </w:r>
      <w:r>
        <w:rPr>
          <w:rFonts w:ascii="Arial" w:cs="Arial" w:eastAsia="Arial" w:hAnsi="Arial"/>
          <w:sz w:val="22"/>
          <w:szCs w:val="22"/>
          <w:i w:val="1"/>
          <w:iCs w:val="1"/>
          <w:color w:val="auto"/>
        </w:rPr>
        <w:t>liquidation</w:t>
      </w:r>
      <w:r>
        <w:rPr>
          <w:rFonts w:ascii="Arial" w:cs="Arial" w:eastAsia="Arial" w:hAnsi="Arial"/>
          <w:sz w:val="22"/>
          <w:szCs w:val="22"/>
          <w:color w:val="auto"/>
        </w:rPr>
        <w:t>” or “</w:t>
      </w:r>
      <w:r>
        <w:rPr>
          <w:rFonts w:ascii="Arial" w:cs="Arial" w:eastAsia="Arial" w:hAnsi="Arial"/>
          <w:sz w:val="22"/>
          <w:szCs w:val="22"/>
          <w:i w:val="1"/>
          <w:iCs w:val="1"/>
          <w:color w:val="auto"/>
        </w:rPr>
        <w:t>dissolution</w:t>
      </w:r>
      <w:r>
        <w:rPr>
          <w:rFonts w:ascii="Arial" w:cs="Arial" w:eastAsia="Arial" w:hAnsi="Arial"/>
          <w:sz w:val="22"/>
          <w:szCs w:val="22"/>
          <w:color w:val="auto"/>
        </w:rPr>
        <w:t>” includes, without limitation, bankruptcy (</w:t>
      </w:r>
      <w:r>
        <w:rPr>
          <w:rFonts w:ascii="Arial" w:cs="Arial" w:eastAsia="Arial" w:hAnsi="Arial"/>
          <w:sz w:val="22"/>
          <w:szCs w:val="22"/>
          <w:i w:val="1"/>
          <w:iCs w:val="1"/>
          <w:color w:val="auto"/>
        </w:rPr>
        <w:t>faillite</w:t>
      </w:r>
      <w:r>
        <w:rPr>
          <w:rFonts w:ascii="Arial" w:cs="Arial" w:eastAsia="Arial" w:hAnsi="Arial"/>
          <w:sz w:val="22"/>
          <w:szCs w:val="22"/>
          <w:color w:val="auto"/>
        </w:rPr>
        <w:t>), liquidation, composition with creditors (</w:t>
      </w:r>
      <w:r>
        <w:rPr>
          <w:rFonts w:ascii="Arial" w:cs="Arial" w:eastAsia="Arial" w:hAnsi="Arial"/>
          <w:sz w:val="22"/>
          <w:szCs w:val="22"/>
          <w:i w:val="1"/>
          <w:iCs w:val="1"/>
          <w:color w:val="auto"/>
        </w:rPr>
        <w:t>concordat préventif de faillite</w:t>
      </w:r>
      <w:r>
        <w:rPr>
          <w:rFonts w:ascii="Arial" w:cs="Arial" w:eastAsia="Arial" w:hAnsi="Arial"/>
          <w:sz w:val="22"/>
          <w:szCs w:val="22"/>
          <w:color w:val="auto"/>
        </w:rPr>
        <w:t>), moratorium or reprieve from payment (</w:t>
      </w:r>
      <w:r>
        <w:rPr>
          <w:rFonts w:ascii="Arial" w:cs="Arial" w:eastAsia="Arial" w:hAnsi="Arial"/>
          <w:sz w:val="22"/>
          <w:szCs w:val="22"/>
          <w:i w:val="1"/>
          <w:iCs w:val="1"/>
          <w:color w:val="auto"/>
        </w:rPr>
        <w:t>sursis de</w:t>
      </w:r>
      <w:r>
        <w:rPr>
          <w:rFonts w:ascii="Arial" w:cs="Arial" w:eastAsia="Arial" w:hAnsi="Arial"/>
          <w:sz w:val="22"/>
          <w:szCs w:val="22"/>
          <w:color w:val="auto"/>
        </w:rPr>
        <w:t xml:space="preserve"> </w:t>
      </w:r>
      <w:r>
        <w:rPr>
          <w:rFonts w:ascii="Arial" w:cs="Arial" w:eastAsia="Arial" w:hAnsi="Arial"/>
          <w:sz w:val="22"/>
          <w:szCs w:val="22"/>
          <w:i w:val="1"/>
          <w:iCs w:val="1"/>
          <w:color w:val="auto"/>
        </w:rPr>
        <w:t>paiement</w:t>
      </w:r>
      <w:r>
        <w:rPr>
          <w:rFonts w:ascii="Arial" w:cs="Arial" w:eastAsia="Arial" w:hAnsi="Arial"/>
          <w:sz w:val="22"/>
          <w:szCs w:val="22"/>
          <w:color w:val="auto"/>
        </w:rPr>
        <w:t>) and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2080" w:hanging="776"/>
        <w:spacing w:after="0"/>
        <w:tabs>
          <w:tab w:leader="none" w:pos="2080" w:val="left"/>
        </w:tabs>
        <w:numPr>
          <w:ilvl w:val="0"/>
          <w:numId w:val="474"/>
        </w:numPr>
        <w:rPr>
          <w:rFonts w:ascii="Arial" w:cs="Arial" w:eastAsia="Arial" w:hAnsi="Arial"/>
          <w:sz w:val="21"/>
          <w:szCs w:val="21"/>
          <w:color w:val="auto"/>
        </w:rPr>
      </w:pPr>
      <w:r>
        <w:rPr>
          <w:rFonts w:ascii="Arial" w:cs="Arial" w:eastAsia="Arial" w:hAnsi="Arial"/>
          <w:sz w:val="21"/>
          <w:szCs w:val="21"/>
          <w:color w:val="auto"/>
        </w:rPr>
        <w:t>an officer, a manager or a director includes a manager (</w:t>
      </w:r>
      <w:r>
        <w:rPr>
          <w:rFonts w:ascii="Arial" w:cs="Arial" w:eastAsia="Arial" w:hAnsi="Arial"/>
          <w:sz w:val="21"/>
          <w:szCs w:val="21"/>
          <w:i w:val="1"/>
          <w:iCs w:val="1"/>
          <w:color w:val="auto"/>
        </w:rPr>
        <w:t>gérant</w:t>
      </w:r>
      <w:r>
        <w:rPr>
          <w:rFonts w:ascii="Arial" w:cs="Arial" w:eastAsia="Arial" w:hAnsi="Arial"/>
          <w:sz w:val="21"/>
          <w:szCs w:val="21"/>
          <w:color w:val="auto"/>
        </w:rPr>
        <w:t>) and a director (</w:t>
      </w:r>
      <w:r>
        <w:rPr>
          <w:rFonts w:ascii="Arial" w:cs="Arial" w:eastAsia="Arial" w:hAnsi="Arial"/>
          <w:sz w:val="21"/>
          <w:szCs w:val="21"/>
          <w:i w:val="1"/>
          <w:iCs w:val="1"/>
          <w:color w:val="auto"/>
        </w:rPr>
        <w:t>administrateur</w:t>
      </w:r>
      <w:r>
        <w:rPr>
          <w:rFonts w:ascii="Arial" w:cs="Arial" w:eastAsia="Arial" w:hAnsi="Arial"/>
          <w:sz w:val="21"/>
          <w:szCs w:val="21"/>
          <w:color w:val="auto"/>
        </w:rPr>
        <w:t>).</w:t>
      </w:r>
    </w:p>
    <w:p>
      <w:pPr>
        <w:spacing w:after="0" w:line="245"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b w:val="1"/>
          <w:bCs w:val="1"/>
          <w:i w:val="1"/>
          <w:iCs w:val="1"/>
          <w:color w:val="auto"/>
        </w:rPr>
        <w:t>Designation of Swap and Banking Obligations</w:t>
      </w:r>
      <w:r>
        <w:rPr>
          <w:rFonts w:ascii="Arial" w:cs="Arial" w:eastAsia="Arial" w:hAnsi="Arial"/>
          <w:sz w:val="19"/>
          <w:szCs w:val="19"/>
          <w:color w:val="auto"/>
        </w:rPr>
        <w:t>. With respect to any Bank Product Obligations that would otherwise constitute both ABL Obligations and LC Obligations hereunder, such Bank Product Obligations shall solely constitute ABL Obligations for all purposes of this Agreement unless at the time that Parent or any Subsidiary thereof enters into any agreement giving rise to Bank Product Obligations, or at any time thereafter, the counterparty to such agreement and Parent or such Subsidiary (as applicable) shall designate the related Bank Product Obligations under such agreement as LC Obligations in a writing signed between such parties with a copy to each Representative party hereto, in which case such Bank Product Obligations shall solely constitute LC Obligations for all purposes of this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Priorities and Agreements with Respect to Collateral</w:t>
      </w:r>
    </w:p>
    <w:p>
      <w:pPr>
        <w:spacing w:after="0" w:line="239"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b w:val="1"/>
          <w:bCs w:val="1"/>
          <w:i w:val="1"/>
          <w:iCs w:val="1"/>
          <w:color w:val="auto"/>
        </w:rPr>
        <w:t>Priority of Claims</w:t>
      </w:r>
      <w:r>
        <w:rPr>
          <w:rFonts w:ascii="Arial" w:cs="Arial" w:eastAsia="Arial" w:hAnsi="Arial"/>
          <w:sz w:val="19"/>
          <w:szCs w:val="19"/>
          <w:color w:val="auto"/>
        </w:rPr>
        <w:t>. (a) Anything contained herein or in any of the ABL Documents or the LC Documents to the contrary notwithstanding, if an Event of Default has occurred and is continuing, and any Collateral Agent is taking action to enforce rights in respect of any Collateral (whether in an Insolvency or Liquidation Proceeding or otherwise), or any distribution is made in respect of any Collateral in any Insolvency or Liquidation Proceeding with respect to any Grantor, the Proceeds (subject, in the case of any such distribution, to Section 2.06 hereof) (all proceeds of any sale, collection or other liquidation of any Collateral and all proceeds of any such distribution, including adequate protection or similar payments under any Debtor Relief Law, being collectively referred to as “</w:t>
      </w:r>
      <w:r>
        <w:rPr>
          <w:rFonts w:ascii="Arial" w:cs="Arial" w:eastAsia="Arial" w:hAnsi="Arial"/>
          <w:sz w:val="19"/>
          <w:szCs w:val="19"/>
          <w:b w:val="1"/>
          <w:bCs w:val="1"/>
          <w:i w:val="1"/>
          <w:iCs w:val="1"/>
          <w:color w:val="auto"/>
        </w:rPr>
        <w:t>Proceeds</w:t>
      </w:r>
      <w:r>
        <w:rPr>
          <w:rFonts w:ascii="Arial" w:cs="Arial" w:eastAsia="Arial" w:hAnsi="Arial"/>
          <w:sz w:val="19"/>
          <w:szCs w:val="19"/>
          <w:color w:val="auto"/>
        </w:rPr>
        <w:t>”) shall be applied as follows:</w:t>
      </w:r>
    </w:p>
    <w:p>
      <w:pPr>
        <w:spacing w:after="0" w:line="156" w:lineRule="exact"/>
        <w:rPr>
          <w:sz w:val="20"/>
          <w:szCs w:val="20"/>
          <w:color w:val="auto"/>
        </w:rPr>
      </w:pPr>
    </w:p>
    <w:p>
      <w:pPr>
        <w:ind w:left="2700" w:hanging="748"/>
        <w:spacing w:after="0"/>
        <w:tabs>
          <w:tab w:leader="none" w:pos="27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In the case of LC Priority Collateral,</w:t>
      </w:r>
    </w:p>
    <w:p>
      <w:pPr>
        <w:sectPr>
          <w:pgSz w:w="11900" w:h="16838" w:orient="portrait"/>
          <w:cols w:equalWidth="0" w:num="1">
            <w:col w:w="11240"/>
          </w:cols>
          <w:pgMar w:left="320" w:top="131" w:right="339" w:bottom="0" w:gutter="0" w:footer="0" w:header="0"/>
        </w:sectPr>
      </w:pPr>
    </w:p>
    <w:bookmarkStart w:id="423" w:name="page424"/>
    <w:bookmarkEnd w:id="423"/>
    <w:p>
      <w:pPr>
        <w:ind w:left="2600"/>
        <w:spacing w:after="0" w:line="276" w:lineRule="auto"/>
        <w:rPr>
          <w:sz w:val="20"/>
          <w:szCs w:val="20"/>
          <w:color w:val="auto"/>
        </w:rPr>
      </w:pPr>
      <w:r>
        <w:rPr>
          <w:rFonts w:ascii="Arial" w:cs="Arial" w:eastAsia="Arial" w:hAnsi="Arial"/>
          <w:sz w:val="22"/>
          <w:szCs w:val="22"/>
          <w:color w:val="auto"/>
        </w:rPr>
        <w:t>FIRST, to the payment in full of the LC Obligations in accordance with Section 9.04 of the LC Credit Agreement and the other applicable provisions of the LC Documents, and</w:t>
      </w:r>
    </w:p>
    <w:p>
      <w:pPr>
        <w:spacing w:after="0" w:line="174" w:lineRule="exact"/>
        <w:rPr>
          <w:sz w:val="20"/>
          <w:szCs w:val="20"/>
          <w:color w:val="auto"/>
        </w:rPr>
      </w:pPr>
    </w:p>
    <w:p>
      <w:pPr>
        <w:ind w:left="2600"/>
        <w:spacing w:after="0" w:line="301" w:lineRule="auto"/>
        <w:rPr>
          <w:sz w:val="20"/>
          <w:szCs w:val="20"/>
          <w:color w:val="auto"/>
        </w:rPr>
      </w:pPr>
      <w:r>
        <w:rPr>
          <w:rFonts w:ascii="Arial" w:cs="Arial" w:eastAsia="Arial" w:hAnsi="Arial"/>
          <w:sz w:val="21"/>
          <w:szCs w:val="21"/>
          <w:color w:val="auto"/>
        </w:rPr>
        <w:t>SECOND, to the payment in full of the ABL Obligations in accordance with Section 2.4(b) of the ABL Credit Agreement and the other applicable provisions of the ABL Documents.</w:t>
      </w:r>
    </w:p>
    <w:p>
      <w:pPr>
        <w:spacing w:after="0" w:line="150"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If any ABL Obligations remain outstanding after the Discharge of the LC Obligations, all proceeds of the LC Priority Collateral will be applied to the repayment of any outstanding ABL Obligations.</w:t>
      </w:r>
    </w:p>
    <w:p>
      <w:pPr>
        <w:spacing w:after="0" w:line="174" w:lineRule="exact"/>
        <w:rPr>
          <w:sz w:val="20"/>
          <w:szCs w:val="20"/>
          <w:color w:val="auto"/>
        </w:rPr>
      </w:pPr>
    </w:p>
    <w:p>
      <w:pPr>
        <w:ind w:left="2760" w:hanging="808"/>
        <w:spacing w:after="0"/>
        <w:tabs>
          <w:tab w:leader="none" w:pos="27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In the case of ABL Priority Collateral,</w:t>
      </w:r>
    </w:p>
    <w:p>
      <w:pPr>
        <w:spacing w:after="0" w:line="233" w:lineRule="exact"/>
        <w:rPr>
          <w:sz w:val="20"/>
          <w:szCs w:val="20"/>
          <w:color w:val="auto"/>
        </w:rPr>
      </w:pPr>
    </w:p>
    <w:p>
      <w:pPr>
        <w:ind w:left="2600"/>
        <w:spacing w:after="0" w:line="301" w:lineRule="auto"/>
        <w:rPr>
          <w:sz w:val="20"/>
          <w:szCs w:val="20"/>
          <w:color w:val="auto"/>
        </w:rPr>
      </w:pPr>
      <w:r>
        <w:rPr>
          <w:rFonts w:ascii="Arial" w:cs="Arial" w:eastAsia="Arial" w:hAnsi="Arial"/>
          <w:sz w:val="21"/>
          <w:szCs w:val="21"/>
          <w:color w:val="auto"/>
        </w:rPr>
        <w:t>FIRST, to the payment in full of the ABL Obligations in accordance with Section 2.4(b) of the ABL Credit Agreement and the other applicable provisions of the ABL Documents, and</w:t>
      </w:r>
    </w:p>
    <w:p>
      <w:pPr>
        <w:spacing w:after="0" w:line="150" w:lineRule="exact"/>
        <w:rPr>
          <w:sz w:val="20"/>
          <w:szCs w:val="20"/>
          <w:color w:val="auto"/>
        </w:rPr>
      </w:pPr>
    </w:p>
    <w:p>
      <w:pPr>
        <w:ind w:left="2600"/>
        <w:spacing w:after="0" w:line="276" w:lineRule="auto"/>
        <w:rPr>
          <w:sz w:val="20"/>
          <w:szCs w:val="20"/>
          <w:color w:val="auto"/>
        </w:rPr>
      </w:pPr>
      <w:r>
        <w:rPr>
          <w:rFonts w:ascii="Arial" w:cs="Arial" w:eastAsia="Arial" w:hAnsi="Arial"/>
          <w:sz w:val="22"/>
          <w:szCs w:val="22"/>
          <w:color w:val="auto"/>
        </w:rPr>
        <w:t>SECOND, to the payment in full of the LC Obligations in accordance with Section 9.04 of the LC Credit Agreement and the other applicable provisions of the LC Documents.</w:t>
      </w:r>
    </w:p>
    <w:p>
      <w:pPr>
        <w:spacing w:after="0" w:line="174"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If any LC Obligations remain outstanding after the Discharge of the ABL Obligations, all proceeds of the ABL Priority Collateral will be applied to the repayment of any outstanding LC Obligations.</w:t>
      </w:r>
    </w:p>
    <w:p>
      <w:pPr>
        <w:spacing w:after="0" w:line="174" w:lineRule="exact"/>
        <w:rPr>
          <w:sz w:val="20"/>
          <w:szCs w:val="20"/>
          <w:color w:val="auto"/>
        </w:rPr>
      </w:pPr>
    </w:p>
    <w:p>
      <w:pPr>
        <w:jc w:val="both"/>
        <w:ind w:firstLine="1304"/>
        <w:spacing w:after="0" w:line="271" w:lineRule="auto"/>
        <w:tabs>
          <w:tab w:leader="none" w:pos="2182" w:val="left"/>
        </w:tabs>
        <w:numPr>
          <w:ilvl w:val="0"/>
          <w:numId w:val="477"/>
        </w:numPr>
        <w:rPr>
          <w:rFonts w:ascii="Arial" w:cs="Arial" w:eastAsia="Arial" w:hAnsi="Arial"/>
          <w:sz w:val="21"/>
          <w:szCs w:val="21"/>
          <w:color w:val="auto"/>
        </w:rPr>
      </w:pPr>
      <w:r>
        <w:rPr>
          <w:rFonts w:ascii="Arial" w:cs="Arial" w:eastAsia="Arial" w:hAnsi="Arial"/>
          <w:sz w:val="21"/>
          <w:szCs w:val="21"/>
          <w:color w:val="auto"/>
        </w:rPr>
        <w:t>It is acknowledged that (i) the aggregate amount of any Senior Secured Obligations may, subject to the limitations set forth in the ABL Credit Agreement and the LC Credit Agreement, both as in effect on the date hereof, may be Refinanced from time to time, all without affecting the priorities set forth in Section 2.01(a) or the provisions of this Agreement defining the relative rights of the ABL Secured Parties and the LC Secured Parties and (ii) the Senior Secured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Secured Obligations (or any part thereof) or the Senior Secured Obligations (or any part thereof), by the release of any Collateral or of any guarantees for any Junior Secured Obligations or Senior Secured Obligations or by any action that any Representative or Secured Party may take or fail to take in respect of any Collateral.</w:t>
      </w:r>
    </w:p>
    <w:p>
      <w:pPr>
        <w:spacing w:after="0" w:line="189" w:lineRule="exact"/>
        <w:rPr>
          <w:rFonts w:ascii="Arial" w:cs="Arial" w:eastAsia="Arial" w:hAnsi="Arial"/>
          <w:sz w:val="21"/>
          <w:szCs w:val="21"/>
          <w:color w:val="auto"/>
        </w:rPr>
      </w:pPr>
    </w:p>
    <w:p>
      <w:pPr>
        <w:jc w:val="both"/>
        <w:ind w:firstLine="1304"/>
        <w:spacing w:after="0" w:line="306" w:lineRule="auto"/>
        <w:tabs>
          <w:tab w:leader="none" w:pos="213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Notwithstanding the date, time, method, manner or order of grant, attachment or perfection of any Liens securing the LC Obligations granted on the Collateral or of any Liens securing the ABL Obligations granted on the Collateral and notwithstanding any provision of the Uniform Commercial Code or other applicable legislation of any jurisdiction, or any other applicable law or the ABL Documents or the LC Documents, or any defect or deficiencies in or failure to perfect any such Liens or any other circumstance whatsoever (1) the Liens on the LC Priority Collateral securing the LC Obligations will rank senior to any Liens on the LC Priority Collateral securing the ABL Obligations and (2) the Liens on the ABL Priority Collateral securing the ABL Obligations will rank senior to any Liens on the ABL Priority Collateral securing the LC Obligations.</w:t>
      </w:r>
    </w:p>
    <w:p>
      <w:pPr>
        <w:spacing w:after="0" w:line="156" w:lineRule="exact"/>
        <w:rPr>
          <w:rFonts w:ascii="Arial" w:cs="Arial" w:eastAsia="Arial" w:hAnsi="Arial"/>
          <w:sz w:val="19"/>
          <w:szCs w:val="19"/>
          <w:color w:val="auto"/>
        </w:rPr>
      </w:pPr>
    </w:p>
    <w:p>
      <w:pPr>
        <w:jc w:val="both"/>
        <w:ind w:firstLine="1304"/>
        <w:spacing w:after="0" w:line="259" w:lineRule="auto"/>
        <w:tabs>
          <w:tab w:leader="none" w:pos="2317" w:val="left"/>
        </w:tabs>
        <w:numPr>
          <w:ilvl w:val="0"/>
          <w:numId w:val="477"/>
        </w:numPr>
        <w:rPr>
          <w:rFonts w:ascii="Arial" w:cs="Arial" w:eastAsia="Arial" w:hAnsi="Arial"/>
          <w:sz w:val="22"/>
          <w:szCs w:val="22"/>
          <w:color w:val="auto"/>
        </w:rPr>
      </w:pPr>
      <w:r>
        <w:rPr>
          <w:rFonts w:ascii="Arial" w:cs="Arial" w:eastAsia="Arial" w:hAnsi="Arial"/>
          <w:sz w:val="22"/>
          <w:szCs w:val="22"/>
          <w:color w:val="auto"/>
        </w:rPr>
        <w:t>For the avoidance of doubt, notwithstanding that Liens granted to the Foreign Collateral Agent, LC Collateral Agent, or ABL Collateral Agent on the Collateral governed by the laws of a jurisdiction located outside of the United States of America (the “</w:t>
      </w:r>
      <w:r>
        <w:rPr>
          <w:rFonts w:ascii="Arial" w:cs="Arial" w:eastAsia="Arial" w:hAnsi="Arial"/>
          <w:sz w:val="22"/>
          <w:szCs w:val="22"/>
          <w:u w:val="single" w:color="auto"/>
          <w:color w:val="auto"/>
        </w:rPr>
        <w:t>Foreign Collateral</w:t>
      </w:r>
      <w:r>
        <w:rPr>
          <w:rFonts w:ascii="Arial" w:cs="Arial" w:eastAsia="Arial" w:hAnsi="Arial"/>
          <w:sz w:val="22"/>
          <w:szCs w:val="22"/>
          <w:color w:val="auto"/>
        </w:rPr>
        <w:t xml:space="preserve">”) may (A) have legally the same or different ranking due to mandatory legal provisions governing such Foreign Collateral; (B) have been granted or perfected in an order contrary to the contemplated ranking as set forth in this Agreement or (C) not have been granted to ABL Collateral Agent or LC Collateral Agent, the contractual ranking of the Liens on such Foreign Collateral shall be consistent with the ranking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Article VI</w:t>
      </w:r>
      <w:r>
        <w:rPr>
          <w:rFonts w:ascii="Arial" w:cs="Arial" w:eastAsia="Arial" w:hAnsi="Arial"/>
          <w:sz w:val="22"/>
          <w:szCs w:val="22"/>
          <w:color w:val="auto"/>
        </w:rPr>
        <w:t>, all other terms and provisions of this Agreement with respect to Collateral shall be applicable to such Foreign Collateral.</w:t>
      </w:r>
    </w:p>
    <w:p>
      <w:pPr>
        <w:spacing w:after="0" w:line="192"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8"/>
          <w:szCs w:val="18"/>
          <w:b w:val="1"/>
          <w:bCs w:val="1"/>
          <w:i w:val="1"/>
          <w:iCs w:val="1"/>
          <w:color w:val="auto"/>
        </w:rPr>
        <w:t>Actions With Respect to Collateral; Prohibition on Contesting Liens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99" w:lineRule="auto"/>
        <w:tabs>
          <w:tab w:leader="none" w:pos="2116" w:val="left"/>
        </w:tabs>
        <w:numPr>
          <w:ilvl w:val="1"/>
          <w:numId w:val="478"/>
        </w:numPr>
        <w:rPr>
          <w:rFonts w:ascii="Arial" w:cs="Arial" w:eastAsia="Arial" w:hAnsi="Arial"/>
          <w:sz w:val="19"/>
          <w:szCs w:val="19"/>
          <w:color w:val="auto"/>
        </w:rPr>
      </w:pPr>
      <w:r>
        <w:rPr>
          <w:rFonts w:ascii="Arial" w:cs="Arial" w:eastAsia="Arial" w:hAnsi="Arial"/>
          <w:sz w:val="19"/>
          <w:szCs w:val="19"/>
          <w:color w:val="auto"/>
        </w:rPr>
        <w:t>Until the Discharge of all of the Senior Secured Obligations of a particular Class, (i) only the Applicable Senior Collateral Agent shall act or refrain from acting with respect to the Senior Secured Obligations Collateral of such Class,</w:t>
      </w:r>
    </w:p>
    <w:p>
      <w:pPr>
        <w:jc w:val="both"/>
        <w:ind w:firstLine="8"/>
        <w:spacing w:after="0" w:line="302" w:lineRule="auto"/>
        <w:tabs>
          <w:tab w:leader="none" w:pos="326" w:val="left"/>
        </w:tabs>
        <w:numPr>
          <w:ilvl w:val="0"/>
          <w:numId w:val="479"/>
        </w:numPr>
        <w:rPr>
          <w:rFonts w:ascii="Arial" w:cs="Arial" w:eastAsia="Arial" w:hAnsi="Arial"/>
          <w:sz w:val="19"/>
          <w:szCs w:val="19"/>
          <w:color w:val="auto"/>
        </w:rPr>
      </w:pPr>
      <w:r>
        <w:rPr>
          <w:rFonts w:ascii="Arial" w:cs="Arial" w:eastAsia="Arial" w:hAnsi="Arial"/>
          <w:sz w:val="19"/>
          <w:szCs w:val="19"/>
          <w:color w:val="auto"/>
        </w:rPr>
        <w:t>no Collateral Agent shall follow any instructions with respect to such Senior Secured Obligations Collateral from any Junior Representative or from any Junior Secured Obligations Secured Parties and (iii) each Junior Representative and the Junior Secured Obligations Secured Parties shall not, and shall not instruct any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Junior Secured Obligations Collateral, whether under any ABL Security Document or any LC Security Document, as applicable, applicable law or otherwise, it being agreed that (A) only the Applicable Senior Collateral Agent, acting in accordance with the ABL Security Documents or the LC Security Documents, as applicable, shall be entitled to take any such actions or exercise any such remedies, or to cause any Collateral Agent to do so and (B) notwithstanding the foregoing, each Junior Representative may take Permitted Remedies. Each Senior Collateral Agent may deal</w:t>
      </w:r>
    </w:p>
    <w:p>
      <w:pPr>
        <w:sectPr>
          <w:pgSz w:w="11900" w:h="16838" w:orient="portrait"/>
          <w:cols w:equalWidth="0" w:num="1">
            <w:col w:w="11240"/>
          </w:cols>
          <w:pgMar w:left="320" w:top="131" w:right="339" w:bottom="0" w:gutter="0" w:footer="0" w:header="0"/>
        </w:sectPr>
      </w:pPr>
    </w:p>
    <w:bookmarkStart w:id="424" w:name="page425"/>
    <w:bookmarkEnd w:id="424"/>
    <w:p>
      <w:pPr>
        <w:jc w:val="both"/>
        <w:spacing w:after="0" w:line="276" w:lineRule="auto"/>
        <w:rPr>
          <w:sz w:val="20"/>
          <w:szCs w:val="20"/>
          <w:color w:val="auto"/>
        </w:rPr>
      </w:pPr>
      <w:r>
        <w:rPr>
          <w:rFonts w:ascii="Arial" w:cs="Arial" w:eastAsia="Arial" w:hAnsi="Arial"/>
          <w:sz w:val="21"/>
          <w:szCs w:val="21"/>
          <w:color w:val="auto"/>
        </w:rPr>
        <w:t>with the Senior Secured Obligations Collateral as if they had a senior Lien on such Collateral. No Junior Collateral Agent, Junior Representative or Junior Secured Obligations Secured Party will contest, protest or object to any foreclosure proceeding or action brought by any Senior Collateral Agent, Senior Representative or Senior Secured Obligations Secured Party or any other exercise by such Senior Collateral Agent, Senior Representative or Senior Secured Obligations Secured Party of any rights and remedies relating to the Senior Secured Obligations Collateral.</w:t>
      </w:r>
    </w:p>
    <w:p>
      <w:pPr>
        <w:spacing w:after="0" w:line="177" w:lineRule="exact"/>
        <w:rPr>
          <w:sz w:val="20"/>
          <w:szCs w:val="20"/>
          <w:color w:val="auto"/>
        </w:rPr>
      </w:pPr>
    </w:p>
    <w:p>
      <w:pPr>
        <w:jc w:val="both"/>
        <w:ind w:firstLine="1304"/>
        <w:spacing w:after="0" w:line="308" w:lineRule="auto"/>
        <w:tabs>
          <w:tab w:leader="none" w:pos="2101" w:val="left"/>
        </w:tabs>
        <w:numPr>
          <w:ilvl w:val="0"/>
          <w:numId w:val="480"/>
        </w:numPr>
        <w:rPr>
          <w:rFonts w:ascii="Arial" w:cs="Arial" w:eastAsia="Arial" w:hAnsi="Arial"/>
          <w:sz w:val="19"/>
          <w:szCs w:val="19"/>
          <w:color w:val="auto"/>
        </w:rPr>
      </w:pPr>
      <w:r>
        <w:rPr>
          <w:rFonts w:ascii="Arial" w:cs="Arial" w:eastAsia="Arial" w:hAnsi="Arial"/>
          <w:sz w:val="19"/>
          <w:szCs w:val="19"/>
          <w:color w:val="auto"/>
        </w:rPr>
        <w:t xml:space="preserve">Each of the Junior Collateral Agent and the Junior Secured Obligations Secured Parties agrees that it will not (and hereby waives any right to) directly or indirectly contest or support any other Person in contesting, in any proceeding (including any Insolvency or Liquidation Proceeding), the creation, extent, attachment, perfection, priority, validity or enforceability of a Lien or Senior Secured Obligations held by or on behalf of any of the Senior Secured Obligations Secured Parties in all or any part of the Collateral or the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of the Collateral Agents or the Secured Parties to enforce this Agreement.</w:t>
      </w:r>
    </w:p>
    <w:p>
      <w:pPr>
        <w:spacing w:after="0" w:line="153" w:lineRule="exact"/>
        <w:rPr>
          <w:rFonts w:ascii="Arial" w:cs="Arial" w:eastAsia="Arial" w:hAnsi="Arial"/>
          <w:sz w:val="19"/>
          <w:szCs w:val="19"/>
          <w:color w:val="auto"/>
        </w:rPr>
      </w:pPr>
    </w:p>
    <w:p>
      <w:pPr>
        <w:jc w:val="both"/>
        <w:ind w:firstLine="1304"/>
        <w:spacing w:after="0" w:line="270" w:lineRule="auto"/>
        <w:tabs>
          <w:tab w:leader="none" w:pos="2413" w:val="left"/>
        </w:tabs>
        <w:numPr>
          <w:ilvl w:val="0"/>
          <w:numId w:val="480"/>
        </w:numPr>
        <w:rPr>
          <w:rFonts w:ascii="Arial" w:cs="Arial" w:eastAsia="Arial" w:hAnsi="Arial"/>
          <w:sz w:val="21"/>
          <w:szCs w:val="21"/>
          <w:color w:val="auto"/>
        </w:rPr>
      </w:pPr>
      <w:r>
        <w:rPr>
          <w:rFonts w:ascii="Arial" w:cs="Arial" w:eastAsia="Arial" w:hAnsi="Arial"/>
          <w:sz w:val="21"/>
          <w:szCs w:val="21"/>
          <w:color w:val="auto"/>
        </w:rPr>
        <w:t>(i) Only the Foreign Collateral Agent shall act or refrain from acting with respect to the Foreign Collateral, (ii) Foreign Collateral Agent shall not follow any instructions with respect to Foreign Collateral except from the Controlling Party (in accordance with Article VI) and (iii) other than the Controlling Parties, no Secured Party will, or will instruct Foreign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Foreign Collateral, whether under any ABL Security Document or any LC Security Document, applicable law or otherwise, it being agreed that (A) only the Foreign Collateral Agent, acting in accordance with the Foreign Collateral Documents and the terms of Article VI, shall be entitled to take any such actions or exercise any such remedies and (B) notwithstanding the foregoing, each Representative may take Permitted Remedies with regard to the Foreign Collateral. No Secured Party will contest, protest or object to any foreclosure or other proceeding or action brought by Foreign Collateral Agent acting upon instructions of a Controlling Party, and the Controlling Parties may make such instructions as if they had a senior Lien on such Foreign Collateral.</w:t>
      </w:r>
    </w:p>
    <w:p>
      <w:pPr>
        <w:spacing w:after="0" w:line="192" w:lineRule="exact"/>
        <w:rPr>
          <w:rFonts w:ascii="Arial" w:cs="Arial" w:eastAsia="Arial" w:hAnsi="Arial"/>
          <w:sz w:val="21"/>
          <w:szCs w:val="21"/>
          <w:color w:val="auto"/>
        </w:rPr>
      </w:pPr>
    </w:p>
    <w:p>
      <w:pPr>
        <w:jc w:val="both"/>
        <w:ind w:firstLine="1304"/>
        <w:spacing w:after="0" w:line="271" w:lineRule="auto"/>
        <w:tabs>
          <w:tab w:leader="none" w:pos="2115" w:val="left"/>
        </w:tabs>
        <w:numPr>
          <w:ilvl w:val="0"/>
          <w:numId w:val="480"/>
        </w:numPr>
        <w:rPr>
          <w:rFonts w:ascii="Arial" w:cs="Arial" w:eastAsia="Arial" w:hAnsi="Arial"/>
          <w:sz w:val="21"/>
          <w:szCs w:val="21"/>
          <w:color w:val="auto"/>
        </w:rPr>
      </w:pPr>
      <w:r>
        <w:rPr>
          <w:rFonts w:ascii="Arial" w:cs="Arial" w:eastAsia="Arial" w:hAnsi="Arial"/>
          <w:sz w:val="21"/>
          <w:szCs w:val="21"/>
          <w:color w:val="auto"/>
        </w:rPr>
        <w:t xml:space="preserve">(i) With respect to any payments or distributions in cash, property or other assets that any Junior Secured Obligations Secured Party pays over to any Senior Secured Obligations Secured Party under the terms of this Agreement, such Junior Secured Obligations Secured Party shall be subrogated to the rights of the Senior Secured Party Obligations Secured Party and (ii) any Secured Party may assert its rights of subrogation under applicable law resulting from any draw or other payment under any letter of credit issued under or secured by the ABL Documents or LC Documents,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that (x) the LC Facility Secured Parties shall not assert or enforce any such rights of subrogation they may acquire as described in clauses (i) or (ii) above with respect to the ABL Documents or ABL Priority Collateral until the Discharge of all ABL Obligations has occurred and (y) the ABL Secured Parties shall not assert or enforce any such rights of subrogation they may acquire as described in clauses (i) or (ii) above with respect to the LC Documents or LC Priority Collateral until the Discharge of all LC Obligations has occurred.</w:t>
      </w:r>
    </w:p>
    <w:p>
      <w:pPr>
        <w:spacing w:after="0" w:line="189" w:lineRule="exact"/>
        <w:rPr>
          <w:rFonts w:ascii="Arial" w:cs="Arial" w:eastAsia="Arial" w:hAnsi="Arial"/>
          <w:sz w:val="21"/>
          <w:szCs w:val="21"/>
          <w:color w:val="auto"/>
        </w:rPr>
      </w:pPr>
    </w:p>
    <w:p>
      <w:pPr>
        <w:jc w:val="both"/>
        <w:ind w:firstLine="1304"/>
        <w:spacing w:after="0" w:line="311" w:lineRule="auto"/>
        <w:tabs>
          <w:tab w:leader="none" w:pos="2103" w:val="left"/>
        </w:tabs>
        <w:numPr>
          <w:ilvl w:val="0"/>
          <w:numId w:val="480"/>
        </w:numPr>
        <w:rPr>
          <w:rFonts w:ascii="Arial" w:cs="Arial" w:eastAsia="Arial" w:hAnsi="Arial"/>
          <w:sz w:val="19"/>
          <w:szCs w:val="19"/>
          <w:color w:val="auto"/>
        </w:rPr>
      </w:pPr>
      <w:r>
        <w:rPr>
          <w:rFonts w:ascii="Arial" w:cs="Arial" w:eastAsia="Arial" w:hAnsi="Arial"/>
          <w:sz w:val="19"/>
          <w:szCs w:val="19"/>
          <w:color w:val="auto"/>
        </w:rPr>
        <w:t>The parties hereto agree to execute, acknowledge and deliver a Memorandum of Intercreditor Agreement (“</w:t>
      </w:r>
      <w:r>
        <w:rPr>
          <w:rFonts w:ascii="Arial" w:cs="Arial" w:eastAsia="Arial" w:hAnsi="Arial"/>
          <w:sz w:val="19"/>
          <w:szCs w:val="19"/>
          <w:b w:val="1"/>
          <w:bCs w:val="1"/>
          <w:i w:val="1"/>
          <w:iCs w:val="1"/>
          <w:color w:val="auto"/>
        </w:rPr>
        <w:t>Memorandum</w:t>
      </w:r>
      <w:r>
        <w:rPr>
          <w:rFonts w:ascii="Arial" w:cs="Arial" w:eastAsia="Arial" w:hAnsi="Arial"/>
          <w:sz w:val="19"/>
          <w:szCs w:val="19"/>
          <w:color w:val="auto"/>
        </w:rPr>
        <w:t>”), together with such other documents in furtherance hereof or thereof, in each case, in proper form for recording in connection with any Mortgages and in form and substance reasonably satisfactory to the Collateral Agents, in those jurisdictions where such recording is reasonably recommended or requested by local real estate counsel and/or the title insurance company, or as otherwise deemed reasonably necessary or proper by the parties hereto.</w:t>
      </w:r>
    </w:p>
    <w:p>
      <w:pPr>
        <w:spacing w:after="0" w:line="15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8"/>
          <w:szCs w:val="18"/>
          <w:b w:val="1"/>
          <w:bCs w:val="1"/>
          <w:i w:val="1"/>
          <w:iCs w:val="1"/>
          <w:color w:val="auto"/>
        </w:rPr>
        <w:t>No Duties of Senior Representative; Provision of Notice</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00" w:lineRule="auto"/>
        <w:tabs>
          <w:tab w:leader="none" w:pos="2413" w:val="left"/>
        </w:tabs>
        <w:numPr>
          <w:ilvl w:val="0"/>
          <w:numId w:val="481"/>
        </w:numPr>
        <w:rPr>
          <w:rFonts w:ascii="Arial" w:cs="Arial" w:eastAsia="Arial" w:hAnsi="Arial"/>
          <w:sz w:val="19"/>
          <w:szCs w:val="19"/>
          <w:color w:val="auto"/>
        </w:rPr>
      </w:pPr>
      <w:r>
        <w:rPr>
          <w:rFonts w:ascii="Arial" w:cs="Arial" w:eastAsia="Arial" w:hAnsi="Arial"/>
          <w:sz w:val="19"/>
          <w:szCs w:val="19"/>
          <w:color w:val="auto"/>
        </w:rPr>
        <w:t>Each Junior Secured Obligations Secured Party acknowledges and agrees that none of the Senior Collateral Agents, the Senior Representative nor any other Senior Secured Obligations Secured Party shall have any duties or other obligations to such Junior Secured Obligations Secured Party with respect to any Senior Secured Obligations Collateral, other than to transfer to the Applicable Junior Collateral Agent any proceeds of any such Senior Secured Obligations Collateral remaining in its possession or under its control following any sale, transfer or other disposition of such Collateral (in each case, unless the Junior Secured Obligations have been Discharged prior to or concurrently with such sale, transfer, disposition, payment or satisfaction) and the Discharge of the Senior Secured Obligations secured thereby, or if a Senior Collateral Agent shall be in possession or control of all or any part of such Collateral after such payment and satisfaction in full and termination, such Collateral or any part thereof remaining, in each case without representation or warranty on the part of any Senior Collateral Agent, any Senior Representative or any Senior Secured Obligations Secured Party. In furtherance of the foregoing, each Junior Secured Obligations Secured Party acknowledges and agrees that, until the Senior Secured Obligations secured by any Collateral shall have been Discharged, the Applicable Senior Collateral Agent shall be entitled, for the benefit of the holders of such Senior Secured Obligations, to sell, transfer or otherwise dispose of, or cause the sale, transfer or other disposition of, such Senior Secured Obligations Collateral as provided herein and in the ABL Documents and the LC Documents, as applicable, without regard to any Junior Claims or any rights to which the holders of the Junior Secured Obligations would otherwise be entitled as a</w:t>
      </w:r>
    </w:p>
    <w:p>
      <w:pPr>
        <w:sectPr>
          <w:pgSz w:w="11900" w:h="16838" w:orient="portrait"/>
          <w:cols w:equalWidth="0" w:num="1">
            <w:col w:w="11240"/>
          </w:cols>
          <w:pgMar w:left="320" w:top="131" w:right="339" w:bottom="0" w:gutter="0" w:footer="0" w:header="0"/>
        </w:sectPr>
      </w:pPr>
    </w:p>
    <w:bookmarkStart w:id="425" w:name="page426"/>
    <w:bookmarkEnd w:id="425"/>
    <w:p>
      <w:pPr>
        <w:spacing w:after="0" w:line="146"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result of such Junior Claims. Without limiting the foregoing, each Junior Secured Obligations Secured Party agrees that none of the Senior Collateral Agents, the Senior Representatives nor any other Senior Secured Obligations Secured Party shall have any duty or obligation first to marshal or realize upon any type of Senior Secured Obligations Collateral (or any other collateral securing the Senior Secured Obligations), or to sell, dispose of, realize on or liquidate all or any portion of such Senior Secured Obligations Collateral (or any other collateral securing the Senior Secured Obligations), in any manner that would maximize the return to the Junior Secured Obligations Secured Parties, notwithstanding that the order and timing of any such realization, sale, disposition or liquidation may affect the amount of proceeds actually received by the Junior Secured Obligations Secured Parties from such realization, sale, disposition or liquidation. Each of the Junior Secured Obligations Secured Parties waives any claim such Junior Secured Obligations Secured Party may now or hereafter have against any Senior Collateral Agent, any Senior Representative or any other Senior Secured Obligations Secured Party (or their representatives, including any receiver, receiver and manager, interim receiver, administrator, delegate or agent they may appoint) arising out of (i) any actions which any Senior Collateral Agent, any Senior Representative or the Senior Secured Obligations Secured Parties (or their representatives, including any receiver, receiver and manager, interim receiver, administrator, delegate or agent they may appoint) take or omit to take (including, actions with respect to the creation, attachment, perfection or continuation of Liens on any Senior Secured Obligations Collateral, actions with respect to the preservation, foreclosure upon, realization, sale, release or depreciation of, or failure to realize upon, any of the Senior Secured Obligations Collateral and actions with respect to the collection of any claim for all or any part of the Senior Secured Obligations from any account debtor, guarantor or any other party) in accordance with the ABL Documents and the LC Documents or any other agreement related thereto or to the collection of the Senior Secured Obligations or the valuation, use, protection or release of any security for the Senior Secured Obligations, (ii) any election by any Applicable Senior Collateral Agent, any Senior Representative or any Senior Secured Obligations Secured Parties, in any proceeding instituted under the Bankruptcy Code, of the application of Section 1111(b) of the Bankruptcy Code (or any equivalent proceeding under any other Debtor Relief Law) or (iii) subject to Section 2.06, any borrowing by, or grant of a security interest or administrative expense priority under Section 364 of the Bankruptcy Code by, the Parent or any of its Subsidiaries, as debtor-in-possession (or any equivalent action under any other Debtor Relief Law).</w:t>
      </w:r>
    </w:p>
    <w:p>
      <w:pPr>
        <w:spacing w:after="0" w:line="200" w:lineRule="exact"/>
        <w:rPr>
          <w:sz w:val="20"/>
          <w:szCs w:val="20"/>
          <w:color w:val="auto"/>
        </w:rPr>
      </w:pPr>
    </w:p>
    <w:p>
      <w:pPr>
        <w:spacing w:after="0" w:line="23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b w:val="1"/>
          <w:bCs w:val="1"/>
          <w:i w:val="1"/>
          <w:iCs w:val="1"/>
          <w:color w:val="auto"/>
        </w:rPr>
        <w:t>No Interference; Payment Over; Reinstatement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8" w:lineRule="auto"/>
        <w:tabs>
          <w:tab w:leader="none" w:pos="2211" w:val="left"/>
        </w:tabs>
        <w:numPr>
          <w:ilvl w:val="0"/>
          <w:numId w:val="482"/>
        </w:numPr>
        <w:rPr>
          <w:rFonts w:ascii="Arial" w:cs="Arial" w:eastAsia="Arial" w:hAnsi="Arial"/>
          <w:sz w:val="19"/>
          <w:szCs w:val="19"/>
          <w:color w:val="auto"/>
        </w:rPr>
      </w:pPr>
      <w:r>
        <w:rPr>
          <w:rFonts w:ascii="Arial" w:cs="Arial" w:eastAsia="Arial" w:hAnsi="Arial"/>
          <w:sz w:val="19"/>
          <w:szCs w:val="19"/>
          <w:color w:val="auto"/>
        </w:rPr>
        <w:t xml:space="preserve">Each Junior Secured Obligations Secured Party, each Junior Representative and each Junior Collateral Agent agrees that (i) it will not take or cause to be taken any action the purpose or effect of which is, or could be, to make any Junior Claim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to give such Junior Secured Obligations Secured Party any preference or priority relative to, any Senior Claim with respect to the Senior Secured Obligations Collateral or any part thereof, (ii) it will not challenge or question in any proceeding the validity or enforceability of any Foreign Collateral Document, ABL Security Document, or LC Security Document or the extent, validity, attachment, perfection, priority, or enforceability of any Lien under the Foreign Collateral Documents, ABL Security Documents or the LC Security Documents, or the validity or enforceability of the priorities, rights or duties established by or other provisions of this Agreement, (iii) it will not take or cause to be taken any action the purpose or intent of which is, or could be, to interfere, hinder or delay, in any manner, whether by judicial proceedings or otherwise, any sale, transfer or other disposition of the Senior Secured Obligations Collateral by the Applicable Senior Collateral Agent or any Senior Secured Obligations Secured Parties or any Senior Representative acting on their behalf (or their respective representatives, including any receiver, receiver and manager, interim receiver, administrator, delegate or agent they may appoint), including with respect to the Foreign Collateral by the Foreign Collateral Agent following the instructions of a Controlling Party, (iv) it shall have no right to (A) direct the Applicable Senior Collateral Agent, any Senior Representative or any holder of Senior Secured Obligations (or their respective representatives, including any receiver, receiver and manager, interim receiver, administrator, delegate or agent they may appoint) to exercise any right, remedy or power with respect to any Senior Secured Obligations Collateral or (B) consent to the exercise by the Applicable Senior Collateral Agent, any Senior Representative or any other Senior Secured Obligations Secured Party (or their respective representatives, including any receiver, receiver and manager, interim receiver, administrator, delegate or agent they may appoint) of any right, remedy or power with respect to any Senior Secured Obligations Collateral, (v) it will not institute any suit or assert in any Insolvency or Liquidation Proceeding any claim against the Applicable Senior Collateral Agent, any Senior Representative or other Senior Secured Obligations Secured Party seeking damages from or other relief by way of specific performance, injunction, directions, instructions or otherwise with respect to, and none of the Applicable Senior Collateral Agent, any Senior Representative or any other Senior Secured Obligations Secured Party shall be liable for, any action taken or omitted to be taken by such Senior Collateral Agent, such Senior Representative or other Senior Secured Obligations Secured Party with respect to any Senior Secured Obligations Collateral, (vi) it will not seek, and hereby waives any right, to have any Senior Secured Obligations Collateral, Foreign Collateral or any part thereof marshaled upon any foreclosure or other disposition of such Senior Secured Obligations Collateral or Foreign Collateral and (vii) it will not attempt, directly or indirectly, whether by judicial proceedings or otherwise, to challenge the enforceability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of the Collateral Agents, or the Secured Parties to enforce this Agreement.</w:t>
      </w:r>
    </w:p>
    <w:p>
      <w:pPr>
        <w:spacing w:after="0" w:line="200" w:lineRule="exact"/>
        <w:rPr>
          <w:rFonts w:ascii="Arial" w:cs="Arial" w:eastAsia="Arial" w:hAnsi="Arial"/>
          <w:sz w:val="19"/>
          <w:szCs w:val="19"/>
          <w:color w:val="auto"/>
        </w:rPr>
      </w:pPr>
    </w:p>
    <w:p>
      <w:pPr>
        <w:spacing w:after="0" w:line="248" w:lineRule="exact"/>
        <w:rPr>
          <w:rFonts w:ascii="Arial" w:cs="Arial" w:eastAsia="Arial" w:hAnsi="Arial"/>
          <w:sz w:val="19"/>
          <w:szCs w:val="19"/>
          <w:color w:val="auto"/>
        </w:rPr>
      </w:pPr>
    </w:p>
    <w:p>
      <w:pPr>
        <w:jc w:val="both"/>
        <w:ind w:firstLine="1304"/>
        <w:spacing w:after="0" w:line="317" w:lineRule="auto"/>
        <w:tabs>
          <w:tab w:leader="none" w:pos="2182" w:val="left"/>
        </w:tabs>
        <w:numPr>
          <w:ilvl w:val="0"/>
          <w:numId w:val="482"/>
        </w:numPr>
        <w:rPr>
          <w:rFonts w:ascii="Arial" w:cs="Arial" w:eastAsia="Arial" w:hAnsi="Arial"/>
          <w:sz w:val="19"/>
          <w:szCs w:val="19"/>
          <w:color w:val="auto"/>
        </w:rPr>
      </w:pPr>
      <w:r>
        <w:rPr>
          <w:rFonts w:ascii="Arial" w:cs="Arial" w:eastAsia="Arial" w:hAnsi="Arial"/>
          <w:sz w:val="19"/>
          <w:szCs w:val="19"/>
          <w:color w:val="auto"/>
        </w:rPr>
        <w:t>Each Junior Collateral Agent, each Junior Representative and each Junior Secured Obligations Secured Party hereby agrees that, if it shall obtain possession or control of any Senior Secured Obligations Collateral, or shall receive any Proceeds or payment in respect of any Senior Secured Obligations Collateral, pursuant to any ABL Security Document or LC Security Document or by the exercise of any rights available to it under any applicable law or in any Insolvency or Liquidation</w:t>
      </w:r>
    </w:p>
    <w:p>
      <w:pPr>
        <w:sectPr>
          <w:pgSz w:w="11900" w:h="16984" w:orient="portrait"/>
          <w:cols w:equalWidth="0" w:num="1">
            <w:col w:w="11240"/>
          </w:cols>
          <w:pgMar w:left="320" w:top="131" w:right="339" w:bottom="0" w:gutter="0" w:footer="0" w:header="0"/>
        </w:sectPr>
      </w:pPr>
    </w:p>
    <w:bookmarkStart w:id="426" w:name="page427"/>
    <w:bookmarkEnd w:id="426"/>
    <w:p>
      <w:pPr>
        <w:jc w:val="both"/>
        <w:spacing w:after="0" w:line="302" w:lineRule="auto"/>
        <w:rPr>
          <w:sz w:val="20"/>
          <w:szCs w:val="20"/>
          <w:color w:val="auto"/>
        </w:rPr>
      </w:pPr>
      <w:r>
        <w:rPr>
          <w:rFonts w:ascii="Arial" w:cs="Arial" w:eastAsia="Arial" w:hAnsi="Arial"/>
          <w:sz w:val="19"/>
          <w:szCs w:val="19"/>
          <w:color w:val="auto"/>
        </w:rPr>
        <w:t>Proceeding or through any other exercise of rights or remedies, at any time prior to the Discharge of the Senior Secured Obligations, then it shall hold such Senior Secured Obligations Collateral proceeds or payment in trust for the Senior Secured Obligations Secured Parties and transfer such Senior Secured Obligations Collateral, proceeds or payment, as the case may be, to the Applicable Senior Collateral Agent reasonably promptly after obtaining actual knowledge, or notice from the Applicable Senior Collateral Agent, that it is in possession or control of such Senior Secured Obligations Collateral, proceeds or payment. Each Junior Secured Obligations Secured Party agrees that if, at any time, it receives notice or obtains actual knowledge that all or part of any payment with respect to any Senior Secured Obligations previously made shall be rescinded for any reason whatsoever, such Junior Secured Obligations Secured Party shall promptly pay over to the Applicable Senior Collateral Agent any payment received by it and then in its possession or under its control in respect of any Senior Secured Obligations Collateral and shall promptly turn over any Senior Secured Obligations Collateral then held by it over to the Applicable Senior Collateral Agent, and the provisions set forth in this Agreement shall be reinstated as if such payment had not been made, until the payment and satisfaction in full of the Senior Secured Obligations.</w:t>
      </w: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59" w:lineRule="auto"/>
        <w:tabs>
          <w:tab w:leader="none" w:pos="2211" w:val="left"/>
        </w:tabs>
        <w:numPr>
          <w:ilvl w:val="0"/>
          <w:numId w:val="483"/>
        </w:numPr>
        <w:rPr>
          <w:rFonts w:ascii="Arial" w:cs="Arial" w:eastAsia="Arial" w:hAnsi="Arial"/>
          <w:sz w:val="22"/>
          <w:szCs w:val="22"/>
          <w:color w:val="auto"/>
        </w:rPr>
      </w:pPr>
      <w:r>
        <w:rPr>
          <w:rFonts w:ascii="Arial" w:cs="Arial" w:eastAsia="Arial" w:hAnsi="Arial"/>
          <w:sz w:val="22"/>
          <w:szCs w:val="22"/>
          <w:color w:val="auto"/>
        </w:rPr>
        <w:t>Prior to the Discharge of Senior Secured Obligations, if any Junior Secured Obligations Secured Party holds any Lien on any assets of the Parent or any other Grantor securing any Junior Claims that are intended to secure the Senior Claims pursuant to the Senior Secured Obligations Collateral Documents but are not already subject to a senior Lien in favor of the Senior Secured Obligations Secured Parties, such Junior Secured Obligations Secured Party, upon demand by any Senior Secured Obligations Secured Party, will assign such Lien to the applicable Senior Representative, as security for such Senior Secured Obligations (in which case the Junior Secured Obligations Secured Parties may retain a junior Lien on such assets subject to the terms hereof).</w:t>
      </w:r>
    </w:p>
    <w:p>
      <w:pPr>
        <w:spacing w:after="0" w:line="19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8"/>
          <w:szCs w:val="18"/>
          <w:b w:val="1"/>
          <w:bCs w:val="1"/>
          <w:i w:val="1"/>
          <w:iCs w:val="1"/>
          <w:color w:val="auto"/>
        </w:rPr>
        <w:t>Automatic Release of Junior Liens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59" w:lineRule="auto"/>
        <w:tabs>
          <w:tab w:leader="none" w:pos="2143" w:val="left"/>
        </w:tabs>
        <w:numPr>
          <w:ilvl w:val="0"/>
          <w:numId w:val="484"/>
        </w:numPr>
        <w:rPr>
          <w:rFonts w:ascii="Arial" w:cs="Arial" w:eastAsia="Arial" w:hAnsi="Arial"/>
          <w:sz w:val="22"/>
          <w:szCs w:val="22"/>
          <w:color w:val="auto"/>
        </w:rPr>
      </w:pPr>
      <w:r>
        <w:rPr>
          <w:rFonts w:ascii="Arial" w:cs="Arial" w:eastAsia="Arial" w:hAnsi="Arial"/>
          <w:sz w:val="22"/>
          <w:szCs w:val="22"/>
          <w:color w:val="auto"/>
        </w:rPr>
        <w:t xml:space="preserve">The LC Collateral Agent and each other LC Secured Party agrees that, in the event of a sale, transfer or other disposition of any ABL Priority Collateral in connection with the foreclosure upon or other exercise of rights and remedies with respect to such ABL Priority Collateral that results in the release by the ABL Collateral Agent of the Lien held by the ABL Collateral Agent on such ABL Priority Collateral, the Lien held by the LC Collateral Agent on such ABL Priority Collateral shall be automatically released;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all holders of the LC Obligations shall be entitled to any proceeds of a sale, transfer or other disposition under this clause (a) that remain after Discharge of the ABL Obligations, and the Liens on such remaining proceeds securing the LC Obligations shall not be automatically released pursuant to this Section 2.05(a).</w:t>
      </w:r>
    </w:p>
    <w:p>
      <w:pPr>
        <w:spacing w:after="0" w:line="192" w:lineRule="exact"/>
        <w:rPr>
          <w:rFonts w:ascii="Arial" w:cs="Arial" w:eastAsia="Arial" w:hAnsi="Arial"/>
          <w:sz w:val="22"/>
          <w:szCs w:val="22"/>
          <w:color w:val="auto"/>
        </w:rPr>
      </w:pPr>
    </w:p>
    <w:p>
      <w:pPr>
        <w:jc w:val="both"/>
        <w:ind w:firstLine="1304"/>
        <w:spacing w:after="0" w:line="259" w:lineRule="auto"/>
        <w:tabs>
          <w:tab w:leader="none" w:pos="2128" w:val="left"/>
        </w:tabs>
        <w:numPr>
          <w:ilvl w:val="0"/>
          <w:numId w:val="484"/>
        </w:numPr>
        <w:rPr>
          <w:rFonts w:ascii="Arial" w:cs="Arial" w:eastAsia="Arial" w:hAnsi="Arial"/>
          <w:sz w:val="22"/>
          <w:szCs w:val="22"/>
          <w:color w:val="auto"/>
        </w:rPr>
      </w:pPr>
      <w:r>
        <w:rPr>
          <w:rFonts w:ascii="Arial" w:cs="Arial" w:eastAsia="Arial" w:hAnsi="Arial"/>
          <w:sz w:val="22"/>
          <w:szCs w:val="22"/>
          <w:color w:val="auto"/>
        </w:rPr>
        <w:t xml:space="preserve">The ABL Collateral Agent and each other ABL Secured Party agrees that, in the event of a sale, transfer or other disposition of any LC Priority Collateral in connection with the foreclosure upon or other exercise of rights and remedies with respect to such LC Priority Collateral that results in the release by the LC Collateral Agent of the Lien held by the LC Collateral Agent on such LC Priority Collateral, the Lien held by the ABL Collateral Agent on such LC Priority Collateral shall be automatically released;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all holders of the ABL Obligations shall be entitled to any proceeds of a sale, transfer or other disposition under this clause (a) that remain after Discharge of all LC Obligations, and the Liens on such remaining proceeds securing the ABL Obligations shall not be automatically released pursuant to this Section 2.05(b).</w:t>
      </w:r>
    </w:p>
    <w:p>
      <w:pPr>
        <w:spacing w:after="0" w:line="192" w:lineRule="exact"/>
        <w:rPr>
          <w:rFonts w:ascii="Arial" w:cs="Arial" w:eastAsia="Arial" w:hAnsi="Arial"/>
          <w:sz w:val="22"/>
          <w:szCs w:val="22"/>
          <w:color w:val="auto"/>
        </w:rPr>
      </w:pPr>
    </w:p>
    <w:p>
      <w:pPr>
        <w:jc w:val="both"/>
        <w:ind w:firstLine="1304"/>
        <w:spacing w:after="0" w:line="308" w:lineRule="auto"/>
        <w:tabs>
          <w:tab w:leader="none" w:pos="2089" w:val="left"/>
        </w:tabs>
        <w:numPr>
          <w:ilvl w:val="0"/>
          <w:numId w:val="484"/>
        </w:numPr>
        <w:rPr>
          <w:rFonts w:ascii="Arial" w:cs="Arial" w:eastAsia="Arial" w:hAnsi="Arial"/>
          <w:sz w:val="19"/>
          <w:szCs w:val="19"/>
          <w:color w:val="auto"/>
        </w:rPr>
      </w:pPr>
      <w:r>
        <w:rPr>
          <w:rFonts w:ascii="Arial" w:cs="Arial" w:eastAsia="Arial" w:hAnsi="Arial"/>
          <w:sz w:val="19"/>
          <w:szCs w:val="19"/>
          <w:color w:val="auto"/>
        </w:rPr>
        <w:t xml:space="preserve">In the event of a Default Disposition, the Liens of Junior Collateral Agent shall be automatically released so long as (i) such Default Disposition is conducted by the applicable Grantor(s) in a commercially reasonable manner (as if such Default Disposition were a disposition of collateral by a secured party in accordance with the UCC or similar law under the applicable jurisdiction) and in accordance with applicable law, (ii) Senior Collateral Agent also releases its Liens on such Senior Secured Obligations Collateral and (iii) the net cash proceeds of any such Default Disposition are applied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hereof (as if they were proceeds received in connection with an enforcement action).</w:t>
      </w:r>
    </w:p>
    <w:p>
      <w:pPr>
        <w:spacing w:after="0" w:line="153" w:lineRule="exact"/>
        <w:rPr>
          <w:rFonts w:ascii="Arial" w:cs="Arial" w:eastAsia="Arial" w:hAnsi="Arial"/>
          <w:sz w:val="19"/>
          <w:szCs w:val="19"/>
          <w:color w:val="auto"/>
        </w:rPr>
      </w:pPr>
    </w:p>
    <w:p>
      <w:pPr>
        <w:jc w:val="both"/>
        <w:ind w:firstLine="1304"/>
        <w:spacing w:after="0" w:line="262" w:lineRule="auto"/>
        <w:tabs>
          <w:tab w:leader="none" w:pos="2209" w:val="left"/>
        </w:tabs>
        <w:numPr>
          <w:ilvl w:val="0"/>
          <w:numId w:val="484"/>
        </w:numPr>
        <w:rPr>
          <w:rFonts w:ascii="Arial" w:cs="Arial" w:eastAsia="Arial" w:hAnsi="Arial"/>
          <w:sz w:val="22"/>
          <w:szCs w:val="22"/>
          <w:color w:val="auto"/>
        </w:rPr>
      </w:pPr>
      <w:r>
        <w:rPr>
          <w:rFonts w:ascii="Arial" w:cs="Arial" w:eastAsia="Arial" w:hAnsi="Arial"/>
          <w:sz w:val="22"/>
          <w:szCs w:val="22"/>
          <w:color w:val="auto"/>
        </w:rPr>
        <w:t>Each Junior Representative and each Junior Collateral Agent agrees to execute and deliver (at the sole cost and expense of the applicable Grantors) all such authorizations and other instruments as shall reasonably be requested by the applicable Senior Representative or the Applicable Senior Collateral Agent to evidence and confirm any release of Junior Secured Obligations Collateral provided for in this Section.</w:t>
      </w:r>
    </w:p>
    <w:p>
      <w:pPr>
        <w:spacing w:after="0" w:line="191" w:lineRule="exact"/>
        <w:rPr>
          <w:rFonts w:ascii="Arial" w:cs="Arial" w:eastAsia="Arial" w:hAnsi="Arial"/>
          <w:sz w:val="22"/>
          <w:szCs w:val="22"/>
          <w:color w:val="auto"/>
        </w:rPr>
      </w:pPr>
    </w:p>
    <w:p>
      <w:pPr>
        <w:jc w:val="both"/>
        <w:ind w:firstLine="1304"/>
        <w:spacing w:after="0" w:line="304" w:lineRule="auto"/>
        <w:tabs>
          <w:tab w:leader="none" w:pos="2116" w:val="left"/>
        </w:tabs>
        <w:numPr>
          <w:ilvl w:val="0"/>
          <w:numId w:val="484"/>
        </w:numPr>
        <w:rPr>
          <w:rFonts w:ascii="Arial" w:cs="Arial" w:eastAsia="Arial" w:hAnsi="Arial"/>
          <w:sz w:val="19"/>
          <w:szCs w:val="19"/>
          <w:color w:val="auto"/>
        </w:rPr>
      </w:pPr>
      <w:r>
        <w:rPr>
          <w:rFonts w:ascii="Arial" w:cs="Arial" w:eastAsia="Arial" w:hAnsi="Arial"/>
          <w:sz w:val="19"/>
          <w:szCs w:val="19"/>
          <w:color w:val="auto"/>
        </w:rPr>
        <w:t xml:space="preserve">If at any time any Grantor or the holder of any Senior Secured Obligations delivers notice to each Junior Collateral Agent that any specified Senior Secured Obligations Collateral (including all or substantially all of the Capital Stock of a Grantor or any of its Subsidiaries) is sold, transferred or otherwise disposed of (i) by the owner of such Collateral in a transaction permitted under the LC Documents and the ABL Documents, or (ii) during the existence of any Event of Default under the ABL Documents or the LC Documents, in each case in connection with the foreclosure upon (or exercise of rights and remedies with respect to) such Collateral, to the extent that the Applicable Senior Collateral Agent has consented to such sale, transfer or disposition, then the Liens in favor of the Junior Secured Obligations Secured Parties upon such Collateral will automatically be released and discharged as and when, but only to the extent, such Liens on such Senior Secured Obligations Collateral are released and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proceeds of such sale, transfer or disposition shall be applied in</w:t>
      </w:r>
    </w:p>
    <w:p>
      <w:pPr>
        <w:sectPr>
          <w:pgSz w:w="11900" w:h="16838" w:orient="portrait"/>
          <w:cols w:equalWidth="0" w:num="1">
            <w:col w:w="11240"/>
          </w:cols>
          <w:pgMar w:left="320" w:top="131" w:right="339" w:bottom="0" w:gutter="0" w:footer="0" w:header="0"/>
        </w:sectPr>
      </w:pPr>
    </w:p>
    <w:bookmarkStart w:id="427" w:name="page428"/>
    <w:bookmarkEnd w:id="427"/>
    <w:p>
      <w:pPr>
        <w:spacing w:after="0" w:line="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2.01(a)</w:t>
      </w:r>
      <w:r>
        <w:rPr>
          <w:rFonts w:ascii="Arial" w:cs="Arial" w:eastAsia="Arial" w:hAnsi="Arial"/>
          <w:sz w:val="19"/>
          <w:szCs w:val="19"/>
          <w:color w:val="auto"/>
        </w:rPr>
        <w:t>. Upon delivery to each Junior Collateral Agent of a notice from the Applicable Senior Collateral Agent stating that any release of Liens securing or supporting the Senior Secured Obligations has become effective (or shall become effective upon each Junior Collateral Agent’s release), each Junior Collateral Agent will promptly execute and deliver such instruments, releases, terminations statements or other documents confirming such release on customary terms.</w:t>
      </w:r>
    </w:p>
    <w:p>
      <w:pPr>
        <w:spacing w:after="0" w:line="142"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8"/>
          <w:szCs w:val="18"/>
          <w:b w:val="1"/>
          <w:bCs w:val="1"/>
          <w:i w:val="1"/>
          <w:iCs w:val="1"/>
          <w:color w:val="auto"/>
        </w:rPr>
        <w:t>Certain Agreements With Respect to Insolvency or Liquidation Proceedings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08" w:lineRule="auto"/>
        <w:tabs>
          <w:tab w:leader="none" w:pos="2386" w:val="left"/>
        </w:tabs>
        <w:numPr>
          <w:ilvl w:val="0"/>
          <w:numId w:val="485"/>
        </w:numPr>
        <w:rPr>
          <w:rFonts w:ascii="Arial" w:cs="Arial" w:eastAsia="Arial" w:hAnsi="Arial"/>
          <w:sz w:val="19"/>
          <w:szCs w:val="19"/>
          <w:color w:val="auto"/>
        </w:rPr>
      </w:pPr>
      <w:r>
        <w:rPr>
          <w:rFonts w:ascii="Arial" w:cs="Arial" w:eastAsia="Arial" w:hAnsi="Arial"/>
          <w:sz w:val="19"/>
          <w:szCs w:val="19"/>
          <w:color w:val="auto"/>
        </w:rPr>
        <w:t>This Agreement shall continue in full force and effect notwithstanding the commencement of any proceeding under the Bankruptcy Code or any other Debtor Relief Law by or against the Parent or any of its Subsidiaries. Without limiting the generality of the foregoing, the provisions of this Agreement are intended to be and shall be enforceable as a “Subordination Agreement” under Section 510(a) of the Bankruptcy Code. All references to the Parent or any other Grantor shall include such Parent or Grantor as a debtor-in-possession and any receiver, trustee, liquidator (whether provisional or permanent, as the case may be) or court-appointed officer for such person in any Insolvency or Liquidation Proceeding.</w:t>
      </w:r>
    </w:p>
    <w:p>
      <w:pPr>
        <w:spacing w:after="0" w:line="153" w:lineRule="exact"/>
        <w:rPr>
          <w:rFonts w:ascii="Arial" w:cs="Arial" w:eastAsia="Arial" w:hAnsi="Arial"/>
          <w:sz w:val="19"/>
          <w:szCs w:val="19"/>
          <w:color w:val="auto"/>
        </w:rPr>
      </w:pPr>
    </w:p>
    <w:p>
      <w:pPr>
        <w:ind w:left="2180" w:hanging="876"/>
        <w:spacing w:after="0"/>
        <w:tabs>
          <w:tab w:leader="none" w:pos="2180" w:val="left"/>
        </w:tabs>
        <w:numPr>
          <w:ilvl w:val="0"/>
          <w:numId w:val="485"/>
        </w:numPr>
        <w:rPr>
          <w:rFonts w:ascii="Arial" w:cs="Arial" w:eastAsia="Arial" w:hAnsi="Arial"/>
          <w:sz w:val="19"/>
          <w:szCs w:val="19"/>
          <w:color w:val="auto"/>
        </w:rPr>
      </w:pPr>
      <w:r>
        <w:rPr>
          <w:rFonts w:ascii="Arial" w:cs="Arial" w:eastAsia="Arial" w:hAnsi="Arial"/>
          <w:sz w:val="19"/>
          <w:szCs w:val="19"/>
          <w:color w:val="auto"/>
        </w:rPr>
        <w:t>If the Parent or any of its Subsidiaries shall become subject to a case (a “</w:t>
      </w:r>
      <w:r>
        <w:rPr>
          <w:rFonts w:ascii="Arial" w:cs="Arial" w:eastAsia="Arial" w:hAnsi="Arial"/>
          <w:sz w:val="19"/>
          <w:szCs w:val="19"/>
          <w:b w:val="1"/>
          <w:bCs w:val="1"/>
          <w:i w:val="1"/>
          <w:iCs w:val="1"/>
          <w:color w:val="auto"/>
        </w:rPr>
        <w:t>Bankruptcy Case</w:t>
      </w:r>
      <w:r>
        <w:rPr>
          <w:rFonts w:ascii="Arial" w:cs="Arial" w:eastAsia="Arial" w:hAnsi="Arial"/>
          <w:sz w:val="19"/>
          <w:szCs w:val="19"/>
          <w:color w:val="auto"/>
        </w:rPr>
        <w:t>”) under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Debtor Relief Law:</w:t>
      </w:r>
    </w:p>
    <w:p>
      <w:pPr>
        <w:spacing w:after="0" w:line="228" w:lineRule="exact"/>
        <w:rPr>
          <w:rFonts w:ascii="Arial" w:cs="Arial" w:eastAsia="Arial" w:hAnsi="Arial"/>
          <w:sz w:val="19"/>
          <w:szCs w:val="19"/>
          <w:color w:val="auto"/>
        </w:rPr>
      </w:pPr>
    </w:p>
    <w:p>
      <w:pPr>
        <w:jc w:val="both"/>
        <w:ind w:left="1300" w:firstLine="652"/>
        <w:spacing w:after="0" w:line="298" w:lineRule="auto"/>
        <w:tabs>
          <w:tab w:leader="none" w:pos="2759" w:val="left"/>
        </w:tabs>
        <w:numPr>
          <w:ilvl w:val="1"/>
          <w:numId w:val="485"/>
        </w:numPr>
        <w:rPr>
          <w:rFonts w:ascii="Arial" w:cs="Arial" w:eastAsia="Arial" w:hAnsi="Arial"/>
          <w:sz w:val="19"/>
          <w:szCs w:val="19"/>
          <w:color w:val="auto"/>
        </w:rPr>
      </w:pPr>
      <w:r>
        <w:rPr>
          <w:rFonts w:ascii="Arial" w:cs="Arial" w:eastAsia="Arial" w:hAnsi="Arial"/>
          <w:sz w:val="19"/>
          <w:szCs w:val="19"/>
          <w:color w:val="auto"/>
        </w:rPr>
        <w:t>if the ABL Collateral Agent desires to permit debtor-in-possession financing (“</w:t>
      </w:r>
      <w:r>
        <w:rPr>
          <w:rFonts w:ascii="Arial" w:cs="Arial" w:eastAsia="Arial" w:hAnsi="Arial"/>
          <w:sz w:val="19"/>
          <w:szCs w:val="19"/>
          <w:b w:val="1"/>
          <w:bCs w:val="1"/>
          <w:i w:val="1"/>
          <w:iCs w:val="1"/>
          <w:color w:val="auto"/>
        </w:rPr>
        <w:t>DIP Financing</w:t>
      </w:r>
      <w:r>
        <w:rPr>
          <w:rFonts w:ascii="Arial" w:cs="Arial" w:eastAsia="Arial" w:hAnsi="Arial"/>
          <w:sz w:val="19"/>
          <w:szCs w:val="19"/>
          <w:color w:val="auto"/>
        </w:rPr>
        <w:t>”) secured by a Lien on the ABL Priority Collateral, to be provided by one or more lenders (the “</w:t>
      </w:r>
      <w:r>
        <w:rPr>
          <w:rFonts w:ascii="Arial" w:cs="Arial" w:eastAsia="Arial" w:hAnsi="Arial"/>
          <w:sz w:val="19"/>
          <w:szCs w:val="19"/>
          <w:b w:val="1"/>
          <w:bCs w:val="1"/>
          <w:i w:val="1"/>
          <w:iCs w:val="1"/>
          <w:color w:val="auto"/>
        </w:rPr>
        <w:t>DIP Lenders</w:t>
      </w:r>
      <w:r>
        <w:rPr>
          <w:rFonts w:ascii="Arial" w:cs="Arial" w:eastAsia="Arial" w:hAnsi="Arial"/>
          <w:sz w:val="19"/>
          <w:szCs w:val="19"/>
          <w:color w:val="auto"/>
        </w:rPr>
        <w:t>”) under Section 364 of the Bankruptcy Code (or any similar provision of any other Debtor Relief Laws) or the use of cash collateral under Section 363 of the Bankruptcy Code (or any similar provision of any other Debtor Relief Laws), then the LC Collateral Agent and the LC Secured Parties hereby agree to consent to and not to object to any such financing or to the Liens on the ABL Priority Collateral securing the same (“</w:t>
      </w:r>
      <w:r>
        <w:rPr>
          <w:rFonts w:ascii="Arial" w:cs="Arial" w:eastAsia="Arial" w:hAnsi="Arial"/>
          <w:sz w:val="19"/>
          <w:szCs w:val="19"/>
          <w:b w:val="1"/>
          <w:bCs w:val="1"/>
          <w:i w:val="1"/>
          <w:iCs w:val="1"/>
          <w:color w:val="auto"/>
        </w:rPr>
        <w:t>DIP Financing Liens</w:t>
      </w:r>
      <w:r>
        <w:rPr>
          <w:rFonts w:ascii="Arial" w:cs="Arial" w:eastAsia="Arial" w:hAnsi="Arial"/>
          <w:sz w:val="19"/>
          <w:szCs w:val="19"/>
          <w:color w:val="auto"/>
        </w:rPr>
        <w:t xml:space="preserve">”) or to any use of cash collateral that constitutes ABL Priority Collateral, unless the ABL Collateral Agent shall then oppose or object to such DIP Financing or such DIP Financing Liens or use of cash collateral that constitutes ABL Priority Collateral (and (i) to the extent that such DIP Financing Liens are senior to the Liens on any such ABL Priority Collateral for the benefit of the ABL Secured Parties, each LC Secured Party will subordinate its Liens with respect to such ABL Priority Collateral on the same terms as the Liens of the ABL Secured Parties (other than any Liens of any ABL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on any such ABL Priority Collateral granted to secure the ABL Obligations of the ABL Secured Parties, each LC Secured Party will confirm the priorities with respect to such ABL Priority Collateral as set forth herein, in each case so long as (A) the LC Secured Parties retain the benefit of their Liens on all such ABL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LC Secured Parties are granted junior Liens on any additional collateral pledged to any ABL Secured Party as adequate protection or otherwise in connection with such DIP Financing or use of cash collateral, (C) if any amount of such DIP Financing or cash collateral is applied to repay any of the ABL Obligations, such amount is applied pursuant to Section 2.01(a) of this Agreement, and (D) if any ABL Secured Parties are granted adequate protection, including in the form of periodic payments, in connection with such DIP Financing or use of cash collateral, the proceeds of such adequate protection are applied pursuant to Section 2.01(a)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LC Secured Parties shall have a right to object to the grant of a Lien (i) to secure the DIP Financing over any Collateral that shall not constitute ABL Priority Collateral and (ii) in respect of any additional Collateral that would not constitute ABL Priority Collateral hereunder were it pledged for the benefit of the ABL Secured Parties pursuant to the ABL Security Documents to any ABL Secured Party as adequate protection, for use of cash collateral, or otherwise, as set forth in clause (B) above; and</w:t>
      </w: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jc w:val="both"/>
        <w:ind w:left="1300" w:firstLine="652"/>
        <w:spacing w:after="0" w:line="301" w:lineRule="auto"/>
        <w:tabs>
          <w:tab w:leader="none" w:pos="2873" w:val="left"/>
        </w:tabs>
        <w:numPr>
          <w:ilvl w:val="1"/>
          <w:numId w:val="485"/>
        </w:numPr>
        <w:rPr>
          <w:rFonts w:ascii="Arial" w:cs="Arial" w:eastAsia="Arial" w:hAnsi="Arial"/>
          <w:sz w:val="19"/>
          <w:szCs w:val="19"/>
          <w:color w:val="auto"/>
        </w:rPr>
      </w:pPr>
      <w:r>
        <w:rPr>
          <w:rFonts w:ascii="Arial" w:cs="Arial" w:eastAsia="Arial" w:hAnsi="Arial"/>
          <w:sz w:val="19"/>
          <w:szCs w:val="19"/>
          <w:color w:val="auto"/>
        </w:rPr>
        <w:t>if the LC Collateral Agent desires to permit a DIP Financing secured by a Lien on LC Priority Collateral, to be provided by DIP Lenders under Section 364 of the Bankruptcy Code (or any similar provision of any other Debtor Relief Laws) or the use of cash collateral under Section 363 of the Bankruptcy Code (or any similar provision of any other Debtor Relief Laws), then the ABL Collateral Agent and the ABL Secured Parties hereby agree not to object to any such financing or to the DIP Financing Liens or to any use of cash collateral that constitutes LC Priority Collateral, unless the LC Collateral Agent shall then oppose or object to such DIP Financing or such DIP Financing Liens or use of cash collateral that constitutes LC Priority Collateral (and (i) to the extent that such DIP Financing Liens are senior to the Liens on any such LC Priority Collateral for the benefit of the LC Secured Parties, each ABL Secured Party will subordinate its Liens with respect to such LC Priority Collateral on the same terms as the Liens of the LC Secured Parties (other than any Liens of any ABL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w:t>
      </w:r>
    </w:p>
    <w:p>
      <w:pPr>
        <w:sectPr>
          <w:pgSz w:w="11900" w:h="16854" w:orient="portrait"/>
          <w:cols w:equalWidth="0" w:num="1">
            <w:col w:w="11240"/>
          </w:cols>
          <w:pgMar w:left="320" w:top="131" w:right="339" w:bottom="0" w:gutter="0" w:footer="0" w:header="0"/>
        </w:sectPr>
      </w:pPr>
    </w:p>
    <w:bookmarkStart w:id="428" w:name="page429"/>
    <w:bookmarkEnd w:id="428"/>
    <w:p>
      <w:pPr>
        <w:spacing w:after="0" w:line="74" w:lineRule="exact"/>
        <w:rPr>
          <w:sz w:val="20"/>
          <w:szCs w:val="20"/>
          <w:color w:val="auto"/>
        </w:rPr>
      </w:pPr>
    </w:p>
    <w:p>
      <w:pPr>
        <w:jc w:val="both"/>
        <w:ind w:left="180"/>
        <w:spacing w:after="0" w:line="300" w:lineRule="auto"/>
        <w:rPr>
          <w:sz w:val="20"/>
          <w:szCs w:val="20"/>
          <w:color w:val="auto"/>
        </w:rPr>
      </w:pPr>
      <w:r>
        <w:rPr>
          <w:rFonts w:ascii="Arial" w:cs="Arial" w:eastAsia="Arial" w:hAnsi="Arial"/>
          <w:sz w:val="19"/>
          <w:szCs w:val="19"/>
          <w:color w:val="auto"/>
        </w:rPr>
        <w:t xml:space="preserve">extent that such DIP Financing Liens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on any such LC Priority Collateral granted to secure the LC Obligations of the LC Secured Parties, each ABL Secured Party will confirm the priorities with respect to such LC Priority Collateral as set forth herein), in each case so long as (A) the ABL Secured Parties retain the benefit of their Liens on all such LC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ABL Secured Parties are granted Liens on any additional collateral pledged to any LC Secured Party as adequate protection or otherwise in connection with such DIP Financing or use of cash collateral, (C) if any amount of such DIP Financing or cash collateral is applied to repay any of the LC Obligations, such amount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and (D) if any LC Secured Parties are granted adequate protection, including in the form of periodic payments, in connection with such DIP Financing or use of cash collateral, the proceeds of such adequate protection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ABL Secured Parties shall have a right to object to the grant of a Lien (i) to secure the DIP Financing over any Collateral that shall not constitute LC Priority Collateral and (ii) in respect of any additional Collateral that would not constitute LC Priority Collateral hereunder were it pledged for the benefit of the LC Secured Parties pursuant to the First Lien Security Documents to any LC Facility Secured Party as adequate protection, for use of cash collateral, or otherwise, as set forth in clause (B) above).</w:t>
      </w:r>
    </w:p>
    <w:p>
      <w:pPr>
        <w:spacing w:after="0" w:line="200" w:lineRule="exact"/>
        <w:rPr>
          <w:sz w:val="20"/>
          <w:szCs w:val="20"/>
          <w:color w:val="auto"/>
        </w:rPr>
      </w:pPr>
    </w:p>
    <w:p>
      <w:pPr>
        <w:spacing w:after="0" w:line="236" w:lineRule="exact"/>
        <w:rPr>
          <w:sz w:val="20"/>
          <w:szCs w:val="20"/>
          <w:color w:val="auto"/>
        </w:rPr>
      </w:pPr>
    </w:p>
    <w:p>
      <w:pPr>
        <w:jc w:val="both"/>
        <w:ind w:left="180" w:firstLine="652"/>
        <w:spacing w:after="0" w:line="266" w:lineRule="auto"/>
        <w:tabs>
          <w:tab w:leader="none" w:pos="1786" w:val="left"/>
        </w:tabs>
        <w:numPr>
          <w:ilvl w:val="1"/>
          <w:numId w:val="486"/>
        </w:numPr>
        <w:rPr>
          <w:rFonts w:ascii="Arial" w:cs="Arial" w:eastAsia="Arial" w:hAnsi="Arial"/>
          <w:sz w:val="22"/>
          <w:szCs w:val="22"/>
          <w:color w:val="auto"/>
        </w:rPr>
      </w:pPr>
      <w:r>
        <w:rPr>
          <w:rFonts w:ascii="Arial" w:cs="Arial" w:eastAsia="Arial" w:hAnsi="Arial"/>
          <w:sz w:val="22"/>
          <w:szCs w:val="22"/>
          <w:color w:val="auto"/>
        </w:rPr>
        <w:t>No Junior Secured Obligations Secured Party will directly or indirectly propose or support any DIP Financing secured by a Lien senior or prior to the Liens of the Senior Secured Obligations Secured Parties on the Senior Secured Obligations Collateral.</w:t>
      </w:r>
    </w:p>
    <w:p>
      <w:pPr>
        <w:spacing w:after="0" w:line="184" w:lineRule="exact"/>
        <w:rPr>
          <w:rFonts w:ascii="Arial" w:cs="Arial" w:eastAsia="Arial" w:hAnsi="Arial"/>
          <w:sz w:val="22"/>
          <w:szCs w:val="22"/>
          <w:color w:val="auto"/>
        </w:rPr>
      </w:pPr>
    </w:p>
    <w:p>
      <w:pPr>
        <w:jc w:val="both"/>
        <w:ind w:left="-1120" w:firstLine="1304"/>
        <w:spacing w:after="0" w:line="300" w:lineRule="auto"/>
        <w:tabs>
          <w:tab w:leader="none" w:pos="996" w:val="left"/>
        </w:tabs>
        <w:numPr>
          <w:ilvl w:val="0"/>
          <w:numId w:val="487"/>
        </w:numPr>
        <w:rPr>
          <w:rFonts w:ascii="Arial" w:cs="Arial" w:eastAsia="Arial" w:hAnsi="Arial"/>
          <w:sz w:val="19"/>
          <w:szCs w:val="19"/>
          <w:color w:val="auto"/>
        </w:rPr>
      </w:pPr>
      <w:r>
        <w:rPr>
          <w:rFonts w:ascii="Arial" w:cs="Arial" w:eastAsia="Arial" w:hAnsi="Arial"/>
          <w:sz w:val="19"/>
          <w:szCs w:val="19"/>
          <w:color w:val="auto"/>
        </w:rPr>
        <w:t>The Applicable Junior Collateral Agent and each Junior Secured Obligations Secured Party agrees that it will not object to and will not otherwise contest: (i) any motion for relief from the automatic stay or any other stay in any Insolvency or Liquidation Proceeding (including by way of moratorium) or from any injunction against foreclosure or enforcement in respect of the Senior Secured Obligations made by the Applicable Senior Collateral Agent or any Senior Secured Obligations Secured Party; (ii) any lawful exercise by any holder of Senior Claims of the right to credit bid Senior Claims in any sale of Collateral that is Senior Secured Obligations Collateral with respect to such Senior Claims; (iii) any other request for judicial relief made in any court by the Applicable Senior Collateral Agent or any Senior Secured Obligations Secured Party relating to the lawful enforcement of any Lien on the Senior Secured Obligations Collateral; (iv) and will consent to any sale or other disposition (or related order) of any Senior Secured Obligations Collateral (or any portion thereof) under Section 363 of the Bankruptcy Code or any other provision of the Bankruptcy Code (or any equivalent action under any other Debtor Relief Law) if the Senior Secured Obligations Secured Parties shall have consented to such sale or disposition (or related order) of such Senior Secured Obligations Collateral if such sale or other disposition is not free and clear of the Liens securing the Junior Secured Obligations or (v) any sale or other disposition (or related order) of any Senior Secured Obligations Collateral (or any portion thereof) under Section 363 of the Bankruptcy Code or any other equivalent provision of the Bankruptcy Code (or any other provision under any other Debtor Relief Law) if the Senior Secured Obligations Secured Parties shall have consented, and the related court order provides that, to the extent the sale is to be free and clear of Liens, the Liens securing the Senior Secured Obligations and the Junior Secured Obligations will attach to the proceeds of the sale on the same basis of priority as the Liens securing such Obligations on the assets being sold, in accordance with this Agreement.</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left="-1120" w:firstLine="1304"/>
        <w:spacing w:after="0" w:line="274" w:lineRule="auto"/>
        <w:tabs>
          <w:tab w:leader="none" w:pos="995" w:val="left"/>
        </w:tabs>
        <w:numPr>
          <w:ilvl w:val="0"/>
          <w:numId w:val="487"/>
        </w:numPr>
        <w:rPr>
          <w:rFonts w:ascii="Arial" w:cs="Arial" w:eastAsia="Arial" w:hAnsi="Arial"/>
          <w:sz w:val="21"/>
          <w:szCs w:val="21"/>
          <w:color w:val="auto"/>
        </w:rPr>
      </w:pPr>
      <w:r>
        <w:rPr>
          <w:rFonts w:ascii="Arial" w:cs="Arial" w:eastAsia="Arial" w:hAnsi="Arial"/>
          <w:sz w:val="21"/>
          <w:szCs w:val="21"/>
          <w:color w:val="auto"/>
        </w:rPr>
        <w:t>The Applicable Junior Collateral Agent and each Junior Secured Obligations Secured Party agrees that it will not seek relief from the automatic stay or any other stay in any Insolvency or Liquidation Proceeding (including by way of moratorium) with respect to Senior Secured Obligations Collateral without the prior consent of the Applicable Senior Collateral Agent, unless, and solely to the extent that, the Applicable Senior Collateral Agent or Senior Secured Obligations Secured Party shall obtain relief from the automatic stay (or any other stay in any Insolvency or Liquidation Proceeding) with respect to such collateral to commence a lien enforcement action.</w:t>
      </w:r>
    </w:p>
    <w:p>
      <w:pPr>
        <w:spacing w:after="0" w:line="181" w:lineRule="exact"/>
        <w:rPr>
          <w:rFonts w:ascii="Arial" w:cs="Arial" w:eastAsia="Arial" w:hAnsi="Arial"/>
          <w:sz w:val="21"/>
          <w:szCs w:val="21"/>
          <w:color w:val="auto"/>
        </w:rPr>
      </w:pPr>
    </w:p>
    <w:p>
      <w:pPr>
        <w:jc w:val="both"/>
        <w:ind w:left="-1120" w:firstLine="1304"/>
        <w:spacing w:after="0" w:line="301" w:lineRule="auto"/>
        <w:tabs>
          <w:tab w:leader="none" w:pos="956" w:val="left"/>
        </w:tabs>
        <w:numPr>
          <w:ilvl w:val="0"/>
          <w:numId w:val="487"/>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it will not, other than as set forth in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object to and will not otherwise contest (or support any other Person contesting): (i) any request by the Applicable Senior Collateral Agent or any Senior Secured Obligations Secured Party for adequate protection;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ABL Secured Party, solely in its capacity as a Senior Secured Obligations Secured Party, may object to adequate protection in the form of cash payments to the extent such payment is sought to be paid from ABL Priority Collateral, any DIP Financing under </w:t>
      </w:r>
      <w:r>
        <w:rPr>
          <w:rFonts w:ascii="Arial" w:cs="Arial" w:eastAsia="Arial" w:hAnsi="Arial"/>
          <w:sz w:val="19"/>
          <w:szCs w:val="19"/>
          <w:u w:val="single" w:color="auto"/>
          <w:color w:val="auto"/>
        </w:rPr>
        <w:t>Section 2.06(b)(i)</w:t>
      </w:r>
      <w:r>
        <w:rPr>
          <w:rFonts w:ascii="Arial" w:cs="Arial" w:eastAsia="Arial" w:hAnsi="Arial"/>
          <w:sz w:val="19"/>
          <w:szCs w:val="19"/>
          <w:color w:val="auto"/>
        </w:rPr>
        <w:t xml:space="preserve"> or the proceeds thereof and (2) any LC Secured Party, solely in its capacity as a Senior Secured Obligations Secured Party, may object to adequate protection in the form of cash payments to the extent such payment is sought to be paid from LC Priority Collateral, any DIP Financing under </w:t>
      </w:r>
      <w:r>
        <w:rPr>
          <w:rFonts w:ascii="Arial" w:cs="Arial" w:eastAsia="Arial" w:hAnsi="Arial"/>
          <w:sz w:val="19"/>
          <w:szCs w:val="19"/>
          <w:u w:val="single" w:color="auto"/>
          <w:color w:val="auto"/>
        </w:rPr>
        <w:t>Section 2.06(b)(ii)</w:t>
      </w:r>
      <w:r>
        <w:rPr>
          <w:rFonts w:ascii="Arial" w:cs="Arial" w:eastAsia="Arial" w:hAnsi="Arial"/>
          <w:sz w:val="19"/>
          <w:szCs w:val="19"/>
          <w:color w:val="auto"/>
        </w:rPr>
        <w:t xml:space="preserve"> or the proceeds thereof or (ii) any objection by the Applicable Senior Collateral Agent or any Senior Secured Obligations Secured Party to any motion, relief, action or proceeding based on the Applicable Senior Collateral Agent or any Senior Secured Obligations Secured Party claiming a lack of adequate protection. Notwithstanding the foregoing, in any Insolvency or Liquidation Proceeding, (x) if the Senior Secured Obligations Secured Parties (or any subset thereof) are granted adequate protection in the form of a replacement lien or additional collateral in connection with any DIP Financing or use of cash collateral under Section 363 or Section 364 of the Bankruptcy Code or any similar law, then the Applicable Junior Collateral Agent may seek or request</w:t>
      </w:r>
    </w:p>
    <w:p>
      <w:pPr>
        <w:sectPr>
          <w:pgSz w:w="11900" w:h="16912" w:orient="portrait"/>
          <w:cols w:equalWidth="0" w:num="1">
            <w:col w:w="10120"/>
          </w:cols>
          <w:pgMar w:left="1440" w:top="131" w:right="339" w:bottom="0" w:gutter="0" w:footer="0" w:header="0"/>
        </w:sectPr>
      </w:pPr>
    </w:p>
    <w:bookmarkStart w:id="429" w:name="page430"/>
    <w:bookmarkEnd w:id="429"/>
    <w:p>
      <w:pPr>
        <w:spacing w:after="0" w:line="132"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adequate protection in the form of a replacement Lien on such additional collateral, so long as, with respect to the Senior Secured Obligations Collateral, such Lien is subordinated to the Liens securing the Senior Secured Obligations and such DIP Financing (and all obligations relating thereto), on the same basis as the other Liens securing Junior Secured Obligations on the Senior Secured Obligations Collateral are subordinated to the Liens on Senior Secured Obligations Collateral securing the Senior Secured Obligations under this Agreement; (y) in the event the Applicable Junior Collateral Agent seeks or requests adequate protection and such adequate protection is granted in the form of a replacement lien or additional collateral, then the Applicable Junior Collateral Agent and the Junior Secured Obligations Secured Parties hereby agree that the Senior Secured Obligations Secured Parties shall also be granted a Lien on such additional collateral as security for the Senior Secured Obligations and any such DIP Financing and that any Lien on such additional collateral that constitutes Senior Secured Obligations Collateral securing the Junior Secured Obligations shall be subordinated to the Liens on such collateral securing the Senior Secured Obligations and any such DIP Financing (and all obligations relating thereto) and any other Liens on Senior Secured Obligations Collateral granted to the holders of Senior Secured Obligations as adequate protection on the same basis as the Liens securing Junior Secured Obligations are so subordinated to the Liens securing the Senior Secured Obligations under this Agreement; (z) any adequate protection granted in favor of any Senior Secured Obligations Secured Party in the form of a superpriority or other administrative expense claim and any claim in favor of any Senior Secured Obligations Secured Party arising under Section 507(b) of the Bankruptcy Code (or similar Debtor Relief Laws) (collectively, “</w:t>
      </w:r>
      <w:r>
        <w:rPr>
          <w:rFonts w:ascii="Arial" w:cs="Arial" w:eastAsia="Arial" w:hAnsi="Arial"/>
          <w:sz w:val="19"/>
          <w:szCs w:val="19"/>
          <w:u w:val="single" w:color="auto"/>
          <w:color w:val="auto"/>
        </w:rPr>
        <w:t>Senior 507(b) Claims</w:t>
      </w:r>
      <w:r>
        <w:rPr>
          <w:rFonts w:ascii="Arial" w:cs="Arial" w:eastAsia="Arial" w:hAnsi="Arial"/>
          <w:sz w:val="19"/>
          <w:szCs w:val="19"/>
          <w:color w:val="auto"/>
        </w:rPr>
        <w:t>”) shall be senior to and have priority of payment over any superpriority or other administrative expense claim and any claim arising under Section 507(b) of the Bankruptcy Code (or similar Debtor Relief Laws) in favor of any Junior Secured Obligations Secured Party (collectively, “</w:t>
      </w:r>
      <w:r>
        <w:rPr>
          <w:rFonts w:ascii="Arial" w:cs="Arial" w:eastAsia="Arial" w:hAnsi="Arial"/>
          <w:sz w:val="19"/>
          <w:szCs w:val="19"/>
          <w:u w:val="single" w:color="auto"/>
          <w:color w:val="auto"/>
        </w:rPr>
        <w:t>Junior 507(b) Claims</w:t>
      </w:r>
      <w:r>
        <w:rPr>
          <w:rFonts w:ascii="Arial" w:cs="Arial" w:eastAsia="Arial" w:hAnsi="Arial"/>
          <w:sz w:val="19"/>
          <w:szCs w:val="19"/>
          <w:color w:val="auto"/>
        </w:rPr>
        <w:t xml:space="preserve">”). The holders of the Junior 507(b) Claims agree that, in connection with any Plan of Reorganization in any Insolvency or Liquidation Proceeding, such Junior 507(b) Claims may be paid in any combination of cash, securities, or other property having a present value equal to the amount of such Junior 507(b) Claims as of the effective date of such plan. For the avoidance of doubt, as between the ABL Secured Parties and LC Secured Parties, all Senior 507(b) Claims shall be </w:t>
      </w:r>
      <w:r>
        <w:rPr>
          <w:rFonts w:ascii="Arial" w:cs="Arial" w:eastAsia="Arial" w:hAnsi="Arial"/>
          <w:sz w:val="19"/>
          <w:szCs w:val="19"/>
          <w:i w:val="1"/>
          <w:iCs w:val="1"/>
          <w:color w:val="auto"/>
        </w:rPr>
        <w:t>pari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passu </w:t>
      </w:r>
      <w:r>
        <w:rPr>
          <w:rFonts w:ascii="Arial" w:cs="Arial" w:eastAsia="Arial" w:hAnsi="Arial"/>
          <w:sz w:val="19"/>
          <w:szCs w:val="19"/>
          <w:color w:val="auto"/>
        </w:rPr>
        <w:t>with the Senior 507(b) Claims held by the other Class, and all Junior 507(b) Claims shall be</w:t>
      </w:r>
      <w:r>
        <w:rPr>
          <w:rFonts w:ascii="Arial" w:cs="Arial" w:eastAsia="Arial" w:hAnsi="Arial"/>
          <w:sz w:val="19"/>
          <w:szCs w:val="19"/>
          <w:i w:val="1"/>
          <w:iCs w:val="1"/>
          <w:color w:val="auto"/>
        </w:rPr>
        <w:t xml:space="preserve"> pari passu </w:t>
      </w:r>
      <w:r>
        <w:rPr>
          <w:rFonts w:ascii="Arial" w:cs="Arial" w:eastAsia="Arial" w:hAnsi="Arial"/>
          <w:sz w:val="19"/>
          <w:szCs w:val="19"/>
          <w:color w:val="auto"/>
        </w:rPr>
        <w:t>with the Junior</w:t>
      </w:r>
      <w:r>
        <w:rPr>
          <w:rFonts w:ascii="Arial" w:cs="Arial" w:eastAsia="Arial" w:hAnsi="Arial"/>
          <w:sz w:val="19"/>
          <w:szCs w:val="19"/>
          <w:i w:val="1"/>
          <w:iCs w:val="1"/>
          <w:color w:val="auto"/>
        </w:rPr>
        <w:t xml:space="preserve"> </w:t>
      </w:r>
      <w:r>
        <w:rPr>
          <w:rFonts w:ascii="Arial" w:cs="Arial" w:eastAsia="Arial" w:hAnsi="Arial"/>
          <w:sz w:val="19"/>
          <w:szCs w:val="19"/>
          <w:color w:val="auto"/>
        </w:rPr>
        <w:t>507(b) Claims held by the other Class.</w:t>
      </w:r>
    </w:p>
    <w:p>
      <w:pPr>
        <w:spacing w:after="0" w:line="200" w:lineRule="exact"/>
        <w:rPr>
          <w:sz w:val="20"/>
          <w:szCs w:val="20"/>
          <w:color w:val="auto"/>
        </w:rPr>
      </w:pPr>
    </w:p>
    <w:p>
      <w:pPr>
        <w:spacing w:after="0" w:line="235" w:lineRule="exact"/>
        <w:rPr>
          <w:sz w:val="20"/>
          <w:szCs w:val="20"/>
          <w:color w:val="auto"/>
        </w:rPr>
      </w:pPr>
    </w:p>
    <w:p>
      <w:pPr>
        <w:jc w:val="both"/>
        <w:ind w:firstLine="1304"/>
        <w:spacing w:after="0" w:line="304" w:lineRule="auto"/>
        <w:tabs>
          <w:tab w:leader="none" w:pos="2065" w:val="left"/>
        </w:tabs>
        <w:numPr>
          <w:ilvl w:val="0"/>
          <w:numId w:val="488"/>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 it will not oppose or seek to challenge any claim by the Applicable Senior Collateral Agent or any Senior Secured Obligations Secured Party for allowance of Senior Secured Obligations consisting of post-petition interest, costs, fees, charges, or expenses and (ii) until the Discharge of Senior Secured Obligations has occurred, the Applicable Junior Collateral Agent, on behalf of itself and the Junior Secured Obligations Secured Parties, will not assert or enforce any claim under Section 506(c) of the Bankruptcy Code (or any similar provision of any other Debtor Relief Laws) senior to or on a parity with the Liens on Senior Secured Obligations Collateral securing the Senior Secured Obligations for costs or expenses of preserving or disposing of any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any amounts received by the Applicable Senior Collateral Agent pursuant to such a claim shall in all cases be subject to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300" w:lineRule="auto"/>
        <w:tabs>
          <w:tab w:leader="none" w:pos="2142" w:val="left"/>
        </w:tabs>
        <w:numPr>
          <w:ilvl w:val="0"/>
          <w:numId w:val="488"/>
        </w:numPr>
        <w:rPr>
          <w:rFonts w:ascii="Arial" w:cs="Arial" w:eastAsia="Arial" w:hAnsi="Arial"/>
          <w:sz w:val="19"/>
          <w:szCs w:val="19"/>
          <w:color w:val="auto"/>
        </w:rPr>
      </w:pPr>
      <w:r>
        <w:rPr>
          <w:rFonts w:ascii="Arial" w:cs="Arial" w:eastAsia="Arial" w:hAnsi="Arial"/>
          <w:sz w:val="19"/>
          <w:szCs w:val="19"/>
          <w:color w:val="auto"/>
        </w:rPr>
        <w:t>The LC Collateral Agent, on behalf of the LC Secured Parties, and the ABL Collateral Agent, on behalf of the ABL Secured Parties, acknowledge and intend that the grants of Liens pursuant to the LC Security Documents, on the one hand, and the ABL Security Documents, on the other hand, constitute separate and distinct grants of Liens, and because of, among other things, their differing rights in the Collateral, the LC Obligations are fundamentally different from the ABL Obligations and must be separately classified in any Plan of Reorganization proposed or confirmed (or approved) in an Insolvency or Liquidation Proceeding. To further effectuate the intent of the parties as provided in the immediately preceding sentence, if it is held that the claims of the ABL Secured Parties and the LC Secured Parties in respect of any Collateral constitute claims in the same class (rather than separate classes of senior and junior secured claims), then the ABL Secured Parties and the LC Secured Parties hereby acknowledge and agree that all distributions shall be made as if there were separate classes of ABL Obligations and LC Obligations against the Grantors (with the effect being that, to the extent that the aggregate value of the ABL Priority Collateral or the LC Priority Collateral is sufficient (for this purpose ignoring all claims held by the other Secured Parties for whom such Collateral is Junior Secured Obligations Collateral), the ABL Secured Parties or the LC Secured Parties, respectively, shall be entitled to receive, in addition to amounts distributed to them in respect of principal, pre-petition interest and other claims, all amounts owing in respect of post-petition interest, costs, fees, charges, or expenses that are available from the Senior Secured Obligations Collateral for each of the ABL Secured Parties and the LC Secured Parties, respectively, before any distribution is made in respect of the Junior Claims with respect to such Collateral, with the holder of such Junior Claims hereby acknowledging and agreeing to turn over to the Junior Secured Obligations Secured Parties amounts otherwise received or receivable by them to the extent necessary to effectuate the intent of this sentence, even if such turnover has the effect of reducing the aggregate recoveries).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4"/>
        <w:spacing w:after="0" w:line="306" w:lineRule="auto"/>
        <w:tabs>
          <w:tab w:leader="none" w:pos="2223" w:val="left"/>
        </w:tabs>
        <w:numPr>
          <w:ilvl w:val="0"/>
          <w:numId w:val="488"/>
        </w:numPr>
        <w:rPr>
          <w:rFonts w:ascii="Arial" w:cs="Arial" w:eastAsia="Arial" w:hAnsi="Arial"/>
          <w:sz w:val="19"/>
          <w:szCs w:val="19"/>
          <w:color w:val="auto"/>
        </w:rPr>
      </w:pPr>
      <w:r>
        <w:rPr>
          <w:rFonts w:ascii="Arial" w:cs="Arial" w:eastAsia="Arial" w:hAnsi="Arial"/>
          <w:sz w:val="19"/>
          <w:szCs w:val="19"/>
          <w:color w:val="auto"/>
        </w:rPr>
        <w:t>If, in any Insolvency or Liquidation Proceeding, debt obligations of the reorganized debtor secured by Liens upon any property of the reorganized debtor are distributed pursuant to a Plan of Reorganization (or any form of Court-sanctioned restructuring permitted under any applicable law), both on account of the ABL Obligations and on account of the LC Obligations, then, to the extent the debt obligations distributed on account of the ABL Obligations and on account of the LC Obligations are secured by Liens upon the Collateral, the provisions of this Agreement will survive the distribution of such debt obligations pursuant to such plan and will apply with like effect to the debt obligations so distributed, to the Liens securing such debt obligations and the distribution of proceeds thereof. The provisions of section 1129(b)(1) of the Bankruptcy Code</w:t>
      </w:r>
    </w:p>
    <w:p>
      <w:pPr>
        <w:sectPr>
          <w:pgSz w:w="11900" w:h="16970" w:orient="portrait"/>
          <w:cols w:equalWidth="0" w:num="1">
            <w:col w:w="11240"/>
          </w:cols>
          <w:pgMar w:left="320" w:top="131" w:right="339" w:bottom="0" w:gutter="0" w:footer="0" w:header="0"/>
        </w:sectPr>
      </w:pPr>
    </w:p>
    <w:bookmarkStart w:id="430" w:name="page431"/>
    <w:bookmarkEnd w:id="430"/>
    <w:p>
      <w:pPr>
        <w:spacing w:after="0" w:line="2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notwithstanding, Junior Secured Obligations Secured Parties shall not propose, support or vote in favor of any Plan of Reorganization that would result in a modification of or otherwise be inconsistent with Sections 2.01, 2.02, and 2.06(h) of this Agreement.</w:t>
      </w:r>
    </w:p>
    <w:p>
      <w:pPr>
        <w:spacing w:after="0" w:line="185" w:lineRule="exact"/>
        <w:rPr>
          <w:sz w:val="20"/>
          <w:szCs w:val="20"/>
          <w:color w:val="auto"/>
        </w:rPr>
      </w:pPr>
    </w:p>
    <w:p>
      <w:pPr>
        <w:jc w:val="both"/>
        <w:ind w:firstLine="1304"/>
        <w:spacing w:after="0" w:line="302" w:lineRule="auto"/>
        <w:tabs>
          <w:tab w:leader="none" w:pos="2215" w:val="left"/>
        </w:tabs>
        <w:numPr>
          <w:ilvl w:val="0"/>
          <w:numId w:val="489"/>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Sections 2.02(a) and 2.02(b), 2.04(a) and 2.06(b), (c) (e) and (f) or otherwise, both before and during an Insolvency or Liquidation Proceeding, any of the Junior Secured Obligations Secured Parties may take any actions and exercise any and all rights that would be available to a holder of unsecured claims, including, without limitation, the commencement of an Insolvency or Liquidation Proceeding against any Grantor in accordance with applicable law (including the Debtor Relief Laws of any applicable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Junior Secured Obligations Secured Parties may not take any of the actions that is inconsistent with the terms of this Agreement, including without limitation, such actions prohibited by Sections 2.02(a) and 2.02(b), Section 2.04(a) or Section 2.06(b), (c), (e) and (f);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in the event that any of the Junior Secured Obligations Secured Parties becomes a judgment lien creditor in respect of any Collateral as a result of its enforcement of its rights as an unsecured creditor with respect to the Junior Secured Obligations, such judgment lien shall be subject to the terms of this Agreement for all purposes (including in relation to the Senior Secured Obligations) as the other Liens securing the Junior Secured Obligations are subject to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b w:val="1"/>
          <w:bCs w:val="1"/>
          <w:i w:val="1"/>
          <w:iCs w:val="1"/>
          <w:color w:val="auto"/>
        </w:rPr>
        <w:t>Reinstatement</w:t>
      </w:r>
      <w:r>
        <w:rPr>
          <w:rFonts w:ascii="Arial" w:cs="Arial" w:eastAsia="Arial" w:hAnsi="Arial"/>
          <w:sz w:val="22"/>
          <w:szCs w:val="22"/>
          <w:color w:val="auto"/>
        </w:rPr>
        <w:t>. In the event that any of the Senior Secured Obligations shall be paid in full and such payment or any part thereof shall subsequently, for whatever reason (including an order or judgment for disgorgement of a preference under any Debtor Relief Law, or the settlement of any claim in respect thereof), be required to be returned or repaid, the terms and conditions of this Article II shall be fully applicable thereto until all such Senior Secured Obligations shall again have been irrevocably paid in full in cash.</w:t>
      </w:r>
    </w:p>
    <w:p>
      <w:pPr>
        <w:spacing w:after="0" w:line="19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b w:val="1"/>
          <w:bCs w:val="1"/>
          <w:i w:val="1"/>
          <w:iCs w:val="1"/>
          <w:color w:val="auto"/>
        </w:rPr>
        <w:t>Entry Upon Premises by the ABL Collateral Agent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8" w:lineRule="auto"/>
        <w:tabs>
          <w:tab w:leader="none" w:pos="2076" w:val="left"/>
        </w:tabs>
        <w:numPr>
          <w:ilvl w:val="0"/>
          <w:numId w:val="490"/>
        </w:numPr>
        <w:rPr>
          <w:rFonts w:ascii="Arial" w:cs="Arial" w:eastAsia="Arial" w:hAnsi="Arial"/>
          <w:sz w:val="19"/>
          <w:szCs w:val="19"/>
          <w:color w:val="auto"/>
        </w:rPr>
      </w:pPr>
      <w:r>
        <w:rPr>
          <w:rFonts w:ascii="Arial" w:cs="Arial" w:eastAsia="Arial" w:hAnsi="Arial"/>
          <w:sz w:val="19"/>
          <w:szCs w:val="19"/>
          <w:color w:val="auto"/>
        </w:rPr>
        <w:t xml:space="preserve">If the ABL Collateral Agent takes any enforcement action with respect to the ABL Priority Collateral, the LC Secured Parties (i) shall cooperate with the ABL Collateral Agent (subject to the condition that the LC Secured Parties shall have no obligation or duty to take any action or refrain from taking any action that could reasonably be expected to result in the incurrence of any unreimbursed liability or damage to the LC Secured Parties) in its efforts to enforce its security interest in the ABL Priority Collateral, including to finish any work-in-process and assemble the ABL Priority Collateral, (ii) shall not take or direct the LC Collateral Agent (including any receiver, receiver and manager, interim receiver or agent appointed by it) to take any action designed or intended to hinder or restrict in any respect the ABL Collateral Agent (including any receiver, receiver and manager, interim receiver or agent appointed by it) from enforcing its security interest in the ABL Priority Collateral, including finishing any work-in-process or assembling the ABL Priority Collateral, and (iii) shall permit and direct the LC Collateral Agent, and each other LC Collateral Agent (including any receiver, receiver and manager, interim receiver delegate or agent they may appoint) to permit the ABL Collateral Agent, and their respective employees, advisers and representatives (and including any receiver, receiver and manager, interim receiver delegate or agent they may appoint), upon reasonable advance notice, to enter upon and use the LC Priority Collateral (including (x) equipment, processors, computers and other machinery related to the storage or processing of records, documents or files and (y) intellectual property) for a period not to exceed 180 days (except with respect to intellectual property, which use shall be permitted in accordance by Section 2.08(c)) after the taking of such enforcement action, for purposes (to the extent permitted under applicable law) of (A) assembling and storing the ABL Priority Collateral and completing the processing of and turning into finished goods of any ABL Priority Collateral consisting of work-in-process, (B) selling any or all of the ABL Priority Collateral located on such LC Priority Collateral, whether in bulk, in lots or to customers in the ordinary course of business or otherwise, (C) removing any or all of the ABL Priority Collateral located on such LC Priority Collateral, or (D) taking reasonable actions to protect, secure, and otherwise enforce the rights and remedies of the ABL Secured Parties and the ABL Collateral Agent in and to and relating to the ABL Priority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contained in this Agreement shall restrict the rights of a LC Collateral Agent (acting on the instructions of the applicable LC Secured Parties) from selling, assigning or otherwise transferring any LC Priority Collateral prior to the expiration of such 180-day period if the purchaser, assignee or transferee thereof agrees to be bound by the provisions of this Section. If any stay or other order prohibiting the exercise of remedies with respect to the ABL Priority Collateral has been entered by a court of competent jurisdiction, such 180-day period shall be tolled during the pendency of any such stay or other order. If the ABL Collateral Agent (including any receiver, receiver and manager, interim receiver or agent appointed by it) conducts a public auction or private sale of the ABL Priority Collateral at any of the real property included within the LC Priority Collateral, the ABL Collateral Agent shall use reasonable efforts to hold such auction or sale in a manner which would not unduly disrupt any LC Collateral Agent’s use of such real property for the benefit of the LC Secured Parties.</w:t>
      </w:r>
    </w:p>
    <w:p>
      <w:pPr>
        <w:spacing w:after="0" w:line="200" w:lineRule="exact"/>
        <w:rPr>
          <w:rFonts w:ascii="Arial" w:cs="Arial" w:eastAsia="Arial" w:hAnsi="Arial"/>
          <w:sz w:val="19"/>
          <w:szCs w:val="19"/>
          <w:color w:val="auto"/>
        </w:rPr>
      </w:pPr>
    </w:p>
    <w:p>
      <w:pPr>
        <w:spacing w:after="0" w:line="248" w:lineRule="exact"/>
        <w:rPr>
          <w:rFonts w:ascii="Arial" w:cs="Arial" w:eastAsia="Arial" w:hAnsi="Arial"/>
          <w:sz w:val="19"/>
          <w:szCs w:val="19"/>
          <w:color w:val="auto"/>
        </w:rPr>
      </w:pPr>
    </w:p>
    <w:p>
      <w:pPr>
        <w:jc w:val="both"/>
        <w:ind w:firstLine="1304"/>
        <w:spacing w:after="0" w:line="306" w:lineRule="auto"/>
        <w:tabs>
          <w:tab w:leader="none" w:pos="2277" w:val="left"/>
        </w:tabs>
        <w:numPr>
          <w:ilvl w:val="0"/>
          <w:numId w:val="490"/>
        </w:numPr>
        <w:rPr>
          <w:rFonts w:ascii="Arial" w:cs="Arial" w:eastAsia="Arial" w:hAnsi="Arial"/>
          <w:sz w:val="19"/>
          <w:szCs w:val="19"/>
          <w:color w:val="auto"/>
        </w:rPr>
      </w:pPr>
      <w:r>
        <w:rPr>
          <w:rFonts w:ascii="Arial" w:cs="Arial" w:eastAsia="Arial" w:hAnsi="Arial"/>
          <w:sz w:val="19"/>
          <w:szCs w:val="19"/>
          <w:color w:val="auto"/>
        </w:rPr>
        <w:t>During the period of actual occupation, use or control by the ABL Secured Parties or their agents or representatives (including the ABL Collateral Agent to the extent acting on behalf of such parties and including any receiver, receiver and manager, interim receiver, delegate or agent they may appoint) of any LC Priority Collateral, the ABL Secured Parties shall be obligated to (i) pay any rent, utilities or other costs and expenses necessary for LC Collateral Agent to access such LC Priority Collateral and (ii) repair at their expense any physical damage to such LC Priority Collateral or other assets or property resulting from such occupancy, use or control, and to leave such LC Priority Collateral or other assets or property in substantially the same condition as it was at the commencement of such occupancy, use or control, ordinary wear and tear</w:t>
      </w:r>
    </w:p>
    <w:p>
      <w:pPr>
        <w:sectPr>
          <w:pgSz w:w="11900" w:h="16862" w:orient="portrait"/>
          <w:cols w:equalWidth="0" w:num="1">
            <w:col w:w="11240"/>
          </w:cols>
          <w:pgMar w:left="320" w:top="131" w:right="339" w:bottom="0" w:gutter="0" w:footer="0" w:header="0"/>
        </w:sectPr>
      </w:pPr>
    </w:p>
    <w:bookmarkStart w:id="431" w:name="page432"/>
    <w:bookmarkEnd w:id="431"/>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excepted. Notwithstanding the foregoing, in no event shall the ABL Secured Parties have any liability to the LC Secured Parties pursuant to this Section as a result of any condition (including any environmental condition, claim or liability) on or with respect to the LC Priority Collateral existing prior to the date of the exercise by the ABL Secured Parties of their rights under this Section, and the ABL Secured Parties shall have no duty or liability to maintain the LC Priority Collateral in a condition or manner better than that in which it was maintained prior to the use thereof by the ABL Secured Parties, or for any diminution in the value of the LC Priority Collateral that results solely from ordinary wear and tear resulting from the use of the LC Priority Collateral by the ABL Secured Parties in the manner and for the time periods specified under this Section 2.08 or the absence of the ABL Priority Collateral therefrom. Without limiting the rights granted in this paragraph, the ABL Secured Parties shall cooperate with the LC Collateral Agent (subject to the condition that the ABL Secured Parties shall have no obligation or duty to take any action or refrain from taking any action that could reasonably be expected to result in the incurrence of any unreimbursed liability or damage to the ABL Secured Parties) in connection with any efforts made by it to cause the LC Priority Collateral to be sold.</w:t>
      </w:r>
    </w:p>
    <w:p>
      <w:pPr>
        <w:spacing w:after="0" w:line="184" w:lineRule="exact"/>
        <w:rPr>
          <w:sz w:val="20"/>
          <w:szCs w:val="20"/>
          <w:color w:val="auto"/>
        </w:rPr>
      </w:pPr>
    </w:p>
    <w:p>
      <w:pPr>
        <w:jc w:val="both"/>
        <w:ind w:firstLine="1304"/>
        <w:spacing w:after="0" w:line="270" w:lineRule="auto"/>
        <w:tabs>
          <w:tab w:leader="none" w:pos="2143" w:val="left"/>
        </w:tabs>
        <w:numPr>
          <w:ilvl w:val="0"/>
          <w:numId w:val="491"/>
        </w:numPr>
        <w:rPr>
          <w:rFonts w:ascii="Arial" w:cs="Arial" w:eastAsia="Arial" w:hAnsi="Arial"/>
          <w:sz w:val="21"/>
          <w:szCs w:val="21"/>
          <w:color w:val="auto"/>
        </w:rPr>
      </w:pPr>
      <w:r>
        <w:rPr>
          <w:rFonts w:ascii="Arial" w:cs="Arial" w:eastAsia="Arial" w:hAnsi="Arial"/>
          <w:sz w:val="21"/>
          <w:szCs w:val="21"/>
          <w:color w:val="auto"/>
        </w:rPr>
        <w:t xml:space="preserve">In addition, the LC Secured Parties and their respective Senior Representatives hereby grant to the ABL Collateral Agent and the ABL Secured Parties a non-exclusive worldwide license or right to use, to the maximum extent permitted by applicable law and to the extent of their interest therein, exercisable without payment of royalty or other compensation, any of the LC Priority Collateral consisting of intellectual property in connection with the liquidation, collection, disposition or other realization upon the ABL Priority Collateral pursuant to any enforcement action by the ABL Collateral Agent and the ABL Secured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such non-exclusive license shall immediately expire upon the sale, lease, transfer or other disposition of all such ABL Priority Collateral or upon the Discharge of the ABL Obligations and shall not extend or transfer to the purchaser of such ABL Priority Collateral (other than any rights to use such intellectual property as may exist in favor of any bona fide purchaser under applicable law). The ABL Collateral Agent’s use of such intellectual property shall be lawful, and any such license is granted on an “AS IS” basis, without any representation or warranty whatsoever. Furthermore, each LC Collateral Agent agrees that, in connection with any exercise of remedies available to any LC Collateral Agent in respect of LC Priority Collateral, such LC Collateral Agent shall provide written notice to any purchaser, assignee or transferee of intellectual property pursuant to such exercise of remedies, that the applicable intellectual property is subject to such license.</w:t>
      </w:r>
    </w:p>
    <w:p>
      <w:pPr>
        <w:spacing w:after="0" w:line="19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b w:val="1"/>
          <w:bCs w:val="1"/>
          <w:i w:val="1"/>
          <w:iCs w:val="1"/>
          <w:color w:val="auto"/>
        </w:rPr>
        <w:t>Insurance</w:t>
      </w:r>
      <w:r>
        <w:rPr>
          <w:rFonts w:ascii="Arial" w:cs="Arial" w:eastAsia="Arial" w:hAnsi="Arial"/>
          <w:sz w:val="19"/>
          <w:szCs w:val="19"/>
          <w:color w:val="auto"/>
        </w:rPr>
        <w:t>. Unless and until the ABL Obligations have been Discharged, as between the ABL Collateral Agent, on the one hand, and the LC Collateral Agent, on the other hand, only the ABL Collateral Agent will have the right (subject to the rights of the Grantors under the ABL Documents and the LC Documents) to adjust or settle any insurance policy or claim covering or constituting ABL Priority Collateral in the event of any loss thereunder and to approve any award granted in any condemnation or similar proceeding affecting the ABL Priority Collateral. Unless and until the LC Obligations have been Discharged, as between the ABL Collateral Agent, on the one hand, and the LC Collateral Agent, on the other hand, only the LC Collateral Agent will have the right (subject to the rights of the Grantors under the ABL Documents and the LC Documents) to adjust or settle any insurance policy covering or constituting LC Priority Collateral in the event of any loss thereunder and to approve any award granted in any condemnation or similar proceeding solely affecting the LC Priority Collateral. To the extent that an insured loss covers or constitutes ABL Priority Collateral and LC Priority Collateral, then the ABL Collateral Agent and the LC Collateral Agent will work jointly and in good faith to collect, adjust or settle (subject to the rights of the Grantors under the ABL Documents and the LC Obligations Documents) under the relevant insurance policy.</w:t>
      </w:r>
    </w:p>
    <w:p>
      <w:pPr>
        <w:spacing w:after="0" w:line="157"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b w:val="1"/>
          <w:bCs w:val="1"/>
          <w:i w:val="1"/>
          <w:iCs w:val="1"/>
          <w:color w:val="auto"/>
        </w:rPr>
        <w:t>Refinancings</w:t>
      </w:r>
      <w:r>
        <w:rPr>
          <w:rFonts w:ascii="Arial" w:cs="Arial" w:eastAsia="Arial" w:hAnsi="Arial"/>
          <w:sz w:val="19"/>
          <w:szCs w:val="19"/>
          <w:color w:val="auto"/>
        </w:rPr>
        <w:t xml:space="preserve">. Each of the ABL Obligations and the LC Obligations and the agreements governing them may be Refinanced, in each case without notice to, or the consent (except to the extent a consent is otherwise required to permit the Refinancing transaction under any ABL Document or any LC Obligations Document, as in effect on the date hereof or as may be amended in accordance with the terms hereof) of, any ABL Secured Party or any LC Secured Party, all without affecting the priorities provided for herein or the other provisions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holders of any such Refinancing indebtedness (or an authorized agent or trustee on their behalf) bind themselves in writing (to the extent they are not already so bound) to the terms of this Agreement pursuant to a joinder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such other Refinancing documents or agreements (including amendments or supplements to this Agreement) as each Applicable Senior Collateral Agent, shall reasonably request and in form and substance reasonably acceptable to such Applicable Senior Collateral Agent. In connection with any Refinancing contemplated by this Section 2.10, this Agreement may be amended at the request and sole expense of the Parent, and without the consent (except to the extent a consent is otherwise required to permit such Refinancing transaction under any ABL Document or any LC Obligations Document, and other than the consent of each Applicable Senior Collateral Agent, whose consent shall still be required to the extent set forth in the proviso of the immediately preceding sentence) of any Representative, (a) to add parties (or any authorized agent or trustee therefor) providing any such Refinancing, (b) to confirm that such Refinancing indebtedness in respect of any LC Obligations shall have the same rights and priorities in respect of any LC Priority Collateral as the indebtedness being Refinanced and (c) to confirm that such Refinancing indebtedness in respect of any ABL Obligations shall have the same rights and priorities in respect of any ABL Priority Collateral as the indebtedness being Refinanced, all on the terms provided for herein immediately prior to such Refinancing. Any such additional party and each Applicable Senior Collateral Agent shall be entitled to rely on the determination of officers of the Parent that such modifications do not violate the ABL Documents or the LC Documents if such determination is set forth in an officers’ certificate delivered to such party and each Applicable Senior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such</w:t>
      </w:r>
    </w:p>
    <w:p>
      <w:pPr>
        <w:sectPr>
          <w:pgSz w:w="11900" w:h="16956" w:orient="portrait"/>
          <w:cols w:equalWidth="0" w:num="1">
            <w:col w:w="11240"/>
          </w:cols>
          <w:pgMar w:left="320" w:top="131" w:right="339" w:bottom="0" w:gutter="0" w:footer="0" w:header="0"/>
        </w:sectPr>
      </w:pPr>
    </w:p>
    <w:bookmarkStart w:id="432" w:name="page433"/>
    <w:bookmarkEnd w:id="432"/>
    <w:p>
      <w:pPr>
        <w:jc w:val="both"/>
        <w:spacing w:after="0" w:line="262" w:lineRule="auto"/>
        <w:rPr>
          <w:sz w:val="20"/>
          <w:szCs w:val="20"/>
          <w:color w:val="auto"/>
        </w:rPr>
      </w:pPr>
      <w:r>
        <w:rPr>
          <w:rFonts w:ascii="Arial" w:cs="Arial" w:eastAsia="Arial" w:hAnsi="Arial"/>
          <w:sz w:val="22"/>
          <w:szCs w:val="22"/>
          <w:color w:val="auto"/>
        </w:rPr>
        <w:t>determination will not affect whether or not the Parent and the Grantors have complied with their undertakings in any such document or this Agreement. In connection with the delivery of a joinder as set forth above, the Parent shall deliver an officer’s certificate to each Collateral Agent certifying that the Refinancing, including the incurrence of indebtedness and the incurrence of liens in respect thereof, qualifies as a Refinancing as defined herein.</w:t>
      </w:r>
    </w:p>
    <w:p>
      <w:pPr>
        <w:spacing w:after="0" w:line="191"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8"/>
          <w:szCs w:val="18"/>
          <w:b w:val="1"/>
          <w:bCs w:val="1"/>
          <w:i w:val="1"/>
          <w:iCs w:val="1"/>
          <w:color w:val="auto"/>
        </w:rPr>
        <w:t>Amendments to Security Documents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61" w:lineRule="auto"/>
        <w:tabs>
          <w:tab w:leader="none" w:pos="2076" w:val="left"/>
        </w:tabs>
        <w:numPr>
          <w:ilvl w:val="0"/>
          <w:numId w:val="492"/>
        </w:numPr>
        <w:rPr>
          <w:rFonts w:ascii="Arial" w:cs="Arial" w:eastAsia="Arial" w:hAnsi="Arial"/>
          <w:sz w:val="22"/>
          <w:szCs w:val="22"/>
          <w:color w:val="auto"/>
        </w:rPr>
      </w:pPr>
      <w:r>
        <w:rPr>
          <w:rFonts w:ascii="Arial" w:cs="Arial" w:eastAsia="Arial" w:hAnsi="Arial"/>
          <w:sz w:val="22"/>
          <w:szCs w:val="22"/>
          <w:color w:val="auto"/>
        </w:rPr>
        <w:t>Subject to paragraph (c) below, each of the LC Collateral Agent and other LC Secured Parties agrees that, without the prior written consent of the ABL Collateral Agent, no LC Security Document to which such LC Collateral Agent or LC Secured Party is party may be amended, supplemented or otherwise modified or entered into to the extent such amendment, supplement or modification or the terms of any new LC Security Document would be prohibited by or inconsistent with any of the terms of this Agreement.</w:t>
      </w:r>
    </w:p>
    <w:p>
      <w:pPr>
        <w:spacing w:after="0" w:line="190" w:lineRule="exact"/>
        <w:rPr>
          <w:rFonts w:ascii="Arial" w:cs="Arial" w:eastAsia="Arial" w:hAnsi="Arial"/>
          <w:sz w:val="22"/>
          <w:szCs w:val="22"/>
          <w:color w:val="auto"/>
        </w:rPr>
      </w:pPr>
    </w:p>
    <w:p>
      <w:pPr>
        <w:jc w:val="both"/>
        <w:ind w:firstLine="1304"/>
        <w:spacing w:after="0" w:line="276" w:lineRule="auto"/>
        <w:tabs>
          <w:tab w:leader="none" w:pos="2128" w:val="left"/>
        </w:tabs>
        <w:numPr>
          <w:ilvl w:val="0"/>
          <w:numId w:val="492"/>
        </w:numPr>
        <w:rPr>
          <w:rFonts w:ascii="Arial" w:cs="Arial" w:eastAsia="Arial" w:hAnsi="Arial"/>
          <w:sz w:val="21"/>
          <w:szCs w:val="21"/>
          <w:color w:val="auto"/>
        </w:rPr>
      </w:pPr>
      <w:r>
        <w:rPr>
          <w:rFonts w:ascii="Arial" w:cs="Arial" w:eastAsia="Arial" w:hAnsi="Arial"/>
          <w:sz w:val="21"/>
          <w:szCs w:val="21"/>
          <w:color w:val="auto"/>
        </w:rPr>
        <w:t>Subject to paragraph (c) below, each of the ABL Collateral Agent and other ABL Secured Parties agrees that, without the prior written consent of the LC Collateral Agent and each LC Collateral Agent, no ABL Security Document to which the ABL Collateral Agent or ABL Secured Parties are party may be amended, supplemented or otherwise modified or entered into to the extent such amendment, supplement or modification or the terms of any new ABL Security Document would be prohibited by or inconsistent with any of the terms of this Agreement.</w:t>
      </w:r>
    </w:p>
    <w:p>
      <w:pPr>
        <w:spacing w:after="0" w:line="177" w:lineRule="exact"/>
        <w:rPr>
          <w:rFonts w:ascii="Arial" w:cs="Arial" w:eastAsia="Arial" w:hAnsi="Arial"/>
          <w:sz w:val="21"/>
          <w:szCs w:val="21"/>
          <w:color w:val="auto"/>
        </w:rPr>
      </w:pPr>
    </w:p>
    <w:p>
      <w:pPr>
        <w:jc w:val="both"/>
        <w:ind w:firstLine="1304"/>
        <w:spacing w:after="0" w:line="301" w:lineRule="auto"/>
        <w:tabs>
          <w:tab w:leader="none" w:pos="2211" w:val="left"/>
        </w:tabs>
        <w:numPr>
          <w:ilvl w:val="0"/>
          <w:numId w:val="492"/>
        </w:numPr>
        <w:rPr>
          <w:rFonts w:ascii="Arial" w:cs="Arial" w:eastAsia="Arial" w:hAnsi="Arial"/>
          <w:sz w:val="19"/>
          <w:szCs w:val="19"/>
          <w:color w:val="auto"/>
        </w:rPr>
      </w:pPr>
      <w:r>
        <w:rPr>
          <w:rFonts w:ascii="Arial" w:cs="Arial" w:eastAsia="Arial" w:hAnsi="Arial"/>
          <w:sz w:val="19"/>
          <w:szCs w:val="19"/>
          <w:color w:val="auto"/>
        </w:rPr>
        <w:t xml:space="preserve">In the event that any Senior Collateral Agent or Senior Secured Obligations Secured Parties enter into any amendment, waiver or consent in respect of or replace any of the Senior Secured Obligations Collateral Documents for the purpose of adding to, or deleting from, or waiving or consenting to any departures from any provisions of, such Senior Secured Obligations Collateral Document or changing in any manner the rights of such Senior Collateral Agent, such Senior Secured Obligations Secured Parties, the Grantors thereunder (including the release of any Liens in the applicable Senior Secured Obligations Collateral), then such amendment, waiver or consent shall apply automatically to any comparable provision of each Comparable Junior Priority Collateral Document without the consent of any Junior Collateral Agent or any Junior Secured Obligations Secured Party and without any action by any Junior Collateral Agent, any Junior Secured Obligations Secured Party, the Parent or any other Grantor;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such amendment, waiver or consent does not materially adversely affect the rights of the applicable Junior Secured Obligations Secured Parties or the interests of the applicable Junior Secured Obligations Secured Parties in the applicable Junior Secured Obligations Collateral and not the Senior Collateral Agent or the Senior Secured Obligations Secured Parties, as the case may be, that have a security interest in the affected collateral in a like or similar manner, and (B) written notice of such amendment, waiver or consent shall have been given by the Parent to the Applicable Junior Collateral Agent.</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304"/>
        <w:spacing w:after="0" w:line="305" w:lineRule="auto"/>
        <w:tabs>
          <w:tab w:leader="none" w:pos="2385" w:val="left"/>
        </w:tabs>
        <w:numPr>
          <w:ilvl w:val="0"/>
          <w:numId w:val="49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the LC Collateral Agent and other LC Secured Parties and the ABL Collateral Agent and other ABL Secured Parties hereby agree that they will not amend or otherwise modify the provisions of the LC Documents or the ABL Documents related to the Refinancing or payment of any Obligations (including ordinary course payments) in a manner that makes them more restrictive to Grantors or otherwise prohibits or restricts a Refinancing or payment permitted under the LC Documents or ABL Documents as in effect on the date hereof. The LC Collateral Agent and other LC Secured Parties hereby agree that they will not amend or otherwise modify Section 8.09 of the LC Credit Agreement, the definition of “Liquidity,” any of the terms or definitions used to calculate compliance with Section 8.09 of the LC Credit Agreement, or the effect of any breach of Section 8.09 of the LC Credit Agreement.</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8"/>
          <w:szCs w:val="18"/>
          <w:b w:val="1"/>
          <w:bCs w:val="1"/>
          <w:i w:val="1"/>
          <w:iCs w:val="1"/>
          <w:color w:val="auto"/>
        </w:rPr>
        <w:t>Possessory Collateral Agent as Gratuitous Bailee for Perfection</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01" w:lineRule="auto"/>
        <w:tabs>
          <w:tab w:leader="none" w:pos="2265" w:val="left"/>
        </w:tabs>
        <w:numPr>
          <w:ilvl w:val="0"/>
          <w:numId w:val="493"/>
        </w:numPr>
        <w:rPr>
          <w:rFonts w:ascii="Arial" w:cs="Arial" w:eastAsia="Arial" w:hAnsi="Arial"/>
          <w:sz w:val="19"/>
          <w:szCs w:val="19"/>
          <w:color w:val="auto"/>
        </w:rPr>
      </w:pPr>
      <w:r>
        <w:rPr>
          <w:rFonts w:ascii="Arial" w:cs="Arial" w:eastAsia="Arial" w:hAnsi="Arial"/>
          <w:sz w:val="19"/>
          <w:szCs w:val="19"/>
          <w:color w:val="auto"/>
        </w:rPr>
        <w:t>Each Possessory Collateral Agent agrees to hold the Possessory Collateral that is in its possession or control (or in the possession or control of its agents or bailees) as gratuitous bailee for, or, as applicable, on trust for, the benefit of each Secured Party and any assignee solely for the purpose of perfecting the security interest granted in such Possessory Collateral pursuant to the ABL Security Documents or the LC Security Documents, subject to the terms and conditions of this Section 2.12. To the extent any Possessory Collateral is possessed by or is under the control of a Collateral Agent (either directly or through its agents or bailees) other than the Applicable Possessory Collateral Agent, such Collateral Agent shall deliver such Possessory Collateral to (or shall cause such Possessory Collateral to be delivered to) the Applicable Possessory Collateral Agent and shall take all actions reasonably requested in writing by the Applicable Possessory Collateral Agent to cause the Applicable Possessory Collateral Agent to have possession or control of same. Pending such delivery to the Applicable Possessory Collateral Agent, each other Collateral Agent agrees to hold any Possessory Collateral as gratuitous bailee, or, as applicable, on trust for, for the benefit of each other Secured Party and any assignee, solely for the purpose of perfecting the security interest granted in such Possessory Collateral, if any, pursuant to the applicable ABL Security Documents or LC Security Documents, in each case subject to the terms and conditions of this Section 2.12.</w:t>
      </w:r>
    </w:p>
    <w:p>
      <w:pPr>
        <w:spacing w:after="0" w:line="163" w:lineRule="exact"/>
        <w:rPr>
          <w:rFonts w:ascii="Arial" w:cs="Arial" w:eastAsia="Arial" w:hAnsi="Arial"/>
          <w:sz w:val="19"/>
          <w:szCs w:val="19"/>
          <w:color w:val="auto"/>
        </w:rPr>
      </w:pPr>
    </w:p>
    <w:p>
      <w:pPr>
        <w:jc w:val="both"/>
        <w:ind w:firstLine="1304"/>
        <w:spacing w:after="0" w:line="327" w:lineRule="auto"/>
        <w:tabs>
          <w:tab w:leader="none" w:pos="2128" w:val="left"/>
        </w:tabs>
        <w:numPr>
          <w:ilvl w:val="0"/>
          <w:numId w:val="493"/>
        </w:numPr>
        <w:rPr>
          <w:rFonts w:ascii="Arial" w:cs="Arial" w:eastAsia="Arial" w:hAnsi="Arial"/>
          <w:sz w:val="19"/>
          <w:szCs w:val="19"/>
          <w:color w:val="auto"/>
        </w:rPr>
      </w:pPr>
      <w:r>
        <w:rPr>
          <w:rFonts w:ascii="Arial" w:cs="Arial" w:eastAsia="Arial" w:hAnsi="Arial"/>
          <w:sz w:val="19"/>
          <w:szCs w:val="19"/>
          <w:color w:val="auto"/>
        </w:rPr>
        <w:t>The duties or responsibilities of each Possessory Collateral Agent and each other Collateral Agent under this Section 2.12 shall be limited solely to holding the Possessory Collateral as gratuitous bailee, or, as applicable, on trust for, for the benefit of each Secured Party for purposes of perfecting the security interest held by the Secured Parties therein.</w:t>
      </w:r>
    </w:p>
    <w:p>
      <w:pPr>
        <w:sectPr>
          <w:pgSz w:w="11900" w:h="16838" w:orient="portrait"/>
          <w:cols w:equalWidth="0" w:num="1">
            <w:col w:w="11240"/>
          </w:cols>
          <w:pgMar w:left="320" w:top="131" w:right="339" w:bottom="0" w:gutter="0" w:footer="0" w:header="0"/>
        </w:sectPr>
      </w:pPr>
    </w:p>
    <w:bookmarkStart w:id="433" w:name="page434"/>
    <w:bookmarkEnd w:id="433"/>
    <w:p>
      <w:pPr>
        <w:jc w:val="both"/>
        <w:ind w:firstLine="1304"/>
        <w:spacing w:after="0" w:line="305" w:lineRule="auto"/>
        <w:tabs>
          <w:tab w:leader="none" w:pos="2184" w:val="left"/>
        </w:tabs>
        <w:numPr>
          <w:ilvl w:val="0"/>
          <w:numId w:val="494"/>
        </w:numPr>
        <w:rPr>
          <w:rFonts w:ascii="Arial" w:cs="Arial" w:eastAsia="Arial" w:hAnsi="Arial"/>
          <w:sz w:val="19"/>
          <w:szCs w:val="19"/>
          <w:color w:val="auto"/>
        </w:rPr>
      </w:pPr>
      <w:r>
        <w:rPr>
          <w:rFonts w:ascii="Arial" w:cs="Arial" w:eastAsia="Arial" w:hAnsi="Arial"/>
          <w:sz w:val="19"/>
          <w:szCs w:val="19"/>
          <w:color w:val="auto"/>
        </w:rPr>
        <w:t>Upon the Discharge of all LC Obligations, the LC Collateral Agent shall deliver to the ABL Collateral Agent, to the extent that it is legally permitted to do so, the remaining Possessory Collateral (if any) held by it, together with any necessary endorsements (or otherwise allow the ABL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gross negligence or bad faith. No LC Collateral Agent shall be obligated to follow instructions from the ABL Collateral Agent in contravention of this Agreement.</w:t>
      </w:r>
    </w:p>
    <w:p>
      <w:pPr>
        <w:spacing w:after="0" w:line="154" w:lineRule="exact"/>
        <w:rPr>
          <w:rFonts w:ascii="Arial" w:cs="Arial" w:eastAsia="Arial" w:hAnsi="Arial"/>
          <w:sz w:val="19"/>
          <w:szCs w:val="19"/>
          <w:color w:val="auto"/>
        </w:rPr>
      </w:pPr>
    </w:p>
    <w:p>
      <w:pPr>
        <w:jc w:val="both"/>
        <w:ind w:firstLine="1304"/>
        <w:spacing w:after="0" w:line="305" w:lineRule="auto"/>
        <w:tabs>
          <w:tab w:leader="none" w:pos="2128" w:val="left"/>
        </w:tabs>
        <w:numPr>
          <w:ilvl w:val="0"/>
          <w:numId w:val="494"/>
        </w:numPr>
        <w:rPr>
          <w:rFonts w:ascii="Arial" w:cs="Arial" w:eastAsia="Arial" w:hAnsi="Arial"/>
          <w:sz w:val="19"/>
          <w:szCs w:val="19"/>
          <w:color w:val="auto"/>
        </w:rPr>
      </w:pPr>
      <w:r>
        <w:rPr>
          <w:rFonts w:ascii="Arial" w:cs="Arial" w:eastAsia="Arial" w:hAnsi="Arial"/>
          <w:sz w:val="19"/>
          <w:szCs w:val="19"/>
          <w:color w:val="auto"/>
        </w:rPr>
        <w:t>Upon the Discharge of all ABL Obligations, the ABL Collateral Agent shall deliver to the LC Collateral Agent, to the extent that it is legally permitted to do so, the remaining Possessory Collateral (if any) held by it, together with any necessary endorsements (or otherwise allow the LC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gross negligence or bad faith. The ABL Collateral Agent shall not be obligated to follow instructions from any LC Collateral Agent in contravention of this Agreement.</w:t>
      </w:r>
    </w:p>
    <w:p>
      <w:pPr>
        <w:spacing w:after="0" w:line="15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b w:val="1"/>
          <w:bCs w:val="1"/>
          <w:i w:val="1"/>
          <w:iCs w:val="1"/>
          <w:color w:val="auto"/>
        </w:rPr>
        <w:t>Control Agreements</w:t>
      </w:r>
      <w:r>
        <w:rPr>
          <w:rFonts w:ascii="Arial" w:cs="Arial" w:eastAsia="Arial" w:hAnsi="Arial"/>
          <w:sz w:val="21"/>
          <w:szCs w:val="21"/>
          <w:color w:val="auto"/>
        </w:rPr>
        <w:t>. The ABL Collateral Agent hereby agrees to act as collateral agent of the LC Secured Parties under each control agreement solely for the purpose of perfecting the Lien of the LC Secured Parties in the deposit accounts and securities accounts subject to such control agreements by control. The LC Collateral Agent, on behalf of the LC Secured Parties, hereby appoints the ABL Collateral Agent to act as its collateral agent under each such control agreement, as applicable. The duties or responsibilities of the ABL Collateral Agent under this Section 2.13 shall be limited solely to acting as agent for the benefit of each LC Secured Party for purposes of perfecting the security interest held by the Secured Parties in the deposit accounts and securities accounts subject to such control agreements by control, in each case prior to the Discharge of all ABL Obligations</w:t>
      </w:r>
    </w:p>
    <w:p>
      <w:pPr>
        <w:spacing w:after="0" w:line="179"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b w:val="1"/>
          <w:bCs w:val="1"/>
          <w:i w:val="1"/>
          <w:iCs w:val="1"/>
          <w:color w:val="auto"/>
        </w:rPr>
        <w:t>Rights under Permits and Licenses</w:t>
      </w:r>
      <w:r>
        <w:rPr>
          <w:rFonts w:ascii="Arial" w:cs="Arial" w:eastAsia="Arial" w:hAnsi="Arial"/>
          <w:sz w:val="19"/>
          <w:szCs w:val="19"/>
          <w:color w:val="auto"/>
        </w:rPr>
        <w:t>. The LC Collateral Agent agrees that if the ABL Collateral Agent shall require rights available under any permit or license controlled by the LC Collateral Agent (as certified to the LC Collateral Agent by the ABL Collateral Agent, upon which the LC Collateral Agent may rely) in order to realize on any ABL Priority Collateral, the LC Collateral Agent shall (subject to the terms of the LC Documents, including the LC Collateral Agent’s rights to indemnification thereunder) take all such actions as shall be available to it (at the sole expense of the Grantors), consistent with applicable law and reasonably requested by the ABL Collateral Agent in writing, to make such rights available to the ABL Collateral Agent, subject to the Liens held by the LC Collateral Agent for the benefit of the LC Secured Parties. The ABL Collateral Agent agrees that if the LC Collateral Agent shall require rights available under any permit or license controlled by the ABL Collateral Agent (as certified to the ABL Collateral Agent by the LC Collateral Agent, upon which the ABL Collateral Agent may rely) in order to realize on any LC Priority Collateral, the ABL Collateral Agent shall (subject to the terms of the ABL Documents, including such ABL Collateral Agent’s rights to indemnification thereunder) take all such actions as shall be available to it (at the sole expense of the Grantors), consistent with applicable law and reasonably requested by the LC Collateral Agent in writing, to make such rights available to the LC Collateral Agent, subject to the Liens held by the ABL Collateral Agent for the benefit of the ABL Secured Parties.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Existence and Amounts of Liens and Obligations</w:t>
      </w:r>
    </w:p>
    <w:p>
      <w:pPr>
        <w:spacing w:after="0" w:line="239"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9"/>
          <w:szCs w:val="19"/>
          <w:color w:val="auto"/>
        </w:rPr>
        <w:t xml:space="preserve">Whenever a Representative shall be required, in connection with the exercise of its rights or the performance of its obligations hereunder, to determine the existence or amount of any Senior Secured Obligations (or the existence of any commitment to extend credit that would constitute Senior Secured Obligations) or Junior Secured Obligations, or the Collateral subject to any such Lien, it may, acting reasonably, request that such information be furnished to it in writing by the other Representatives and shall be entitled to make such determination on the basis of the information so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Parent. Each Representative may rely conclusively, and shall be fully protected in so relying, on any determination made by it in accordance with the provisions of the preceding sentence (or as otherwise directed by a court of competent jurisdiction) and shall have no liability to the Parent or any of its subsidiaries, any Secured Party or any other Person as a result of such determination.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Grantors</w:t>
      </w:r>
    </w:p>
    <w:p>
      <w:pPr>
        <w:sectPr>
          <w:pgSz w:w="11900" w:h="16838" w:orient="portrait"/>
          <w:cols w:equalWidth="0" w:num="1">
            <w:col w:w="11240"/>
          </w:cols>
          <w:pgMar w:left="320" w:top="131" w:right="339" w:bottom="19" w:gutter="0" w:footer="0" w:header="0"/>
        </w:sectPr>
      </w:pPr>
    </w:p>
    <w:bookmarkStart w:id="434" w:name="page435"/>
    <w:bookmarkEnd w:id="434"/>
    <w:p>
      <w:pPr>
        <w:jc w:val="both"/>
        <w:ind w:firstLine="1296"/>
        <w:spacing w:after="0" w:line="327" w:lineRule="auto"/>
        <w:rPr>
          <w:sz w:val="20"/>
          <w:szCs w:val="20"/>
          <w:color w:val="auto"/>
        </w:rPr>
      </w:pPr>
      <w:r>
        <w:rPr>
          <w:rFonts w:ascii="Arial" w:cs="Arial" w:eastAsia="Arial" w:hAnsi="Arial"/>
          <w:sz w:val="19"/>
          <w:szCs w:val="19"/>
          <w:color w:val="auto"/>
        </w:rPr>
        <w:t>Each Grantor hereby consents to the provisions of this Agreement and the intercreditor arrangements provided for herein and agrees that the obligations of the Grantors under the ABL Security Documents, the LC Security Documents or the Foreign Collateral Documents will in no way be diminished or otherwise affected by such provisions or arrangements.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b w:val="1"/>
          <w:bCs w:val="1"/>
          <w:i w:val="1"/>
          <w:iCs w:val="1"/>
          <w:color w:val="auto"/>
        </w:rPr>
        <w:t>Representations and Warranties of Each Party</w:t>
      </w:r>
      <w:r>
        <w:rPr>
          <w:rFonts w:ascii="Arial" w:cs="Arial" w:eastAsia="Arial" w:hAnsi="Arial"/>
          <w:sz w:val="22"/>
          <w:szCs w:val="22"/>
          <w:color w:val="auto"/>
        </w:rPr>
        <w:t>. Each party hereto represents and warrants to the other parties hereto as follows:</w:t>
      </w:r>
    </w:p>
    <w:p>
      <w:pPr>
        <w:spacing w:after="0" w:line="174" w:lineRule="exact"/>
        <w:rPr>
          <w:sz w:val="20"/>
          <w:szCs w:val="20"/>
          <w:color w:val="auto"/>
        </w:rPr>
      </w:pPr>
    </w:p>
    <w:p>
      <w:pPr>
        <w:jc w:val="both"/>
        <w:ind w:firstLine="1304"/>
        <w:spacing w:after="0" w:line="262" w:lineRule="auto"/>
        <w:tabs>
          <w:tab w:leader="none" w:pos="2157" w:val="left"/>
        </w:tabs>
        <w:numPr>
          <w:ilvl w:val="0"/>
          <w:numId w:val="495"/>
        </w:numPr>
        <w:rPr>
          <w:rFonts w:ascii="Arial" w:cs="Arial" w:eastAsia="Arial" w:hAnsi="Arial"/>
          <w:sz w:val="22"/>
          <w:szCs w:val="22"/>
          <w:color w:val="auto"/>
        </w:rPr>
      </w:pPr>
      <w:r>
        <w:rPr>
          <w:rFonts w:ascii="Arial" w:cs="Arial" w:eastAsia="Arial" w:hAnsi="Arial"/>
          <w:sz w:val="22"/>
          <w:szCs w:val="22"/>
          <w:color w:val="auto"/>
        </w:rPr>
        <w:t>Such party is duly organized or incorporated (as the case may be), validly existing and, if applicable, in good standing (or the equivalent status under the laws of any foreign jurisdiction) under the laws of the jurisdiction of its organization or incorporation (as the case may be) and has all requisite power and authority to enter into and perform its obligations under this Agreement.</w:t>
      </w:r>
    </w:p>
    <w:p>
      <w:pPr>
        <w:spacing w:after="0" w:line="191" w:lineRule="exact"/>
        <w:rPr>
          <w:rFonts w:ascii="Arial" w:cs="Arial" w:eastAsia="Arial" w:hAnsi="Arial"/>
          <w:sz w:val="22"/>
          <w:szCs w:val="22"/>
          <w:color w:val="auto"/>
        </w:rPr>
      </w:pPr>
    </w:p>
    <w:p>
      <w:pPr>
        <w:ind w:left="2100" w:hanging="796"/>
        <w:spacing w:after="0"/>
        <w:tabs>
          <w:tab w:leader="none" w:pos="2100" w:val="left"/>
        </w:tabs>
        <w:numPr>
          <w:ilvl w:val="0"/>
          <w:numId w:val="495"/>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such party.</w:t>
      </w:r>
    </w:p>
    <w:p>
      <w:pPr>
        <w:spacing w:after="0" w:line="233" w:lineRule="exact"/>
        <w:rPr>
          <w:rFonts w:ascii="Arial" w:cs="Arial" w:eastAsia="Arial" w:hAnsi="Arial"/>
          <w:sz w:val="22"/>
          <w:szCs w:val="22"/>
          <w:color w:val="auto"/>
        </w:rPr>
      </w:pPr>
    </w:p>
    <w:p>
      <w:pPr>
        <w:jc w:val="both"/>
        <w:ind w:firstLine="1304"/>
        <w:spacing w:after="0" w:line="262" w:lineRule="auto"/>
        <w:tabs>
          <w:tab w:leader="none" w:pos="2130" w:val="left"/>
        </w:tabs>
        <w:numPr>
          <w:ilvl w:val="0"/>
          <w:numId w:val="495"/>
        </w:numPr>
        <w:rPr>
          <w:rFonts w:ascii="Arial" w:cs="Arial" w:eastAsia="Arial" w:hAnsi="Arial"/>
          <w:sz w:val="22"/>
          <w:szCs w:val="22"/>
          <w:color w:val="auto"/>
        </w:rPr>
      </w:pPr>
      <w:r>
        <w:rPr>
          <w:rFonts w:ascii="Arial" w:cs="Arial" w:eastAsia="Arial" w:hAnsi="Arial"/>
          <w:sz w:val="22"/>
          <w:szCs w:val="22"/>
          <w:color w:val="auto"/>
        </w:rPr>
        <w:t>The execution, delivery and performance by such party of this Agreement (i) do not require any consent or approval of, registration or filing with or any other action by any governmental authority, (ii) will not violate any applicable law or regulation or any order of any governmental authority and (iii) will not violate the charter, by-laws or other organizational documents of such party.</w:t>
      </w:r>
    </w:p>
    <w:p>
      <w:pPr>
        <w:spacing w:after="0" w:line="19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b w:val="1"/>
          <w:bCs w:val="1"/>
          <w:i w:val="1"/>
          <w:iCs w:val="1"/>
          <w:color w:val="auto"/>
        </w:rPr>
        <w:t>Representations and Warranties of Each Representative</w:t>
      </w:r>
      <w:r>
        <w:rPr>
          <w:rFonts w:ascii="Arial" w:cs="Arial" w:eastAsia="Arial" w:hAnsi="Arial"/>
          <w:sz w:val="22"/>
          <w:szCs w:val="22"/>
          <w:color w:val="auto"/>
        </w:rPr>
        <w:t>. Each Collateral Agent and Representative represents and warrants to the other parties hereto that it is authorized under the ABL Credit Agreement or the LC Obligations Credit Agreement, as applicable, to enter into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Collateral Agency for Foreign Collateral</w:t>
      </w:r>
    </w:p>
    <w:p>
      <w:pPr>
        <w:spacing w:after="0" w:line="239"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b w:val="1"/>
          <w:bCs w:val="1"/>
          <w:i w:val="1"/>
          <w:iCs w:val="1"/>
          <w:color w:val="auto"/>
        </w:rPr>
        <w:t>Appointment of Foreign Collateral Agent</w:t>
      </w:r>
      <w:r>
        <w:rPr>
          <w:rFonts w:ascii="Arial" w:cs="Arial" w:eastAsia="Arial" w:hAnsi="Arial"/>
          <w:sz w:val="19"/>
          <w:szCs w:val="19"/>
          <w:color w:val="auto"/>
        </w:rPr>
        <w:t xml:space="preserve">. It is acknowledged that, in certain jurisdictions outside of the United State of America, applicable law prevents both the ABL Collateral Agent and the LC Collateral Agent from obtaining liens on the Collateral. In such circumstances, solely for Foreign Collateral, the parties hereto agree that (i) WF is hereby appointed as Foreign Collateral Agent and sub-agent for the Collateral Agents and (ii) notwithstanding anything to the contrary contained herein, Foreign Collateral Agent is permitted to hold Liens on such Foreign Collateral on trust for the Secured Parties notwithstanding the inability of any other Collateral Agent to hold similar Liens. In recognition of the foregoing, each other Collateral Agent hereby irrevocably appoints WF to act as the “collateral agent” under any Foreign Collateral Documents, and each other Collateral Agent hereby irrevocably appoints and authorizes WF to act as the agent of such Secured Party for purposes of acquiring, holding and enforcing any and all Liens on Foreign Collateral granted by any of the Grantors to secure any of the ABL Obligations or LC Obligations, together with such powers and discretion as are reasonably incidental thereto (including, without limitation, to enter into additional Foreign Collateral Documents or supplements to existing Foreign Collateral Documents on behalf of the Secured Parties). In this connection, the Foreign Collateral Agent, as “collateral agent” and any co-agents, sub-agents and attorneys-in-fact appointed by the Foreign Collateral Agent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for purposes of holding or enforcing any Lien on the Foreign Collateral (or any portion thereof) granted under the Foreign Collateral Documents, or for exercising any rights and remedies thereunder at the direction of the Foreign Collateral Agent, shall be entitled to the benefits of all provisions of this Agreement, as though such co-agents, sub-agents and attorneys-in-fact were the “collateral agent” under this agreement and the Foreign Collateral Documents as if set forth in full herein with respect thereto. It is understood and agreed that the use of the term “agent” herein or in any other Foreign Collateral Documents (or any other similar term) with reference to the Foreign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42"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b w:val="1"/>
          <w:bCs w:val="1"/>
          <w:i w:val="1"/>
          <w:iCs w:val="1"/>
          <w:color w:val="auto"/>
        </w:rPr>
        <w:t>Rights as a Secured Party</w:t>
      </w:r>
      <w:r>
        <w:rPr>
          <w:rFonts w:ascii="Arial" w:cs="Arial" w:eastAsia="Arial" w:hAnsi="Arial"/>
          <w:sz w:val="19"/>
          <w:szCs w:val="19"/>
          <w:color w:val="auto"/>
        </w:rPr>
        <w:t>. The Person serving as the Foreign Collateral Agent hereunder shall have the same rights and powers in its capacity as a Secured Party as any other Secured Party and may exercise the same as though it were not the Foreign Collateral Agent and the term “Secured Party” or “Secured Parties” (or, as applicable, ABL Secured Party or LC Secured Party) shall, unless otherwise expressly indicated or unless the context otherwise requires, include the Person serving as the Foreign Collateral Agent hereunder in its individual capacity. Such Person and its affiliates may accept deposits from, lend money to, own securities of, act as the financial advisor or in any other advisory capacity for and generally engage in any kind of business with any Grantor or any Grantor’s Subsidiary or other affiliate thereof as if such Person were not the Foreign Collateral Agent hereunder and without any duty to account therefor to the Secured Parties.</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8"/>
          <w:szCs w:val="18"/>
          <w:b w:val="1"/>
          <w:bCs w:val="1"/>
          <w:i w:val="1"/>
          <w:iCs w:val="1"/>
          <w:color w:val="auto"/>
        </w:rPr>
        <w:t>Exculpatory Provisions</w:t>
      </w:r>
      <w:r>
        <w:rPr>
          <w:rFonts w:ascii="Arial" w:cs="Arial" w:eastAsia="Arial" w:hAnsi="Arial"/>
          <w:sz w:val="18"/>
          <w:szCs w:val="18"/>
          <w:color w:val="auto"/>
        </w:rPr>
        <w:t>.</w:t>
      </w:r>
    </w:p>
    <w:p>
      <w:pPr>
        <w:sectPr>
          <w:pgSz w:w="11900" w:h="16838" w:orient="portrait"/>
          <w:cols w:equalWidth="0" w:num="1">
            <w:col w:w="11240"/>
          </w:cols>
          <w:pgMar w:left="320" w:top="131" w:right="339" w:bottom="0" w:gutter="0" w:footer="0" w:header="0"/>
        </w:sectPr>
      </w:pPr>
    </w:p>
    <w:bookmarkStart w:id="435" w:name="page436"/>
    <w:bookmarkEnd w:id="435"/>
    <w:p>
      <w:pPr>
        <w:spacing w:after="0" w:line="80" w:lineRule="exact"/>
        <w:rPr>
          <w:sz w:val="20"/>
          <w:szCs w:val="20"/>
          <w:color w:val="auto"/>
        </w:rPr>
      </w:pPr>
    </w:p>
    <w:p>
      <w:pPr>
        <w:jc w:val="both"/>
        <w:ind w:firstLine="1304"/>
        <w:spacing w:after="0" w:line="327" w:lineRule="auto"/>
        <w:tabs>
          <w:tab w:leader="none" w:pos="2224" w:val="left"/>
        </w:tabs>
        <w:numPr>
          <w:ilvl w:val="0"/>
          <w:numId w:val="496"/>
        </w:numPr>
        <w:rPr>
          <w:rFonts w:ascii="Arial" w:cs="Arial" w:eastAsia="Arial" w:hAnsi="Arial"/>
          <w:sz w:val="19"/>
          <w:szCs w:val="19"/>
          <w:color w:val="auto"/>
        </w:rPr>
      </w:pPr>
      <w:r>
        <w:rPr>
          <w:rFonts w:ascii="Arial" w:cs="Arial" w:eastAsia="Arial" w:hAnsi="Arial"/>
          <w:sz w:val="19"/>
          <w:szCs w:val="19"/>
          <w:color w:val="auto"/>
        </w:rPr>
        <w:t>The Foreign Collateral Agent shall not have any duties or obligations except those expressly set forth herein and in the other Foreign Collateral Documents to which Foreign Collateral Agent is a party, and its duties hereunder and thereunder shall be administrative in nature. Without limiting the generality of the foregoing, the Foreign Collateral Agent:</w:t>
      </w:r>
    </w:p>
    <w:p>
      <w:pPr>
        <w:spacing w:after="0" w:line="132" w:lineRule="exact"/>
        <w:rPr>
          <w:rFonts w:ascii="Arial" w:cs="Arial" w:eastAsia="Arial" w:hAnsi="Arial"/>
          <w:sz w:val="19"/>
          <w:szCs w:val="19"/>
          <w:color w:val="auto"/>
        </w:rPr>
      </w:pPr>
    </w:p>
    <w:p>
      <w:pPr>
        <w:ind w:left="1300" w:firstLine="652"/>
        <w:spacing w:after="0" w:line="301" w:lineRule="auto"/>
        <w:tabs>
          <w:tab w:leader="none" w:pos="2854" w:val="left"/>
        </w:tabs>
        <w:numPr>
          <w:ilvl w:val="1"/>
          <w:numId w:val="496"/>
        </w:numPr>
        <w:rPr>
          <w:rFonts w:ascii="Arial" w:cs="Arial" w:eastAsia="Arial" w:hAnsi="Arial"/>
          <w:sz w:val="21"/>
          <w:szCs w:val="21"/>
          <w:color w:val="auto"/>
        </w:rPr>
      </w:pPr>
      <w:r>
        <w:rPr>
          <w:rFonts w:ascii="Arial" w:cs="Arial" w:eastAsia="Arial" w:hAnsi="Arial"/>
          <w:sz w:val="21"/>
          <w:szCs w:val="21"/>
          <w:color w:val="auto"/>
        </w:rPr>
        <w:t>shall not be subject to any fiduciary or other implied duties, regardless of whether a default or Event of Default under the ABL Documents or LC Documents has occurred and is continuing;</w:t>
      </w:r>
    </w:p>
    <w:p>
      <w:pPr>
        <w:spacing w:after="0" w:line="150" w:lineRule="exact"/>
        <w:rPr>
          <w:rFonts w:ascii="Arial" w:cs="Arial" w:eastAsia="Arial" w:hAnsi="Arial"/>
          <w:sz w:val="21"/>
          <w:szCs w:val="21"/>
          <w:color w:val="auto"/>
        </w:rPr>
      </w:pPr>
    </w:p>
    <w:p>
      <w:pPr>
        <w:jc w:val="both"/>
        <w:ind w:left="1300" w:firstLine="652"/>
        <w:spacing w:after="0" w:line="304" w:lineRule="auto"/>
        <w:tabs>
          <w:tab w:leader="none" w:pos="2954" w:val="left"/>
        </w:tabs>
        <w:numPr>
          <w:ilvl w:val="1"/>
          <w:numId w:val="496"/>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(though it hereby is authorized to take such actions in its Permitted Discretion), except discretionary rights and powers expressly contemplated hereby or by the Foreign Collateral Documents that the Foreign Collateral Agent is required to exercise as directed in writing by the Controlling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Foreign Collateral Agent shall not be required to take any action that, in its good faith, based upon the advice of counsel or upon the written opinion of its counsel, may expose the Foreign Collateral Agent to liability or that is contrary to any Foreign Collateral Document or applicable law, including, for the avoidance of doubt, any action that may be in violation of the automatic stay under any Debtor Relief Law or that may effect a forfeiture, modification or termination of property in violation of any Debtor Relief Law; and</w:t>
      </w:r>
    </w:p>
    <w:p>
      <w:pPr>
        <w:spacing w:after="0" w:line="155" w:lineRule="exact"/>
        <w:rPr>
          <w:rFonts w:ascii="Arial" w:cs="Arial" w:eastAsia="Arial" w:hAnsi="Arial"/>
          <w:sz w:val="19"/>
          <w:szCs w:val="19"/>
          <w:color w:val="auto"/>
        </w:rPr>
      </w:pPr>
    </w:p>
    <w:p>
      <w:pPr>
        <w:jc w:val="both"/>
        <w:ind w:left="1300" w:firstLine="652"/>
        <w:spacing w:after="0" w:line="262" w:lineRule="auto"/>
        <w:tabs>
          <w:tab w:leader="none" w:pos="2839" w:val="left"/>
        </w:tabs>
        <w:numPr>
          <w:ilvl w:val="1"/>
          <w:numId w:val="496"/>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Foreign Collateral Documents, have any duty to disclose, and shall not be liable for the failure to disclose, any information relating to the Grantors or any of their Subsidiaries or affiliates that is communicated to or obtained by the Person serving as the Foreign Collateral Agent or any of its affiliates in any capacity.</w:t>
      </w:r>
    </w:p>
    <w:p>
      <w:pPr>
        <w:spacing w:after="0" w:line="191" w:lineRule="exact"/>
        <w:rPr>
          <w:rFonts w:ascii="Arial" w:cs="Arial" w:eastAsia="Arial" w:hAnsi="Arial"/>
          <w:sz w:val="22"/>
          <w:szCs w:val="22"/>
          <w:color w:val="auto"/>
        </w:rPr>
      </w:pPr>
    </w:p>
    <w:p>
      <w:pPr>
        <w:jc w:val="both"/>
        <w:ind w:firstLine="1304"/>
        <w:spacing w:after="0" w:line="260" w:lineRule="auto"/>
        <w:tabs>
          <w:tab w:leader="none" w:pos="2317" w:val="left"/>
        </w:tabs>
        <w:numPr>
          <w:ilvl w:val="0"/>
          <w:numId w:val="496"/>
        </w:numPr>
        <w:rPr>
          <w:rFonts w:ascii="Arial" w:cs="Arial" w:eastAsia="Arial" w:hAnsi="Arial"/>
          <w:sz w:val="22"/>
          <w:szCs w:val="22"/>
          <w:color w:val="auto"/>
        </w:rPr>
      </w:pPr>
      <w:r>
        <w:rPr>
          <w:rFonts w:ascii="Arial" w:cs="Arial" w:eastAsia="Arial" w:hAnsi="Arial"/>
          <w:sz w:val="22"/>
          <w:szCs w:val="22"/>
          <w:color w:val="auto"/>
        </w:rPr>
        <w:t>The Foreign Collateral Agent shall not be liable for any action taken or not taken by it (i) with the consent or at the request of the Controlling Parties or (ii) in the absence of its own willful misconduct, gross negligence or bad faith as determined by a court of competent jurisdiction by final nonappealable judgment. The Foreign Collateral Agent shall be deemed not to have knowledge of any default or Event of Default under the ABL Documents or LC Documents unless and until notice describing such default or Event of Default is given to the Foreign Collateral Agent by the Grantors, LC Collateral Agent, or ABL Collateral Agent.</w:t>
      </w:r>
    </w:p>
    <w:p>
      <w:pPr>
        <w:spacing w:after="0" w:line="191" w:lineRule="exact"/>
        <w:rPr>
          <w:rFonts w:ascii="Arial" w:cs="Arial" w:eastAsia="Arial" w:hAnsi="Arial"/>
          <w:sz w:val="22"/>
          <w:szCs w:val="22"/>
          <w:color w:val="auto"/>
        </w:rPr>
      </w:pPr>
    </w:p>
    <w:p>
      <w:pPr>
        <w:jc w:val="both"/>
        <w:ind w:firstLine="1304"/>
        <w:spacing w:after="0" w:line="308" w:lineRule="auto"/>
        <w:tabs>
          <w:tab w:leader="none" w:pos="2116" w:val="left"/>
        </w:tabs>
        <w:numPr>
          <w:ilvl w:val="0"/>
          <w:numId w:val="496"/>
        </w:numPr>
        <w:rPr>
          <w:rFonts w:ascii="Arial" w:cs="Arial" w:eastAsia="Arial" w:hAnsi="Arial"/>
          <w:sz w:val="19"/>
          <w:szCs w:val="19"/>
          <w:color w:val="auto"/>
        </w:rPr>
      </w:pPr>
      <w:r>
        <w:rPr>
          <w:rFonts w:ascii="Arial" w:cs="Arial" w:eastAsia="Arial" w:hAnsi="Arial"/>
          <w:sz w:val="19"/>
          <w:szCs w:val="19"/>
          <w:color w:val="auto"/>
        </w:rPr>
        <w:t>The Foreign Collateral Agent shall not be responsible for or have any duty to ascertain or inquire into (i) any statement, warranty or representation made in or in connection with this Agreement or any other Foreign Collateral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or (iv) the validity, enforceability, effectiveness or genuineness of this Agreement, any other Foreign Collateral Document or any other agreement, instrument or document.</w:t>
      </w:r>
    </w:p>
    <w:p>
      <w:pPr>
        <w:spacing w:after="0" w:line="154"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b w:val="1"/>
          <w:bCs w:val="1"/>
          <w:i w:val="1"/>
          <w:iCs w:val="1"/>
          <w:color w:val="auto"/>
        </w:rPr>
        <w:t>Reliance by the Foreign Collateral Agent</w:t>
      </w:r>
      <w:r>
        <w:rPr>
          <w:rFonts w:ascii="Arial" w:cs="Arial" w:eastAsia="Arial" w:hAnsi="Arial"/>
          <w:sz w:val="19"/>
          <w:szCs w:val="19"/>
          <w:color w:val="auto"/>
        </w:rPr>
        <w:t>. The Foreign Collateral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Foreign Collateral Agent also may rely upon any statement made to it orally or by telephone and reasonably believed by it to have been made by the proper Person, and shall not incur any liability for relying thereon. The Foreign Collateral Agent may consult with legal counsel, independent accountants and other experts selected by it, and shall not be liable for any action taken or not taken by it in accordance with the written advice of any such counsel, accountants or experts.</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b w:val="1"/>
          <w:bCs w:val="1"/>
          <w:i w:val="1"/>
          <w:iCs w:val="1"/>
          <w:color w:val="auto"/>
        </w:rPr>
        <w:t>Delegation of Duties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2" w:lineRule="auto"/>
        <w:tabs>
          <w:tab w:leader="none" w:pos="2211" w:val="left"/>
        </w:tabs>
        <w:numPr>
          <w:ilvl w:val="0"/>
          <w:numId w:val="497"/>
        </w:numPr>
        <w:rPr>
          <w:rFonts w:ascii="Arial" w:cs="Arial" w:eastAsia="Arial" w:hAnsi="Arial"/>
          <w:sz w:val="21"/>
          <w:szCs w:val="21"/>
          <w:color w:val="auto"/>
        </w:rPr>
      </w:pPr>
      <w:r>
        <w:rPr>
          <w:rFonts w:ascii="Arial" w:cs="Arial" w:eastAsia="Arial" w:hAnsi="Arial"/>
          <w:sz w:val="21"/>
          <w:szCs w:val="21"/>
          <w:color w:val="auto"/>
        </w:rPr>
        <w:t>The Foreign Collateral Agent may perform any and all of its duties and exercise its rights and powers hereunder or under any Foreign Collateral Document by or through any one or more sub-agents appointed by the Foreign Collateral Agent. The Foreign Collateral Agent and any such sub-agent may perform any and all of its duties and exercise its rights and powers by or through their respective Related Parties. The exculpatory provisions of this Article VI shall apply to any such sub-agent and to the Related Parties of the Foreign Collateral Agent and any such sub-agent, and shall apply to their respective activities in connection with the Foreign Collateral. The Foreign Collateral Agent shall not be responsible for the negligence or misconduct of any sub-agents except to the extent that a court of competent jurisdiction determines in a final and nonappealable judgment that the Foreign Collateral Agent acted with willful misconduct, gross negligence or bad faith in the selection of such sub agents.</w:t>
      </w:r>
    </w:p>
    <w:p>
      <w:pPr>
        <w:spacing w:after="0" w:line="182" w:lineRule="exact"/>
        <w:rPr>
          <w:rFonts w:ascii="Arial" w:cs="Arial" w:eastAsia="Arial" w:hAnsi="Arial"/>
          <w:sz w:val="21"/>
          <w:szCs w:val="21"/>
          <w:color w:val="auto"/>
        </w:rPr>
      </w:pPr>
    </w:p>
    <w:p>
      <w:pPr>
        <w:jc w:val="both"/>
        <w:ind w:firstLine="1304"/>
        <w:spacing w:after="0" w:line="308" w:lineRule="auto"/>
        <w:tabs>
          <w:tab w:leader="none" w:pos="2344" w:val="left"/>
        </w:tabs>
        <w:numPr>
          <w:ilvl w:val="0"/>
          <w:numId w:val="497"/>
        </w:numPr>
        <w:rPr>
          <w:rFonts w:ascii="Arial" w:cs="Arial" w:eastAsia="Arial" w:hAnsi="Arial"/>
          <w:sz w:val="19"/>
          <w:szCs w:val="19"/>
          <w:color w:val="auto"/>
        </w:rPr>
      </w:pPr>
      <w:r>
        <w:rPr>
          <w:rFonts w:ascii="Arial" w:cs="Arial" w:eastAsia="Arial" w:hAnsi="Arial"/>
          <w:sz w:val="19"/>
          <w:szCs w:val="19"/>
          <w:color w:val="auto"/>
        </w:rPr>
        <w:t>Should any instrument in writing from any Grantor be required by any sub-agent appointed by the Foreign Collateral Agent to more fully or certainly vest in and confirm to such sub-agent such rights, powers, privileges and duties, such Grantor shall execute, acknowledge and deliver any and all such instruments promptly upon request by the Foreign Collateral Agent. If any such sub-agent, or successor thereto, shall resign or be removed, all rights, powers, privileges and duties of such sub-agent, to the extent permitted by law, shall automatically vest in and be exercised by the Foreign Collateral Agent until the appointment of a new sub-agent. All references in this Agreement or in any other Foreign Collateral Document to any</w:t>
      </w:r>
    </w:p>
    <w:p>
      <w:pPr>
        <w:sectPr>
          <w:pgSz w:w="11900" w:h="16918" w:orient="portrait"/>
          <w:cols w:equalWidth="0" w:num="1">
            <w:col w:w="11240"/>
          </w:cols>
          <w:pgMar w:left="320" w:top="131" w:right="339" w:bottom="0" w:gutter="0" w:footer="0" w:header="0"/>
        </w:sectPr>
      </w:pPr>
    </w:p>
    <w:bookmarkStart w:id="436" w:name="page437"/>
    <w:bookmarkEnd w:id="436"/>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Lien or Foreign Collateral Document granted or delivered in favour of the Foreign Collateral Agent shall include any Lien or Foreign Collateral Document granted to any sub-agent of the Foreign Collateral Agent</w:t>
      </w:r>
    </w:p>
    <w:p>
      <w:pPr>
        <w:spacing w:after="0" w:line="174"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b w:val="1"/>
          <w:bCs w:val="1"/>
          <w:i w:val="1"/>
          <w:iCs w:val="1"/>
          <w:color w:val="auto"/>
        </w:rPr>
        <w:t>Resignation of Foreign Collateral Agent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3" w:lineRule="auto"/>
        <w:tabs>
          <w:tab w:leader="none" w:pos="2076" w:val="left"/>
        </w:tabs>
        <w:numPr>
          <w:ilvl w:val="0"/>
          <w:numId w:val="498"/>
        </w:numPr>
        <w:rPr>
          <w:rFonts w:ascii="Arial" w:cs="Arial" w:eastAsia="Arial" w:hAnsi="Arial"/>
          <w:sz w:val="19"/>
          <w:szCs w:val="19"/>
          <w:color w:val="auto"/>
        </w:rPr>
      </w:pPr>
      <w:r>
        <w:rPr>
          <w:rFonts w:ascii="Arial" w:cs="Arial" w:eastAsia="Arial" w:hAnsi="Arial"/>
          <w:sz w:val="19"/>
          <w:szCs w:val="19"/>
          <w:color w:val="auto"/>
        </w:rPr>
        <w:t>The Foreign Collateral Agent may at any time give notice of its resignation to the Representatives and the Grantors. Upon receipt of any such notice of resignation, the Secured Parties, acting through their Collateral Agents, shall have the right (provided no Event of Default has occurred and is continuing under any LC Document or ABL Document at the time of such resignation) to appoint a successor, which shall be the ABL Collateral Agent (unless the ABL Collateral Agent is also WF) or as jointly designated by ABL Collateral Agent and LC Collateral Agent. If no such successor shall have been so appointed in accordance with the preceding sentence and shall have accepted such appointment within 30 days after the retiring Foreign Collateral Agent gives notice of its resignation (or such earlier day as shall be agreed by the Representatives) (the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then the retiring Foreign Collateral Agent may (but shall not be obligated to), on behalf of the Secured Parties, appoint a successor Foreign Collateral Agent meeting the qualifications set forth above. Whether or not a successor has been appointed, such resignation shall become effective in accordance with such notice on the Resignation Effective Date.</w:t>
      </w:r>
    </w:p>
    <w:p>
      <w:pPr>
        <w:spacing w:after="0" w:line="157" w:lineRule="exact"/>
        <w:rPr>
          <w:rFonts w:ascii="Arial" w:cs="Arial" w:eastAsia="Arial" w:hAnsi="Arial"/>
          <w:sz w:val="19"/>
          <w:szCs w:val="19"/>
          <w:color w:val="auto"/>
        </w:rPr>
      </w:pPr>
    </w:p>
    <w:p>
      <w:pPr>
        <w:jc w:val="both"/>
        <w:ind w:firstLine="1304"/>
        <w:spacing w:after="0" w:line="300" w:lineRule="auto"/>
        <w:tabs>
          <w:tab w:leader="none" w:pos="2371" w:val="left"/>
        </w:tabs>
        <w:numPr>
          <w:ilvl w:val="0"/>
          <w:numId w:val="498"/>
        </w:numPr>
        <w:rPr>
          <w:rFonts w:ascii="Arial" w:cs="Arial" w:eastAsia="Arial" w:hAnsi="Arial"/>
          <w:sz w:val="19"/>
          <w:szCs w:val="19"/>
          <w:color w:val="auto"/>
        </w:rPr>
      </w:pPr>
      <w:r>
        <w:rPr>
          <w:rFonts w:ascii="Arial" w:cs="Arial" w:eastAsia="Arial" w:hAnsi="Arial"/>
          <w:sz w:val="19"/>
          <w:szCs w:val="19"/>
          <w:color w:val="auto"/>
        </w:rPr>
        <w:t>With effect from the Resignation Effective Date, (1) the retiring Foreign Collateral Agent shall be discharged from its duties and obligations hereunder and under the other Foreign Collateral Documents (except that in the case of any collateral security held by the Foreign Collateral Agent on behalf of the Secured Parties under any of the Foreign Collateral Documents, the retiring Foreign Collateral Agent shall continue to hold such collateral security until such time as a successor Foreign Collateral Agent is appointed but in any event, no more than sixty (60) days following the Resignation Effective Date) and (2) except for any indemnity payments owed to the retiring Foreign Collateral Agent, all payments, communications and determinations provided to be made by, to or through the Foreign Collateral Agent shall instead be made by or to each Representative directly, until such time, if any, the relevant Collateral Agents appoint a successor Foreign Collateral Agent as provided for above. Upon the acceptance of a successor’s appointment as Foreign Collateral Agent hereunder, such successor shall succeed to and become vested with all of the rights, powers, privileges and duties of the retiring Foreign Collateral Agent (other than any rights to indemnity payments owed to the retiring Foreign Collateral Agent), and the retiring Foreign Collateral Agent shall be discharged from all of its duties and obligations hereunder or under the other Foreign Collateral Documents. After the retiring Foreign Collateral Agent’s resignation or removal hereunder and under the other Foreign Collateral Documents, the provisions of this Article shall continue in effect for the benefit of such retiring Foreign Collateral Agent, its sub-agents and their respective Related Parties in respect of any actions taken or omitted to be taken by any of them while the retiring Foreign Collateral Agent was acting as Foreign Collateral Agent.</w:t>
      </w: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b w:val="1"/>
          <w:bCs w:val="1"/>
          <w:i w:val="1"/>
          <w:iCs w:val="1"/>
          <w:color w:val="auto"/>
        </w:rPr>
        <w:t>Non-Reliance on Foreign Collateral Agent and Other Secured Parties</w:t>
      </w:r>
      <w:r>
        <w:rPr>
          <w:rFonts w:ascii="Arial" w:cs="Arial" w:eastAsia="Arial" w:hAnsi="Arial"/>
          <w:sz w:val="21"/>
          <w:szCs w:val="21"/>
          <w:color w:val="auto"/>
        </w:rPr>
        <w:t>. Each Collateral Agent acknowledges that it has, independently and without reliance upon the Foreign Collateral Agent or any of its related parties and based on such documents and information as it has deemed appropriate, made its own credit analysis and decision to enter into this Agreement, the LC Documents, and the ABL Documents, as applicable. Each Collateral Agent also acknowledges that it will, independently and without reliance upon the Foreign Collateral Agent or its related parties and based on such documents and information as it shall from time to time deem appropriate, continue to make its own decisions in taking or not taking action under or based upon this Agreement, any Foreign Collateral Document or any related agreement or any document furnished hereunder or thereunder.</w:t>
      </w:r>
    </w:p>
    <w:p>
      <w:pPr>
        <w:spacing w:after="0" w:line="179"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b w:val="1"/>
          <w:bCs w:val="1"/>
          <w:i w:val="1"/>
          <w:iCs w:val="1"/>
          <w:color w:val="auto"/>
        </w:rPr>
        <w:t>Collateral Matters</w:t>
      </w:r>
      <w:r>
        <w:rPr>
          <w:rFonts w:ascii="Arial" w:cs="Arial" w:eastAsia="Arial" w:hAnsi="Arial"/>
          <w:sz w:val="19"/>
          <w:szCs w:val="19"/>
          <w:color w:val="auto"/>
        </w:rPr>
        <w:t>.</w:t>
      </w:r>
    </w:p>
    <w:p>
      <w:pPr>
        <w:spacing w:after="0" w:line="233" w:lineRule="exact"/>
        <w:rPr>
          <w:sz w:val="20"/>
          <w:szCs w:val="20"/>
          <w:color w:val="auto"/>
        </w:rPr>
      </w:pPr>
    </w:p>
    <w:p>
      <w:pPr>
        <w:ind w:left="2160" w:hanging="856"/>
        <w:spacing w:after="0"/>
        <w:tabs>
          <w:tab w:leader="none" w:pos="2160" w:val="left"/>
        </w:tabs>
        <w:numPr>
          <w:ilvl w:val="0"/>
          <w:numId w:val="499"/>
        </w:numPr>
        <w:rPr>
          <w:rFonts w:ascii="Arial" w:cs="Arial" w:eastAsia="Arial" w:hAnsi="Arial"/>
          <w:sz w:val="19"/>
          <w:szCs w:val="19"/>
          <w:color w:val="auto"/>
        </w:rPr>
      </w:pPr>
      <w:r>
        <w:rPr>
          <w:rFonts w:ascii="Arial" w:cs="Arial" w:eastAsia="Arial" w:hAnsi="Arial"/>
          <w:sz w:val="19"/>
          <w:szCs w:val="19"/>
          <w:color w:val="auto"/>
        </w:rPr>
        <w:t>Each of the Collateral Agents irrevocably authorize the Foreign Collateral Agent, at its option and in its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Permitted Discretion:</w:t>
      </w:r>
    </w:p>
    <w:p>
      <w:pPr>
        <w:spacing w:after="0" w:line="228" w:lineRule="exact"/>
        <w:rPr>
          <w:rFonts w:ascii="Arial" w:cs="Arial" w:eastAsia="Arial" w:hAnsi="Arial"/>
          <w:sz w:val="19"/>
          <w:szCs w:val="19"/>
          <w:color w:val="auto"/>
        </w:rPr>
      </w:pPr>
    </w:p>
    <w:p>
      <w:pPr>
        <w:jc w:val="both"/>
        <w:ind w:left="1300" w:firstLine="652"/>
        <w:spacing w:after="0" w:line="273" w:lineRule="auto"/>
        <w:tabs>
          <w:tab w:leader="none" w:pos="2719" w:val="left"/>
        </w:tabs>
        <w:numPr>
          <w:ilvl w:val="1"/>
          <w:numId w:val="499"/>
        </w:numPr>
        <w:rPr>
          <w:rFonts w:ascii="Arial" w:cs="Arial" w:eastAsia="Arial" w:hAnsi="Arial"/>
          <w:sz w:val="21"/>
          <w:szCs w:val="21"/>
          <w:color w:val="auto"/>
        </w:rPr>
      </w:pPr>
      <w:r>
        <w:rPr>
          <w:rFonts w:ascii="Arial" w:cs="Arial" w:eastAsia="Arial" w:hAnsi="Arial"/>
          <w:sz w:val="21"/>
          <w:szCs w:val="21"/>
          <w:color w:val="auto"/>
        </w:rPr>
        <w:t xml:space="preserve">to release any Lien or any other claim on any Foreign Collateral granted to or held by the Foreign Collateral Agent, for the benefit of the Secured Parties, under any Foreign Collateral Document (A) upon the Discharge of the ABL Obligations and the Discharge of the LC Obligations, as applicable, in which case such Lien shall only be released with respect to the Obligations so Discharged; (B) that is sold or otherwise disposed of or to be sold or otherwise disposed of as part of or in connection with any sale or other disposition permitted hereunder or under the Foreign Collateral Documents, ABL Documents and LC Documents or (C) if approved, authorized or ratified in writing in accordance with </w:t>
      </w:r>
      <w:r>
        <w:rPr>
          <w:rFonts w:ascii="Arial" w:cs="Arial" w:eastAsia="Arial" w:hAnsi="Arial"/>
          <w:sz w:val="21"/>
          <w:szCs w:val="21"/>
          <w:u w:val="single" w:color="auto"/>
          <w:color w:val="auto"/>
        </w:rPr>
        <w:t>Section 6.08(b)</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304"/>
        <w:spacing w:after="0" w:line="273" w:lineRule="auto"/>
        <w:tabs>
          <w:tab w:leader="none" w:pos="2115" w:val="left"/>
        </w:tabs>
        <w:numPr>
          <w:ilvl w:val="0"/>
          <w:numId w:val="499"/>
        </w:numPr>
        <w:rPr>
          <w:rFonts w:ascii="Arial" w:cs="Arial" w:eastAsia="Arial" w:hAnsi="Arial"/>
          <w:sz w:val="21"/>
          <w:szCs w:val="21"/>
          <w:color w:val="auto"/>
        </w:rPr>
      </w:pPr>
      <w:r>
        <w:rPr>
          <w:rFonts w:ascii="Arial" w:cs="Arial" w:eastAsia="Arial" w:hAnsi="Arial"/>
          <w:sz w:val="21"/>
          <w:szCs w:val="21"/>
          <w:color w:val="auto"/>
        </w:rPr>
        <w:t xml:space="preserve">Upon request by the Foreign Collateral Agent at any time, the Controlling Parties will confirm in writing the Foreign Collateral Agent’s authority to release or subordinate its interest in particular types or items of property or take any other action necessary to administer the Foreign Collateral. In each case, as specified in this </w:t>
      </w:r>
      <w:r>
        <w:rPr>
          <w:rFonts w:ascii="Arial" w:cs="Arial" w:eastAsia="Arial" w:hAnsi="Arial"/>
          <w:sz w:val="21"/>
          <w:szCs w:val="21"/>
          <w:u w:val="single" w:color="auto"/>
          <w:color w:val="auto"/>
        </w:rPr>
        <w:t>Section 6.08</w:t>
      </w:r>
      <w:r>
        <w:rPr>
          <w:rFonts w:ascii="Arial" w:cs="Arial" w:eastAsia="Arial" w:hAnsi="Arial"/>
          <w:sz w:val="21"/>
          <w:szCs w:val="21"/>
          <w:color w:val="auto"/>
        </w:rPr>
        <w:t>, the Foreign Collateral Agent will, at the Grantors’ joint and several expense, execute and deliver to the applicable Grantor such documents as such Grantor may reasonably request to evidence the release of such item of Foreign Collateral from the assignment and security interest granted under the Foreign Collateral Documents or to subordinate its interest in such item, or to release such Grantor from its obligations under the Foreign Collateral Documents, in each case in accordance with the terms hereof and the terms of the Foreign Collateral Documents.</w:t>
      </w:r>
    </w:p>
    <w:p>
      <w:pPr>
        <w:sectPr>
          <w:pgSz w:w="11900" w:h="16947" w:orient="portrait"/>
          <w:cols w:equalWidth="0" w:num="1">
            <w:col w:w="11240"/>
          </w:cols>
          <w:pgMar w:left="320" w:top="131" w:right="339" w:bottom="0" w:gutter="0" w:footer="0" w:header="0"/>
        </w:sectPr>
      </w:pPr>
    </w:p>
    <w:bookmarkStart w:id="437" w:name="page438"/>
    <w:bookmarkEnd w:id="437"/>
    <w:p>
      <w:pPr>
        <w:jc w:val="both"/>
        <w:ind w:left="-1120" w:firstLine="1304"/>
        <w:spacing w:after="0" w:line="261" w:lineRule="auto"/>
        <w:tabs>
          <w:tab w:leader="none" w:pos="1037" w:val="left"/>
        </w:tabs>
        <w:numPr>
          <w:ilvl w:val="0"/>
          <w:numId w:val="500"/>
        </w:numPr>
        <w:rPr>
          <w:rFonts w:ascii="Arial" w:cs="Arial" w:eastAsia="Arial" w:hAnsi="Arial"/>
          <w:sz w:val="22"/>
          <w:szCs w:val="22"/>
          <w:color w:val="auto"/>
        </w:rPr>
      </w:pPr>
      <w:r>
        <w:rPr>
          <w:rFonts w:ascii="Arial" w:cs="Arial" w:eastAsia="Arial" w:hAnsi="Arial"/>
          <w:sz w:val="22"/>
          <w:szCs w:val="22"/>
          <w:color w:val="auto"/>
        </w:rPr>
        <w:t>The Foreign Collateral Agent shall not be responsible for or have a duty to ascertain or inquire into any representation or warranty regarding the existence, value or collectability of the Foreign Collateral, the existence, priority or perfection of the Foreign Collateral Agent’s Lien thereon, or any certificate prepared by any Grantor in connection therewith, nor shall the Foreign Collateral Agent be responsible or liable to the Secured Parties for any failure to monitor or maintain any portion of the Foreign Collateral.</w:t>
      </w:r>
    </w:p>
    <w:p>
      <w:pPr>
        <w:spacing w:after="0" w:line="190" w:lineRule="exact"/>
        <w:rPr>
          <w:sz w:val="20"/>
          <w:szCs w:val="20"/>
          <w:color w:val="auto"/>
        </w:rPr>
      </w:pPr>
    </w:p>
    <w:p>
      <w:pPr>
        <w:ind w:left="180"/>
        <w:spacing w:after="0"/>
        <w:tabs>
          <w:tab w:leader="none" w:pos="20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b w:val="1"/>
          <w:bCs w:val="1"/>
          <w:i w:val="1"/>
          <w:iCs w:val="1"/>
          <w:color w:val="auto"/>
        </w:rPr>
        <w:t>Discretionary Rights</w:t>
      </w:r>
      <w:r>
        <w:rPr>
          <w:rFonts w:ascii="Arial" w:cs="Arial" w:eastAsia="Arial" w:hAnsi="Arial"/>
          <w:sz w:val="19"/>
          <w:szCs w:val="19"/>
          <w:color w:val="auto"/>
        </w:rPr>
        <w:t>. The Foreign Collateral Agent may:</w:t>
      </w:r>
    </w:p>
    <w:p>
      <w:pPr>
        <w:spacing w:after="0" w:line="233" w:lineRule="exact"/>
        <w:rPr>
          <w:sz w:val="20"/>
          <w:szCs w:val="20"/>
          <w:color w:val="auto"/>
        </w:rPr>
      </w:pPr>
    </w:p>
    <w:p>
      <w:pPr>
        <w:jc w:val="both"/>
        <w:ind w:left="-1120" w:firstLine="1304"/>
        <w:spacing w:after="0" w:line="279" w:lineRule="auto"/>
        <w:tabs>
          <w:tab w:leader="none" w:pos="983"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assume (unless it has received actual notice to the contrary from the Collateral Agents) that (i) no default or Event of Default has occurred and no Grantor is in breach of or default under its obligations under any of the Foreign Collateral Documents, ABL Documents, or LC Documents, and (ii) any right, power, authority or discretion vested by any Foreign Collateral Documents, ABL Documents, or LC Documents in any person has not been exercised;</w:t>
      </w:r>
    </w:p>
    <w:p>
      <w:pPr>
        <w:spacing w:after="0" w:line="173" w:lineRule="exact"/>
        <w:rPr>
          <w:rFonts w:ascii="Arial" w:cs="Arial" w:eastAsia="Arial" w:hAnsi="Arial"/>
          <w:sz w:val="21"/>
          <w:szCs w:val="21"/>
          <w:color w:val="auto"/>
        </w:rPr>
      </w:pPr>
    </w:p>
    <w:p>
      <w:pPr>
        <w:jc w:val="both"/>
        <w:ind w:left="-1120" w:firstLine="1304"/>
        <w:spacing w:after="0" w:line="266" w:lineRule="auto"/>
        <w:tabs>
          <w:tab w:leader="none" w:pos="995" w:val="left"/>
        </w:tabs>
        <w:numPr>
          <w:ilvl w:val="0"/>
          <w:numId w:val="501"/>
        </w:numPr>
        <w:rPr>
          <w:rFonts w:ascii="Arial" w:cs="Arial" w:eastAsia="Arial" w:hAnsi="Arial"/>
          <w:sz w:val="22"/>
          <w:szCs w:val="22"/>
          <w:color w:val="auto"/>
        </w:rPr>
      </w:pPr>
      <w:r>
        <w:rPr>
          <w:rFonts w:ascii="Arial" w:cs="Arial" w:eastAsia="Arial" w:hAnsi="Arial"/>
          <w:sz w:val="22"/>
          <w:szCs w:val="22"/>
          <w:color w:val="auto"/>
        </w:rPr>
        <w:t>if it receives any instructions or directions to take any action in relation to the Foreign Collateral, assume that all applicable conditions under this Agreement, LC Documents and ABL Documents for taking that action have been satisfied;</w:t>
      </w:r>
    </w:p>
    <w:p>
      <w:pPr>
        <w:spacing w:after="0" w:line="184" w:lineRule="exact"/>
        <w:rPr>
          <w:rFonts w:ascii="Arial" w:cs="Arial" w:eastAsia="Arial" w:hAnsi="Arial"/>
          <w:sz w:val="22"/>
          <w:szCs w:val="22"/>
          <w:color w:val="auto"/>
        </w:rPr>
      </w:pPr>
    </w:p>
    <w:p>
      <w:pPr>
        <w:jc w:val="both"/>
        <w:ind w:left="-1120" w:firstLine="1304"/>
        <w:spacing w:after="0" w:line="266" w:lineRule="auto"/>
        <w:tabs>
          <w:tab w:leader="none" w:pos="1091" w:val="left"/>
        </w:tabs>
        <w:numPr>
          <w:ilvl w:val="0"/>
          <w:numId w:val="501"/>
        </w:numPr>
        <w:rPr>
          <w:rFonts w:ascii="Arial" w:cs="Arial" w:eastAsia="Arial" w:hAnsi="Arial"/>
          <w:sz w:val="22"/>
          <w:szCs w:val="22"/>
          <w:color w:val="auto"/>
        </w:rPr>
      </w:pPr>
      <w:r>
        <w:rPr>
          <w:rFonts w:ascii="Arial" w:cs="Arial" w:eastAsia="Arial" w:hAnsi="Arial"/>
          <w:sz w:val="22"/>
          <w:szCs w:val="22"/>
          <w:color w:val="auto"/>
        </w:rPr>
        <w:t>engage and pay for the advice or services of accountants, tax advisers, surveyors or other professional advisers or experts and a single legal counsel in each applicable jurisdiction (in addition to the Foreign Collateral Agent’s general outside counsel);</w:t>
      </w:r>
    </w:p>
    <w:p>
      <w:pPr>
        <w:spacing w:after="0" w:line="184" w:lineRule="exact"/>
        <w:rPr>
          <w:rFonts w:ascii="Arial" w:cs="Arial" w:eastAsia="Arial" w:hAnsi="Arial"/>
          <w:sz w:val="22"/>
          <w:szCs w:val="22"/>
          <w:color w:val="auto"/>
        </w:rPr>
      </w:pPr>
    </w:p>
    <w:p>
      <w:pPr>
        <w:jc w:val="both"/>
        <w:ind w:left="-1120" w:firstLine="1304"/>
        <w:spacing w:after="0" w:line="308" w:lineRule="auto"/>
        <w:tabs>
          <w:tab w:leader="none" w:pos="1049" w:val="left"/>
        </w:tabs>
        <w:numPr>
          <w:ilvl w:val="0"/>
          <w:numId w:val="501"/>
        </w:numPr>
        <w:rPr>
          <w:rFonts w:ascii="Arial" w:cs="Arial" w:eastAsia="Arial" w:hAnsi="Arial"/>
          <w:sz w:val="19"/>
          <w:szCs w:val="19"/>
          <w:color w:val="auto"/>
        </w:rPr>
      </w:pPr>
      <w:r>
        <w:rPr>
          <w:rFonts w:ascii="Arial" w:cs="Arial" w:eastAsia="Arial" w:hAnsi="Arial"/>
          <w:sz w:val="19"/>
          <w:szCs w:val="19"/>
          <w:color w:val="auto"/>
        </w:rPr>
        <w:t>without prejudice for the generality of paragraph (c) above, at any time engage and pay for the services of a single additional counsel in each applicable jurisdiction to act as independent counsel to the Foreign Collateral Agent (in addition to the Foreign Collateral Agent’s general outside counsel) (and so separate from any lawyers instructed by the other Secured Parties) if the Foreign Collateral Agent in its reasonable opinion deems this to be desirable and the Collateral Agent shall not be liable for any damages, costs or losses to any person, any diminution in value or any liability whatsoever arising as a result of its so relying on the advice or services of any professional engaged under this Section 6.09;</w:t>
      </w:r>
    </w:p>
    <w:p>
      <w:pPr>
        <w:spacing w:after="0" w:line="153" w:lineRule="exact"/>
        <w:rPr>
          <w:rFonts w:ascii="Arial" w:cs="Arial" w:eastAsia="Arial" w:hAnsi="Arial"/>
          <w:sz w:val="19"/>
          <w:szCs w:val="19"/>
          <w:color w:val="auto"/>
        </w:rPr>
      </w:pPr>
    </w:p>
    <w:p>
      <w:pPr>
        <w:ind w:left="960" w:hanging="776"/>
        <w:spacing w:after="0"/>
        <w:tabs>
          <w:tab w:leader="none" w:pos="96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1120" w:firstLine="1304"/>
        <w:spacing w:after="0" w:line="305" w:lineRule="auto"/>
        <w:tabs>
          <w:tab w:leader="none" w:pos="1269" w:val="left"/>
        </w:tabs>
        <w:numPr>
          <w:ilvl w:val="0"/>
          <w:numId w:val="501"/>
        </w:numPr>
        <w:rPr>
          <w:rFonts w:ascii="Arial" w:cs="Arial" w:eastAsia="Arial" w:hAnsi="Arial"/>
          <w:sz w:val="19"/>
          <w:szCs w:val="19"/>
          <w:color w:val="auto"/>
        </w:rPr>
      </w:pPr>
      <w:r>
        <w:rPr>
          <w:rFonts w:ascii="Arial" w:cs="Arial" w:eastAsia="Arial" w:hAnsi="Arial"/>
          <w:sz w:val="19"/>
          <w:szCs w:val="19"/>
          <w:color w:val="auto"/>
        </w:rPr>
        <w:t>refrain from acting in accordance with the instructions of any Secured Party or Controlling Party (including bringing any legal action or proceeding arising out of or in connection with the Foreign Collateral Documents) until it has received any indemnification and/or security that it may in its reasonable discretion require which may be greater in extent than that contained for the benefit of any Representative in the ABL Documents or LC Documents. Notwithstanding any provision of any ABL Documents or LC Documents to the contrary, the Foreign Collateral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and</w:t>
      </w:r>
    </w:p>
    <w:p>
      <w:pPr>
        <w:spacing w:after="0" w:line="154" w:lineRule="exact"/>
        <w:rPr>
          <w:rFonts w:ascii="Arial" w:cs="Arial" w:eastAsia="Arial" w:hAnsi="Arial"/>
          <w:sz w:val="19"/>
          <w:szCs w:val="19"/>
          <w:color w:val="auto"/>
        </w:rPr>
      </w:pPr>
    </w:p>
    <w:p>
      <w:pPr>
        <w:ind w:left="-1120" w:firstLine="1304"/>
        <w:spacing w:after="0" w:line="301" w:lineRule="auto"/>
        <w:tabs>
          <w:tab w:leader="none" w:pos="1170" w:val="left"/>
        </w:tabs>
        <w:numPr>
          <w:ilvl w:val="0"/>
          <w:numId w:val="501"/>
        </w:numPr>
        <w:rPr>
          <w:rFonts w:ascii="Arial" w:cs="Arial" w:eastAsia="Arial" w:hAnsi="Arial"/>
          <w:sz w:val="21"/>
          <w:szCs w:val="21"/>
          <w:color w:val="auto"/>
        </w:rPr>
      </w:pPr>
      <w:r>
        <w:rPr>
          <w:rFonts w:ascii="Arial" w:cs="Arial" w:eastAsia="Arial" w:hAnsi="Arial"/>
          <w:sz w:val="21"/>
          <w:szCs w:val="21"/>
          <w:color w:val="auto"/>
        </w:rPr>
        <w:t>during a No Controlling Party Situation, make decisions in its Permitted Discretion, and any actions taken based on such decisions shall be deemed to have been taken at the instruction of all Controlling Parties.</w:t>
      </w:r>
    </w:p>
    <w:p>
      <w:pPr>
        <w:spacing w:after="0" w:line="150" w:lineRule="exact"/>
        <w:rPr>
          <w:sz w:val="20"/>
          <w:szCs w:val="20"/>
          <w:color w:val="auto"/>
        </w:rPr>
      </w:pPr>
    </w:p>
    <w:p>
      <w:pPr>
        <w:ind w:left="180"/>
        <w:spacing w:after="0"/>
        <w:tabs>
          <w:tab w:leader="none" w:pos="20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b w:val="1"/>
          <w:bCs w:val="1"/>
          <w:i w:val="1"/>
          <w:iCs w:val="1"/>
          <w:color w:val="auto"/>
        </w:rPr>
        <w:t>Indemnification of Foreign Collateral Agent</w:t>
      </w:r>
      <w:r>
        <w:rPr>
          <w:rFonts w:ascii="Arial" w:cs="Arial" w:eastAsia="Arial" w:hAnsi="Arial"/>
          <w:sz w:val="19"/>
          <w:szCs w:val="19"/>
          <w:color w:val="auto"/>
        </w:rPr>
        <w:t>.</w:t>
      </w:r>
    </w:p>
    <w:p>
      <w:pPr>
        <w:spacing w:after="0" w:line="233" w:lineRule="exact"/>
        <w:rPr>
          <w:sz w:val="20"/>
          <w:szCs w:val="20"/>
          <w:color w:val="auto"/>
        </w:rPr>
      </w:pPr>
    </w:p>
    <w:p>
      <w:pPr>
        <w:jc w:val="both"/>
        <w:ind w:left="-1120" w:firstLine="1304"/>
        <w:spacing w:after="0" w:line="302" w:lineRule="auto"/>
        <w:tabs>
          <w:tab w:leader="none" w:pos="969" w:val="left"/>
        </w:tabs>
        <w:numPr>
          <w:ilvl w:val="0"/>
          <w:numId w:val="502"/>
        </w:numPr>
        <w:rPr>
          <w:rFonts w:ascii="Arial" w:cs="Arial" w:eastAsia="Arial" w:hAnsi="Arial"/>
          <w:sz w:val="19"/>
          <w:szCs w:val="19"/>
          <w:color w:val="auto"/>
        </w:rPr>
      </w:pPr>
      <w:r>
        <w:rPr>
          <w:rFonts w:ascii="Arial" w:cs="Arial" w:eastAsia="Arial" w:hAnsi="Arial"/>
          <w:sz w:val="19"/>
          <w:szCs w:val="19"/>
          <w:color w:val="auto"/>
        </w:rPr>
        <w:t>The Secured Parties (other than the LC Australian Collateral Agent) shall jointly and severally indemnify the Foreign Collateral Agent within three Business Days of demand, and keep the Foreign Collateral Agent indemnified against any demands, damages, expenses, costs, losses or liabilities made against or incurred by it in acting as Foreign Collateral Agent on behalf of the Secured Parties under this Agreement, the Foreign Collateral Documents, the LC Documents, or the ABL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indemnification obligations arising solely due to the instructions of a Controlling Party shall be borne solely by the Class represented by such Controlling Party), unless the Foreign Collateral Agent (i) has been reimbursed by a Grantor pursuant to any of the Foreign Collateral Documents or (ii) such liabilities, losses, demands, damages, expenses or costs are incurred by or made against the Foreign Collateral Agent as a result of willful misconduct, gross negligence or bad faith. The Grantors hereby jointly and severally indemnify the Secured Parties against any payment made by them under this Section 6.10(a) and agree that any payments made by or costs attributable to any ABL Secured Party on account of the Foreign Collateral Agent shall be added to the ABL Obligations and any payments made by or costs attributable to any LC Secured Party on account of the Foreign Collateral Agent shall be added to the LC Obligations.</w:t>
      </w:r>
    </w:p>
    <w:p>
      <w:pPr>
        <w:spacing w:after="0" w:line="156" w:lineRule="exact"/>
        <w:rPr>
          <w:rFonts w:ascii="Arial" w:cs="Arial" w:eastAsia="Arial" w:hAnsi="Arial"/>
          <w:sz w:val="19"/>
          <w:szCs w:val="19"/>
          <w:color w:val="auto"/>
        </w:rPr>
      </w:pPr>
    </w:p>
    <w:p>
      <w:pPr>
        <w:jc w:val="both"/>
        <w:ind w:left="-1120" w:firstLine="1304"/>
        <w:spacing w:after="0" w:line="308" w:lineRule="auto"/>
        <w:tabs>
          <w:tab w:leader="none" w:pos="1062" w:val="left"/>
        </w:tabs>
        <w:numPr>
          <w:ilvl w:val="0"/>
          <w:numId w:val="502"/>
        </w:numPr>
        <w:rPr>
          <w:rFonts w:ascii="Arial" w:cs="Arial" w:eastAsia="Arial" w:hAnsi="Arial"/>
          <w:sz w:val="19"/>
          <w:szCs w:val="19"/>
          <w:color w:val="auto"/>
        </w:rPr>
      </w:pPr>
      <w:r>
        <w:rPr>
          <w:rFonts w:ascii="Arial" w:cs="Arial" w:eastAsia="Arial" w:hAnsi="Arial"/>
          <w:sz w:val="19"/>
          <w:szCs w:val="19"/>
          <w:color w:val="auto"/>
        </w:rPr>
        <w:t>The Grantors covenant and agree that they shall defend and be jointly and severally liable to reimburse and indemnify the Foreign Collateral Agent (and its Affiliates, officers, directors, employees, attorneys and agents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Agent Related Persons</w:t>
      </w:r>
      <w:r>
        <w:rPr>
          <w:rFonts w:ascii="Arial" w:cs="Arial" w:eastAsia="Arial" w:hAnsi="Arial"/>
          <w:sz w:val="19"/>
          <w:szCs w:val="19"/>
          <w:color w:val="auto"/>
        </w:rPr>
        <w:t>”)) for any and all reasonable expenses and other charges actually incurred by the Foreign Collateral Agent on behalf of the Secured Parties in connection with the execution, delivery, administration and enforcement of this Agreement and the Foreign Collateral Documents (or any of them) and from and against any and all liabilities, obligations, losses, damages, penalties, actions, judgments, suits, costs, actual reasonable expenses or disbursements of any kind and nature</w:t>
      </w:r>
    </w:p>
    <w:p>
      <w:pPr>
        <w:sectPr>
          <w:pgSz w:w="11900" w:h="16838" w:orient="portrait"/>
          <w:cols w:equalWidth="0" w:num="1">
            <w:col w:w="10120"/>
          </w:cols>
          <w:pgMar w:left="1440" w:top="131" w:right="339" w:bottom="0" w:gutter="0" w:footer="0" w:header="0"/>
        </w:sectPr>
      </w:pPr>
    </w:p>
    <w:bookmarkStart w:id="438" w:name="page439"/>
    <w:bookmarkEnd w:id="438"/>
    <w:p>
      <w:pPr>
        <w:jc w:val="both"/>
        <w:spacing w:after="0" w:line="261" w:lineRule="auto"/>
        <w:rPr>
          <w:sz w:val="20"/>
          <w:szCs w:val="20"/>
          <w:color w:val="auto"/>
        </w:rPr>
      </w:pPr>
      <w:r>
        <w:rPr>
          <w:rFonts w:ascii="Arial" w:cs="Arial" w:eastAsia="Arial" w:hAnsi="Arial"/>
          <w:sz w:val="22"/>
          <w:szCs w:val="22"/>
          <w:color w:val="auto"/>
        </w:rPr>
        <w:t>whatsoever that may be imposed on, incurred by or asserted against the Foreign Collateral Agent, in any way relating to or arising out of this Agreement, any Foreign Collateral Document, or any other document delivered in connection herewith or therewith or the transactions contemplated hereby or thereby, or the enforcement of any of the terms hereof or thereof, in each case, except to the extent caused by the Foreign Collateral Agent’s or the Foreign Collateral Agent Related Person’s willful misconduct, gross negligence or bad faith.</w:t>
      </w:r>
    </w:p>
    <w:p>
      <w:pPr>
        <w:spacing w:after="0" w:line="190" w:lineRule="exact"/>
        <w:rPr>
          <w:sz w:val="20"/>
          <w:szCs w:val="20"/>
          <w:color w:val="auto"/>
        </w:rPr>
      </w:pPr>
    </w:p>
    <w:p>
      <w:pPr>
        <w:jc w:val="both"/>
        <w:ind w:firstLine="1304"/>
        <w:spacing w:after="0" w:line="266" w:lineRule="auto"/>
        <w:tabs>
          <w:tab w:leader="none" w:pos="244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The obligations under this Section 6.10 shall survive the Discharge of the ABL Obligations, the Discharge of the LC Obligations, the resignation of any Foreign Collateral Agent, and termination of this Agreement and all of the Foreign Collateral Documents.</w:t>
      </w:r>
    </w:p>
    <w:p>
      <w:pPr>
        <w:spacing w:after="0" w:line="18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b w:val="1"/>
          <w:bCs w:val="1"/>
          <w:i w:val="1"/>
          <w:iCs w:val="1"/>
          <w:color w:val="auto"/>
        </w:rPr>
        <w:t>Treatment of Proceeds of Foreign Collateral</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2" w:lineRule="auto"/>
        <w:tabs>
          <w:tab w:leader="none" w:pos="2251" w:val="left"/>
        </w:tabs>
        <w:numPr>
          <w:ilvl w:val="0"/>
          <w:numId w:val="504"/>
        </w:numPr>
        <w:rPr>
          <w:rFonts w:ascii="Arial" w:cs="Arial" w:eastAsia="Arial" w:hAnsi="Arial"/>
          <w:sz w:val="22"/>
          <w:szCs w:val="22"/>
          <w:color w:val="auto"/>
        </w:rPr>
      </w:pPr>
      <w:r>
        <w:rPr>
          <w:rFonts w:ascii="Arial" w:cs="Arial" w:eastAsia="Arial" w:hAnsi="Arial"/>
          <w:sz w:val="22"/>
          <w:szCs w:val="22"/>
          <w:color w:val="auto"/>
        </w:rPr>
        <w:t>All amounts from time to time received or recovered by the Foreign Collateral Agent pursuant to the terms of any Foreign Collateral Document or in connection with the realization or enforcement of all or any part of the Foreign Collateral (the “</w:t>
      </w:r>
      <w:r>
        <w:rPr>
          <w:rFonts w:ascii="Arial" w:cs="Arial" w:eastAsia="Arial" w:hAnsi="Arial"/>
          <w:sz w:val="22"/>
          <w:szCs w:val="22"/>
          <w:u w:val="single" w:color="auto"/>
          <w:color w:val="auto"/>
        </w:rPr>
        <w:t>Foreign Recoveries</w:t>
      </w:r>
      <w:r>
        <w:rPr>
          <w:rFonts w:ascii="Arial" w:cs="Arial" w:eastAsia="Arial" w:hAnsi="Arial"/>
          <w:sz w:val="22"/>
          <w:szCs w:val="22"/>
          <w:color w:val="auto"/>
        </w:rPr>
        <w:t>”) shall be held by the Foreign Collateral Agent in trust and applied, to the extent permitted by applicable law, in the following order:</w:t>
      </w:r>
    </w:p>
    <w:p>
      <w:pPr>
        <w:spacing w:after="0" w:line="191" w:lineRule="exact"/>
        <w:rPr>
          <w:sz w:val="20"/>
          <w:szCs w:val="20"/>
          <w:color w:val="auto"/>
        </w:rPr>
      </w:pPr>
    </w:p>
    <w:p>
      <w:pPr>
        <w:jc w:val="both"/>
        <w:ind w:left="1300"/>
        <w:spacing w:after="0" w:line="301" w:lineRule="auto"/>
        <w:rPr>
          <w:sz w:val="20"/>
          <w:szCs w:val="20"/>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in discharging any sums owing to the Foreign Collateral Agent (in its capacity as such), including (i) amounts owing to Foreign Collateral Agent to indemnify Foreign Collateral Agent for claims against it or claims that, in the reasonable discretion of Foreign Collateral Agent, may be asserted against Foreign Collateral Agent and are subject to the indemnification provisions of this Agreement and (ii) any deductions and withholdings (on account of taxes or otherwise) which Foreign Collateral Agent is or may be required by any applicable law to make from any distribution or payment made by it under this Agreement and to pay all taxes which may be assessed against it in respect of any of the Foreign Collateral Documents, or as a consequence of performing its duties, or by virtue of its capacity as Foreign Collateral Agent (other than in connection with its remuneration for performing its duties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Foreign Collateral or proceeds thereof that is LC Priority Collateral may only be applied or retained by Foreign Collateral Agent to secure indemnification obligations or other amounts owing (or potentially owing) by the LC Secured Parties and Foreign Collateral or proceeds thereof that is ABL Priority Collateral may only be applied or retained by Foreign Collateral Agent to secure indemnification obligations or other amounts owing (or potentially owing) by the ABL Secured Parties;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Representatives to be applied in accordance with Section 2.01(a) hereof.</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For the avoidance of doubt, following acceleration of any of the ABL Obligations or the LC Obligations, Foreign Collateral Agent may, in its Permitted Discretion, hold any amount of the Foreign Recoveries (subject to the proviso set forth in subclause “first” above) in a non-interest bearing account(s) in the name of the Foreign Collateral Agent with such financial institution as it may select (including itself) and for so long as the Foreign Collateral Agent shall think appropriate in its Permitted Discretion for later application as set forth herein in respect of any sum owing to the Foreign Collateral Agent that the Foreign Collateral Agent reasonably considers might become due or owing at any time in the future.</w:t>
      </w:r>
    </w:p>
    <w:p>
      <w:pPr>
        <w:spacing w:after="0" w:line="15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b w:val="1"/>
          <w:bCs w:val="1"/>
          <w:i w:val="1"/>
          <w:iCs w:val="1"/>
          <w:color w:val="auto"/>
        </w:rPr>
        <w:t>Currency Conversion</w:t>
      </w:r>
      <w:r>
        <w:rPr>
          <w:rFonts w:ascii="Arial" w:cs="Arial" w:eastAsia="Arial" w:hAnsi="Arial"/>
          <w:sz w:val="22"/>
          <w:szCs w:val="22"/>
          <w:color w:val="auto"/>
        </w:rPr>
        <w:t>. The Foreign Collateral Agent is under no obligation to make the payments to the Secured Parties above in the same currency as that in which the obligations and liabilities owing to the Secured Parties are denominated. To the extent any payment from Foreign Collateral Agent to a Representative causes a currency conversion, the provisions of the ABL Documents or the LC Documents (as applicable, based on the Representative receiving payment) relating to currency conversions shall apply.</w:t>
      </w:r>
    </w:p>
    <w:p>
      <w:pPr>
        <w:spacing w:after="0" w:line="19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8"/>
          <w:szCs w:val="18"/>
          <w:b w:val="1"/>
          <w:bCs w:val="1"/>
          <w:i w:val="1"/>
          <w:iCs w:val="1"/>
          <w:color w:val="auto"/>
        </w:rPr>
        <w:t>Swiss Collateral</w:t>
      </w:r>
      <w:r>
        <w:rPr>
          <w:rFonts w:ascii="Arial" w:cs="Arial" w:eastAsia="Arial" w:hAnsi="Arial"/>
          <w:sz w:val="18"/>
          <w:szCs w:val="18"/>
          <w:color w:val="auto"/>
        </w:rPr>
        <w:t>.</w:t>
      </w:r>
    </w:p>
    <w:p>
      <w:pPr>
        <w:spacing w:after="0" w:line="233" w:lineRule="exact"/>
        <w:rPr>
          <w:sz w:val="20"/>
          <w:szCs w:val="20"/>
          <w:color w:val="auto"/>
        </w:rPr>
      </w:pPr>
    </w:p>
    <w:p>
      <w:pPr>
        <w:ind w:right="20" w:firstLine="1304"/>
        <w:spacing w:after="0" w:line="276" w:lineRule="auto"/>
        <w:tabs>
          <w:tab w:leader="none" w:pos="2278" w:val="left"/>
        </w:tabs>
        <w:numPr>
          <w:ilvl w:val="0"/>
          <w:numId w:val="505"/>
        </w:numPr>
        <w:rPr>
          <w:rFonts w:ascii="Arial" w:cs="Arial" w:eastAsia="Arial" w:hAnsi="Arial"/>
          <w:sz w:val="22"/>
          <w:szCs w:val="22"/>
          <w:color w:val="auto"/>
        </w:rPr>
      </w:pPr>
      <w:r>
        <w:rPr>
          <w:rFonts w:ascii="Arial" w:cs="Arial" w:eastAsia="Arial" w:hAnsi="Arial"/>
          <w:sz w:val="22"/>
          <w:szCs w:val="22"/>
          <w:color w:val="auto"/>
        </w:rPr>
        <w:t>In relation to Foreign Collateral which is subject to a security document governed by Swiss law, the Foreign Collateral Agent shall:</w:t>
      </w:r>
    </w:p>
    <w:p>
      <w:pPr>
        <w:spacing w:after="0" w:line="174" w:lineRule="exact"/>
        <w:rPr>
          <w:rFonts w:ascii="Arial" w:cs="Arial" w:eastAsia="Arial" w:hAnsi="Arial"/>
          <w:sz w:val="22"/>
          <w:szCs w:val="22"/>
          <w:color w:val="auto"/>
        </w:rPr>
      </w:pPr>
    </w:p>
    <w:p>
      <w:pPr>
        <w:ind w:left="1300" w:firstLine="652"/>
        <w:spacing w:after="0" w:line="358" w:lineRule="auto"/>
        <w:tabs>
          <w:tab w:leader="none" w:pos="2854" w:val="left"/>
        </w:tabs>
        <w:numPr>
          <w:ilvl w:val="1"/>
          <w:numId w:val="505"/>
        </w:numPr>
        <w:rPr>
          <w:rFonts w:ascii="Arial" w:cs="Arial" w:eastAsia="Arial" w:hAnsi="Arial"/>
          <w:sz w:val="19"/>
          <w:szCs w:val="19"/>
          <w:color w:val="auto"/>
        </w:rPr>
      </w:pPr>
      <w:r>
        <w:rPr>
          <w:rFonts w:ascii="Arial" w:cs="Arial" w:eastAsia="Arial" w:hAnsi="Arial"/>
          <w:sz w:val="19"/>
          <w:szCs w:val="19"/>
          <w:color w:val="auto"/>
        </w:rPr>
        <w:t>hold and administer any non-accessory Collateral (</w:t>
      </w:r>
      <w:r>
        <w:rPr>
          <w:rFonts w:ascii="Arial" w:cs="Arial" w:eastAsia="Arial" w:hAnsi="Arial"/>
          <w:sz w:val="19"/>
          <w:szCs w:val="19"/>
          <w:i w:val="1"/>
          <w:iCs w:val="1"/>
          <w:color w:val="auto"/>
        </w:rPr>
        <w:t>nicht-akzessorische Sicherheit</w:t>
      </w:r>
      <w:r>
        <w:rPr>
          <w:rFonts w:ascii="Arial" w:cs="Arial" w:eastAsia="Arial" w:hAnsi="Arial"/>
          <w:sz w:val="19"/>
          <w:szCs w:val="19"/>
          <w:color w:val="auto"/>
        </w:rPr>
        <w:t>) governed by Swiss law as fiduciary (</w:t>
      </w:r>
      <w:r>
        <w:rPr>
          <w:rFonts w:ascii="Arial" w:cs="Arial" w:eastAsia="Arial" w:hAnsi="Arial"/>
          <w:sz w:val="19"/>
          <w:szCs w:val="19"/>
          <w:i w:val="1"/>
          <w:iCs w:val="1"/>
          <w:color w:val="auto"/>
        </w:rPr>
        <w:t>treuhänderisch</w:t>
      </w:r>
      <w:r>
        <w:rPr>
          <w:rFonts w:ascii="Arial" w:cs="Arial" w:eastAsia="Arial" w:hAnsi="Arial"/>
          <w:sz w:val="19"/>
          <w:szCs w:val="19"/>
          <w:color w:val="auto"/>
        </w:rPr>
        <w:t>) in its own name but for the benefit of the Secured Parties; and</w:t>
      </w:r>
    </w:p>
    <w:p>
      <w:pPr>
        <w:spacing w:after="0" w:line="104" w:lineRule="exact"/>
        <w:rPr>
          <w:rFonts w:ascii="Arial" w:cs="Arial" w:eastAsia="Arial" w:hAnsi="Arial"/>
          <w:sz w:val="19"/>
          <w:szCs w:val="19"/>
          <w:color w:val="auto"/>
        </w:rPr>
      </w:pPr>
    </w:p>
    <w:p>
      <w:pPr>
        <w:ind w:left="1300" w:firstLine="652"/>
        <w:spacing w:after="0" w:line="358" w:lineRule="auto"/>
        <w:tabs>
          <w:tab w:leader="none" w:pos="2752" w:val="left"/>
        </w:tabs>
        <w:numPr>
          <w:ilvl w:val="1"/>
          <w:numId w:val="505"/>
        </w:numPr>
        <w:rPr>
          <w:rFonts w:ascii="Arial" w:cs="Arial" w:eastAsia="Arial" w:hAnsi="Arial"/>
          <w:sz w:val="19"/>
          <w:szCs w:val="19"/>
          <w:color w:val="auto"/>
        </w:rPr>
      </w:pPr>
      <w:r>
        <w:rPr>
          <w:rFonts w:ascii="Arial" w:cs="Arial" w:eastAsia="Arial" w:hAnsi="Arial"/>
          <w:sz w:val="19"/>
          <w:szCs w:val="19"/>
          <w:color w:val="auto"/>
        </w:rPr>
        <w:t>hold and administer any accessory Collateral (</w:t>
      </w:r>
      <w:r>
        <w:rPr>
          <w:rFonts w:ascii="Arial" w:cs="Arial" w:eastAsia="Arial" w:hAnsi="Arial"/>
          <w:sz w:val="19"/>
          <w:szCs w:val="19"/>
          <w:i w:val="1"/>
          <w:iCs w:val="1"/>
          <w:color w:val="auto"/>
        </w:rPr>
        <w:t>akzessorische Sicherheit</w:t>
      </w:r>
      <w:r>
        <w:rPr>
          <w:rFonts w:ascii="Arial" w:cs="Arial" w:eastAsia="Arial" w:hAnsi="Arial"/>
          <w:sz w:val="19"/>
          <w:szCs w:val="19"/>
          <w:color w:val="auto"/>
        </w:rPr>
        <w:t>) governed by Swiss law as direct representative (</w:t>
      </w:r>
      <w:r>
        <w:rPr>
          <w:rFonts w:ascii="Arial" w:cs="Arial" w:eastAsia="Arial" w:hAnsi="Arial"/>
          <w:sz w:val="19"/>
          <w:szCs w:val="19"/>
          <w:i w:val="1"/>
          <w:iCs w:val="1"/>
          <w:color w:val="auto"/>
        </w:rPr>
        <w:t>direkter Stellvertreter</w:t>
      </w:r>
      <w:r>
        <w:rPr>
          <w:rFonts w:ascii="Arial" w:cs="Arial" w:eastAsia="Arial" w:hAnsi="Arial"/>
          <w:sz w:val="19"/>
          <w:szCs w:val="19"/>
          <w:color w:val="auto"/>
        </w:rPr>
        <w:t>) in the name and on behalf of the Secured Parties.</w:t>
      </w:r>
    </w:p>
    <w:p>
      <w:pPr>
        <w:spacing w:after="0" w:line="104" w:lineRule="exact"/>
        <w:rPr>
          <w:rFonts w:ascii="Arial" w:cs="Arial" w:eastAsia="Arial" w:hAnsi="Arial"/>
          <w:sz w:val="19"/>
          <w:szCs w:val="19"/>
          <w:color w:val="auto"/>
        </w:rPr>
      </w:pPr>
    </w:p>
    <w:p>
      <w:pPr>
        <w:ind w:left="2100" w:hanging="796"/>
        <w:spacing w:after="0"/>
        <w:tabs>
          <w:tab w:leader="none" w:pos="2100" w:val="left"/>
        </w:tabs>
        <w:numPr>
          <w:ilvl w:val="0"/>
          <w:numId w:val="505"/>
        </w:numPr>
        <w:rPr>
          <w:rFonts w:ascii="Arial" w:cs="Arial" w:eastAsia="Arial" w:hAnsi="Arial"/>
          <w:sz w:val="22"/>
          <w:szCs w:val="22"/>
          <w:color w:val="auto"/>
        </w:rPr>
      </w:pPr>
      <w:r>
        <w:rPr>
          <w:rFonts w:ascii="Arial" w:cs="Arial" w:eastAsia="Arial" w:hAnsi="Arial"/>
          <w:sz w:val="22"/>
          <w:szCs w:val="22"/>
          <w:color w:val="auto"/>
        </w:rPr>
        <w:t>The Foreign Collateral Agent shall be empowered to:</w:t>
      </w:r>
    </w:p>
    <w:p>
      <w:pPr>
        <w:spacing w:after="0" w:line="233" w:lineRule="exact"/>
        <w:rPr>
          <w:rFonts w:ascii="Arial" w:cs="Arial" w:eastAsia="Arial" w:hAnsi="Arial"/>
          <w:sz w:val="22"/>
          <w:szCs w:val="22"/>
          <w:color w:val="auto"/>
        </w:rPr>
      </w:pPr>
    </w:p>
    <w:p>
      <w:pPr>
        <w:jc w:val="both"/>
        <w:ind w:left="1300" w:firstLine="652"/>
        <w:spacing w:after="0" w:line="266" w:lineRule="auto"/>
        <w:tabs>
          <w:tab w:leader="none" w:pos="2705" w:val="left"/>
        </w:tabs>
        <w:numPr>
          <w:ilvl w:val="1"/>
          <w:numId w:val="505"/>
        </w:numPr>
        <w:rPr>
          <w:rFonts w:ascii="Arial" w:cs="Arial" w:eastAsia="Arial" w:hAnsi="Arial"/>
          <w:sz w:val="22"/>
          <w:szCs w:val="22"/>
          <w:color w:val="auto"/>
        </w:rPr>
      </w:pPr>
      <w:r>
        <w:rPr>
          <w:rFonts w:ascii="Arial" w:cs="Arial" w:eastAsia="Arial" w:hAnsi="Arial"/>
          <w:sz w:val="22"/>
          <w:szCs w:val="22"/>
          <w:color w:val="auto"/>
        </w:rPr>
        <w:t>exercise such rights, remedies, powers and discretions as are specifically delegated to or conferred upon the Foreign Collateral Agent under the relevant security documents governed by Swiss law together with such powers and discretions as are reasonably incidental thereto;</w:t>
      </w:r>
    </w:p>
    <w:p>
      <w:pPr>
        <w:sectPr>
          <w:pgSz w:w="11900" w:h="16838" w:orient="portrait"/>
          <w:cols w:equalWidth="0" w:num="1">
            <w:col w:w="11240"/>
          </w:cols>
          <w:pgMar w:left="320" w:top="131" w:right="339" w:bottom="73" w:gutter="0" w:footer="0" w:header="0"/>
        </w:sectPr>
      </w:pPr>
    </w:p>
    <w:bookmarkStart w:id="439" w:name="page440"/>
    <w:bookmarkEnd w:id="439"/>
    <w:p>
      <w:pPr>
        <w:ind w:left="1300" w:firstLine="652"/>
        <w:spacing w:after="0" w:line="276" w:lineRule="auto"/>
        <w:tabs>
          <w:tab w:leader="none" w:pos="2900" w:val="left"/>
        </w:tabs>
        <w:numPr>
          <w:ilvl w:val="0"/>
          <w:numId w:val="506"/>
        </w:numPr>
        <w:rPr>
          <w:rFonts w:ascii="Arial" w:cs="Arial" w:eastAsia="Arial" w:hAnsi="Arial"/>
          <w:sz w:val="22"/>
          <w:szCs w:val="22"/>
          <w:color w:val="auto"/>
        </w:rPr>
      </w:pPr>
      <w:r>
        <w:rPr>
          <w:rFonts w:ascii="Arial" w:cs="Arial" w:eastAsia="Arial" w:hAnsi="Arial"/>
          <w:sz w:val="22"/>
          <w:szCs w:val="22"/>
          <w:color w:val="auto"/>
        </w:rPr>
        <w:t>take such action on its behalf as may from time to time be authorized under or in accordance with the relevant Foreign Collateral Documents governed by Swiss law; and</w:t>
      </w:r>
    </w:p>
    <w:p>
      <w:pPr>
        <w:spacing w:after="0" w:line="174" w:lineRule="exact"/>
        <w:rPr>
          <w:rFonts w:ascii="Arial" w:cs="Arial" w:eastAsia="Arial" w:hAnsi="Arial"/>
          <w:sz w:val="22"/>
          <w:szCs w:val="22"/>
          <w:color w:val="auto"/>
        </w:rPr>
      </w:pPr>
    </w:p>
    <w:p>
      <w:pPr>
        <w:jc w:val="both"/>
        <w:ind w:left="1300" w:firstLine="652"/>
        <w:spacing w:after="0" w:line="259" w:lineRule="auto"/>
        <w:tabs>
          <w:tab w:leader="none" w:pos="2906" w:val="left"/>
        </w:tabs>
        <w:numPr>
          <w:ilvl w:val="0"/>
          <w:numId w:val="506"/>
        </w:numPr>
        <w:rPr>
          <w:rFonts w:ascii="Arial" w:cs="Arial" w:eastAsia="Arial" w:hAnsi="Arial"/>
          <w:sz w:val="22"/>
          <w:szCs w:val="22"/>
          <w:color w:val="auto"/>
        </w:rPr>
      </w:pPr>
      <w:r>
        <w:rPr>
          <w:rFonts w:ascii="Arial" w:cs="Arial" w:eastAsia="Arial" w:hAnsi="Arial"/>
          <w:sz w:val="22"/>
          <w:szCs w:val="22"/>
          <w:color w:val="auto"/>
        </w:rPr>
        <w:t>accept, enter into and execute,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pledge or other creation of any accessory security right granted in favor of any Secured Party under Swiss law in connection with the ABL Documents and/or the LC Documents and to agree to and execute in its name and on its behalf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amendments, confirmations and/or alterations to any security document governed by Swiss law which creates a pledge or any other accessory security right (</w:t>
      </w:r>
      <w:r>
        <w:rPr>
          <w:rFonts w:ascii="Arial" w:cs="Arial" w:eastAsia="Arial" w:hAnsi="Arial"/>
          <w:sz w:val="22"/>
          <w:szCs w:val="22"/>
          <w:i w:val="1"/>
          <w:iCs w:val="1"/>
          <w:color w:val="auto"/>
        </w:rPr>
        <w:t>akzessorische</w:t>
      </w:r>
      <w:r>
        <w:rPr>
          <w:rFonts w:ascii="Arial" w:cs="Arial" w:eastAsia="Arial" w:hAnsi="Arial"/>
          <w:sz w:val="22"/>
          <w:szCs w:val="22"/>
          <w:color w:val="auto"/>
        </w:rPr>
        <w:t xml:space="preserve"> </w:t>
      </w:r>
      <w:r>
        <w:rPr>
          <w:rFonts w:ascii="Arial" w:cs="Arial" w:eastAsia="Arial" w:hAnsi="Arial"/>
          <w:sz w:val="22"/>
          <w:szCs w:val="22"/>
          <w:i w:val="1"/>
          <w:iCs w:val="1"/>
          <w:color w:val="auto"/>
        </w:rPr>
        <w:t>Sicherheit</w:t>
      </w:r>
      <w:r>
        <w:rPr>
          <w:rFonts w:ascii="Arial" w:cs="Arial" w:eastAsia="Arial" w:hAnsi="Arial"/>
          <w:sz w:val="22"/>
          <w:szCs w:val="22"/>
          <w:color w:val="auto"/>
        </w:rPr>
        <w:t>) including the release or confirmation of release of such Collateral, all subject to the provisions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19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8"/>
          <w:szCs w:val="18"/>
          <w:b w:val="1"/>
          <w:bCs w:val="1"/>
          <w:i w:val="1"/>
          <w:iCs w:val="1"/>
          <w:color w:val="auto"/>
        </w:rPr>
        <w:t>Scottish Collateral</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71" w:lineRule="auto"/>
        <w:tabs>
          <w:tab w:leader="none" w:pos="2400" w:val="left"/>
        </w:tabs>
        <w:numPr>
          <w:ilvl w:val="0"/>
          <w:numId w:val="507"/>
        </w:numPr>
        <w:rPr>
          <w:rFonts w:ascii="Arial" w:cs="Arial" w:eastAsia="Arial" w:hAnsi="Arial"/>
          <w:sz w:val="21"/>
          <w:szCs w:val="21"/>
          <w:color w:val="auto"/>
        </w:rPr>
      </w:pPr>
      <w:r>
        <w:rPr>
          <w:rFonts w:ascii="Arial" w:cs="Arial" w:eastAsia="Arial" w:hAnsi="Arial"/>
          <w:sz w:val="21"/>
          <w:szCs w:val="21"/>
          <w:color w:val="auto"/>
        </w:rPr>
        <w:t xml:space="preserve">The Foreign Collateral Agent declares that it holds on trust for the Secured Parties, on the terms contained in this </w:t>
      </w:r>
      <w:r>
        <w:rPr>
          <w:rFonts w:ascii="Arial" w:cs="Arial" w:eastAsia="Arial" w:hAnsi="Arial"/>
          <w:sz w:val="21"/>
          <w:szCs w:val="21"/>
          <w:u w:val="single" w:color="auto"/>
          <w:color w:val="auto"/>
        </w:rPr>
        <w:t>Article VI</w:t>
      </w:r>
      <w:r>
        <w:rPr>
          <w:rFonts w:ascii="Arial" w:cs="Arial" w:eastAsia="Arial" w:hAnsi="Arial"/>
          <w:sz w:val="21"/>
          <w:szCs w:val="21"/>
          <w:color w:val="auto"/>
        </w:rPr>
        <w:t>: (i) the Foreign Collateral expressed to be subject to the Liens created in favor of the Foreign Collateral Agent as trustee for the Secured Parties by or pursuant to each Foreign Collateral Document which is governed by or subject to the laws of Scotland, and all proceeds of that Foreign Collateral; (ii) all obligations expressed to be undertaken by any Grantor to pay amounts in respect of the Obligations to the Foreign Collateral Agent as trustee for the Secured Parties and secured by any Foreign Collateral Document which is governed by or subject to the laws of Scotland together with all representations and warranties expressed to be given by any Grantor or any other person in favour of the Foreign Collateral Agent as trustee for the Secured Parties; and (iii) any other amounts or property, whether rights, entitlements, choses in action or otherwise, actual or contingent, which the Foreign Collateral Agent is required by the terms of the ABL Documents or the LC Documents to hold as trustee on trust for the Secured Parties.</w:t>
      </w:r>
    </w:p>
    <w:p>
      <w:pPr>
        <w:spacing w:after="0" w:line="189" w:lineRule="exact"/>
        <w:rPr>
          <w:rFonts w:ascii="Arial" w:cs="Arial" w:eastAsia="Arial" w:hAnsi="Arial"/>
          <w:sz w:val="21"/>
          <w:szCs w:val="21"/>
          <w:color w:val="auto"/>
        </w:rPr>
      </w:pPr>
    </w:p>
    <w:p>
      <w:pPr>
        <w:jc w:val="both"/>
        <w:ind w:firstLine="1304"/>
        <w:spacing w:after="0" w:line="273" w:lineRule="auto"/>
        <w:tabs>
          <w:tab w:leader="none" w:pos="2466" w:val="left"/>
        </w:tabs>
        <w:numPr>
          <w:ilvl w:val="0"/>
          <w:numId w:val="507"/>
        </w:numPr>
        <w:rPr>
          <w:rFonts w:ascii="Arial" w:cs="Arial" w:eastAsia="Arial" w:hAnsi="Arial"/>
          <w:sz w:val="21"/>
          <w:szCs w:val="21"/>
          <w:color w:val="auto"/>
        </w:rPr>
      </w:pPr>
      <w:r>
        <w:rPr>
          <w:rFonts w:ascii="Arial" w:cs="Arial" w:eastAsia="Arial" w:hAnsi="Arial"/>
          <w:sz w:val="21"/>
          <w:szCs w:val="21"/>
          <w:color w:val="auto"/>
        </w:rPr>
        <w:t xml:space="preserve">Without prejudice to the other provisions of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each other Collateral Agent hereby irrevocably authorizes the Foreign Collateral Agent to perform the duties, obligations and responsibilities and to exercise the rights, powers, authorities and discretions specifically given to the Foreign Collateral Agent as trustee for the Secured Parties under or in connection with the ABL Documents and the LC Documents together with any other incidental rights, powers, authorities and discretions. For the avoidance of doubt, the Foreign Collateral Agent in its capacity as trustee for the Secured Parties shall have the same rights, powers, immunities, indemnities and exclusions from liability as are prescribed in favor of the Foreign Collateral Agent in this Agreement, which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b w:val="1"/>
          <w:bCs w:val="1"/>
          <w:i w:val="1"/>
          <w:iCs w:val="1"/>
          <w:color w:val="auto"/>
        </w:rPr>
        <w:t>Legends</w:t>
      </w:r>
      <w:r>
        <w:rPr>
          <w:rFonts w:ascii="Arial" w:cs="Arial" w:eastAsia="Arial" w:hAnsi="Arial"/>
          <w:sz w:val="21"/>
          <w:szCs w:val="21"/>
          <w:i w:val="1"/>
          <w:iCs w:val="1"/>
          <w:color w:val="auto"/>
        </w:rPr>
        <w:t>.</w:t>
      </w:r>
      <w:r>
        <w:rPr>
          <w:rFonts w:ascii="Arial" w:cs="Arial" w:eastAsia="Arial" w:hAnsi="Arial"/>
          <w:sz w:val="21"/>
          <w:szCs w:val="21"/>
          <w:color w:val="auto"/>
        </w:rPr>
        <w:t xml:space="preserve"> Each Security Document shall (and, to the extent already in existence, shall be amended to) include a legend, substantially similar to the form provided below, describing this Agreement (except in the case of any foreign jurisdiction, where such legend is not customary or where otherwise prohibited by applicable law):</w:t>
      </w:r>
    </w:p>
    <w:p>
      <w:pPr>
        <w:spacing w:after="0" w:line="163" w:lineRule="exact"/>
        <w:rPr>
          <w:sz w:val="20"/>
          <w:szCs w:val="20"/>
          <w:color w:val="auto"/>
        </w:rPr>
      </w:pPr>
    </w:p>
    <w:p>
      <w:pPr>
        <w:jc w:val="both"/>
        <w:ind w:left="1300"/>
        <w:spacing w:after="0" w:line="300" w:lineRule="auto"/>
        <w:rPr>
          <w:sz w:val="20"/>
          <w:szCs w:val="20"/>
          <w:color w:val="auto"/>
        </w:rPr>
      </w:pPr>
      <w:r>
        <w:rPr>
          <w:rFonts w:ascii="Arial" w:cs="Arial" w:eastAsia="Arial" w:hAnsi="Arial"/>
          <w:sz w:val="19"/>
          <w:szCs w:val="19"/>
          <w:b w:val="1"/>
          <w:bCs w:val="1"/>
          <w:color w:val="auto"/>
        </w:rPr>
        <w:t>Reference is made to the Intercreditor Agreement (the “Intercreditor Agreement”), dated as of December 13, 2019, among Wells Fargo Bank, National Association, as ABL Collateral Agent (as defined in the Intercreditor Agreement) for the ABL Secured Parties referred to therein; Deutsche Bank Trust Company Americas, as LC Collateral Agent (as defined in the Intercreditor Agreement) for the LC Facility Secured Parties referred to therein; Weatherford International plc, a public limited company incorporated in the Republic of Ireland, Weatherford International Ltd., a Bermuda exempted company limited by shares, Weatherford International LLC, a Delaware limited liability company and the other Grantors of Weatherford International plc named therein (the “Intercreditor Agreement”). Each [ABL Secured Party] [LC Secured Party], through its Collateral Agent, by obtaining the benefits of this Agreement, (a) consents to the subordination of Liens provided for in the Intercreditor Agreement, (b) agrees that it will be bound by, and will take no actions contrary to, the provisions of the Intercreditor Agreement and (c) authorizes and instructs the [ABL Collateral Agent] [LC Collateral Agent] to enter into the Intercreditor Agreement as [ABL Collateral Agent ] [LC Collateral Agent] on behalf of such Secured Party. The foregoing provisions are intended as an inducement to the [ABL Secured Parties] [LC Secured Parties] to extend credit to [LC Borrowers] [ABL Borrowers] or to acquire any notes or other evidence of any debt obligation owing from the [LC Borrowers] [ABL Borrowers] and such [ABL Secured Parties] [LC Secured Parties] are intended third party beneficiaries of such provisions and the provisions of the Intercreditor Agreement.</w:t>
      </w:r>
    </w:p>
    <w:p>
      <w:pPr>
        <w:spacing w:after="0" w:line="163" w:lineRule="exact"/>
        <w:rPr>
          <w:sz w:val="20"/>
          <w:szCs w:val="20"/>
          <w:color w:val="auto"/>
        </w:rPr>
      </w:pPr>
    </w:p>
    <w:p>
      <w:pPr>
        <w:jc w:val="both"/>
        <w:ind w:left="1300"/>
        <w:spacing w:after="0" w:line="319" w:lineRule="auto"/>
        <w:rPr>
          <w:sz w:val="20"/>
          <w:szCs w:val="20"/>
          <w:color w:val="auto"/>
        </w:rPr>
      </w:pPr>
      <w:r>
        <w:rPr>
          <w:rFonts w:ascii="Arial" w:cs="Arial" w:eastAsia="Arial" w:hAnsi="Arial"/>
          <w:sz w:val="19"/>
          <w:szCs w:val="19"/>
          <w:b w:val="1"/>
          <w:bCs w:val="1"/>
          <w:color w:val="auto"/>
        </w:rPr>
        <w:t>Notwithstanding any other provision contained herein, this Agreement, the Liens created hereby and the rights, remedies, duties and obligations provided for herein are subject in all respects to the provisions of the Intercreditor Agreement and, to the extent provided therein, the applicable ABL Security Documents and LC Security Documents (as defined in the ABL Intercreditor Agreement). In the event of any conflict</w:t>
      </w:r>
    </w:p>
    <w:p>
      <w:pPr>
        <w:sectPr>
          <w:pgSz w:w="11900" w:h="16838" w:orient="portrait"/>
          <w:cols w:equalWidth="0" w:num="1">
            <w:col w:w="11240"/>
          </w:cols>
          <w:pgMar w:left="320" w:top="131" w:right="339" w:bottom="0" w:gutter="0" w:footer="0" w:header="0"/>
        </w:sectPr>
      </w:pPr>
    </w:p>
    <w:bookmarkStart w:id="440" w:name="page441"/>
    <w:bookmarkEnd w:id="440"/>
    <w:p>
      <w:pPr>
        <w:ind w:left="1300"/>
        <w:spacing w:after="0" w:line="282" w:lineRule="auto"/>
        <w:rPr>
          <w:sz w:val="20"/>
          <w:szCs w:val="20"/>
          <w:color w:val="auto"/>
        </w:rPr>
      </w:pPr>
      <w:r>
        <w:rPr>
          <w:rFonts w:ascii="Arial" w:cs="Arial" w:eastAsia="Arial" w:hAnsi="Arial"/>
          <w:sz w:val="22"/>
          <w:szCs w:val="22"/>
          <w:b w:val="1"/>
          <w:bCs w:val="1"/>
          <w:color w:val="auto"/>
        </w:rPr>
        <w:t>or inconsistency between the provisions of this Agreement and the Intercreditor Agreement, the provisions of the Intercreditor Agreement shall control.</w:t>
      </w:r>
    </w:p>
    <w:p>
      <w:pPr>
        <w:spacing w:after="0" w:line="168" w:lineRule="exact"/>
        <w:rPr>
          <w:sz w:val="20"/>
          <w:szCs w:val="20"/>
          <w:color w:val="auto"/>
        </w:rPr>
      </w:pPr>
    </w:p>
    <w:p>
      <w:pPr>
        <w:ind w:firstLine="1296"/>
        <w:spacing w:after="0" w:line="358"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b w:val="1"/>
          <w:bCs w:val="1"/>
          <w:i w:val="1"/>
          <w:iCs w:val="1"/>
          <w:color w:val="auto"/>
        </w:rPr>
        <w:t>Notices</w:t>
      </w:r>
      <w:r>
        <w:rPr>
          <w:rFonts w:ascii="Arial" w:cs="Arial" w:eastAsia="Arial" w:hAnsi="Arial"/>
          <w:sz w:val="19"/>
          <w:szCs w:val="19"/>
          <w:color w:val="auto"/>
        </w:rPr>
        <w:t>. All notices and other communications provided for herein shall be in writing and shall be delivered by hand or overnight courier service, mailed by certified or registered mail or sent by telecopy, as follows:</w:t>
      </w:r>
    </w:p>
    <w:p>
      <w:pPr>
        <w:spacing w:after="0" w:line="104" w:lineRule="exact"/>
        <w:rPr>
          <w:sz w:val="20"/>
          <w:szCs w:val="20"/>
          <w:color w:val="auto"/>
        </w:rPr>
      </w:pPr>
    </w:p>
    <w:p>
      <w:pPr>
        <w:ind w:left="2080" w:hanging="776"/>
        <w:spacing w:after="0"/>
        <w:tabs>
          <w:tab w:leader="none" w:pos="208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if to the ABL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14241 Dallas Parkway, Suite 1300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Dallas, TX 75254</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Loan Portfolio Manager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(866) 551-0750</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Goldberg Kohn Ltd.</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55 East Monroe Street, Suite 3300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60603</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Jessica L. DeBruin, Esq.</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(312) 863-7857</w:t>
      </w:r>
    </w:p>
    <w:p>
      <w:pPr>
        <w:spacing w:after="0" w:line="229" w:lineRule="exact"/>
        <w:rPr>
          <w:sz w:val="20"/>
          <w:szCs w:val="20"/>
          <w:color w:val="auto"/>
        </w:rPr>
      </w:pPr>
    </w:p>
    <w:p>
      <w:pPr>
        <w:ind w:left="2100" w:hanging="796"/>
        <w:spacing w:after="0"/>
        <w:tabs>
          <w:tab w:leader="none" w:pos="2100" w:val="left"/>
        </w:tabs>
        <w:numPr>
          <w:ilvl w:val="0"/>
          <w:numId w:val="509"/>
        </w:numPr>
        <w:rPr>
          <w:rFonts w:ascii="Arial" w:cs="Arial" w:eastAsia="Arial" w:hAnsi="Arial"/>
          <w:sz w:val="22"/>
          <w:szCs w:val="22"/>
          <w:color w:val="auto"/>
        </w:rPr>
      </w:pPr>
      <w:r>
        <w:rPr>
          <w:rFonts w:ascii="Arial" w:cs="Arial" w:eastAsia="Arial" w:hAnsi="Arial"/>
          <w:sz w:val="22"/>
          <w:szCs w:val="22"/>
          <w:color w:val="auto"/>
        </w:rPr>
        <w:t>if to the Foreign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14241 Dallas Parkway, Suite 1300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Dallas, TX 75254</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Loan Portfolio Manager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(866) 551-0750</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Goldberg Kohn Ltd.</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55 East Monroe Street, Suite 3300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60603</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Jessica L. DeBruin, Esq.</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(312) 863-7857</w:t>
      </w:r>
    </w:p>
    <w:p>
      <w:pPr>
        <w:spacing w:after="0" w:line="229" w:lineRule="exact"/>
        <w:rPr>
          <w:sz w:val="20"/>
          <w:szCs w:val="20"/>
          <w:color w:val="auto"/>
        </w:rPr>
      </w:pPr>
    </w:p>
    <w:p>
      <w:pPr>
        <w:ind w:left="2080" w:hanging="776"/>
        <w:spacing w:after="0"/>
        <w:tabs>
          <w:tab w:leader="none" w:pos="2080" w:val="left"/>
        </w:tabs>
        <w:numPr>
          <w:ilvl w:val="0"/>
          <w:numId w:val="510"/>
        </w:numPr>
        <w:rPr>
          <w:rFonts w:ascii="Arial" w:cs="Arial" w:eastAsia="Arial" w:hAnsi="Arial"/>
          <w:sz w:val="22"/>
          <w:szCs w:val="22"/>
          <w:color w:val="auto"/>
        </w:rPr>
      </w:pPr>
      <w:r>
        <w:rPr>
          <w:rFonts w:ascii="Arial" w:cs="Arial" w:eastAsia="Arial" w:hAnsi="Arial"/>
          <w:sz w:val="22"/>
          <w:szCs w:val="22"/>
          <w:color w:val="auto"/>
        </w:rPr>
        <w:t>if to the LC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and Agency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24th Floor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NYC60 - 2410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10005</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Project Finance Agency Services, Weatherford, SF0580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(646) 961-3317</w:t>
      </w:r>
    </w:p>
    <w:p>
      <w:pPr>
        <w:spacing w:after="0" w:line="229" w:lineRule="exact"/>
        <w:rPr>
          <w:sz w:val="20"/>
          <w:szCs w:val="20"/>
          <w:color w:val="auto"/>
        </w:rPr>
      </w:pPr>
    </w:p>
    <w:p>
      <w:pPr>
        <w:ind w:left="2100" w:hanging="796"/>
        <w:spacing w:after="0"/>
        <w:tabs>
          <w:tab w:leader="none" w:pos="2100" w:val="left"/>
        </w:tabs>
        <w:numPr>
          <w:ilvl w:val="0"/>
          <w:numId w:val="511"/>
        </w:numPr>
        <w:rPr>
          <w:rFonts w:ascii="Arial" w:cs="Arial" w:eastAsia="Arial" w:hAnsi="Arial"/>
          <w:sz w:val="22"/>
          <w:szCs w:val="22"/>
          <w:color w:val="auto"/>
        </w:rPr>
      </w:pPr>
      <w:r>
        <w:rPr>
          <w:rFonts w:ascii="Arial" w:cs="Arial" w:eastAsia="Arial" w:hAnsi="Arial"/>
          <w:sz w:val="22"/>
          <w:szCs w:val="22"/>
          <w:color w:val="auto"/>
        </w:rPr>
        <w:t>if to the LC Australian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BTA Institutional Services Australia Limited</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Level 2, 1 Bligh Street</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Sydney NSW 2000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Australia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Global Client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+61 2 9260 6009</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BNYM_CT_Aus_RMG@bnymellon.com</w:t>
      </w:r>
    </w:p>
    <w:p>
      <w:pPr>
        <w:spacing w:after="0" w:line="229" w:lineRule="exact"/>
        <w:rPr>
          <w:sz w:val="20"/>
          <w:szCs w:val="20"/>
          <w:color w:val="auto"/>
        </w:rPr>
      </w:pPr>
    </w:p>
    <w:p>
      <w:pPr>
        <w:ind w:left="2080" w:hanging="776"/>
        <w:spacing w:after="0"/>
        <w:tabs>
          <w:tab w:leader="none" w:pos="2080" w:val="left"/>
        </w:tabs>
        <w:numPr>
          <w:ilvl w:val="0"/>
          <w:numId w:val="512"/>
        </w:numPr>
        <w:rPr>
          <w:rFonts w:ascii="Arial" w:cs="Arial" w:eastAsia="Arial" w:hAnsi="Arial"/>
          <w:sz w:val="22"/>
          <w:szCs w:val="22"/>
          <w:color w:val="auto"/>
        </w:rPr>
      </w:pPr>
      <w:r>
        <w:rPr>
          <w:rFonts w:ascii="Arial" w:cs="Arial" w:eastAsia="Arial" w:hAnsi="Arial"/>
          <w:sz w:val="22"/>
          <w:szCs w:val="22"/>
          <w:color w:val="auto"/>
        </w:rPr>
        <w:t>if to the Grantors, to them at:</w:t>
      </w:r>
    </w:p>
    <w:p>
      <w:pPr>
        <w:sectPr>
          <w:pgSz w:w="11900" w:h="16838" w:orient="portrait"/>
          <w:cols w:equalWidth="0" w:num="1">
            <w:col w:w="11240"/>
          </w:cols>
          <w:pgMar w:left="320" w:top="125" w:right="339" w:bottom="67" w:gutter="0" w:footer="0" w:header="0"/>
        </w:sectPr>
      </w:pPr>
    </w:p>
    <w:bookmarkStart w:id="441" w:name="page442"/>
    <w:bookmarkEnd w:id="441"/>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836-4000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LegalWeatherford@weatherford.com</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836-7460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Mark.Rothleitner@weatherford.com; Josh.Silverman@weatherford.com</w:t>
      </w:r>
    </w:p>
    <w:p>
      <w:pPr>
        <w:spacing w:after="0" w:line="22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Any party hereto may change its address or telecopy number for notices and other communications hereunder by notice to the other parties hereto (and for this purpose a notice to the Parent shall be deemed to be a notice to each Grantor).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five Business Days after dispatch by certified or registered mail if mailed, in each case delivered, sent or mailed (properly addressed) to such party as provided in this Section 7.02 or in accordance with the latest unrevoked direction from such party given in accordance with this Section 7.02. As agreed to in writing among the Parent, the ABL Collateral Agent, the LC Collateral Agent, notices and other communications may also be delivered by e-mail to the e-mail address of a representative of the applicable Person provided from time to time by such Person.</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8"/>
          <w:szCs w:val="18"/>
          <w:b w:val="1"/>
          <w:bCs w:val="1"/>
          <w:i w:val="1"/>
          <w:iCs w:val="1"/>
          <w:color w:val="auto"/>
        </w:rPr>
        <w:t>Waivers; Amendment</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05" w:lineRule="auto"/>
        <w:tabs>
          <w:tab w:leader="none" w:pos="2305" w:val="left"/>
        </w:tabs>
        <w:numPr>
          <w:ilvl w:val="0"/>
          <w:numId w:val="513"/>
        </w:numPr>
        <w:rPr>
          <w:rFonts w:ascii="Arial" w:cs="Arial" w:eastAsia="Arial" w:hAnsi="Arial"/>
          <w:sz w:val="19"/>
          <w:szCs w:val="19"/>
          <w:color w:val="auto"/>
        </w:rPr>
      </w:pPr>
      <w:r>
        <w:rPr>
          <w:rFonts w:ascii="Arial" w:cs="Arial" w:eastAsia="Arial" w:hAnsi="Arial"/>
          <w:sz w:val="19"/>
          <w:szCs w:val="19"/>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7.03,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54" w:lineRule="exact"/>
        <w:rPr>
          <w:rFonts w:ascii="Arial" w:cs="Arial" w:eastAsia="Arial" w:hAnsi="Arial"/>
          <w:sz w:val="19"/>
          <w:szCs w:val="19"/>
          <w:color w:val="auto"/>
        </w:rPr>
      </w:pPr>
    </w:p>
    <w:p>
      <w:pPr>
        <w:jc w:val="both"/>
        <w:ind w:firstLine="1304"/>
        <w:spacing w:after="0" w:line="262" w:lineRule="auto"/>
        <w:tabs>
          <w:tab w:leader="none" w:pos="2209" w:val="left"/>
        </w:tabs>
        <w:numPr>
          <w:ilvl w:val="0"/>
          <w:numId w:val="513"/>
        </w:numPr>
        <w:rPr>
          <w:rFonts w:ascii="Arial" w:cs="Arial" w:eastAsia="Arial" w:hAnsi="Arial"/>
          <w:sz w:val="22"/>
          <w:szCs w:val="22"/>
          <w:color w:val="auto"/>
        </w:rPr>
      </w:pPr>
      <w:r>
        <w:rPr>
          <w:rFonts w:ascii="Arial" w:cs="Arial" w:eastAsia="Arial" w:hAnsi="Arial"/>
          <w:sz w:val="22"/>
          <w:szCs w:val="22"/>
          <w:color w:val="auto"/>
        </w:rPr>
        <w:t>Subject to Sections 2.03, 2.10, 2.11, Article 6 and 7.15 hereof, and except as set forth in Section 7.18, neither this Agreement nor any provision hereof may be terminated, waived, amended or modified except pursuant to an agreement or agreements in writing entered into by each Representative, each Collateral Agent and the Parent (for and on behalf of each of the other Grantors).</w:t>
      </w:r>
    </w:p>
    <w:p>
      <w:pPr>
        <w:spacing w:after="0" w:line="19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b w:val="1"/>
          <w:bCs w:val="1"/>
          <w:i w:val="1"/>
          <w:iCs w:val="1"/>
          <w:color w:val="auto"/>
        </w:rPr>
        <w:t>Parties in Interest</w:t>
      </w:r>
      <w:r>
        <w:rPr>
          <w:rFonts w:ascii="Arial" w:cs="Arial" w:eastAsia="Arial" w:hAnsi="Arial"/>
          <w:sz w:val="21"/>
          <w:szCs w:val="21"/>
          <w:color w:val="auto"/>
        </w:rPr>
        <w:t>. This Agreement shall be binding upon and inure to the benefit of the parties hereto and their respective successors and assigns, all of whom are intended to be bound by this Agreement.</w:t>
      </w:r>
    </w:p>
    <w:p>
      <w:pPr>
        <w:spacing w:after="0" w:line="15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b w:val="1"/>
          <w:bCs w:val="1"/>
          <w:i w:val="1"/>
          <w:iCs w:val="1"/>
          <w:color w:val="auto"/>
        </w:rPr>
        <w:t>Survival of Agreement</w:t>
      </w:r>
      <w:r>
        <w:rPr>
          <w:rFonts w:ascii="Arial" w:cs="Arial" w:eastAsia="Arial" w:hAnsi="Arial"/>
          <w:sz w:val="22"/>
          <w:szCs w:val="22"/>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b w:val="1"/>
          <w:bCs w:val="1"/>
          <w:i w:val="1"/>
          <w:iCs w:val="1"/>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2"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b w:val="1"/>
          <w:bCs w:val="1"/>
          <w:i w:val="1"/>
          <w:iCs w:val="1"/>
          <w:color w:val="auto"/>
        </w:rPr>
        <w:t>Governing Law; Jurisdiction; Consent to Service of Process</w:t>
      </w:r>
      <w:r>
        <w:rPr>
          <w:rFonts w:ascii="Arial" w:cs="Arial" w:eastAsia="Arial" w:hAnsi="Arial"/>
          <w:sz w:val="18"/>
          <w:szCs w:val="18"/>
          <w:color w:val="auto"/>
        </w:rPr>
        <w:t>.</w:t>
      </w:r>
    </w:p>
    <w:p>
      <w:pPr>
        <w:sectPr>
          <w:pgSz w:w="11900" w:h="16838" w:orient="portrait"/>
          <w:cols w:equalWidth="0" w:num="1">
            <w:col w:w="11240"/>
          </w:cols>
          <w:pgMar w:left="320" w:top="131" w:right="339" w:bottom="0" w:gutter="0" w:footer="0" w:header="0"/>
        </w:sectPr>
      </w:pPr>
    </w:p>
    <w:bookmarkStart w:id="442" w:name="page443"/>
    <w:bookmarkEnd w:id="442"/>
    <w:p>
      <w:pPr>
        <w:jc w:val="both"/>
        <w:ind w:firstLine="1304"/>
        <w:spacing w:after="0" w:line="271" w:lineRule="exact"/>
        <w:tabs>
          <w:tab w:leader="none" w:pos="2170" w:val="left"/>
        </w:tabs>
        <w:numPr>
          <w:ilvl w:val="0"/>
          <w:numId w:val="514"/>
        </w:numPr>
        <w:rPr>
          <w:rFonts w:ascii="Arial" w:cs="Arial" w:eastAsia="Arial" w:hAnsi="Arial"/>
          <w:sz w:val="22"/>
          <w:szCs w:val="22"/>
          <w:color w:val="auto"/>
        </w:rPr>
      </w:pPr>
      <w:r>
        <w:rPr>
          <w:rFonts w:ascii="Arial" w:cs="Arial" w:eastAsia="Arial" w:hAnsi="Arial"/>
          <w:sz w:val="22"/>
          <w:szCs w:val="22"/>
          <w:color w:val="auto"/>
        </w:rPr>
        <w:t>This Agreement and any claim, controversy or dispute arising under or related to such Agreement shall be governed by, and construed in accordance with, the law of the State of New York, without giving effect to conflict of law provisions, other than 5-1401 and 5</w:t>
      </w:r>
      <w:r>
        <w:rPr>
          <w:rFonts w:ascii="MS PGothic" w:cs="MS PGothic" w:eastAsia="MS PGothic" w:hAnsi="MS PGothic"/>
          <w:sz w:val="22"/>
          <w:szCs w:val="22"/>
          <w:color w:val="auto"/>
        </w:rPr>
        <w:t>‑</w:t>
      </w:r>
      <w:r>
        <w:rPr>
          <w:rFonts w:ascii="Arial" w:cs="Arial" w:eastAsia="Arial" w:hAnsi="Arial"/>
          <w:sz w:val="22"/>
          <w:szCs w:val="22"/>
          <w:color w:val="auto"/>
        </w:rPr>
        <w:t>1402 of the New York General Obligations Law.</w:t>
      </w:r>
    </w:p>
    <w:p>
      <w:pPr>
        <w:spacing w:after="0" w:line="213" w:lineRule="exact"/>
        <w:rPr>
          <w:rFonts w:ascii="Arial" w:cs="Arial" w:eastAsia="Arial" w:hAnsi="Arial"/>
          <w:sz w:val="22"/>
          <w:szCs w:val="22"/>
          <w:color w:val="auto"/>
        </w:rPr>
      </w:pPr>
    </w:p>
    <w:p>
      <w:pPr>
        <w:jc w:val="both"/>
        <w:ind w:firstLine="1304"/>
        <w:spacing w:after="0" w:line="304" w:lineRule="auto"/>
        <w:tabs>
          <w:tab w:leader="none" w:pos="2331" w:val="left"/>
        </w:tabs>
        <w:numPr>
          <w:ilvl w:val="0"/>
          <w:numId w:val="514"/>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in the courts of any jurisdiction.</w:t>
      </w:r>
    </w:p>
    <w:p>
      <w:pPr>
        <w:spacing w:after="0" w:line="155" w:lineRule="exact"/>
        <w:rPr>
          <w:rFonts w:ascii="Arial" w:cs="Arial" w:eastAsia="Arial" w:hAnsi="Arial"/>
          <w:sz w:val="19"/>
          <w:szCs w:val="19"/>
          <w:color w:val="auto"/>
        </w:rPr>
      </w:pPr>
    </w:p>
    <w:p>
      <w:pPr>
        <w:jc w:val="both"/>
        <w:ind w:firstLine="1304"/>
        <w:spacing w:after="0" w:line="261" w:lineRule="auto"/>
        <w:tabs>
          <w:tab w:leader="none" w:pos="2130" w:val="left"/>
        </w:tabs>
        <w:numPr>
          <w:ilvl w:val="0"/>
          <w:numId w:val="514"/>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7.08. Each of the parties hereto hereby irrevocably waives, to the fullest extent permitted by law, the defense of an inconvenient forum to the maintenance of such action or proceeding in any such court.</w:t>
      </w:r>
    </w:p>
    <w:p>
      <w:pPr>
        <w:spacing w:after="0" w:line="190" w:lineRule="exact"/>
        <w:rPr>
          <w:rFonts w:ascii="Arial" w:cs="Arial" w:eastAsia="Arial" w:hAnsi="Arial"/>
          <w:sz w:val="22"/>
          <w:szCs w:val="22"/>
          <w:color w:val="auto"/>
        </w:rPr>
      </w:pPr>
    </w:p>
    <w:p>
      <w:pPr>
        <w:jc w:val="both"/>
        <w:ind w:firstLine="1304"/>
        <w:spacing w:after="0" w:line="266" w:lineRule="auto"/>
        <w:tabs>
          <w:tab w:leader="none" w:pos="2317" w:val="left"/>
        </w:tabs>
        <w:numPr>
          <w:ilvl w:val="0"/>
          <w:numId w:val="514"/>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7.02. Nothing in this Agreement will affect the right of any party to this Agreement to serve process in any other manner permitted by law.</w:t>
      </w:r>
    </w:p>
    <w:p>
      <w:pPr>
        <w:spacing w:after="0" w:line="18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b w:val="1"/>
          <w:bCs w:val="1"/>
          <w:i w:val="1"/>
          <w:iCs w:val="1"/>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b w:val="1"/>
          <w:bCs w:val="1"/>
          <w:i w:val="1"/>
          <w:iCs w:val="1"/>
          <w:color w:val="auto"/>
        </w:rPr>
        <w:t>Headings</w:t>
      </w:r>
      <w:r>
        <w:rPr>
          <w:rFonts w:ascii="Arial" w:cs="Arial" w:eastAsia="Arial" w:hAnsi="Arial"/>
          <w:sz w:val="22"/>
          <w:szCs w:val="22"/>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b w:val="1"/>
          <w:bCs w:val="1"/>
          <w:i w:val="1"/>
          <w:iCs w:val="1"/>
          <w:color w:val="auto"/>
        </w:rPr>
        <w:t>Conflicts</w:t>
      </w:r>
      <w:r>
        <w:rPr>
          <w:rFonts w:ascii="Arial" w:cs="Arial" w:eastAsia="Arial" w:hAnsi="Arial"/>
          <w:sz w:val="22"/>
          <w:szCs w:val="22"/>
          <w:color w:val="auto"/>
        </w:rPr>
        <w:t>. In the event of any conflict or inconsistency between the provisions of this Agreement and the provisions of any of the ABL Documents and/or any of the LC Documents, the provisions of this Agreement shall control.</w:t>
      </w:r>
    </w:p>
    <w:p>
      <w:pPr>
        <w:spacing w:after="0" w:line="18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b w:val="1"/>
          <w:bCs w:val="1"/>
          <w:i w:val="1"/>
          <w:iCs w:val="1"/>
          <w:color w:val="auto"/>
        </w:rPr>
        <w:t>Provisions Solely to Define Relative Rights</w:t>
      </w:r>
      <w:r>
        <w:rPr>
          <w:rFonts w:ascii="Arial" w:cs="Arial" w:eastAsia="Arial" w:hAnsi="Arial"/>
          <w:sz w:val="19"/>
          <w:szCs w:val="19"/>
          <w:color w:val="auto"/>
        </w:rPr>
        <w:t>. The provisions of this Agreement are and are intended solely for the purpose of defining the relative rights of the ABL Secured Parties and the LC Secured Parties in relation to one another. None of the Grantors shall have any rights or obligations hereunder, except as expressly provided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(other than Sections 2.05, 2.06, 2.10, 2.11, Article V and Article VI) is intended to or will amend, waive or otherwise modify the provisions of the ABL Documents or any LC Documents), and none of the Grantors may rely on the terms hereof. Nothing in this Agreement is intended to or shall impair or relieve the obligations of the Grantors, which are absolute and unconditional, to pay the Obligations as and when the same shall become due and payable in accordance with their terms. Notwithstanding anything to the contrary herein or in any ABL Document or any LC Obligations Document, the Grantors shall not be required to act or refrain from acting (a) pursuant to this Agreement or any LC Obligations Document with respect to any ABL Priority Collateral in any manner that would cause a default under any ABL Document, or</w:t>
      </w:r>
    </w:p>
    <w:p>
      <w:pPr>
        <w:spacing w:after="0" w:line="1" w:lineRule="exact"/>
        <w:rPr>
          <w:sz w:val="20"/>
          <w:szCs w:val="20"/>
          <w:color w:val="auto"/>
        </w:rPr>
      </w:pPr>
    </w:p>
    <w:p>
      <w:pPr>
        <w:ind w:right="20" w:firstLine="8"/>
        <w:spacing w:after="0" w:line="272" w:lineRule="auto"/>
        <w:tabs>
          <w:tab w:leader="none" w:pos="31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pursuant to this Agreement or any ABL Document with respect to any LC Priority Collateral in any manner that would cause a default under any LC Obligations Document.</w:t>
      </w:r>
    </w:p>
    <w:p>
      <w:pPr>
        <w:spacing w:after="0" w:line="178"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b w:val="1"/>
          <w:bCs w:val="1"/>
          <w:i w:val="1"/>
          <w:iCs w:val="1"/>
          <w:color w:val="auto"/>
        </w:rPr>
        <w:t>Agent Capacities</w:t>
      </w:r>
      <w:r>
        <w:rPr>
          <w:rFonts w:ascii="Arial" w:cs="Arial" w:eastAsia="Arial" w:hAnsi="Arial"/>
          <w:sz w:val="19"/>
          <w:szCs w:val="19"/>
          <w:color w:val="auto"/>
        </w:rPr>
        <w:t>. Except as expressly set forth herein, neither the ABL Collateral Agent, nor the LC Collateral Agent (including the LC Australian Collateral Agent), shall have (i) any duties or obligations in respect of any of the Collateral, all of such duties and obligations, if any, being subject to and governed by the ABL Documents and the LC Documents, as the case may be, or (ii) any liability or responsibility for the actions or omissions of any other Secured Party or for any other Secured Party’s compliance with (or failure to comply with) the terms of this Agreement. Neither the ABL Collateral Agent, nor the LC Collateral Agent (including the LC Australian Collateral Agent) shall have individual liability to any Person if it shall mistakenly pay over or distribute to any Secured Party (or Grantor) any amounts in violation of the terms of this Agreement, so long as such Person is acting in good faith and without willful misconduct or bad faith. Furthermore, and</w:t>
      </w:r>
    </w:p>
    <w:p>
      <w:pPr>
        <w:sectPr>
          <w:pgSz w:w="11900" w:h="16838" w:orient="portrait"/>
          <w:cols w:equalWidth="0" w:num="1">
            <w:col w:w="11240"/>
          </w:cols>
          <w:pgMar w:left="320" w:top="131" w:right="339" w:bottom="0" w:gutter="0" w:footer="0" w:header="0"/>
        </w:sectPr>
      </w:pPr>
    </w:p>
    <w:bookmarkStart w:id="443" w:name="page444"/>
    <w:bookmarkEnd w:id="443"/>
    <w:p>
      <w:pPr>
        <w:jc w:val="both"/>
        <w:spacing w:after="0" w:line="276" w:lineRule="auto"/>
        <w:rPr>
          <w:sz w:val="20"/>
          <w:szCs w:val="20"/>
          <w:color w:val="auto"/>
        </w:rPr>
      </w:pPr>
      <w:r>
        <w:rPr>
          <w:rFonts w:ascii="Arial" w:cs="Arial" w:eastAsia="Arial" w:hAnsi="Arial"/>
          <w:sz w:val="22"/>
          <w:szCs w:val="22"/>
          <w:color w:val="auto"/>
        </w:rPr>
        <w:t>notwithstanding anything to the contrary contained herein, the LC Australian Collateral Agent shall act or refrain from acting with respect to the LC Australian Collateral only at the direction of the LC Administrative Agent.</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b w:val="1"/>
          <w:bCs w:val="1"/>
          <w:i w:val="1"/>
          <w:iCs w:val="1"/>
          <w:color w:val="auto"/>
        </w:rPr>
        <w:t>Supplements</w:t>
      </w:r>
      <w:r>
        <w:rPr>
          <w:rFonts w:ascii="Arial" w:cs="Arial" w:eastAsia="Arial" w:hAnsi="Arial"/>
          <w:sz w:val="22"/>
          <w:szCs w:val="22"/>
          <w:color w:val="auto"/>
        </w:rPr>
        <w:t>. Upon the execution by any Subsidiary of Parent of a supplement hereto in form and substance satisfactory to the Collateral Agents, such subsidiary shall be a party to this Agreement and shall be bound by the provisions hereof to the same extent as each Grantor are so bound. The Parent shall cause any Subsidiary that becomes a Grantor to execute and deliver such supplement.</w:t>
      </w:r>
    </w:p>
    <w:p>
      <w:pPr>
        <w:spacing w:after="0" w:line="191"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7.15</w:t>
      </w:r>
      <w:r>
        <w:rPr>
          <w:sz w:val="20"/>
          <w:szCs w:val="20"/>
          <w:color w:val="auto"/>
        </w:rPr>
        <w:tab/>
      </w:r>
      <w:r>
        <w:rPr>
          <w:rFonts w:ascii="Arial" w:cs="Arial" w:eastAsia="Arial" w:hAnsi="Arial"/>
          <w:sz w:val="18"/>
          <w:szCs w:val="18"/>
          <w:b w:val="1"/>
          <w:bCs w:val="1"/>
          <w:i w:val="1"/>
          <w:iCs w:val="1"/>
          <w:color w:val="auto"/>
        </w:rPr>
        <w:t>Collateral Agent Rights, Protections and Immunities</w:t>
      </w:r>
      <w:r>
        <w:rPr>
          <w:rFonts w:ascii="Arial" w:cs="Arial" w:eastAsia="Arial" w:hAnsi="Arial"/>
          <w:sz w:val="18"/>
          <w:szCs w:val="18"/>
          <w:color w:val="auto"/>
        </w:rPr>
        <w:t>.</w:t>
      </w:r>
    </w:p>
    <w:p>
      <w:pPr>
        <w:spacing w:after="0" w:line="23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In acting under or by virtue of this Agreement, the LC Collateral Agent and the LC Australian Collateral Agent shall have the rights, protections and immunities granted to the “Administrative Agent” and its respective sub-agents under the LC Credit Agreement, all of which are incorporated by reference herein,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In acting under or by virtue of this Agreement, the ABL Collateral Agent shall have the rights, protections and immunities granted to the “Agent” under the ABL Credit Agreement, all of which are incorporated by reference herein, </w:t>
      </w:r>
      <w:r>
        <w:rPr>
          <w:rFonts w:ascii="Arial" w:cs="Arial" w:eastAsia="Arial" w:hAnsi="Arial"/>
          <w:sz w:val="21"/>
          <w:szCs w:val="21"/>
          <w:i w:val="1"/>
          <w:iCs w:val="1"/>
          <w:color w:val="auto"/>
        </w:rPr>
        <w:t>mutatis mutandis</w:t>
      </w:r>
      <w:r>
        <w:rPr>
          <w:rFonts w:ascii="Arial" w:cs="Arial" w:eastAsia="Arial" w:hAnsi="Arial"/>
          <w:sz w:val="21"/>
          <w:szCs w:val="21"/>
          <w:color w:val="auto"/>
        </w:rPr>
        <w:t>. In acting under or by virtue of this Agreement, the LC Australian Collateral Agent shall have the rights, protections and immunities granted to the “LC Australian Collateral Agent” under the LC Australian Security Trust Deed.</w:t>
      </w:r>
    </w:p>
    <w:p>
      <w:pPr>
        <w:spacing w:after="0" w:line="183"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7.16</w:t>
      </w:r>
      <w:r>
        <w:rPr>
          <w:sz w:val="20"/>
          <w:szCs w:val="20"/>
          <w:color w:val="auto"/>
        </w:rPr>
        <w:tab/>
      </w:r>
      <w:r>
        <w:rPr>
          <w:rFonts w:ascii="Arial" w:cs="Arial" w:eastAsia="Arial" w:hAnsi="Arial"/>
          <w:sz w:val="19"/>
          <w:szCs w:val="19"/>
          <w:b w:val="1"/>
          <w:bCs w:val="1"/>
          <w:i w:val="1"/>
          <w:iCs w:val="1"/>
          <w:color w:val="auto"/>
        </w:rPr>
        <w:t>Other Junior Intercreditor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In addition, in the event that the Parent or any Subsidiary incurs any obligations secured by a lien on any Collateral that is junior to the LC Obligations or the ABL Obligations, then the ABL Collateral Agent and the LC Collateral Agent shall enter into an intercreditor agreement with the agent or trustee for the secured parties with respect to such secured obligation to reflect the relative lien priorities of such parties with respect to the Collateral and governing the relative rights, benefits and privileges as among such parties in respect of the Collateral, including as to application of proceeds of the Collateral, voting rights, control of the Collateral and waivers with respect to the Collateral, in each case so long as such secured obligations are permitted under, and the terms of such intercreditor agreement do not violate or conflict with, the provisions of this Agreement or the other ABL Documents or LC Documents, as the case may be. Each party hereto agrees that the ABL Secured Parties (as among themselves) and the LC Secured Parties (as among themselves) may each enter into intercreditor agreements (or similar arrangements) with the Applicable Senior Collateral Agent governing the rights, benefits and privileges as among the ABL Secured Parties or the LC Secured Parties, as the case may be, in respect of the Collateral, this Agreement and the applicable Senior Secured Obligations Collateral Documents, as the case may be, including as to the application of proceeds of the Collateral, voting rights, control of the Collateral and waivers with respect to the Collateral, in each case so long as the terms thereof do not violate or conflict with the provisions of this Agreement or the other applicable Senior Secured Obligations Collateral Documents, as the case may be. If any such intercreditor agreement (or similar arrangement) is entered into, the provisions thereof shall not be (or be construed to be) an amendment, modification or other change to this Agreement or any other ABL Document or LC Document, and the provisions of this Agreement and the other ABL Documents and LC Documents shall remain in full force and effect in accordance with the terms hereof and thereof (as such provisions may be amended, modified or otherwise supplemented from time to time in accordance with the terms thereof, including to give effect to any intercreditor agreement (or similar arrangement)).</w:t>
      </w:r>
    </w:p>
    <w:p>
      <w:pPr>
        <w:spacing w:after="0" w:line="200" w:lineRule="exact"/>
        <w:rPr>
          <w:sz w:val="20"/>
          <w:szCs w:val="20"/>
          <w:color w:val="auto"/>
        </w:rPr>
      </w:pPr>
    </w:p>
    <w:p>
      <w:pPr>
        <w:spacing w:after="0" w:line="244"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7.17</w:t>
      </w:r>
      <w:r>
        <w:rPr>
          <w:sz w:val="20"/>
          <w:szCs w:val="20"/>
          <w:color w:val="auto"/>
        </w:rPr>
        <w:tab/>
      </w:r>
      <w:r>
        <w:rPr>
          <w:rFonts w:ascii="Arial" w:cs="Arial" w:eastAsia="Arial" w:hAnsi="Arial"/>
          <w:sz w:val="19"/>
          <w:szCs w:val="19"/>
          <w:b w:val="1"/>
          <w:bCs w:val="1"/>
          <w:i w:val="1"/>
          <w:iCs w:val="1"/>
          <w:color w:val="auto"/>
        </w:rPr>
        <w:t>Additional Grantors</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Promptly upon request by any Collateral Agent, any Person that becomes a Grantor after the date hereof will provide to the Collateral Agents a fully signed acknowledgement,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consenting to the provisions of this Agreement and the intercreditor arrangements provided for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failure on the part of any Collateral Agent to request or obtain such acknowledgement will in any way diminish or impair any of the rights of the Secured Parties hereunder.</w:t>
      </w:r>
    </w:p>
    <w:p>
      <w:pPr>
        <w:spacing w:after="0" w:line="19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7.18</w:t>
      </w:r>
      <w:r>
        <w:rPr>
          <w:sz w:val="20"/>
          <w:szCs w:val="20"/>
          <w:color w:val="auto"/>
        </w:rPr>
        <w:tab/>
      </w:r>
      <w:r>
        <w:rPr>
          <w:rFonts w:ascii="Arial" w:cs="Arial" w:eastAsia="Arial" w:hAnsi="Arial"/>
          <w:sz w:val="19"/>
          <w:szCs w:val="19"/>
          <w:b w:val="1"/>
          <w:bCs w:val="1"/>
          <w:i w:val="1"/>
          <w:iCs w:val="1"/>
          <w:color w:val="auto"/>
        </w:rPr>
        <w:t>Joinder of LC Australian Collateral Agent</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Substantially concurrently with its entry into the LC Australian Security Trust Deed, BTA Institutional Services Australia Limited shall, without requiring the consent of any other party hereto, join to this Agreement by executing and delivering a joinder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this page intentionally left blank; signatures follow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44" w:name="page445"/>
    <w:bookmarkEnd w:id="444"/>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 blocks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1430020</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5" w:name="page446"/>
    <w:bookmarkEnd w:id="445"/>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33" w:lineRule="exact"/>
        <w:rPr>
          <w:sz w:val="20"/>
          <w:szCs w:val="20"/>
          <w:color w:val="auto"/>
        </w:rPr>
      </w:pPr>
    </w:p>
    <w:p>
      <w:pPr>
        <w:ind w:left="2480"/>
        <w:spacing w:after="0"/>
        <w:rPr>
          <w:sz w:val="20"/>
          <w:szCs w:val="20"/>
          <w:color w:val="auto"/>
        </w:rPr>
      </w:pPr>
      <w:r>
        <w:rPr>
          <w:rFonts w:ascii="Arial" w:cs="Arial" w:eastAsia="Arial" w:hAnsi="Arial"/>
          <w:sz w:val="22"/>
          <w:szCs w:val="22"/>
          <w:u w:val="single" w:color="auto"/>
          <w:color w:val="auto"/>
        </w:rPr>
        <w:t>Exhibit A – Joinder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435610</wp:posOffset>
            </wp:positionV>
            <wp:extent cx="71323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1" w:right="339" w:bottom="1440" w:gutter="0" w:footer="0" w:header="0"/>
        </w:sectPr>
      </w:pPr>
    </w:p>
    <w:bookmarkStart w:id="446" w:name="page447"/>
    <w:bookmarkEnd w:id="446"/>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Obligations)</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This JOINDER AGREEMENT (as amended, restated, supplemented or otherwise modified from time to time,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 is among [____], as a LC Collateral Agent (the “</w:t>
      </w:r>
      <w:r>
        <w:rPr>
          <w:rFonts w:ascii="Arial" w:cs="Arial" w:eastAsia="Arial" w:hAnsi="Arial"/>
          <w:sz w:val="21"/>
          <w:szCs w:val="21"/>
          <w:b w:val="1"/>
          <w:bCs w:val="1"/>
          <w:i w:val="1"/>
          <w:iCs w:val="1"/>
          <w:color w:val="auto"/>
        </w:rPr>
        <w:t>New Collateral Agent</w:t>
      </w:r>
      <w:r>
        <w:rPr>
          <w:rFonts w:ascii="Arial" w:cs="Arial" w:eastAsia="Arial" w:hAnsi="Arial"/>
          <w:sz w:val="21"/>
          <w:szCs w:val="21"/>
          <w:color w:val="auto"/>
        </w:rPr>
        <w:t>”), WF, as ABL Collateral Agent, DBTCA, as LC Collateral Agent, and Parent (on behalf of itself and its Subsidiaries).</w:t>
      </w:r>
    </w:p>
    <w:p>
      <w:pPr>
        <w:spacing w:after="0" w:line="169"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This Agreement is supplemental to that certain Intercreditor Agreement, dated as of December 13, 2019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LC Collateral Agent under the Intercreditor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LC Collateral Agent as if it had originally been party to the Intercreditor Agreement as an LC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LC Collateral Agent for purposes of the Intercreditor Agreement.</w:t>
      </w:r>
    </w:p>
    <w:p>
      <w:pPr>
        <w:spacing w:after="0" w:line="174"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LC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7" w:name="page448"/>
    <w:bookmarkEnd w:id="447"/>
    <w:p>
      <w:pPr>
        <w:jc w:val="right"/>
        <w:spacing w:after="0"/>
        <w:rPr>
          <w:sz w:val="20"/>
          <w:szCs w:val="20"/>
          <w:color w:val="auto"/>
        </w:rPr>
      </w:pPr>
      <w:r>
        <w:rPr>
          <w:rFonts w:ascii="Arial" w:cs="Arial" w:eastAsia="Arial" w:hAnsi="Arial"/>
          <w:sz w:val="22"/>
          <w:szCs w:val="22"/>
          <w:u w:val="single" w:color="auto"/>
          <w:color w:val="auto"/>
        </w:rPr>
        <w:t>Exhibit A-2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(ABL Obligations)</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This JOINDER AGREEMENT (as amended, restated, supplemented or otherwise modified from time to time,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 ● ], is among [_____], as an ABL Collateral Agent (the “</w:t>
      </w:r>
      <w:r>
        <w:rPr>
          <w:rFonts w:ascii="Arial" w:cs="Arial" w:eastAsia="Arial" w:hAnsi="Arial"/>
          <w:sz w:val="21"/>
          <w:szCs w:val="21"/>
          <w:b w:val="1"/>
          <w:bCs w:val="1"/>
          <w:i w:val="1"/>
          <w:iCs w:val="1"/>
          <w:color w:val="auto"/>
        </w:rPr>
        <w:t>New Collateral Agent</w:t>
      </w:r>
      <w:r>
        <w:rPr>
          <w:rFonts w:ascii="Arial" w:cs="Arial" w:eastAsia="Arial" w:hAnsi="Arial"/>
          <w:sz w:val="21"/>
          <w:szCs w:val="21"/>
          <w:color w:val="auto"/>
        </w:rPr>
        <w:t>”), WF, as ABL Collateral Agent, DBTCA, as LC Collateral Agent, and Parent (on behalf of itself and its Subsidiaries).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Agreement is supplemental to that certain Intercreditor Agreement, dated as of [____________], 20[__] (as</w:t>
      </w:r>
    </w:p>
    <w:p>
      <w:pPr>
        <w:spacing w:after="0" w:line="56"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ABL Collateral Agent under the Intercreditor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ABL Collateral Agent as if it had originally been party to the Intercreditor Agreement as an ABL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ABL Collateral Agent for purposes of the Intercreditor Agreement.</w:t>
      </w:r>
    </w:p>
    <w:p>
      <w:pPr>
        <w:spacing w:after="0" w:line="174" w:lineRule="exact"/>
        <w:rPr>
          <w:sz w:val="20"/>
          <w:szCs w:val="20"/>
          <w:color w:val="auto"/>
        </w:rPr>
      </w:pPr>
    </w:p>
    <w:p>
      <w:pPr>
        <w:ind w:left="1300"/>
        <w:spacing w:after="0"/>
        <w:tabs>
          <w:tab w:leader="none" w:pos="32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ABL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8" w:name="page449"/>
    <w:bookmarkEnd w:id="448"/>
    <w:p>
      <w:pPr>
        <w:jc w:val="right"/>
        <w:spacing w:after="0"/>
        <w:rPr>
          <w:sz w:val="20"/>
          <w:szCs w:val="20"/>
          <w:color w:val="auto"/>
        </w:rPr>
      </w:pPr>
      <w:r>
        <w:rPr>
          <w:rFonts w:ascii="Arial" w:cs="Arial" w:eastAsia="Arial" w:hAnsi="Arial"/>
          <w:sz w:val="22"/>
          <w:szCs w:val="22"/>
          <w:u w:val="single" w:color="auto"/>
          <w:color w:val="auto"/>
        </w:rPr>
        <w:t>EXHIBIT 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B – Grantor Acknowledgement to Intercreditor Agreement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INTERCREDITOR AGREEMENT ACKNOWLEDGMENT</w:t>
      </w:r>
    </w:p>
    <w:p>
      <w:pPr>
        <w:spacing w:after="0" w:line="239" w:lineRule="exact"/>
        <w:rPr>
          <w:sz w:val="20"/>
          <w:szCs w:val="20"/>
          <w:color w:val="auto"/>
        </w:rPr>
      </w:pPr>
    </w:p>
    <w:p>
      <w:pPr>
        <w:jc w:val="both"/>
        <w:ind w:firstLine="1304"/>
        <w:spacing w:after="0" w:line="301" w:lineRule="auto"/>
        <w:tabs>
          <w:tab w:leader="none" w:pos="2011" w:val="left"/>
        </w:tabs>
        <w:numPr>
          <w:ilvl w:val="0"/>
          <w:numId w:val="516"/>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[______________] (“</w:t>
      </w:r>
      <w:r>
        <w:rPr>
          <w:rFonts w:ascii="Arial" w:cs="Arial" w:eastAsia="Arial" w:hAnsi="Arial"/>
          <w:sz w:val="19"/>
          <w:szCs w:val="19"/>
          <w:u w:val="single" w:color="auto"/>
          <w:color w:val="auto"/>
        </w:rPr>
        <w:t>New Grantor</w:t>
      </w:r>
      <w:r>
        <w:rPr>
          <w:rFonts w:ascii="Arial" w:cs="Arial" w:eastAsia="Arial" w:hAnsi="Arial"/>
          <w:sz w:val="19"/>
          <w:szCs w:val="19"/>
          <w:color w:val="auto"/>
        </w:rPr>
        <w:t>”) acknowledges, as of [DATE], that it has received a copy of the Intercreditor Agreement dated as of [________], 20[__], between Wells Fargo Bank, National Association, as ABL Collateral Agent and Foreign Collateral Agent, Deutsche Bank Trust Company Americas as LC Collateral Agent, and Weatherford International PLC and certain of its affiliates party thereto as Grantors (the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as in effect on the date hereof, and consents thereto, agrees to recognize all rights granted thereby to the ABL Collateral Agent, the other ABL Secured Parties, the LC Collateral Agent and the other LC Secured Parties, and agrees that it shall not do any act or perform any obligation which is not in accordance with the agreements set forth in the Intercreditor Agreement as in effect on the date hereof (as amended or otherwise modified in accordance with the provisions thereof, including any necessary consents by each Grantor to the extent required thereby). New Grantor further acknowledges and agrees that (a) New Grantor is not a beneficiary or third party beneficiary of the Intercreditor Agreement, (b) New Grantor has no rights under the Intercreditor Agreement, and New Grantor may not rely on the terms of the Intercreditor Agreement, and (c) that the obligations of the New Grantor under the ABL Security Documents, the LC Security Documents or the Foreign Collateral Documents will in no way be diminished or otherwise affected by the provisions or arrangements in the Intercreditor Agreement.</w:t>
      </w:r>
    </w:p>
    <w:p>
      <w:pPr>
        <w:spacing w:after="0" w:line="163" w:lineRule="exact"/>
        <w:rPr>
          <w:rFonts w:ascii="Arial" w:cs="Arial" w:eastAsia="Arial" w:hAnsi="Arial"/>
          <w:sz w:val="19"/>
          <w:szCs w:val="19"/>
          <w:color w:val="auto"/>
        </w:rPr>
      </w:pPr>
    </w:p>
    <w:p>
      <w:pPr>
        <w:ind w:firstLine="1304"/>
        <w:spacing w:after="0" w:line="276" w:lineRule="auto"/>
        <w:tabs>
          <w:tab w:leader="none" w:pos="2200" w:val="left"/>
        </w:tabs>
        <w:numPr>
          <w:ilvl w:val="0"/>
          <w:numId w:val="51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The address of the New Grantor and the other Grantors for purposes of Section 7.02 of the Intercreditor Agreement is: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jc w:val="both"/>
        <w:ind w:firstLine="1304"/>
        <w:spacing w:after="0" w:line="262" w:lineRule="auto"/>
        <w:tabs>
          <w:tab w:leader="none" w:pos="2079" w:val="left"/>
        </w:tabs>
        <w:numPr>
          <w:ilvl w:val="0"/>
          <w:numId w:val="51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Acknowledgement may be executed in two or more counterparts, each of which shall constitute an original but all of which when taken together shall constitute one document. Delivery of an executed signature page to this Acknowledgement by facsimile transmission or by email as a “.pdf” or “.tif” attachment shall be as effective as delivery of a manually signed counterpart of this Acknowledgement.</w:t>
      </w:r>
    </w:p>
    <w:p>
      <w:pPr>
        <w:spacing w:after="0" w:line="191" w:lineRule="exact"/>
        <w:rPr>
          <w:rFonts w:ascii="Arial" w:cs="Arial" w:eastAsia="Arial" w:hAnsi="Arial"/>
          <w:sz w:val="22"/>
          <w:szCs w:val="22"/>
          <w:color w:val="auto"/>
        </w:rPr>
      </w:pPr>
    </w:p>
    <w:p>
      <w:pPr>
        <w:jc w:val="both"/>
        <w:ind w:firstLine="1304"/>
        <w:spacing w:after="0" w:line="260" w:lineRule="auto"/>
        <w:tabs>
          <w:tab w:leader="none" w:pos="2092" w:val="left"/>
        </w:tabs>
        <w:numPr>
          <w:ilvl w:val="0"/>
          <w:numId w:val="51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ACKNOWLEDGEMENT AND ANY CLAIM CONTROVERSY OR DISPUTE ARISING UNDER OR RELATED TO THE INTERCREDITOR AGREEMENT SHALL BE GOVERNED BY, AND CONSTRUED IN ACCORDANCE WITH, THE LAWS OF THE STATE OF NEW YORK, WITHOUT GIVING EFFECT TO ANY CONFLICT OF LAWS PROVISIONS OTHER THAN SECTIONS 5-1401 AND 5-1402 OF THE NEW YORK GENERAL OBLIGATIONS LAW. Sections 7.08 and 7.09 of the Intercreditor Agreement are hereby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firstLine="1304"/>
        <w:spacing w:after="0" w:line="276" w:lineRule="auto"/>
        <w:tabs>
          <w:tab w:leader="none" w:pos="2038" w:val="left"/>
        </w:tabs>
        <w:numPr>
          <w:ilvl w:val="0"/>
          <w:numId w:val="517"/>
        </w:numPr>
        <w:rPr>
          <w:rFonts w:ascii="Arial" w:cs="Arial" w:eastAsia="Arial" w:hAnsi="Arial"/>
          <w:sz w:val="22"/>
          <w:szCs w:val="22"/>
          <w:color w:val="auto"/>
        </w:rPr>
      </w:pPr>
      <w:r>
        <w:rPr>
          <w:rFonts w:ascii="Arial" w:cs="Arial" w:eastAsia="Arial" w:hAnsi="Arial"/>
          <w:sz w:val="22"/>
          <w:szCs w:val="22"/>
          <w:u w:val="single" w:color="auto"/>
          <w:color w:val="auto"/>
        </w:rPr>
        <w:t>Credit Document</w:t>
      </w:r>
      <w:r>
        <w:rPr>
          <w:rFonts w:ascii="Arial" w:cs="Arial" w:eastAsia="Arial" w:hAnsi="Arial"/>
          <w:sz w:val="22"/>
          <w:szCs w:val="22"/>
          <w:color w:val="auto"/>
        </w:rPr>
        <w:t>. This Acknowledgement shall constitute an ABL Document and a LC Document and as a “Loan Document” under each of the ABL Credit Agreement and LC Credit Agreement.</w:t>
      </w:r>
    </w:p>
    <w:p>
      <w:pPr>
        <w:spacing w:after="0" w:line="174" w:lineRule="exact"/>
        <w:rPr>
          <w:rFonts w:ascii="Arial" w:cs="Arial" w:eastAsia="Arial" w:hAnsi="Arial"/>
          <w:sz w:val="22"/>
          <w:szCs w:val="22"/>
          <w:color w:val="auto"/>
        </w:rPr>
      </w:pPr>
    </w:p>
    <w:p>
      <w:pPr>
        <w:jc w:val="both"/>
        <w:ind w:firstLine="1304"/>
        <w:spacing w:after="0" w:line="327" w:lineRule="auto"/>
        <w:tabs>
          <w:tab w:leader="none" w:pos="2106" w:val="left"/>
        </w:tabs>
        <w:numPr>
          <w:ilvl w:val="0"/>
          <w:numId w:val="51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ABL Collateral Agent, the other ABL Secured Parties, the LC Collateral Agent, the other LC Secured Parties, and the Foreign Collateral Agent are the intended beneficiaries of this Acknowledgement. Capitalized terms used but not otherwise defined herein shall have the meanings assigned thereto in the Intercreditor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9" w:name="page450"/>
    <w:bookmarkEnd w:id="449"/>
    <w:p>
      <w:pPr>
        <w:jc w:val="right"/>
        <w:spacing w:after="0"/>
        <w:rPr>
          <w:sz w:val="20"/>
          <w:szCs w:val="20"/>
          <w:color w:val="auto"/>
        </w:rPr>
      </w:pPr>
      <w:r>
        <w:rPr>
          <w:rFonts w:ascii="Arial" w:cs="Arial" w:eastAsia="Arial" w:hAnsi="Arial"/>
          <w:sz w:val="22"/>
          <w:szCs w:val="22"/>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C – Joinder Agreement (LC Australian Collateral Agent)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Australian Collateral Agent)</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This JOINDER AGREEMENT (as amended, restated, supplemented or otherwise modified from time to time, this “</w:t>
      </w:r>
      <w:r>
        <w:rPr>
          <w:rFonts w:ascii="Arial" w:cs="Arial" w:eastAsia="Arial" w:hAnsi="Arial"/>
          <w:sz w:val="21"/>
          <w:szCs w:val="21"/>
          <w:b w:val="1"/>
          <w:bCs w:val="1"/>
          <w:i w:val="1"/>
          <w:iCs w:val="1"/>
          <w:color w:val="auto"/>
        </w:rPr>
        <w:t>Joinder</w:t>
      </w:r>
      <w:r>
        <w:rPr>
          <w:rFonts w:ascii="Arial" w:cs="Arial" w:eastAsia="Arial" w:hAnsi="Arial"/>
          <w:sz w:val="21"/>
          <w:szCs w:val="21"/>
          <w:color w:val="auto"/>
        </w:rPr>
        <w:t>”), dated as of [●], is provided by BTA INSTITUTIONAL SERVICES AUSTRALIA LIMITED ABN 48 002 916 396 in its capacity as trustee of the LC Australian Security Trust (the “</w:t>
      </w:r>
      <w:r>
        <w:rPr>
          <w:rFonts w:ascii="Arial" w:cs="Arial" w:eastAsia="Arial" w:hAnsi="Arial"/>
          <w:sz w:val="21"/>
          <w:szCs w:val="21"/>
          <w:b w:val="1"/>
          <w:bCs w:val="1"/>
          <w:i w:val="1"/>
          <w:iCs w:val="1"/>
          <w:color w:val="auto"/>
        </w:rPr>
        <w:t>LC Australian Collateral Agent</w:t>
      </w:r>
      <w:r>
        <w:rPr>
          <w:rFonts w:ascii="Arial" w:cs="Arial" w:eastAsia="Arial" w:hAnsi="Arial"/>
          <w:sz w:val="21"/>
          <w:szCs w:val="21"/>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Joinder is supplemental to that certain Intercreditor Agreement, dated as of [___________], 20[__] (as the</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21"/>
          <w:szCs w:val="21"/>
          <w:color w:val="auto"/>
        </w:rPr>
        <w:t>same may be amended, restated, supplemented or otherwise modified from time to time, the “</w:t>
      </w:r>
      <w:r>
        <w:rPr>
          <w:rFonts w:ascii="Arial" w:cs="Arial" w:eastAsia="Arial" w:hAnsi="Arial"/>
          <w:sz w:val="21"/>
          <w:szCs w:val="21"/>
          <w:b w:val="1"/>
          <w:bCs w:val="1"/>
          <w:i w:val="1"/>
          <w:iCs w:val="1"/>
          <w:color w:val="auto"/>
        </w:rPr>
        <w:t>Intercreditor Agreement</w:t>
      </w:r>
      <w:r>
        <w:rPr>
          <w:rFonts w:ascii="Arial" w:cs="Arial" w:eastAsia="Arial" w:hAnsi="Arial"/>
          <w:sz w:val="21"/>
          <w:szCs w:val="21"/>
          <w:color w:val="auto"/>
        </w:rPr>
        <w:t>”), by and among WF, DBTCA, the Parent and its Subsidiaries party thereto. This Joinder has been entered into to record the joinder of BTA INSTITUTIONAL SERVICES AUSTRALIA LIMITED ABN 48 002 916 396 in its capacity as trustee of the LC Australian Security Trust as LC Australian Collateral Agent under the Intercreditor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LC Australian Collateral Agent agrees to become, with immediate effect, a party to and agrees to be bound by the terms of, the Intercreditor Agreement as the LC Australian Collateral Agent as if it had originally been party to the Intercreditor Agreement as an LC Australian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LC Australian Collateral Agent confirms that its address details for notices pursuant to the Intercreditor Agreement are as follows: [_____________].</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Joinder and any claim, controversy or dispute arising under or related to such Joinder shall be governed by, and construed in accordance with, the law of the State of New York.</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SECTION 3.02 This Joinder may be executed in counterparts, each of which shall constitute an original but all of which when taken together shall constitute a single contract. Delivery of an executed signature page to this Joinder by facsimile transmission or any other electronic means shall be as effective as delivery of a manually signed counterpart of this Joinder.</w:t>
      </w:r>
    </w:p>
    <w:p>
      <w:pPr>
        <w:spacing w:after="0" w:line="19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 xml:space="preserve">SECTION 3.03 Clause [___] (Limitation of liability of LC Australian Collateral Agent) of the LC Australian Security Trust Deed is incorporated by reference in this Joinder as if set out in full herein,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ectPr>
          <w:pgSz w:w="11900" w:h="16838" w:orient="portrait"/>
          <w:cols w:equalWidth="0" w:num="1">
            <w:col w:w="11240"/>
          </w:cols>
          <w:pgMar w:left="320" w:top="131" w:right="3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this page intentionally left blank; signatures follow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50" w:name="page451"/>
    <w:bookmarkEnd w:id="450"/>
    <w:p>
      <w:pPr>
        <w:jc w:val="right"/>
        <w:spacing w:after="0"/>
        <w:rPr>
          <w:sz w:val="20"/>
          <w:szCs w:val="20"/>
          <w:color w:val="auto"/>
        </w:rPr>
      </w:pPr>
      <w:r>
        <w:rPr>
          <w:rFonts w:ascii="Arial" w:cs="Arial" w:eastAsia="Arial" w:hAnsi="Arial"/>
          <w:sz w:val="22"/>
          <w:szCs w:val="22"/>
          <w:u w:val="single" w:color="auto"/>
          <w:color w:val="auto"/>
        </w:rPr>
        <w:t>SCHEDULE I</w:t>
      </w:r>
    </w:p>
    <w:p>
      <w:pPr>
        <w:spacing w:after="0" w:line="233" w:lineRule="exact"/>
        <w:rPr>
          <w:sz w:val="20"/>
          <w:szCs w:val="20"/>
          <w:color w:val="auto"/>
        </w:rPr>
      </w:pPr>
    </w:p>
    <w:p>
      <w:pPr>
        <w:ind w:left="2620"/>
        <w:spacing w:after="0"/>
        <w:rPr>
          <w:sz w:val="20"/>
          <w:szCs w:val="20"/>
          <w:color w:val="auto"/>
        </w:rPr>
      </w:pPr>
      <w:r>
        <w:rPr>
          <w:rFonts w:ascii="Arial" w:cs="Arial" w:eastAsia="Arial" w:hAnsi="Arial"/>
          <w:sz w:val="22"/>
          <w:szCs w:val="22"/>
          <w:u w:val="single" w:color="auto"/>
          <w:color w:val="auto"/>
        </w:rPr>
        <w:t>Schedule I – Foreign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153035</wp:posOffset>
            </wp:positionV>
            <wp:extent cx="71323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1" w:right="339" w:bottom="1440" w:gutter="0" w:footer="0" w:header="0"/>
        </w:sectPr>
      </w:pPr>
    </w:p>
    <w:bookmarkStart w:id="451" w:name="page452"/>
    <w:bookmarkEnd w:id="451"/>
    <w:p>
      <w:pPr>
        <w:jc w:val="right"/>
        <w:spacing w:after="0"/>
        <w:rPr>
          <w:sz w:val="20"/>
          <w:szCs w:val="20"/>
          <w:color w:val="auto"/>
        </w:rPr>
      </w:pPr>
      <w:r>
        <w:rPr>
          <w:rFonts w:ascii="Arial" w:cs="Arial" w:eastAsia="Arial" w:hAnsi="Arial"/>
          <w:sz w:val="22"/>
          <w:szCs w:val="22"/>
          <w:b w:val="1"/>
          <w:bCs w:val="1"/>
          <w:u w:val="single" w:color="auto"/>
          <w:color w:val="auto"/>
        </w:rPr>
        <w:t>EXHIBIT H</w:t>
      </w:r>
    </w:p>
    <w:p>
      <w:pPr>
        <w:spacing w:after="0" w:line="233" w:lineRule="exact"/>
        <w:rPr>
          <w:sz w:val="20"/>
          <w:szCs w:val="20"/>
          <w:color w:val="auto"/>
        </w:rPr>
      </w:pPr>
    </w:p>
    <w:p>
      <w:pPr>
        <w:ind w:left="2460"/>
        <w:spacing w:after="0"/>
        <w:rPr>
          <w:sz w:val="20"/>
          <w:szCs w:val="20"/>
          <w:color w:val="auto"/>
        </w:rPr>
      </w:pPr>
      <w:r>
        <w:rPr>
          <w:rFonts w:ascii="Arial" w:cs="Arial" w:eastAsia="Arial" w:hAnsi="Arial"/>
          <w:sz w:val="22"/>
          <w:szCs w:val="22"/>
          <w:b w:val="1"/>
          <w:bCs w:val="1"/>
          <w:u w:val="single" w:color="auto"/>
          <w:color w:val="auto"/>
        </w:rPr>
        <w:t>FORM OF U.S.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52" w:name="page453"/>
    <w:bookmarkEnd w:id="452"/>
    <w:p>
      <w:pPr>
        <w:jc w:val="center"/>
        <w:ind w:right="-19"/>
        <w:spacing w:after="0"/>
        <w:rPr>
          <w:sz w:val="20"/>
          <w:szCs w:val="20"/>
          <w:color w:val="auto"/>
        </w:rPr>
      </w:pPr>
      <w:r>
        <w:rPr>
          <w:rFonts w:ascii="Arial" w:cs="Arial" w:eastAsia="Arial" w:hAnsi="Arial"/>
          <w:sz w:val="22"/>
          <w:szCs w:val="22"/>
          <w:b w:val="1"/>
          <w:bCs w:val="1"/>
          <w:u w:val="single" w:color="auto"/>
          <w:color w:val="auto"/>
        </w:rPr>
        <w:t>FORM 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U.S. SECURITY AGREEMENT</w:t>
      </w: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dated as of [_________], 20[__]</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WEATHERFORD INTERNATIONAL LTD.,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WEATHERFORD INTERNATIONAL, LLC,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other GRANTORS from time to time party hereto,</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u w:val="single" w:color="auto"/>
          <w:color w:val="auto"/>
        </w:rPr>
        <w:t>Reference is made to the Intercreditor Agreement, dated as of December 13, 2019, among Wells Fargo Bank, National Association, as ABL Collateral Agent (as defined in the Intercreditor Agreement) for the ABL Secured Parties referred to therein; Deutsche Bank Trust Company Americas, as LC Collateral Agent (as defined in the Intercreditor Agreement) for the LC Facility Secured Parties referred to therein; Weatherford International plc, a public limited company incorporated in the Republic of Ireland, Weatherford International Ltd., a Bermuda exempted company, Weatherford International, LLC, a Delaware limited liability company and the other Grantors of Weatherford International plc named therein (as amended, amended and restated, supplemented or otherwise modified from time to time, the “</w:t>
      </w:r>
      <w:r>
        <w:rPr>
          <w:rFonts w:ascii="Arial" w:cs="Arial" w:eastAsia="Arial" w:hAnsi="Arial"/>
          <w:sz w:val="19"/>
          <w:szCs w:val="19"/>
          <w:b w:val="1"/>
          <w:bCs w:val="1"/>
          <w:i w:val="1"/>
          <w:iCs w:val="1"/>
          <w:u w:val="single" w:color="auto"/>
          <w:color w:val="auto"/>
        </w:rPr>
        <w:t>Intercreditor Agreement</w:t>
      </w:r>
      <w:r>
        <w:rPr>
          <w:rFonts w:ascii="Arial" w:cs="Arial" w:eastAsia="Arial" w:hAnsi="Arial"/>
          <w:sz w:val="19"/>
          <w:szCs w:val="19"/>
          <w:i w:val="1"/>
          <w:iCs w:val="1"/>
          <w:u w:val="single" w:color="auto"/>
          <w:color w:val="auto"/>
        </w:rPr>
        <w:t>”). Each Lender, of its acceptance of the benefits hereof (a) consents to the subordination of Liens provided for in the Intercreditor Agreement, (b) agrees that it will be bound by, and will take no actions contrary to, the provisions of the Intercreditor Agreement and (c) authorizes and instructs the LC Collateral Agent to enter into the Intercreditor Agreement as LC Collateral Agent on behalf of such LC Lender. The foregoing provisions are intended as an inducement to the Lenders to extend credit to the Borrowers (as defined below) or to acquire any notes or other evidence of any debt obligation owing from the Borrowers and such Lenders are intended third party beneficiaries of such provisions and the provisions of the Intercreditor Agreement.</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i w:val="1"/>
          <w:iCs w:val="1"/>
          <w:u w:val="single" w:color="auto"/>
          <w:color w:val="auto"/>
        </w:rPr>
        <w:t>Notwithstanding any other provision contained herein, this Security Agreement, the Liens created hereby and the rights, remedies, duties and obligations provided for herein are subject in all respects to the provisions of the Intercreditor Agreement and, to the extent provided therein, the applicable ABL Security Documents and LC Security Documents (as defined in the Intercreditor Agreement). In the event of any conflict or inconsistency between the provisions of this Security Agreement and the Intercreditor Agreement, subject to Section 4.6.4 hereof and any other limitation on rights of the Agent or other Secured Party with respect to the ULC Shares hereunder, the provisions of the Intercreditor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3" w:name="page454"/>
    <w:bookmarkEnd w:id="453"/>
    <w:p>
      <w:pPr>
        <w:jc w:val="both"/>
        <w:ind w:firstLine="648"/>
        <w:spacing w:after="0" w:line="299" w:lineRule="auto"/>
        <w:rPr>
          <w:sz w:val="20"/>
          <w:szCs w:val="20"/>
          <w:color w:val="auto"/>
        </w:rPr>
      </w:pPr>
      <w:r>
        <w:rPr>
          <w:rFonts w:ascii="Arial" w:cs="Arial" w:eastAsia="Arial" w:hAnsi="Arial"/>
          <w:sz w:val="19"/>
          <w:szCs w:val="19"/>
          <w:color w:val="auto"/>
        </w:rPr>
        <w:t>This U.S. SECURITY AGREEMENT (as the same may be amended, restated, supplemented or otherwise modified from time to time, this “</w:t>
      </w:r>
      <w:r>
        <w:rPr>
          <w:rFonts w:ascii="Arial" w:cs="Arial" w:eastAsia="Arial" w:hAnsi="Arial"/>
          <w:sz w:val="19"/>
          <w:szCs w:val="19"/>
          <w:b w:val="1"/>
          <w:bCs w:val="1"/>
          <w:i w:val="1"/>
          <w:iCs w:val="1"/>
          <w:color w:val="auto"/>
        </w:rPr>
        <w:t>Security Agreement</w:t>
      </w:r>
      <w:r>
        <w:rPr>
          <w:rFonts w:ascii="Arial" w:cs="Arial" w:eastAsia="Arial" w:hAnsi="Arial"/>
          <w:sz w:val="19"/>
          <w:szCs w:val="19"/>
          <w:color w:val="auto"/>
        </w:rPr>
        <w:t>”) is entered into as of [___________], 20[__] by and among the entities listed on the</w:t>
      </w:r>
    </w:p>
    <w:p>
      <w:pPr>
        <w:jc w:val="both"/>
        <w:spacing w:after="0" w:line="307" w:lineRule="auto"/>
        <w:rPr>
          <w:sz w:val="20"/>
          <w:szCs w:val="20"/>
          <w:color w:val="auto"/>
        </w:rPr>
      </w:pPr>
      <w:r>
        <w:rPr>
          <w:rFonts w:ascii="Arial" w:cs="Arial" w:eastAsia="Arial" w:hAnsi="Arial"/>
          <w:sz w:val="19"/>
          <w:szCs w:val="19"/>
          <w:color w:val="auto"/>
        </w:rPr>
        <w:t>signature pages hereto (such listed entities, collectively, the “</w:t>
      </w:r>
      <w:r>
        <w:rPr>
          <w:rFonts w:ascii="Arial" w:cs="Arial" w:eastAsia="Arial" w:hAnsi="Arial"/>
          <w:sz w:val="19"/>
          <w:szCs w:val="19"/>
          <w:b w:val="1"/>
          <w:bCs w:val="1"/>
          <w:i w:val="1"/>
          <w:iCs w:val="1"/>
          <w:color w:val="auto"/>
        </w:rPr>
        <w:t>Initial Grantors</w:t>
      </w:r>
      <w:r>
        <w:rPr>
          <w:rFonts w:ascii="Arial" w:cs="Arial" w:eastAsia="Arial" w:hAnsi="Arial"/>
          <w:sz w:val="19"/>
          <w:szCs w:val="19"/>
          <w:color w:val="auto"/>
        </w:rPr>
        <w:t>” and, together with any other Subsidiaries of Weatherford International plc, an Irish public limited company (“</w:t>
      </w:r>
      <w:r>
        <w:rPr>
          <w:rFonts w:ascii="Arial" w:cs="Arial" w:eastAsia="Arial" w:hAnsi="Arial"/>
          <w:sz w:val="19"/>
          <w:szCs w:val="19"/>
          <w:b w:val="1"/>
          <w:bCs w:val="1"/>
          <w:i w:val="1"/>
          <w:iCs w:val="1"/>
          <w:color w:val="auto"/>
        </w:rPr>
        <w:t>WIL-Ireland</w:t>
      </w:r>
      <w:r>
        <w:rPr>
          <w:rFonts w:ascii="Arial" w:cs="Arial" w:eastAsia="Arial" w:hAnsi="Arial"/>
          <w:sz w:val="19"/>
          <w:szCs w:val="19"/>
          <w:color w:val="auto"/>
        </w:rPr>
        <w:t xml:space="preserve">”),whether now existing or hereafter formed or acquired, that become parties to this Security Agreement from time to time in accordance with the terms of the LC Credit Agreement described below by executing a Security Agreement Supplement hereto in substantially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each, a “</w:t>
      </w:r>
      <w:r>
        <w:rPr>
          <w:rFonts w:ascii="Arial" w:cs="Arial" w:eastAsia="Arial" w:hAnsi="Arial"/>
          <w:sz w:val="19"/>
          <w:szCs w:val="19"/>
          <w:b w:val="1"/>
          <w:bCs w:val="1"/>
          <w:i w:val="1"/>
          <w:iCs w:val="1"/>
          <w:color w:val="auto"/>
        </w:rPr>
        <w:t>Grantor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Grantors</w:t>
      </w:r>
      <w:r>
        <w:rPr>
          <w:rFonts w:ascii="Arial" w:cs="Arial" w:eastAsia="Arial" w:hAnsi="Arial"/>
          <w:sz w:val="19"/>
          <w:szCs w:val="19"/>
          <w:color w:val="auto"/>
        </w:rPr>
        <w:t>”), and Deutsche Bank Trust Company Americas in its capacity as administrative agent (in such capacity, the “</w:t>
      </w:r>
      <w:r>
        <w:rPr>
          <w:rFonts w:ascii="Arial" w:cs="Arial" w:eastAsia="Arial" w:hAnsi="Arial"/>
          <w:sz w:val="19"/>
          <w:szCs w:val="19"/>
          <w:b w:val="1"/>
          <w:bCs w:val="1"/>
          <w:i w:val="1"/>
          <w:iCs w:val="1"/>
          <w:color w:val="auto"/>
        </w:rPr>
        <w:t>Agent</w:t>
      </w:r>
      <w:r>
        <w:rPr>
          <w:rFonts w:ascii="Arial" w:cs="Arial" w:eastAsia="Arial" w:hAnsi="Arial"/>
          <w:sz w:val="19"/>
          <w:szCs w:val="19"/>
          <w:color w:val="auto"/>
        </w:rPr>
        <w:t>”) for itself and on behalf and for the benefit of the other Secured Parties (as defined below).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WIL-Ireland, Weatherford International Ltd., a Bermuda exempted company (“</w:t>
      </w:r>
      <w:r>
        <w:rPr>
          <w:rFonts w:ascii="Arial" w:cs="Arial" w:eastAsia="Arial" w:hAnsi="Arial"/>
          <w:sz w:val="19"/>
          <w:szCs w:val="19"/>
          <w:b w:val="1"/>
          <w:bCs w:val="1"/>
          <w:i w:val="1"/>
          <w:iCs w:val="1"/>
          <w:color w:val="auto"/>
        </w:rPr>
        <w:t>WIL-Bermuda</w:t>
      </w:r>
      <w:r>
        <w:rPr>
          <w:rFonts w:ascii="Arial" w:cs="Arial" w:eastAsia="Arial" w:hAnsi="Arial"/>
          <w:sz w:val="19"/>
          <w:szCs w:val="19"/>
          <w:color w:val="auto"/>
        </w:rPr>
        <w:t>”), Weatherford International LLC, a Delaware limited liability company (“</w:t>
      </w:r>
      <w:r>
        <w:rPr>
          <w:rFonts w:ascii="Arial" w:cs="Arial" w:eastAsia="Arial" w:hAnsi="Arial"/>
          <w:sz w:val="19"/>
          <w:szCs w:val="19"/>
          <w:b w:val="1"/>
          <w:bCs w:val="1"/>
          <w:i w:val="1"/>
          <w:iCs w:val="1"/>
          <w:color w:val="auto"/>
        </w:rPr>
        <w:t>WIL-Delaware</w:t>
      </w:r>
      <w:r>
        <w:rPr>
          <w:rFonts w:ascii="Arial" w:cs="Arial" w:eastAsia="Arial" w:hAnsi="Arial"/>
          <w:sz w:val="19"/>
          <w:szCs w:val="19"/>
          <w:color w:val="auto"/>
        </w:rPr>
        <w:t>” and together with WIL-Bermuda, the “</w:t>
      </w:r>
      <w:r>
        <w:rPr>
          <w:rFonts w:ascii="Arial" w:cs="Arial" w:eastAsia="Arial" w:hAnsi="Arial"/>
          <w:sz w:val="19"/>
          <w:szCs w:val="19"/>
          <w:b w:val="1"/>
          <w:bCs w:val="1"/>
          <w:i w:val="1"/>
          <w:iCs w:val="1"/>
          <w:color w:val="auto"/>
        </w:rPr>
        <w:t>Borrowers</w:t>
      </w:r>
      <w:r>
        <w:rPr>
          <w:rFonts w:ascii="Arial" w:cs="Arial" w:eastAsia="Arial" w:hAnsi="Arial"/>
          <w:sz w:val="19"/>
          <w:szCs w:val="19"/>
          <w:color w:val="auto"/>
        </w:rPr>
        <w:t>”), the Agent, and the Lenders are entering into that certain LC Credit Agreement dated as of the date hereof (as the same may be amended, amended and restated, supplemented or otherwise modified from time to time, the “</w:t>
      </w:r>
      <w:r>
        <w:rPr>
          <w:rFonts w:ascii="Arial" w:cs="Arial" w:eastAsia="Arial" w:hAnsi="Arial"/>
          <w:sz w:val="19"/>
          <w:szCs w:val="19"/>
          <w:b w:val="1"/>
          <w:bCs w:val="1"/>
          <w:i w:val="1"/>
          <w:iCs w:val="1"/>
          <w:color w:val="auto"/>
        </w:rPr>
        <w:t>LC Credit Agreement</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Grantors are entering into this Security Agreement in order to induce the Lenders to enter into and extend credit to the Borrowers under the LC Credit Agreement on the terms set forth therein.</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ACCORDINGLY, the Grantors and the Agent, for itself and on behalf and for the benefit of the other Secured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Terms Defined in the LC Credit Agreement and the Intercreditor Agreement</w:t>
      </w:r>
      <w:r>
        <w:rPr>
          <w:rFonts w:ascii="Arial" w:cs="Arial" w:eastAsia="Arial" w:hAnsi="Arial"/>
          <w:sz w:val="22"/>
          <w:szCs w:val="22"/>
          <w:color w:val="auto"/>
        </w:rPr>
        <w:t>. All capitalized terms used herein and not otherwise defined shall have the respective meanings assigned to such terms in the LC Credit Agreement and the Intercreditor Agreement.</w:t>
      </w:r>
    </w:p>
    <w:p>
      <w:pPr>
        <w:spacing w:after="0" w:line="18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u w:val="single" w:color="auto"/>
          <w:color w:val="auto"/>
        </w:rPr>
        <w:t>Terms Defined in UCC</w:t>
      </w:r>
      <w:r>
        <w:rPr>
          <w:rFonts w:ascii="Arial" w:cs="Arial" w:eastAsia="Arial" w:hAnsi="Arial"/>
          <w:sz w:val="22"/>
          <w:szCs w:val="22"/>
          <w:color w:val="auto"/>
        </w:rPr>
        <w:t>. Terms defined in the UCC that are not otherwise defined in this Security Agreement are used herein as defined in the UCC.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Definitions of Certain Terms Used Herein</w:t>
      </w:r>
      <w:r>
        <w:rPr>
          <w:rFonts w:ascii="Arial" w:cs="Arial" w:eastAsia="Arial" w:hAnsi="Arial"/>
          <w:sz w:val="19"/>
          <w:szCs w:val="19"/>
          <w:color w:val="auto"/>
        </w:rPr>
        <w:t>. As used in this Security Agreement, in addition to the terms defined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Preliminary Statement, the following terms shall have the following meanings: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Article</w:t>
      </w:r>
      <w:r>
        <w:rPr>
          <w:rFonts w:ascii="Arial" w:cs="Arial" w:eastAsia="Arial" w:hAnsi="Arial"/>
          <w:sz w:val="19"/>
          <w:szCs w:val="19"/>
          <w:color w:val="auto"/>
        </w:rPr>
        <w:t>” means a numbered article of this Security Agreement, unless another document is specifically referenced.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Chattel Paper</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with respect to any Grantor that is organized or incorporated in the United States, all Accounts, Chattel Paper, Commercial Tort Claims, Deposit Accounts, Documents, Equipment, Farm Products, Fixtures, General Intangibles, Goods, Instruments, Intellectual Property, Inventory, Investment Property, letters of credit, Letter of 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Notwithstanding any of the foregoing, Collateral shall not include any Excluded Assets.</w:t>
      </w:r>
    </w:p>
    <w:p>
      <w:pPr>
        <w:spacing w:after="0" w:line="1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Tort Claims</w:t>
      </w:r>
      <w:r>
        <w:rPr>
          <w:rFonts w:ascii="Arial" w:cs="Arial" w:eastAsia="Arial" w:hAnsi="Arial"/>
          <w:sz w:val="22"/>
          <w:szCs w:val="22"/>
          <w:color w:val="auto"/>
        </w:rPr>
        <w:t xml:space="preserve">” means commercial tort claims, as defined in the UCC of any Grantor, including each commercial tort claim specifically described in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shall have the meaning set forth in Article 8 or, if applicable, in Section 9-104, 9-105, 9-106 or 9-107 of Article 9 of the UCC or Section 16 of the UETA, as applicable.</w:t>
      </w:r>
    </w:p>
    <w:p>
      <w:pPr>
        <w:spacing w:after="0" w:line="17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Agreement</w:t>
      </w:r>
      <w:r>
        <w:rPr>
          <w:rFonts w:ascii="Arial" w:cs="Arial" w:eastAsia="Arial" w:hAnsi="Arial"/>
          <w:sz w:val="19"/>
          <w:szCs w:val="19"/>
          <w:color w:val="auto"/>
        </w:rPr>
        <w:t>” means a control agreement, in form and substance reasonably satisfactory to the Agent, executed and delivered by a Grantor, the Agent, and the applicable securities intermediary (with respect to a Securities Account) or bank (with respect to a Deposit Account), or an equivalent agreement under any applicable foreign jurisdiction.</w:t>
      </w:r>
    </w:p>
    <w:p>
      <w:pPr>
        <w:spacing w:after="0" w:line="13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with respect to any Person, all of such Person’s right, title, and interest in and to the following: (i) all copyrights, rights and interests in copyrights, works protectable by copyright, copyright registrations, and copyright applications; (ii) all renewals of any of the foregoing; (iii) all income, royalties, damages, and payments now or hereafter due and/or payable</w:t>
      </w:r>
    </w:p>
    <w:p>
      <w:pPr>
        <w:sectPr>
          <w:pgSz w:w="11900" w:h="16838" w:orient="portrait"/>
          <w:cols w:equalWidth="0" w:num="1">
            <w:col w:w="11240"/>
          </w:cols>
          <w:pgMar w:left="320" w:top="131" w:right="339" w:bottom="0" w:gutter="0" w:footer="0" w:header="0"/>
        </w:sectPr>
      </w:pPr>
    </w:p>
    <w:bookmarkStart w:id="454" w:name="page455"/>
    <w:bookmarkEnd w:id="454"/>
    <w:p>
      <w:pPr>
        <w:spacing w:after="0" w:line="29"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under any of the foregoing, including, without limitation, damages or payments for past or future infringements for any of the foregoing; and (iv) all rights corresponding to any of the foregoing throughout the world.</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w:t>
      </w:r>
      <w:r>
        <w:rPr>
          <w:rFonts w:ascii="Arial" w:cs="Arial" w:eastAsia="Arial" w:hAnsi="Arial"/>
          <w:sz w:val="22"/>
          <w:szCs w:val="22"/>
          <w:color w:val="auto"/>
        </w:rPr>
        <w:t>” means each Confirmatory Grant in U.S. Copyrights executed and delivered by any Grantor in favor of Agent in a form substantially similar to the Trademark Security Agreement and the Patent Security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xml:space="preserve">” means the most recent to occur of (i) in the case of an Initial Grantor, the date hereof or, in the case of any other Grantor, the date such Grantor becomes a party hereto and (ii) the most recent date on which the Borrowers deliver to the Agent a Compliance Certificate accompanied by updated Exhibits to this Security Agreement pursuant to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hereof.</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Grantor</w:t>
      </w:r>
      <w:r>
        <w:rPr>
          <w:rFonts w:ascii="Arial" w:cs="Arial" w:eastAsia="Arial" w:hAnsi="Arial"/>
          <w:sz w:val="22"/>
          <w:szCs w:val="22"/>
          <w:color w:val="auto"/>
        </w:rPr>
        <w:t>” means any Grantor that is a Domestic Subsidiary.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Exclusive Copyright License</w:t>
      </w:r>
      <w:r>
        <w:rPr>
          <w:rFonts w:ascii="Arial" w:cs="Arial" w:eastAsia="Arial" w:hAnsi="Arial"/>
          <w:sz w:val="22"/>
          <w:szCs w:val="22"/>
          <w:color w:val="auto"/>
        </w:rPr>
        <w:t>” means an exclusive license to a U.S. registered copyright.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Exhibit</w:t>
      </w:r>
      <w:r>
        <w:rPr>
          <w:rFonts w:ascii="Arial" w:cs="Arial" w:eastAsia="Arial" w:hAnsi="Arial"/>
          <w:sz w:val="19"/>
          <w:szCs w:val="19"/>
          <w:color w:val="auto"/>
        </w:rPr>
        <w:t>” refers to a specific exhibit to this Security Agreement, unless another document is specifically referenced.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Farm Products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Fixtures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Grantor</w:t>
      </w:r>
      <w:r>
        <w:rPr>
          <w:rFonts w:ascii="Arial" w:cs="Arial" w:eastAsia="Arial" w:hAnsi="Arial"/>
          <w:sz w:val="22"/>
          <w:szCs w:val="22"/>
          <w:color w:val="auto"/>
        </w:rPr>
        <w:t>” means any Grantor that is not a Domestic Grantor.</w:t>
      </w:r>
    </w:p>
    <w:p>
      <w:pPr>
        <w:spacing w:after="0" w:line="23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General Intangibles</w:t>
      </w:r>
      <w:r>
        <w:rPr>
          <w:rFonts w:ascii="Arial" w:cs="Arial" w:eastAsia="Arial" w:hAnsi="Arial"/>
          <w:sz w:val="19"/>
          <w:szCs w:val="19"/>
          <w:color w:val="auto"/>
        </w:rPr>
        <w:t>” shall have the meaning set forth in Article 9 of the UCC and, in any event, includes payment intangibles, contract rights, rights to payment, rights arising under common law, statutes, or regulations, choses in action, Intellectual Property, programs, programming materials, blueprints, drawings, purchase orders, customer lists, monies due or recoverable from pension funds, route lists,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UCC, and any other personal property other than Commercial Tort Claims, money, Accounts, Chattel Paper, Deposit Accounts, Goods, Investment Property, negotiable Collateral, and oil, gas, or other minerals before extraction.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Industrial Designs</w:t>
      </w:r>
      <w:r>
        <w:rPr>
          <w:rFonts w:ascii="Arial" w:cs="Arial" w:eastAsia="Arial" w:hAnsi="Arial"/>
          <w:sz w:val="19"/>
          <w:szCs w:val="19"/>
          <w:color w:val="auto"/>
        </w:rPr>
        <w:t xml:space="preserve">” means (i) registered industrial designs and industrial design applications, and also includes registered industrial designs and industrial design applications listed in </w:t>
      </w:r>
      <w:r>
        <w:rPr>
          <w:rFonts w:ascii="Arial" w:cs="Arial" w:eastAsia="Arial" w:hAnsi="Arial"/>
          <w:sz w:val="19"/>
          <w:szCs w:val="19"/>
          <w:u w:val="single" w:color="auto"/>
          <w:color w:val="auto"/>
        </w:rPr>
        <w:t>Exhibit “B”</w:t>
      </w:r>
      <w:r>
        <w:rPr>
          <w:rFonts w:ascii="Arial" w:cs="Arial" w:eastAsia="Arial" w:hAnsi="Arial"/>
          <w:sz w:val="19"/>
          <w:szCs w:val="19"/>
          <w:color w:val="auto"/>
        </w:rPr>
        <w:t>, (ii) all renewals, divisions and any industrial design registrations issuing thereon and any and all foreign applications corresponding thereto, (iii) all income, royalties, damages and payments now and hereafter due or payable under and with respect thereto, including payments under all licenses entered into in connection therewith and damages and payments for past or future infringements thereof, (iv) the right to sue for past, present and future infringements thereof; and (v) all rights corresponding to any of the foregoing throughout the world.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Instruments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Instrument</w:t>
      </w:r>
      <w:r>
        <w:rPr>
          <w:rFonts w:ascii="Arial" w:cs="Arial" w:eastAsia="Arial" w:hAnsi="Arial"/>
          <w:sz w:val="22"/>
          <w:szCs w:val="22"/>
          <w:color w:val="auto"/>
        </w:rPr>
        <w:t>” means an Instrument between a Grantor, as the payee thereunder, and WIL-Ireland or any of its Restricted Subsidiaries, as the payor thereunder.</w:t>
      </w:r>
    </w:p>
    <w:p>
      <w:pPr>
        <w:spacing w:after="0" w:line="174"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all Patents, Trademarks, Copyrights, Licenses, Industrial Designs and any other intellectual property.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Property</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Legal Reservations</w:t>
      </w:r>
      <w:r>
        <w:rPr>
          <w:rFonts w:ascii="Arial" w:cs="Arial" w:eastAsia="Arial" w:hAnsi="Arial"/>
          <w:sz w:val="19"/>
          <w:szCs w:val="19"/>
          <w:color w:val="auto"/>
        </w:rPr>
        <w:t>” means (i) the principle that equitable remedies are remedies which may be granted or refused at the discretion of the court, the principle of fairness and reasonableness, the limitation of enforcement by laws relating to bankruptcy, insolvency, liquidation, reorganisation, court schemes, moratoria, administration and other laws generally affecting the rights of creditors, (ii) the time barring of claims under applicable limitation laws including the Limitation Act 1980 and the Foreign Limitation Periods Act 1984 in the United Kingdom, the possibility that an undertaking to assume liability for, or to indemnify a</w:t>
      </w:r>
    </w:p>
    <w:p>
      <w:pPr>
        <w:sectPr>
          <w:pgSz w:w="11900" w:h="16868" w:orient="portrait"/>
          <w:cols w:equalWidth="0" w:num="1">
            <w:col w:w="11240"/>
          </w:cols>
          <w:pgMar w:left="320" w:top="131" w:right="339" w:bottom="0" w:gutter="0" w:footer="0" w:header="0"/>
        </w:sectPr>
      </w:pPr>
    </w:p>
    <w:bookmarkStart w:id="455" w:name="page456"/>
    <w:bookmarkEnd w:id="455"/>
    <w:p>
      <w:pPr>
        <w:jc w:val="both"/>
        <w:spacing w:after="0" w:line="276" w:lineRule="auto"/>
        <w:rPr>
          <w:sz w:val="20"/>
          <w:szCs w:val="20"/>
          <w:color w:val="auto"/>
        </w:rPr>
      </w:pPr>
      <w:r>
        <w:rPr>
          <w:rFonts w:ascii="Arial" w:cs="Arial" w:eastAsia="Arial" w:hAnsi="Arial"/>
          <w:sz w:val="22"/>
          <w:szCs w:val="22"/>
          <w:color w:val="auto"/>
        </w:rPr>
        <w:t>person against, non-payment of stamp duty may be void and defences of set-off and counterclaim, and (iii) similar principles, rights and defences under the laws of any relevant jurisdiction.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Rights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Licenses</w:t>
      </w:r>
      <w:r>
        <w:rPr>
          <w:rFonts w:ascii="Arial" w:cs="Arial" w:eastAsia="Arial" w:hAnsi="Arial"/>
          <w:sz w:val="19"/>
          <w:szCs w:val="19"/>
          <w:color w:val="auto"/>
        </w:rPr>
        <w:t>” means, with respect to any Person, all of such Person’s right, title, and interest in and to (i) any and all licensing agreements or similar arrangements in and to its Patents, Copyrights or Trademarks, (ii) all income, royalties, damages, claims, and payments now or hereafter due or payable under and with respect thereto, including, without limitation, damages and payments for past and future breaches thereof, and (iii) all rights to sue for past, present, and future breaches thereof.</w:t>
      </w:r>
    </w:p>
    <w:p>
      <w:pPr>
        <w:spacing w:after="0" w:line="14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Collateral</w:t>
      </w:r>
      <w:r>
        <w:rPr>
          <w:rFonts w:ascii="Arial" w:cs="Arial" w:eastAsia="Arial" w:hAnsi="Arial"/>
          <w:sz w:val="19"/>
          <w:szCs w:val="19"/>
          <w:color w:val="auto"/>
        </w:rPr>
        <w:t xml:space="preserve">” means any personal property of the Grantors, not included within the defined terms Accounts, Chattel Paper, Commercial Tort Claims, Deposit Accounts, Documents, Equipment, Fixtures, Farm Products, General Intangibles, Goods, Instruments, Intellectual Property, Inventory, Investment Property, Letter of 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personal property of the Grantors, subject to the exclusions or limitations contained in Article II of this Security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Other Collateral shall not include any Excluded Assets.</w:t>
      </w:r>
    </w:p>
    <w:p>
      <w:pPr>
        <w:spacing w:after="0" w:line="1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means, with respect to any Person, all of such Person’s right, title, and interest in and to: (i) any and all patents and patent applications; (ii) all inventions and improvements described and claimed therein; (iii) all reissues, divisions, continuations, renewals, extensions, and continuations-in-part thereof; (iv) all licenses of the foregoing whether as licensee or licensor; (v) all income, royalties, damages, claims, and payments now or hereafter due or payable under and with respect thereto, including, without limitation, damages and payments for past and future infringements thereof; (vii) all rights to sue for past, present, and future infringements thereof; and (viii) all rights corresponding to any of the foregoing throughout the world.</w:t>
      </w:r>
    </w:p>
    <w:p>
      <w:pPr>
        <w:spacing w:after="0" w:line="15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xml:space="preserve">” means each Confirmatory Grant in U.S. Patents executed and delivered by any Grantor in favor of Agent in substantially the form of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Collateral</w:t>
      </w:r>
      <w:r>
        <w:rPr>
          <w:rFonts w:ascii="Arial" w:cs="Arial" w:eastAsia="Arial" w:hAnsi="Arial"/>
          <w:sz w:val="21"/>
          <w:szCs w:val="21"/>
          <w:color w:val="auto"/>
        </w:rPr>
        <w:t>” means all Instruments, Securities and other Investment Property of the Grantors to the extent constituting Collateral hereunder, whether or not physically delivered to the Agent pursuant to this Security Agreement.</w:t>
      </w:r>
    </w:p>
    <w:p>
      <w:pPr>
        <w:spacing w:after="0" w:line="1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Deposits</w:t>
      </w:r>
      <w:r>
        <w:rPr>
          <w:rFonts w:ascii="Arial" w:cs="Arial" w:eastAsia="Arial" w:hAnsi="Arial"/>
          <w:sz w:val="22"/>
          <w:szCs w:val="22"/>
          <w:color w:val="auto"/>
        </w:rPr>
        <w:t>” means all time deposits of money (other than Deposit Accounts and Instruments), whether or not evidenced by certificates, which a Grantor may from time to time designate as pledged to the Agent or to any Secured Party as security for any Secured Obligations, and all rights to receive interest on said deposits.</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xml:space="preserve">” means the Accounts, Chattel Paper, Documents, Investment Property, Instruments or Pledged Deposits, and any other rights or claims to receive money which are General Intangibles or which are otherwise included as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Receivables shall not include any Excluded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w:t>
      </w:r>
      <w:r>
        <w:rPr>
          <w:rFonts w:ascii="Arial" w:cs="Arial" w:eastAsia="Arial" w:hAnsi="Arial"/>
          <w:sz w:val="19"/>
          <w:szCs w:val="19"/>
          <w:color w:val="auto"/>
        </w:rPr>
        <w:t>” means a numbered section of this Security Agreement, unless another document is specifically referenced.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Account</w:t>
      </w:r>
      <w:r>
        <w:rPr>
          <w:rFonts w:ascii="Arial" w:cs="Arial" w:eastAsia="Arial" w:hAnsi="Arial"/>
          <w:sz w:val="22"/>
          <w:szCs w:val="22"/>
          <w:color w:val="auto"/>
        </w:rPr>
        <w:t>” shall have the meaning set forth in Article 8 of the UCC.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w:t>
      </w:r>
      <w:r>
        <w:rPr>
          <w:rFonts w:ascii="Arial" w:cs="Arial" w:eastAsia="Arial" w:hAnsi="Arial"/>
          <w:sz w:val="22"/>
          <w:szCs w:val="22"/>
          <w:color w:val="auto"/>
        </w:rPr>
        <w:t>” shall have the meaning set forth in Article 8 of the UCC.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Deposit Account</w:t>
      </w:r>
      <w:r>
        <w:rPr>
          <w:rFonts w:ascii="Arial" w:cs="Arial" w:eastAsia="Arial" w:hAnsi="Arial"/>
          <w:sz w:val="22"/>
          <w:szCs w:val="22"/>
          <w:color w:val="auto"/>
        </w:rPr>
        <w:t>” means any Deposit Account of a Grantor other than the Excluded Accounts.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Intellectual Property</w:t>
      </w:r>
      <w:r>
        <w:rPr>
          <w:rFonts w:ascii="Arial" w:cs="Arial" w:eastAsia="Arial" w:hAnsi="Arial"/>
          <w:sz w:val="22"/>
          <w:szCs w:val="22"/>
          <w:color w:val="auto"/>
        </w:rPr>
        <w:t>” means any Intellectual Property of one or more Grantors (i) the book value of which exceeds $5,000,000 individually or in the aggregate, (ii) which generates annual revenue, royalties or license fees of greater than $5,000,000 or (iii) which, in the commercially reasonable judgment of the Grantors, is material to the conduct of all or a material portion of the business of WIL-Ireland and its Restricted Subsidiaries.</w:t>
      </w:r>
    </w:p>
    <w:p>
      <w:pPr>
        <w:spacing w:after="0" w:line="191" w:lineRule="exact"/>
        <w:rPr>
          <w:sz w:val="20"/>
          <w:szCs w:val="20"/>
          <w:color w:val="auto"/>
        </w:rPr>
      </w:pPr>
    </w:p>
    <w:p>
      <w:pPr>
        <w:jc w:val="both"/>
        <w:ind w:firstLine="702"/>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Rights</w:t>
      </w:r>
      <w:r>
        <w:rPr>
          <w:rFonts w:ascii="Arial" w:cs="Arial" w:eastAsia="Arial" w:hAnsi="Arial"/>
          <w:sz w:val="19"/>
          <w:szCs w:val="19"/>
          <w:color w:val="auto"/>
        </w:rPr>
        <w:t>” means any securities, dividends,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Capital Stock and any right to receive earnings, in which any Grantor now has or hereafter acquires any right, issued by an issuer of such securities.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Supporting Obligation</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Trademarks</w:t>
      </w:r>
      <w:r>
        <w:rPr>
          <w:rFonts w:ascii="Arial" w:cs="Arial" w:eastAsia="Arial" w:hAnsi="Arial"/>
          <w:sz w:val="19"/>
          <w:szCs w:val="19"/>
          <w:color w:val="auto"/>
        </w:rPr>
        <w:t>” means, with respect to any Person, all of such Person’s right, title, and interest in and to the following: (i) all trademarks (including service marks), trade names, trade dress, and trade styles and the registrations and applications for registration thereof and the goodwill of the business symbolized by the foregoing; (ii) all licenses of the foregoing, whether as licensee or licensor; (iii) all renewals of the foregoing; (iv) all income, royalties, damages, and payments now or hereafter due or payable with respect thereto, including, without limitation, damages, claims, and payments for past and future infringements</w:t>
      </w:r>
    </w:p>
    <w:p>
      <w:pPr>
        <w:sectPr>
          <w:pgSz w:w="11900" w:h="16838" w:orient="portrait"/>
          <w:cols w:equalWidth="0" w:num="1">
            <w:col w:w="11240"/>
          </w:cols>
          <w:pgMar w:left="320" w:top="131" w:right="339" w:bottom="0" w:gutter="0" w:footer="0" w:header="0"/>
        </w:sectPr>
      </w:pPr>
    </w:p>
    <w:bookmarkStart w:id="456" w:name="page457"/>
    <w:bookmarkEnd w:id="456"/>
    <w:p>
      <w:pPr>
        <w:jc w:val="both"/>
        <w:spacing w:after="0" w:line="358" w:lineRule="auto"/>
        <w:rPr>
          <w:sz w:val="20"/>
          <w:szCs w:val="20"/>
          <w:color w:val="auto"/>
        </w:rPr>
      </w:pPr>
      <w:r>
        <w:rPr>
          <w:rFonts w:ascii="Arial" w:cs="Arial" w:eastAsia="Arial" w:hAnsi="Arial"/>
          <w:sz w:val="19"/>
          <w:szCs w:val="19"/>
          <w:color w:val="auto"/>
        </w:rPr>
        <w:t>thereof; (v) all rights to sue for past, present, and future infringements of the foregoing, including the right to settle suits involving claims and demands for royalties owing; and (vi) all rights corresponding to any of the foregoing throughout the world.</w:t>
      </w:r>
    </w:p>
    <w:p>
      <w:pPr>
        <w:spacing w:after="0" w:line="10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xml:space="preserve">” means each Confirmatory Grant in U.S. Trademarks executed and delivered by any Grantor in favor of Agent in substantially the form of </w:t>
      </w:r>
      <w:r>
        <w:rPr>
          <w:rFonts w:ascii="Arial" w:cs="Arial" w:eastAsia="Arial" w:hAnsi="Arial"/>
          <w:sz w:val="22"/>
          <w:szCs w:val="22"/>
          <w:u w:val="single" w:color="auto"/>
          <w:color w:val="auto"/>
        </w:rPr>
        <w:t>Exhibit “L”</w:t>
      </w:r>
      <w:r>
        <w:rPr>
          <w:rFonts w:ascii="Arial" w:cs="Arial" w:eastAsia="Arial" w:hAnsi="Arial"/>
          <w:sz w:val="22"/>
          <w:szCs w:val="22"/>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UETA</w:t>
      </w:r>
      <w:r>
        <w:rPr>
          <w:rFonts w:ascii="Arial" w:cs="Arial" w:eastAsia="Arial" w:hAnsi="Arial"/>
          <w:sz w:val="21"/>
          <w:szCs w:val="21"/>
          <w:color w:val="auto"/>
        </w:rPr>
        <w:t>” means the Uniform Electronic Transactions Act as in effect from time to time in any applicable jurisdiction.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ULC</w:t>
      </w:r>
      <w:r>
        <w:rPr>
          <w:rFonts w:ascii="Arial" w:cs="Arial" w:eastAsia="Arial" w:hAnsi="Arial"/>
          <w:sz w:val="21"/>
          <w:szCs w:val="21"/>
          <w:color w:val="auto"/>
        </w:rPr>
        <w:t>” means a Person that is an unlimited company, unlimited liability corporation or unlimited liability company.</w:t>
      </w:r>
    </w:p>
    <w:p>
      <w:pPr>
        <w:spacing w:after="0" w:line="24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ULC Laws</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Companies Act</w:t>
      </w:r>
      <w:r>
        <w:rPr>
          <w:rFonts w:ascii="Arial" w:cs="Arial" w:eastAsia="Arial" w:hAnsi="Arial"/>
          <w:sz w:val="22"/>
          <w:szCs w:val="22"/>
          <w:color w:val="auto"/>
        </w:rPr>
        <w:t xml:space="preserve"> (Nova Scotia), the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xml:space="preserve"> (Alberta), the </w:t>
      </w:r>
      <w:r>
        <w:rPr>
          <w:rFonts w:ascii="Arial" w:cs="Arial" w:eastAsia="Arial" w:hAnsi="Arial"/>
          <w:sz w:val="22"/>
          <w:szCs w:val="22"/>
          <w:i w:val="1"/>
          <w:iCs w:val="1"/>
          <w:color w:val="auto"/>
        </w:rPr>
        <w:t>Business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Corporations Act </w:t>
      </w:r>
      <w:r>
        <w:rPr>
          <w:rFonts w:ascii="Arial" w:cs="Arial" w:eastAsia="Arial" w:hAnsi="Arial"/>
          <w:sz w:val="22"/>
          <w:szCs w:val="22"/>
          <w:color w:val="auto"/>
        </w:rPr>
        <w:t>(British Columbia) and any other present or future Laws governing ULCs.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ULC Shares</w:t>
      </w:r>
      <w:r>
        <w:rPr>
          <w:rFonts w:ascii="Arial" w:cs="Arial" w:eastAsia="Arial" w:hAnsi="Arial"/>
          <w:sz w:val="22"/>
          <w:szCs w:val="22"/>
          <w:color w:val="auto"/>
        </w:rPr>
        <w:t>” means shares in the capital stock of, or other equity interests of, a ULC.</w:t>
      </w: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The foregoing definitions shall be equally applicable to both the singular and plural forms of the defined terms.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 OF SECURITY INTEREST</w:t>
      </w: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Each of the Grantors hereby pledges, assigns (except in the case of the ULC Shares) and grants to the Agent, on behalf of and for the benefit of the Secured Parties, a security interest in all of such Grantor’s right, title and interest, whether now owned or hereafter acquired, in and to the Collateral to secure the prompt and complete payment and performance of the Secured Obligations. For the avoidance of doubt, the grant of a security interest herein shall not be deemed to be an assignment of any ULC Shares or any intellectual property rights owned by the Grantors (other than the collateral assignment pursuant hereto).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Each of the Initial Grantors represents and warrants to the Agent and the Secured Parties, and each Grantor that becomes a party to this Security Agreement pursuant to the execution of a Security Agreement Supplement in substantially the form of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represents and warrants (after giving effect to supplements to each of the Exhibits hereto, with respect to such subsequent Grantor, as attached to such Security Agreement Supplement), that:</w:t>
      </w:r>
    </w:p>
    <w:p>
      <w:pPr>
        <w:spacing w:after="0" w:line="19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u w:val="single" w:color="auto"/>
          <w:color w:val="auto"/>
        </w:rPr>
        <w:t>Title, Authorization, Validity and Enforceability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3.10.10</w:t>
      </w:r>
      <w:r>
        <w:rPr>
          <w:rFonts w:ascii="Arial" w:cs="Arial" w:eastAsia="Arial" w:hAnsi="Arial"/>
          <w:sz w:val="19"/>
          <w:szCs w:val="19"/>
          <w:color w:val="auto"/>
        </w:rPr>
        <w:t xml:space="preserve">, such Grantor has good and valid rights in or the power to transfer its respective Collateral, free and clear of all Liens except for Liens permitted under Section 8.04 of the LC Credit Agreement, and has the corporate, unlimited liability company, limited liability company or partnership, as applicable, power and authority to grant to the Agent the security interest in such Collateral pursuant hereto. The execution and delivery by such Grantor of this Security Agreement have been duly authorized by corporate, unlimited liability company, limited liability company, limited partnership or partnership, as applicable, proceedings or actions, and this Security Agreement constitutes a legal, valid and binding obligation of such Grantor and creates a security interest which is enforceable against such Grantor in all Collateral it now owns or hereafter acquires, except (i) as enforceability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(ii) as to the enforceability of provisions for indemnification and the limitations thereon arising as a matter of law or public policy, and (iii) in the case of each Grantor incorporated in England and Wales, is subject to Legal Reservations or the need for filings and registrations necessary to create or perfect the Liens on the Collateral granted by each Grantor incorporated in England and Wales in favor of the Secured Parties. When financing statements have been filed in the appropriate offices against such Grantor in the locations listed in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Agent shall have a perfected security interest (with the priority set forth in the Intercreditor Agreement and subject only to Liens permitted by Section 8.04 of the LC Credit Agreement) in the Collateral of each Grantor to the extent such security interest can be perfected by the filing of a financing statement under the Code.</w:t>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u w:val="single" w:color="auto"/>
          <w:color w:val="auto"/>
        </w:rPr>
        <w:t>Conflicting Laws and Contracts</w:t>
      </w:r>
      <w:r>
        <w:rPr>
          <w:rFonts w:ascii="Arial" w:cs="Arial" w:eastAsia="Arial" w:hAnsi="Arial"/>
          <w:sz w:val="19"/>
          <w:szCs w:val="19"/>
          <w:color w:val="auto"/>
        </w:rPr>
        <w:t>. Neither the execution and delivery by such Grantor of this Security Agreement, the creation and perfection of the security interest in the Collateral granted hereunder, nor compliance with the terms and provisions hereof (i) will breach or violate any applicable Requirement of Law binding on such Grantor, (ii) will result in any breach or violation of, or constitute a default under, or result in the creation or imposition of (or the obligation to create or impose) any Lien prohibited under the LC Credit Agreement, upon any of its property or assets pursuant to the terms of (a) the ABL Credit Agreement, the Exit Senior Notes or the Exit Senior Notes Indenture or (b) any other indenture, agreement or other instrument to</w:t>
      </w:r>
    </w:p>
    <w:p>
      <w:pPr>
        <w:sectPr>
          <w:pgSz w:w="11900" w:h="16838" w:orient="portrait"/>
          <w:cols w:equalWidth="0" w:num="1">
            <w:col w:w="11240"/>
          </w:cols>
          <w:pgMar w:left="320" w:top="131" w:right="339" w:bottom="0" w:gutter="0" w:footer="0" w:header="0"/>
        </w:sectPr>
      </w:pPr>
    </w:p>
    <w:bookmarkStart w:id="457" w:name="page458"/>
    <w:bookmarkEnd w:id="457"/>
    <w:p>
      <w:pPr>
        <w:spacing w:after="0" w:line="299" w:lineRule="auto"/>
        <w:rPr>
          <w:sz w:val="20"/>
          <w:szCs w:val="20"/>
          <w:color w:val="auto"/>
        </w:rPr>
      </w:pPr>
      <w:r>
        <w:rPr>
          <w:rFonts w:ascii="Arial" w:cs="Arial" w:eastAsia="Arial" w:hAnsi="Arial"/>
          <w:sz w:val="19"/>
          <w:szCs w:val="19"/>
          <w:color w:val="auto"/>
        </w:rPr>
        <w:t xml:space="preserve">which such Grantor is a party or by which any property or asset of it is bound or to which it is subject, except for breaches, violations and defaults under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that collectively for the Grantors would not have a Material Adverse Effect, or</w:t>
      </w:r>
    </w:p>
    <w:p>
      <w:pPr>
        <w:ind w:right="20" w:firstLine="8"/>
        <w:spacing w:after="0" w:line="296" w:lineRule="auto"/>
        <w:tabs>
          <w:tab w:leader="none" w:pos="398" w:val="left"/>
        </w:tabs>
        <w:numPr>
          <w:ilvl w:val="0"/>
          <w:numId w:val="518"/>
        </w:numPr>
        <w:rPr>
          <w:rFonts w:ascii="Arial" w:cs="Arial" w:eastAsia="Arial" w:hAnsi="Arial"/>
          <w:sz w:val="21"/>
          <w:szCs w:val="21"/>
          <w:color w:val="auto"/>
        </w:rPr>
      </w:pPr>
      <w:r>
        <w:rPr>
          <w:rFonts w:ascii="Arial" w:cs="Arial" w:eastAsia="Arial" w:hAnsi="Arial"/>
          <w:sz w:val="21"/>
          <w:szCs w:val="21"/>
          <w:color w:val="auto"/>
        </w:rPr>
        <w:t>will violate any provision of such Grantor’s charter, articles or certificate of incorporation or formation, memorandum of association, partnership agreement, by-laws, bye-laws or operating agreement (or similar constitutive document).</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Principal Location</w:t>
      </w:r>
      <w:r>
        <w:rPr>
          <w:rFonts w:ascii="Arial" w:cs="Arial" w:eastAsia="Arial" w:hAnsi="Arial"/>
          <w:sz w:val="22"/>
          <w:szCs w:val="22"/>
          <w:color w:val="auto"/>
        </w:rPr>
        <w:t xml:space="preserve">. Such Grantor’s mailing address and the location of its place of business (if it has only one) or its chief executive office (if it has more than one place of business), are disclosed, as of the applicable Determination Date,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Property Locations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lists, as of the applicable Determination Date, all of such Grantor’s locations (limited, in the case of any Foreign Grantor, to its United States locations) where Inventory and Equipment constituting Collateral are located (other than any such location where the book value of all Inventory and Equipment located thereon does not exceed $10,000,000). Such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indicate whether such locations are locations (i) owned by a Grantor, (ii) leased by such Grantor as lessee or (iii) at which Inventory is held in a public warehouse or is otherwise held by a bailee or on consignment by such Grantor.</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u w:val="single" w:color="auto"/>
          <w:color w:val="auto"/>
        </w:rPr>
        <w:t>No Other Names; Etc.</w:t>
      </w:r>
      <w:r>
        <w:rPr>
          <w:rFonts w:ascii="Arial" w:cs="Arial" w:eastAsia="Arial" w:hAnsi="Arial"/>
          <w:sz w:val="21"/>
          <w:szCs w:val="21"/>
          <w:color w:val="auto"/>
        </w:rPr>
        <w:t xml:space="preserve"> Within the five-year period ending as of the date such Person becomes a Grantor hereunder, such Grantor has not conducted business under any other name, changed its jurisdiction of organization or incorporation, merged with or into or consolidated or amalgamated with any other Person, except as disclosed in </w:t>
      </w:r>
      <w:r>
        <w:rPr>
          <w:rFonts w:ascii="Arial" w:cs="Arial" w:eastAsia="Arial" w:hAnsi="Arial"/>
          <w:sz w:val="21"/>
          <w:szCs w:val="21"/>
          <w:u w:val="single" w:color="auto"/>
          <w:color w:val="auto"/>
        </w:rPr>
        <w:t>Exhibit “A”</w:t>
      </w:r>
      <w:r>
        <w:rPr>
          <w:rFonts w:ascii="Arial" w:cs="Arial" w:eastAsia="Arial" w:hAnsi="Arial"/>
          <w:sz w:val="21"/>
          <w:szCs w:val="21"/>
          <w:color w:val="auto"/>
        </w:rPr>
        <w:t>. The name in which such Grantor has executed this Security Agreement (or a Security Agreement Supplement) is, as of the date such agreement is executed and delivered, the exact name as it appears in such Grantor’s charter or certificate of incorporation or formation (or similar formation document), as amended, as filed with such Grantor’s jurisdiction of organization or incorporation as of the date such Person becomes a Grantor hereunder.</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u w:val="single" w:color="auto"/>
          <w:color w:val="auto"/>
        </w:rPr>
        <w:t>Accounts and Chattel Paper</w:t>
      </w:r>
      <w:r>
        <w:rPr>
          <w:rFonts w:ascii="Arial" w:cs="Arial" w:eastAsia="Arial" w:hAnsi="Arial"/>
          <w:sz w:val="21"/>
          <w:szCs w:val="21"/>
          <w:color w:val="auto"/>
        </w:rPr>
        <w:t>. The names of the obligors, amounts owing, due dates and other information with respect to the Accounts and Chattel Paper owned by such Grantor and constituting Collateral are and will be correctly stated in all material respects in all records of such Grantor relating thereto and in all invoices and reports with respect thereto furnished to the Agent by such Grantor from time to time. As of the time when each Account or each item of Chattel Paper constituting Collateral arises, such Grantor shall be deemed to have represented and warranted that such Account or Chattel Paper, as the case may be, and all records relating thereto, are genuine and in all respects what they purport to be, except, in each case, as could not be reasonably expected to result in a Material Adverse Effect.</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u w:val="single" w:color="auto"/>
          <w:color w:val="auto"/>
        </w:rPr>
        <w:t>No Financing Statements, Security Agreements</w:t>
      </w:r>
      <w:r>
        <w:rPr>
          <w:rFonts w:ascii="Arial" w:cs="Arial" w:eastAsia="Arial" w:hAnsi="Arial"/>
          <w:sz w:val="22"/>
          <w:szCs w:val="22"/>
          <w:color w:val="auto"/>
        </w:rPr>
        <w:t xml:space="preserve">. No financing statement or security agreement describing all or any portion of the Collateral (other than a financing statement or security agreement that has lapsed or been terminated) naming such Grantor as debtor has been filed or is of record in any jurisdiction except financing statements (i) naming the Agent on behalf of the Secured Parties as the secured party and (ii) in respect of Liens permitted by Section 8.04 of the LC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nothing herein shall be deemed to constitute an agreement to subordinate any of the Liens of the Agent under the Loan Documents to any Liens otherwise permitted under Section 8.04 of the LC Credit Agreement or except as set forth in the Intercreditor Agreement.</w:t>
      </w:r>
    </w:p>
    <w:p>
      <w:pPr>
        <w:spacing w:after="0" w:line="1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u w:val="single" w:color="auto"/>
          <w:color w:val="auto"/>
        </w:rPr>
        <w:t>Federal Employer Identification Number; State Organization Number; Jurisdiction of Organization</w:t>
      </w:r>
      <w:r>
        <w:rPr>
          <w:rFonts w:ascii="Arial" w:cs="Arial" w:eastAsia="Arial" w:hAnsi="Arial"/>
          <w:sz w:val="22"/>
          <w:szCs w:val="22"/>
          <w:color w:val="auto"/>
        </w:rPr>
        <w:t xml:space="preserve">. Such Grantor’s federal employer identification number (if any) is, and if such Grantor is a registered organization, such Grantor’s state of organization, type of organization and state of organization identification number (if any) are, as of the applicable Determination Date, listed in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9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u w:val="single" w:color="auto"/>
          <w:color w:val="auto"/>
        </w:rPr>
        <w:t>Pledged Securities and Other Investment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sets forth, as of the applicable Determination Date, a complete and accurate list of the Instruments (other than the Intercompany Instruments), Securities and other Investment Property constituting Collateral and delivered to the Agent. Each Grantor is the direct and beneficial owner of each Instrument, Security and other type of Investment Property listed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as being owned by it, free and clear of any Liens, except for the security interest granted to the Agent for the benefit of the Secured Parties hereunder or as permitted by Section 8.04 of the LC Credit Agreement. Each Grantor further represents and warrants that (i) all Pledged Collateral owned by it constituting Capital Stock has been (to the extent such concepts are relevant with respect to such Pledged Collateral) duly authorized and validly issued, are fully paid and non-assessable and constitute, as of the applicable Determination Date, the percentage of the issued and outstanding shares of stock (or other Capital Stock) of the respective issuers thereof indicated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and (ii) all such Pledged Collateral held by a securities intermediary (including in a Securities Account) is covered by a Control Agreement among such Grantor, the securities intermediary and the Agent pursuant to which the Agent has Control to the extent required by </w:t>
      </w:r>
      <w:r>
        <w:rPr>
          <w:rFonts w:ascii="Arial" w:cs="Arial" w:eastAsia="Arial" w:hAnsi="Arial"/>
          <w:sz w:val="19"/>
          <w:szCs w:val="19"/>
          <w:u w:val="single" w:color="auto"/>
          <w:color w:val="auto"/>
        </w:rPr>
        <w:t>Section 4.5</w:t>
      </w:r>
      <w:r>
        <w:rPr>
          <w:rFonts w:ascii="Arial" w:cs="Arial" w:eastAsia="Arial" w:hAnsi="Arial"/>
          <w:sz w:val="19"/>
          <w:szCs w:val="19"/>
          <w:color w:val="auto"/>
        </w:rPr>
        <w:t>. In addition, each Grantor hereby represents and warrants that (i) no partnership agreement or operating agreement (or similar constitutive document) with respect to Pledged Collateral in respect of a limited liability company or partnership provides that such Pledged Collateral constitute securities governed by Article 8 of the UCC as in effect in any relevant jurisdiction and (ii) no Collateral constitutes “certificated securities” within the meaning of Article 8 of the Uniform Commercial Code as in effect in any relevant jurisdiction (such securities, “</w:t>
      </w:r>
      <w:r>
        <w:rPr>
          <w:rFonts w:ascii="Arial" w:cs="Arial" w:eastAsia="Arial" w:hAnsi="Arial"/>
          <w:sz w:val="19"/>
          <w:szCs w:val="19"/>
          <w:u w:val="single" w:color="auto"/>
          <w:color w:val="auto"/>
        </w:rPr>
        <w:t>Certificated Securities</w:t>
      </w:r>
      <w:r>
        <w:rPr>
          <w:rFonts w:ascii="Arial" w:cs="Arial" w:eastAsia="Arial" w:hAnsi="Arial"/>
          <w:sz w:val="19"/>
          <w:szCs w:val="19"/>
          <w:color w:val="auto"/>
        </w:rPr>
        <w:t xml:space="preserve">”), except as otherwise indicated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Each Grantor covenants that for so long as this Security Agreement is in effect, it shall not permit any of its Subsidiaries</w:t>
      </w:r>
    </w:p>
    <w:p>
      <w:pPr>
        <w:sectPr>
          <w:pgSz w:w="11900" w:h="16838" w:orient="portrait"/>
          <w:cols w:equalWidth="0" w:num="1">
            <w:col w:w="11240"/>
          </w:cols>
          <w:pgMar w:left="320" w:top="131" w:right="339" w:bottom="0" w:gutter="0" w:footer="0" w:header="0"/>
        </w:sectPr>
      </w:pPr>
    </w:p>
    <w:bookmarkStart w:id="458" w:name="page459"/>
    <w:bookmarkEnd w:id="458"/>
    <w:p>
      <w:pPr>
        <w:spacing w:after="0" w:line="8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whose Capital Stock is Pledged Collateral (the “</w:t>
      </w:r>
      <w:r>
        <w:rPr>
          <w:rFonts w:ascii="Arial" w:cs="Arial" w:eastAsia="Arial" w:hAnsi="Arial"/>
          <w:sz w:val="19"/>
          <w:szCs w:val="19"/>
          <w:u w:val="single" w:color="auto"/>
          <w:color w:val="auto"/>
        </w:rPr>
        <w:t>Acknowledgment Parties</w:t>
      </w:r>
      <w:r>
        <w:rPr>
          <w:rFonts w:ascii="Arial" w:cs="Arial" w:eastAsia="Arial" w:hAnsi="Arial"/>
          <w:sz w:val="19"/>
          <w:szCs w:val="19"/>
          <w:color w:val="auto"/>
        </w:rPr>
        <w:t xml:space="preserve">”) (i) except as otherwise indicated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cause such Capital Stock to become Certificated Securities, or (ii) except as otherwise indicated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for any such Subsidiaries that are limited liability companies or partnerships, to elect that its membership interests becomes governed by Article 8 of the Uniform Commercial Code as in effect in any relevant jurisdiction without the consent of all pledgees of such membership interests or the delivery of any applicable limited liability company certificate or control agreement necessary to perfect each such pledgee's interests in the applicable membership interests. Each Grantor further agrees to cause each Acknowledgment Party, other than any Acknowledgment Party that is a ULC, to execute and deliver an acknowledgment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hereto promptly upon such party becoming an Acknowledgment Party.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303" w:lineRule="auto"/>
        <w:rPr>
          <w:sz w:val="20"/>
          <w:szCs w:val="20"/>
          <w:color w:val="auto"/>
        </w:rPr>
      </w:pPr>
      <w:r>
        <w:rPr>
          <w:rFonts w:ascii="Arial" w:cs="Arial" w:eastAsia="Arial" w:hAnsi="Arial"/>
          <w:sz w:val="19"/>
          <w:szCs w:val="19"/>
          <w:color w:val="010000"/>
        </w:rPr>
        <w:t xml:space="preserve">3.10.1 </w:t>
      </w:r>
      <w:r>
        <w:rPr>
          <w:rFonts w:ascii="Arial" w:cs="Arial" w:eastAsia="Arial" w:hAnsi="Arial"/>
          <w:sz w:val="19"/>
          <w:szCs w:val="19"/>
          <w:u w:val="single" w:color="auto"/>
          <w:color w:val="000000"/>
        </w:rPr>
        <w:t>Exhibit “B”</w:t>
      </w:r>
      <w:r>
        <w:rPr>
          <w:rFonts w:ascii="Arial" w:cs="Arial" w:eastAsia="Arial" w:hAnsi="Arial"/>
          <w:sz w:val="19"/>
          <w:szCs w:val="19"/>
          <w:color w:val="010000"/>
        </w:rPr>
        <w:t xml:space="preserve"> </w:t>
      </w:r>
      <w:r>
        <w:rPr>
          <w:rFonts w:ascii="Arial" w:cs="Arial" w:eastAsia="Arial" w:hAnsi="Arial"/>
          <w:sz w:val="19"/>
          <w:szCs w:val="19"/>
          <w:color w:val="000000"/>
        </w:rPr>
        <w:t>contains a complete and accurate listing as of the applicable Determination Date of all</w:t>
      </w:r>
      <w:r>
        <w:rPr>
          <w:rFonts w:ascii="Arial" w:cs="Arial" w:eastAsia="Arial" w:hAnsi="Arial"/>
          <w:sz w:val="19"/>
          <w:szCs w:val="19"/>
          <w:color w:val="010000"/>
        </w:rPr>
        <w:t xml:space="preserve"> </w:t>
      </w:r>
      <w:r>
        <w:rPr>
          <w:rFonts w:ascii="Arial" w:cs="Arial" w:eastAsia="Arial" w:hAnsi="Arial"/>
          <w:sz w:val="19"/>
          <w:szCs w:val="19"/>
          <w:color w:val="000000"/>
        </w:rPr>
        <w:t xml:space="preserve">of the below-described Specified Intellectual Property of each of the Grantors (limited, in the case of each Foreign Grantor, to U.S. Specified Intellectual Property): (i) state, U.S. and foreign trademark registrations, and applications for trademark registration, (ii) U.S. and foreign patents and patent applications, together with all reissuances, continuations, continuations in part, revisions, extensions, and reexaminations thereof, (iii) U.S. and foreign copyright registrations and applications for registration, (iv) Exclusive Copyright Licenses, (v) foreign industrial design registrations and industrial design applications, and (vi) domain names. All of the U.S. registrations, applications for registration or applications for issuance of such Specified Intellectual Property are valid and subsisting, in good standing and, subject to </w:t>
      </w:r>
      <w:r>
        <w:rPr>
          <w:rFonts w:ascii="Arial" w:cs="Arial" w:eastAsia="Arial" w:hAnsi="Arial"/>
          <w:sz w:val="19"/>
          <w:szCs w:val="19"/>
          <w:u w:val="single" w:color="auto"/>
          <w:color w:val="000000"/>
        </w:rPr>
        <w:t>Section 3.10.10</w:t>
      </w:r>
      <w:r>
        <w:rPr>
          <w:rFonts w:ascii="Arial" w:cs="Arial" w:eastAsia="Arial" w:hAnsi="Arial"/>
          <w:sz w:val="19"/>
          <w:szCs w:val="19"/>
          <w:color w:val="000000"/>
        </w:rPr>
        <w:t>, are recorded or in the process of being recorded in the name of the applicable Grantor, except as could not be reasonably expected to result in a Material Adverse Effect.</w:t>
      </w:r>
    </w:p>
    <w:p>
      <w:pPr>
        <w:spacing w:after="0" w:line="158"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3.10.2 </w:t>
      </w:r>
      <w:r>
        <w:rPr>
          <w:rFonts w:ascii="Arial" w:cs="Arial" w:eastAsia="Arial" w:hAnsi="Arial"/>
          <w:sz w:val="22"/>
          <w:szCs w:val="22"/>
          <w:color w:val="000000"/>
        </w:rPr>
        <w:t>Such Intellectual Property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Exhibit “B”</w:t>
      </w:r>
      <w:r>
        <w:rPr>
          <w:rFonts w:ascii="Arial" w:cs="Arial" w:eastAsia="Arial" w:hAnsi="Arial"/>
          <w:sz w:val="22"/>
          <w:szCs w:val="22"/>
          <w:color w:val="010000"/>
        </w:rPr>
        <w:t xml:space="preserve"> </w:t>
      </w:r>
      <w:r>
        <w:rPr>
          <w:rFonts w:ascii="Arial" w:cs="Arial" w:eastAsia="Arial" w:hAnsi="Arial"/>
          <w:sz w:val="22"/>
          <w:szCs w:val="22"/>
          <w:color w:val="000000"/>
        </w:rPr>
        <w:t>is valid, subsisting, unexpired (where registered) and</w:t>
      </w:r>
      <w:r>
        <w:rPr>
          <w:rFonts w:ascii="Arial" w:cs="Arial" w:eastAsia="Arial" w:hAnsi="Arial"/>
          <w:sz w:val="22"/>
          <w:szCs w:val="22"/>
          <w:color w:val="010000"/>
        </w:rPr>
        <w:t xml:space="preserve"> </w:t>
      </w:r>
      <w:r>
        <w:rPr>
          <w:rFonts w:ascii="Arial" w:cs="Arial" w:eastAsia="Arial" w:hAnsi="Arial"/>
          <w:sz w:val="22"/>
          <w:szCs w:val="22"/>
          <w:color w:val="000000"/>
        </w:rPr>
        <w:t>enforceable and has not been abandoned or adjudged invalid or unenforceable, in whole or in part, except as could not be reasonably expected to result in a Material Adverse Effect.</w:t>
      </w:r>
    </w:p>
    <w:p>
      <w:pPr>
        <w:spacing w:after="0" w:line="185" w:lineRule="exact"/>
        <w:rPr>
          <w:sz w:val="20"/>
          <w:szCs w:val="20"/>
          <w:color w:val="auto"/>
        </w:rPr>
      </w:pPr>
    </w:p>
    <w:p>
      <w:pPr>
        <w:jc w:val="both"/>
        <w:ind w:left="660" w:firstLine="972"/>
        <w:spacing w:after="0" w:line="306" w:lineRule="auto"/>
        <w:rPr>
          <w:sz w:val="20"/>
          <w:szCs w:val="20"/>
          <w:color w:val="auto"/>
        </w:rPr>
      </w:pPr>
      <w:r>
        <w:rPr>
          <w:rFonts w:ascii="Arial" w:cs="Arial" w:eastAsia="Arial" w:hAnsi="Arial"/>
          <w:sz w:val="19"/>
          <w:szCs w:val="19"/>
          <w:color w:val="010000"/>
        </w:rPr>
        <w:t xml:space="preserve">3.10.3 </w:t>
      </w:r>
      <w:r>
        <w:rPr>
          <w:rFonts w:ascii="Arial" w:cs="Arial" w:eastAsia="Arial" w:hAnsi="Arial"/>
          <w:sz w:val="19"/>
          <w:szCs w:val="19"/>
          <w:color w:val="000000"/>
        </w:rPr>
        <w:t>Subject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3.10.10</w:t>
      </w:r>
      <w:r>
        <w:rPr>
          <w:rFonts w:ascii="Arial" w:cs="Arial" w:eastAsia="Arial" w:hAnsi="Arial"/>
          <w:sz w:val="19"/>
          <w:szCs w:val="19"/>
          <w:color w:val="000000"/>
        </w:rPr>
        <w:t>, (i) no Person other than the respective Grantor (or any other Grantor)</w:t>
      </w:r>
      <w:r>
        <w:rPr>
          <w:rFonts w:ascii="Arial" w:cs="Arial" w:eastAsia="Arial" w:hAnsi="Arial"/>
          <w:sz w:val="19"/>
          <w:szCs w:val="19"/>
          <w:color w:val="010000"/>
        </w:rPr>
        <w:t xml:space="preserve"> </w:t>
      </w:r>
      <w:r>
        <w:rPr>
          <w:rFonts w:ascii="Arial" w:cs="Arial" w:eastAsia="Arial" w:hAnsi="Arial"/>
          <w:sz w:val="19"/>
          <w:szCs w:val="19"/>
          <w:color w:val="000000"/>
        </w:rPr>
        <w:t>has any right or interest of any kind or nature in or to the Specified Intellectual Property owned by such Grantor, including any right to sell, license, lease, transfer, distribute, use or otherwise exploit such Specified Intellectual Property or any portion thereof outside of the ordinary course of the respective Grantor’s business, except as could not be reasonably expected to result in a Material Adverse Effect and (ii) each Grantor has good, marketable and exclusive title to, and the valid and enforceable power and right to sell, license, transfer, distribute, use and otherwise exploit, its Specified Intellectual Property, except as could not be reasonably expected to result in a Material Adverse Effect.</w:t>
      </w:r>
    </w:p>
    <w:p>
      <w:pPr>
        <w:spacing w:after="0" w:line="156"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3.10.4 </w:t>
      </w:r>
      <w:r>
        <w:rPr>
          <w:rFonts w:ascii="Arial" w:cs="Arial" w:eastAsia="Arial" w:hAnsi="Arial"/>
          <w:sz w:val="21"/>
          <w:szCs w:val="21"/>
          <w:color w:val="000000"/>
        </w:rPr>
        <w:t>Each Grantor has taken or caused to be taken steps so that none of its Specified Intellectual</w:t>
      </w:r>
      <w:r>
        <w:rPr>
          <w:rFonts w:ascii="Arial" w:cs="Arial" w:eastAsia="Arial" w:hAnsi="Arial"/>
          <w:sz w:val="21"/>
          <w:szCs w:val="21"/>
          <w:color w:val="010000"/>
        </w:rPr>
        <w:t xml:space="preserve"> </w:t>
      </w:r>
      <w:r>
        <w:rPr>
          <w:rFonts w:ascii="Arial" w:cs="Arial" w:eastAsia="Arial" w:hAnsi="Arial"/>
          <w:sz w:val="21"/>
          <w:szCs w:val="21"/>
          <w:color w:val="000000"/>
        </w:rPr>
        <w:t>Property, the value of which to the Grantors are contingent upon maintenance of the confidentiality thereof, have been disclosed by such Grantor to any Person other than any Affiliate owners thereof and employees, contractors, customers, representatives and agents of the Grantors or such Affiliate owners who are parties to customary confidentiality and nondisclosure agreements with the Grantors or such Affiliate owners, as applicable.</w:t>
      </w:r>
    </w:p>
    <w:p>
      <w:pPr>
        <w:spacing w:after="0" w:line="177"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3.10.5 </w:t>
      </w:r>
      <w:r>
        <w:rPr>
          <w:rFonts w:ascii="Arial" w:cs="Arial" w:eastAsia="Arial" w:hAnsi="Arial"/>
          <w:sz w:val="22"/>
          <w:szCs w:val="22"/>
          <w:color w:val="000000"/>
        </w:rPr>
        <w:t>To each Grantor’s knowledge, no Person has violated, infringed upon or breached, or is currently</w:t>
      </w:r>
      <w:r>
        <w:rPr>
          <w:rFonts w:ascii="Arial" w:cs="Arial" w:eastAsia="Arial" w:hAnsi="Arial"/>
          <w:sz w:val="22"/>
          <w:szCs w:val="22"/>
          <w:color w:val="010000"/>
        </w:rPr>
        <w:t xml:space="preserve"> </w:t>
      </w:r>
      <w:r>
        <w:rPr>
          <w:rFonts w:ascii="Arial" w:cs="Arial" w:eastAsia="Arial" w:hAnsi="Arial"/>
          <w:sz w:val="22"/>
          <w:szCs w:val="22"/>
          <w:color w:val="000000"/>
        </w:rPr>
        <w:t>violating, infringing upon or breaching, any of the rights of the Grantors to the Specified Intellectual Property or has breached or is breaching any duty or obligation owed to the Grantors in respect of the Specified Intellectual Property except where those breaches, individually or in the aggregate, could not be reasonably expected to result in a Material Adverse Effect.</w:t>
      </w:r>
    </w:p>
    <w:p>
      <w:pPr>
        <w:spacing w:after="0" w:line="190"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3.10.6 </w:t>
      </w:r>
      <w:r>
        <w:rPr>
          <w:rFonts w:ascii="Arial" w:cs="Arial" w:eastAsia="Arial" w:hAnsi="Arial"/>
          <w:sz w:val="22"/>
          <w:szCs w:val="22"/>
          <w:color w:val="000000"/>
        </w:rPr>
        <w:t>No settlement or consents, covenants not to sue, nonassertion assurances, or releases have been</w:t>
      </w:r>
      <w:r>
        <w:rPr>
          <w:rFonts w:ascii="Arial" w:cs="Arial" w:eastAsia="Arial" w:hAnsi="Arial"/>
          <w:sz w:val="22"/>
          <w:szCs w:val="22"/>
          <w:color w:val="010000"/>
        </w:rPr>
        <w:t xml:space="preserve"> </w:t>
      </w:r>
      <w:r>
        <w:rPr>
          <w:rFonts w:ascii="Arial" w:cs="Arial" w:eastAsia="Arial" w:hAnsi="Arial"/>
          <w:sz w:val="22"/>
          <w:szCs w:val="22"/>
          <w:color w:val="000000"/>
        </w:rPr>
        <w:t>entered into by any Grantor or to which any Grantor is bound that adversely affects its rights to own or use any Specified Intellectual Property except as could not be reasonably expected to result in a Material Adverse Effect, in each case individually or in the aggregate.</w:t>
      </w:r>
    </w:p>
    <w:p>
      <w:pPr>
        <w:spacing w:after="0" w:line="191"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3.10.7 </w:t>
      </w:r>
      <w:r>
        <w:rPr>
          <w:rFonts w:ascii="Arial" w:cs="Arial" w:eastAsia="Arial" w:hAnsi="Arial"/>
          <w:sz w:val="22"/>
          <w:szCs w:val="22"/>
          <w:color w:val="000000"/>
        </w:rPr>
        <w:t>No Grantor has received any written notice that remains outstanding challenging the validity,</w:t>
      </w:r>
      <w:r>
        <w:rPr>
          <w:rFonts w:ascii="Arial" w:cs="Arial" w:eastAsia="Arial" w:hAnsi="Arial"/>
          <w:sz w:val="22"/>
          <w:szCs w:val="22"/>
          <w:color w:val="010000"/>
        </w:rPr>
        <w:t xml:space="preserve"> </w:t>
      </w:r>
      <w:r>
        <w:rPr>
          <w:rFonts w:ascii="Arial" w:cs="Arial" w:eastAsia="Arial" w:hAnsi="Arial"/>
          <w:sz w:val="22"/>
          <w:szCs w:val="22"/>
          <w:color w:val="000000"/>
        </w:rPr>
        <w:t>enforceability, or ownership of any Specified Intellectual Property except where those challenges could not reasonably be expected to result in a Material Adverse Effect, and to such Grantor’s knowledge at the date hereof there are no facts upon which such a challenge could be made.</w:t>
      </w:r>
    </w:p>
    <w:p>
      <w:pPr>
        <w:spacing w:after="0" w:line="191"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3.10.8 </w:t>
      </w:r>
      <w:r>
        <w:rPr>
          <w:rFonts w:ascii="Arial" w:cs="Arial" w:eastAsia="Arial" w:hAnsi="Arial"/>
          <w:sz w:val="22"/>
          <w:szCs w:val="22"/>
          <w:color w:val="000000"/>
        </w:rPr>
        <w:t>Each Grantor owns directly or is entitled to use, by license or otherwise, all Specified Intellectual</w:t>
      </w:r>
      <w:r>
        <w:rPr>
          <w:rFonts w:ascii="Arial" w:cs="Arial" w:eastAsia="Arial" w:hAnsi="Arial"/>
          <w:sz w:val="22"/>
          <w:szCs w:val="22"/>
          <w:color w:val="010000"/>
        </w:rPr>
        <w:t xml:space="preserve"> </w:t>
      </w:r>
      <w:r>
        <w:rPr>
          <w:rFonts w:ascii="Arial" w:cs="Arial" w:eastAsia="Arial" w:hAnsi="Arial"/>
          <w:sz w:val="22"/>
          <w:szCs w:val="22"/>
          <w:color w:val="000000"/>
        </w:rPr>
        <w:t>Property necessary for the conduct of such Grantor’s business, and the conduct of each Grantor’s business does not infringe upon the Intellectual Property of any other Person, except as could not reasonably be expected to result in a Material Adverse Effect.</w:t>
      </w:r>
    </w:p>
    <w:p>
      <w:pPr>
        <w:spacing w:after="0" w:line="191" w:lineRule="exact"/>
        <w:rPr>
          <w:sz w:val="20"/>
          <w:szCs w:val="20"/>
          <w:color w:val="auto"/>
        </w:rPr>
      </w:pPr>
    </w:p>
    <w:p>
      <w:pPr>
        <w:jc w:val="both"/>
        <w:ind w:left="660" w:firstLine="972"/>
        <w:spacing w:after="0" w:line="301" w:lineRule="auto"/>
        <w:rPr>
          <w:sz w:val="20"/>
          <w:szCs w:val="20"/>
          <w:color w:val="auto"/>
        </w:rPr>
      </w:pPr>
      <w:r>
        <w:rPr>
          <w:rFonts w:ascii="Arial" w:cs="Arial" w:eastAsia="Arial" w:hAnsi="Arial"/>
          <w:sz w:val="21"/>
          <w:szCs w:val="21"/>
          <w:color w:val="010000"/>
        </w:rPr>
        <w:t xml:space="preserve">3.10.9 </w:t>
      </w:r>
      <w:r>
        <w:rPr>
          <w:rFonts w:ascii="Arial" w:cs="Arial" w:eastAsia="Arial" w:hAnsi="Arial"/>
          <w:sz w:val="21"/>
          <w:szCs w:val="21"/>
          <w:color w:val="000000"/>
        </w:rPr>
        <w:t>The consummation of the transactions contemplated by the Loan Documents will not result in the</w:t>
      </w:r>
      <w:r>
        <w:rPr>
          <w:rFonts w:ascii="Arial" w:cs="Arial" w:eastAsia="Arial" w:hAnsi="Arial"/>
          <w:sz w:val="21"/>
          <w:szCs w:val="21"/>
          <w:color w:val="010000"/>
        </w:rPr>
        <w:t xml:space="preserve"> </w:t>
      </w:r>
      <w:r>
        <w:rPr>
          <w:rFonts w:ascii="Arial" w:cs="Arial" w:eastAsia="Arial" w:hAnsi="Arial"/>
          <w:sz w:val="21"/>
          <w:szCs w:val="21"/>
          <w:color w:val="000000"/>
        </w:rPr>
        <w:t>termination or material impairment of any material Specified Intellectual Property owned by such Grantor.</w:t>
      </w:r>
    </w:p>
    <w:p>
      <w:pPr>
        <w:sectPr>
          <w:pgSz w:w="11900" w:h="16922" w:orient="portrait"/>
          <w:cols w:equalWidth="0" w:num="1">
            <w:col w:w="11240"/>
          </w:cols>
          <w:pgMar w:left="320" w:top="131" w:right="339" w:bottom="0" w:gutter="0" w:footer="0" w:header="0"/>
        </w:sectPr>
      </w:pPr>
    </w:p>
    <w:bookmarkStart w:id="459" w:name="page460"/>
    <w:bookmarkEnd w:id="459"/>
    <w:p>
      <w:pPr>
        <w:ind w:left="660" w:right="20" w:firstLine="972"/>
        <w:spacing w:after="0" w:line="276" w:lineRule="auto"/>
        <w:rPr>
          <w:sz w:val="20"/>
          <w:szCs w:val="20"/>
          <w:color w:val="auto"/>
        </w:rPr>
      </w:pPr>
      <w:r>
        <w:rPr>
          <w:rFonts w:ascii="Arial" w:cs="Arial" w:eastAsia="Arial" w:hAnsi="Arial"/>
          <w:sz w:val="22"/>
          <w:szCs w:val="22"/>
          <w:color w:val="010000"/>
        </w:rPr>
        <w:t xml:space="preserve">3.10.10 </w:t>
      </w:r>
      <w:r>
        <w:rPr>
          <w:rFonts w:ascii="Arial" w:cs="Arial" w:eastAsia="Arial" w:hAnsi="Arial"/>
          <w:sz w:val="22"/>
          <w:szCs w:val="22"/>
          <w:color w:val="000000"/>
        </w:rPr>
        <w:t>Each party hereto acknowledges that certain Specified Intellectual Property is owned in part by</w:t>
      </w:r>
      <w:r>
        <w:rPr>
          <w:rFonts w:ascii="Arial" w:cs="Arial" w:eastAsia="Arial" w:hAnsi="Arial"/>
          <w:sz w:val="22"/>
          <w:szCs w:val="22"/>
          <w:color w:val="010000"/>
        </w:rPr>
        <w:t xml:space="preserve"> </w:t>
      </w:r>
      <w:r>
        <w:rPr>
          <w:rFonts w:ascii="Arial" w:cs="Arial" w:eastAsia="Arial" w:hAnsi="Arial"/>
          <w:sz w:val="22"/>
          <w:szCs w:val="22"/>
          <w:color w:val="000000"/>
        </w:rPr>
        <w:t xml:space="preserve">the Grantors and in part by Affiliates of the Grantors, in each case as scheduled on </w:t>
      </w:r>
      <w:r>
        <w:rPr>
          <w:rFonts w:ascii="Arial" w:cs="Arial" w:eastAsia="Arial" w:hAnsi="Arial"/>
          <w:sz w:val="22"/>
          <w:szCs w:val="22"/>
          <w:u w:val="single" w:color="auto"/>
          <w:color w:val="000000"/>
        </w:rPr>
        <w:t>Exhibit “B”</w:t>
      </w:r>
      <w:r>
        <w:rPr>
          <w:rFonts w:ascii="Arial" w:cs="Arial" w:eastAsia="Arial" w:hAnsi="Arial"/>
          <w:sz w:val="22"/>
          <w:szCs w:val="22"/>
          <w:color w:val="000000"/>
        </w:rPr>
        <w:t>.</w:t>
      </w:r>
    </w:p>
    <w:p>
      <w:pPr>
        <w:spacing w:after="0" w:line="17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u w:val="single" w:color="auto"/>
          <w:color w:val="auto"/>
        </w:rPr>
        <w:t>Specified Deposit Accounts and Securities Accounts</w:t>
      </w:r>
      <w:r>
        <w:rPr>
          <w:rFonts w:ascii="Arial" w:cs="Arial" w:eastAsia="Arial" w:hAnsi="Arial"/>
          <w:sz w:val="22"/>
          <w:szCs w:val="22"/>
          <w:color w:val="auto"/>
        </w:rPr>
        <w:t xml:space="preserve">. All of such Grantor’s Specified Deposit Accounts and Securities Accounts (limited, in the case of each Foreign Grantor, to Specified Deposit Accounts and Securities Accounts located in the United States) as of the applicable Determination Date are listed on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23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4.1.1 </w:t>
      </w:r>
      <w:r>
        <w:rPr>
          <w:rFonts w:ascii="Arial" w:cs="Arial" w:eastAsia="Arial" w:hAnsi="Arial"/>
          <w:sz w:val="22"/>
          <w:szCs w:val="22"/>
          <w:u w:val="single" w:color="auto"/>
          <w:color w:val="000000"/>
        </w:rPr>
        <w:t>Records</w:t>
      </w:r>
      <w:r>
        <w:rPr>
          <w:rFonts w:ascii="Arial" w:cs="Arial" w:eastAsia="Arial" w:hAnsi="Arial"/>
          <w:sz w:val="22"/>
          <w:szCs w:val="22"/>
          <w:color w:val="000000"/>
        </w:rPr>
        <w:t>. Each Grantor shall keep and maintain, in a manner consistent with prudent business</w:t>
      </w:r>
      <w:r>
        <w:rPr>
          <w:rFonts w:ascii="Arial" w:cs="Arial" w:eastAsia="Arial" w:hAnsi="Arial"/>
          <w:sz w:val="22"/>
          <w:szCs w:val="22"/>
          <w:color w:val="010000"/>
        </w:rPr>
        <w:t xml:space="preserve"> </w:t>
      </w:r>
      <w:r>
        <w:rPr>
          <w:rFonts w:ascii="Arial" w:cs="Arial" w:eastAsia="Arial" w:hAnsi="Arial"/>
          <w:sz w:val="22"/>
          <w:szCs w:val="22"/>
          <w:color w:val="000000"/>
        </w:rPr>
        <w:t>practices, reasonably complete, accurate and proper books and records with respect to the Collateral owned by such Grantor.</w:t>
      </w:r>
    </w:p>
    <w:p>
      <w:pPr>
        <w:spacing w:after="0" w:line="185" w:lineRule="exact"/>
        <w:rPr>
          <w:sz w:val="20"/>
          <w:szCs w:val="20"/>
          <w:color w:val="auto"/>
        </w:rPr>
      </w:pPr>
    </w:p>
    <w:p>
      <w:pPr>
        <w:jc w:val="both"/>
        <w:ind w:left="660" w:firstLine="972"/>
        <w:spacing w:after="0" w:line="300" w:lineRule="auto"/>
        <w:rPr>
          <w:sz w:val="20"/>
          <w:szCs w:val="20"/>
          <w:color w:val="auto"/>
        </w:rPr>
      </w:pPr>
      <w:r>
        <w:rPr>
          <w:rFonts w:ascii="Arial" w:cs="Arial" w:eastAsia="Arial" w:hAnsi="Arial"/>
          <w:sz w:val="19"/>
          <w:szCs w:val="19"/>
          <w:color w:val="010000"/>
        </w:rPr>
        <w:t xml:space="preserve">4.1.2 </w:t>
      </w:r>
      <w:r>
        <w:rPr>
          <w:rFonts w:ascii="Arial" w:cs="Arial" w:eastAsia="Arial" w:hAnsi="Arial"/>
          <w:sz w:val="19"/>
          <w:szCs w:val="19"/>
          <w:u w:val="single" w:color="auto"/>
          <w:color w:val="000000"/>
        </w:rPr>
        <w:t>Financing Statements and Other Actions; Defense of Title</w:t>
      </w:r>
      <w:r>
        <w:rPr>
          <w:rFonts w:ascii="Arial" w:cs="Arial" w:eastAsia="Arial" w:hAnsi="Arial"/>
          <w:sz w:val="19"/>
          <w:szCs w:val="19"/>
          <w:color w:val="000000"/>
        </w:rPr>
        <w:t>. Each Grantor hereby authorizes the</w:t>
      </w:r>
      <w:r>
        <w:rPr>
          <w:rFonts w:ascii="Arial" w:cs="Arial" w:eastAsia="Arial" w:hAnsi="Arial"/>
          <w:sz w:val="19"/>
          <w:szCs w:val="19"/>
          <w:color w:val="010000"/>
        </w:rPr>
        <w:t xml:space="preserve"> </w:t>
      </w:r>
      <w:r>
        <w:rPr>
          <w:rFonts w:ascii="Arial" w:cs="Arial" w:eastAsia="Arial" w:hAnsi="Arial"/>
          <w:sz w:val="19"/>
          <w:szCs w:val="19"/>
          <w:color w:val="000000"/>
        </w:rPr>
        <w:t xml:space="preserve">Agent to file, and if requested will execute and deliver to the Agent, all financing statements describing the Collateral owned by such Grantor and other documents and take such other actions as may from time to time reasonably be requested by the Agent in order to maintain a perfected security interest with the priority set forth in the Intercreditor Agreement in and Lien on, and, if applicable, Control of, the Collateral owned by such Grantor, subject to Liens permitted under Section 8.04 of the LC Credit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nothing herein shall be deemed to constitute an agreement to subordinate any of the Liens of the Agent under the Loan Documents to any Liens otherwise permitted under Section 8.04 of the LC Credit Agreement. Such financing statements may describe the Collateral in the same manner as described herein or may contain an indication or description of Collateral that describes such Collateral in any other manner as the Agent may reasonably determine is necessary, advisable or prudent to ensure the perfection of the security interest in the Collateral granted to the Agent herein, including, without limitation, describing such property as “all assets of the debtor whether now owned or hereafter acquired and wheresoever located, including all accessions thereto and proceeds thereof” or an equivalent formulation. Each Grantor will take any and all actions reasonably necessary to defend title to the Collateral owned by such Grantor against all persons and to defend the security interest of the Agent in such Collateral and the priority thereof against any Lien, in each case, not expressly permitted hereunder or under the LC Credit Agreement.</w:t>
      </w:r>
    </w:p>
    <w:p>
      <w:pPr>
        <w:spacing w:after="0" w:line="200" w:lineRule="exact"/>
        <w:rPr>
          <w:sz w:val="20"/>
          <w:szCs w:val="20"/>
          <w:color w:val="auto"/>
        </w:rPr>
      </w:pPr>
    </w:p>
    <w:p>
      <w:pPr>
        <w:spacing w:after="0" w:line="239"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2"/>
          <w:szCs w:val="22"/>
          <w:color w:val="010000"/>
        </w:rPr>
        <w:t xml:space="preserve">4.1.3 </w:t>
      </w:r>
      <w:r>
        <w:rPr>
          <w:rFonts w:ascii="Arial" w:cs="Arial" w:eastAsia="Arial" w:hAnsi="Arial"/>
          <w:sz w:val="22"/>
          <w:szCs w:val="22"/>
          <w:u w:val="single" w:color="auto"/>
          <w:color w:val="000000"/>
        </w:rPr>
        <w:t>Change in Corporate Existence, Type or Jurisdiction of Organization, Location, Name</w:t>
      </w:r>
      <w:r>
        <w:rPr>
          <w:rFonts w:ascii="Arial" w:cs="Arial" w:eastAsia="Arial" w:hAnsi="Arial"/>
          <w:sz w:val="22"/>
          <w:szCs w:val="22"/>
          <w:color w:val="000000"/>
        </w:rPr>
        <w:t>. Each</w:t>
      </w:r>
      <w:r>
        <w:rPr>
          <w:rFonts w:ascii="Arial" w:cs="Arial" w:eastAsia="Arial" w:hAnsi="Arial"/>
          <w:sz w:val="22"/>
          <w:szCs w:val="22"/>
          <w:color w:val="010000"/>
        </w:rPr>
        <w:t xml:space="preserve"> </w:t>
      </w:r>
      <w:r>
        <w:rPr>
          <w:rFonts w:ascii="Arial" w:cs="Arial" w:eastAsia="Arial" w:hAnsi="Arial"/>
          <w:sz w:val="22"/>
          <w:szCs w:val="22"/>
          <w:color w:val="000000"/>
        </w:rPr>
        <w:t>Grantor will, except as otherwise permitted by the LC Credit Agreement:</w:t>
      </w:r>
    </w:p>
    <w:p>
      <w:pPr>
        <w:spacing w:after="0" w:line="168" w:lineRule="exact"/>
        <w:rPr>
          <w:sz w:val="20"/>
          <w:szCs w:val="20"/>
          <w:color w:val="auto"/>
        </w:rPr>
      </w:pPr>
    </w:p>
    <w:p>
      <w:pPr>
        <w:ind w:left="2600" w:hanging="648"/>
        <w:spacing w:after="0"/>
        <w:tabs>
          <w:tab w:leader="none" w:pos="2600" w:val="left"/>
        </w:tabs>
        <w:numPr>
          <w:ilvl w:val="0"/>
          <w:numId w:val="519"/>
        </w:numPr>
        <w:rPr>
          <w:rFonts w:ascii="Arial" w:cs="Arial" w:eastAsia="Arial" w:hAnsi="Arial"/>
          <w:sz w:val="18"/>
          <w:szCs w:val="18"/>
          <w:color w:val="010000"/>
        </w:rPr>
      </w:pPr>
      <w:r>
        <w:rPr>
          <w:rFonts w:ascii="Arial" w:cs="Arial" w:eastAsia="Arial" w:hAnsi="Arial"/>
          <w:sz w:val="18"/>
          <w:szCs w:val="18"/>
          <w:color w:val="auto"/>
        </w:rPr>
        <w:t>preserve its existence and corporate structure as in effect on the Effective Date;</w:t>
      </w:r>
    </w:p>
    <w:p>
      <w:pPr>
        <w:spacing w:after="0" w:line="225" w:lineRule="exact"/>
        <w:rPr>
          <w:rFonts w:ascii="Arial" w:cs="Arial" w:eastAsia="Arial" w:hAnsi="Arial"/>
          <w:sz w:val="18"/>
          <w:szCs w:val="18"/>
          <w:color w:val="010000"/>
        </w:rPr>
      </w:pPr>
    </w:p>
    <w:p>
      <w:pPr>
        <w:ind w:left="2600" w:hanging="648"/>
        <w:spacing w:after="0"/>
        <w:tabs>
          <w:tab w:leader="none" w:pos="2600" w:val="left"/>
        </w:tabs>
        <w:numPr>
          <w:ilvl w:val="0"/>
          <w:numId w:val="519"/>
        </w:numPr>
        <w:rPr>
          <w:rFonts w:ascii="Arial" w:cs="Arial" w:eastAsia="Arial" w:hAnsi="Arial"/>
          <w:sz w:val="18"/>
          <w:szCs w:val="18"/>
          <w:color w:val="010000"/>
        </w:rPr>
      </w:pPr>
      <w:r>
        <w:rPr>
          <w:rFonts w:ascii="Arial" w:cs="Arial" w:eastAsia="Arial" w:hAnsi="Arial"/>
          <w:sz w:val="18"/>
          <w:szCs w:val="18"/>
          <w:color w:val="auto"/>
        </w:rPr>
        <w:t>not change its name or jurisdiction of organization or incorporation;</w:t>
      </w:r>
    </w:p>
    <w:p>
      <w:pPr>
        <w:spacing w:after="0" w:line="225" w:lineRule="exact"/>
        <w:rPr>
          <w:rFonts w:ascii="Arial" w:cs="Arial" w:eastAsia="Arial" w:hAnsi="Arial"/>
          <w:sz w:val="18"/>
          <w:szCs w:val="18"/>
          <w:color w:val="010000"/>
        </w:rPr>
      </w:pPr>
    </w:p>
    <w:p>
      <w:pPr>
        <w:ind w:left="2600" w:right="20" w:hanging="648"/>
        <w:spacing w:after="0" w:line="277" w:lineRule="auto"/>
        <w:tabs>
          <w:tab w:leader="none" w:pos="2600" w:val="left"/>
        </w:tabs>
        <w:numPr>
          <w:ilvl w:val="0"/>
          <w:numId w:val="519"/>
        </w:numPr>
        <w:rPr>
          <w:rFonts w:ascii="Arial" w:cs="Arial" w:eastAsia="Arial" w:hAnsi="Arial"/>
          <w:sz w:val="18"/>
          <w:szCs w:val="18"/>
          <w:color w:val="010000"/>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ind w:left="2600" w:hanging="648"/>
        <w:spacing w:after="0"/>
        <w:tabs>
          <w:tab w:leader="none" w:pos="2600" w:val="left"/>
        </w:tabs>
        <w:numPr>
          <w:ilvl w:val="0"/>
          <w:numId w:val="519"/>
        </w:numPr>
        <w:rPr>
          <w:rFonts w:ascii="Arial" w:cs="Arial" w:eastAsia="Arial" w:hAnsi="Arial"/>
          <w:sz w:val="18"/>
          <w:szCs w:val="18"/>
          <w:color w:val="010000"/>
        </w:rPr>
      </w:pPr>
      <w:r>
        <w:rPr>
          <w:rFonts w:ascii="Arial" w:cs="Arial" w:eastAsia="Arial" w:hAnsi="Arial"/>
          <w:sz w:val="18"/>
          <w:szCs w:val="18"/>
          <w:color w:val="auto"/>
        </w:rPr>
        <w:t>not change its taxpayer identification number (if any) or its mailing address,</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unless, in each such case, such Grantor shall have given the Agent not less than 10 days’ (or such shorter period as the Agent may agree) prior written notice of such event or occurrence.</w:t>
      </w:r>
    </w:p>
    <w:p>
      <w:pPr>
        <w:spacing w:after="0" w:line="174" w:lineRule="exact"/>
        <w:rPr>
          <w:sz w:val="20"/>
          <w:szCs w:val="20"/>
          <w:color w:val="auto"/>
        </w:rPr>
      </w:pPr>
    </w:p>
    <w:p>
      <w:pPr>
        <w:jc w:val="both"/>
        <w:ind w:left="660" w:firstLine="972"/>
        <w:spacing w:after="0" w:line="273" w:lineRule="auto"/>
        <w:rPr>
          <w:sz w:val="20"/>
          <w:szCs w:val="20"/>
          <w:color w:val="auto"/>
        </w:rPr>
      </w:pPr>
      <w:r>
        <w:rPr>
          <w:rFonts w:ascii="Arial" w:cs="Arial" w:eastAsia="Arial" w:hAnsi="Arial"/>
          <w:sz w:val="21"/>
          <w:szCs w:val="21"/>
          <w:color w:val="010000"/>
        </w:rPr>
        <w:t xml:space="preserve">4.1.4 </w:t>
      </w:r>
      <w:r>
        <w:rPr>
          <w:rFonts w:ascii="Arial" w:cs="Arial" w:eastAsia="Arial" w:hAnsi="Arial"/>
          <w:sz w:val="21"/>
          <w:szCs w:val="21"/>
          <w:u w:val="single" w:color="auto"/>
          <w:color w:val="000000"/>
        </w:rPr>
        <w:t>Other Financing Statements</w:t>
      </w:r>
      <w:r>
        <w:rPr>
          <w:rFonts w:ascii="Arial" w:cs="Arial" w:eastAsia="Arial" w:hAnsi="Arial"/>
          <w:sz w:val="21"/>
          <w:szCs w:val="21"/>
          <w:color w:val="000000"/>
        </w:rPr>
        <w:t>. No Grantor will suffer to exist or authorize the filing of any financing</w:t>
      </w:r>
      <w:r>
        <w:rPr>
          <w:rFonts w:ascii="Arial" w:cs="Arial" w:eastAsia="Arial" w:hAnsi="Arial"/>
          <w:sz w:val="21"/>
          <w:szCs w:val="21"/>
          <w:color w:val="010000"/>
        </w:rPr>
        <w:t xml:space="preserve"> </w:t>
      </w:r>
      <w:r>
        <w:rPr>
          <w:rFonts w:ascii="Arial" w:cs="Arial" w:eastAsia="Arial" w:hAnsi="Arial"/>
          <w:sz w:val="21"/>
          <w:szCs w:val="21"/>
          <w:color w:val="000000"/>
        </w:rPr>
        <w:t xml:space="preserve">statement naming it as debtor covering all or any portion of the Collateral owned by such Grantor, except any financing statement authorized under </w:t>
      </w:r>
      <w:r>
        <w:rPr>
          <w:rFonts w:ascii="Arial" w:cs="Arial" w:eastAsia="Arial" w:hAnsi="Arial"/>
          <w:sz w:val="21"/>
          <w:szCs w:val="21"/>
          <w:u w:val="single" w:color="auto"/>
          <w:color w:val="000000"/>
        </w:rPr>
        <w:t>Section 4.1.2</w:t>
      </w:r>
      <w:r>
        <w:rPr>
          <w:rFonts w:ascii="Arial" w:cs="Arial" w:eastAsia="Arial" w:hAnsi="Arial"/>
          <w:sz w:val="21"/>
          <w:szCs w:val="21"/>
          <w:color w:val="000000"/>
        </w:rPr>
        <w:t xml:space="preserve"> hereof or in respect of a Lien permitted under Section 8.04 of the LC Credit Agreement. Each Grantor acknowledges that it is not authorized to file any financing statement or amendment or termination statement with respect to any financing statement filed in connection herewith prior to termination of this Security Agreement in accordance with the first sentence of </w:t>
      </w:r>
      <w:r>
        <w:rPr>
          <w:rFonts w:ascii="Arial" w:cs="Arial" w:eastAsia="Arial" w:hAnsi="Arial"/>
          <w:sz w:val="21"/>
          <w:szCs w:val="21"/>
          <w:u w:val="single" w:color="auto"/>
          <w:color w:val="000000"/>
        </w:rPr>
        <w:t>Section 8.13</w:t>
      </w:r>
      <w:r>
        <w:rPr>
          <w:rFonts w:ascii="Arial" w:cs="Arial" w:eastAsia="Arial" w:hAnsi="Arial"/>
          <w:sz w:val="21"/>
          <w:szCs w:val="21"/>
          <w:color w:val="000000"/>
        </w:rPr>
        <w:t xml:space="preserve"> hereof. without the prior written consent of the Agent, subject to such Grantor’s rights under Section 9-509(d)(2) of the UCC.</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Receivables</w:t>
      </w:r>
      <w:r>
        <w:rPr>
          <w:rFonts w:ascii="Arial" w:cs="Arial" w:eastAsia="Arial" w:hAnsi="Arial"/>
          <w:sz w:val="22"/>
          <w:szCs w:val="22"/>
          <w:color w:val="auto"/>
        </w:rPr>
        <w:t>.</w:t>
      </w:r>
    </w:p>
    <w:p>
      <w:pPr>
        <w:sectPr>
          <w:pgSz w:w="11900" w:h="16838" w:orient="portrait"/>
          <w:cols w:equalWidth="0" w:num="1">
            <w:col w:w="11240"/>
          </w:cols>
          <w:pgMar w:left="320" w:top="131" w:right="339" w:bottom="0" w:gutter="0" w:footer="0" w:header="0"/>
        </w:sectPr>
      </w:pPr>
    </w:p>
    <w:bookmarkStart w:id="460" w:name="page461"/>
    <w:bookmarkEnd w:id="460"/>
    <w:p>
      <w:pPr>
        <w:jc w:val="both"/>
        <w:ind w:left="660" w:firstLine="972"/>
        <w:spacing w:after="0" w:line="259" w:lineRule="auto"/>
        <w:rPr>
          <w:sz w:val="20"/>
          <w:szCs w:val="20"/>
          <w:color w:val="auto"/>
        </w:rPr>
      </w:pPr>
      <w:r>
        <w:rPr>
          <w:rFonts w:ascii="Arial" w:cs="Arial" w:eastAsia="Arial" w:hAnsi="Arial"/>
          <w:sz w:val="22"/>
          <w:szCs w:val="22"/>
          <w:color w:val="010000"/>
        </w:rPr>
        <w:t xml:space="preserve">4.2.1 </w:t>
      </w:r>
      <w:r>
        <w:rPr>
          <w:rFonts w:ascii="Arial" w:cs="Arial" w:eastAsia="Arial" w:hAnsi="Arial"/>
          <w:sz w:val="22"/>
          <w:szCs w:val="22"/>
          <w:u w:val="single" w:color="auto"/>
          <w:color w:val="000000"/>
        </w:rPr>
        <w:t>Certain Agreements on Receivables</w:t>
      </w:r>
      <w:r>
        <w:rPr>
          <w:rFonts w:ascii="Arial" w:cs="Arial" w:eastAsia="Arial" w:hAnsi="Arial"/>
          <w:sz w:val="22"/>
          <w:szCs w:val="22"/>
          <w:color w:val="000000"/>
        </w:rPr>
        <w:t>. After the occurrence and during the continuation of an Event</w:t>
      </w:r>
      <w:r>
        <w:rPr>
          <w:rFonts w:ascii="Arial" w:cs="Arial" w:eastAsia="Arial" w:hAnsi="Arial"/>
          <w:sz w:val="22"/>
          <w:szCs w:val="22"/>
          <w:color w:val="010000"/>
        </w:rPr>
        <w:t xml:space="preserve"> </w:t>
      </w:r>
      <w:r>
        <w:rPr>
          <w:rFonts w:ascii="Arial" w:cs="Arial" w:eastAsia="Arial" w:hAnsi="Arial"/>
          <w:sz w:val="22"/>
          <w:szCs w:val="22"/>
          <w:color w:val="000000"/>
        </w:rPr>
        <w:t>of Default, no Grantor will make or agree to make any discount, credit, rebate or other reduction in the original amount owing on a Receivable or accept in satisfaction of a Receivable less than the original amount thereof, except as permitted by the LC Credit Agreement. Prior to the occurrence and continuation of an Event of Default, such Grantor may, in its sole discretion, adjust the amount of Accounts arising from the sale of Inventory or the rendering of services in substantially accordance with its present policies and in the ordinary course of business and as otherwise permitted under the LC Credit Agreement.</w:t>
      </w:r>
    </w:p>
    <w:p>
      <w:pPr>
        <w:spacing w:after="0" w:line="195"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4.2.2 </w:t>
      </w:r>
      <w:r>
        <w:rPr>
          <w:rFonts w:ascii="Arial" w:cs="Arial" w:eastAsia="Arial" w:hAnsi="Arial"/>
          <w:sz w:val="22"/>
          <w:szCs w:val="22"/>
          <w:u w:val="single" w:color="auto"/>
          <w:color w:val="000000"/>
        </w:rPr>
        <w:t>Collection of Receivables</w:t>
      </w:r>
      <w:r>
        <w:rPr>
          <w:rFonts w:ascii="Arial" w:cs="Arial" w:eastAsia="Arial" w:hAnsi="Arial"/>
          <w:sz w:val="22"/>
          <w:szCs w:val="22"/>
          <w:color w:val="000000"/>
        </w:rPr>
        <w:t>. Except as otherwise provided in this Security Agreement or as otherwise</w:t>
      </w:r>
      <w:r>
        <w:rPr>
          <w:rFonts w:ascii="Arial" w:cs="Arial" w:eastAsia="Arial" w:hAnsi="Arial"/>
          <w:sz w:val="22"/>
          <w:szCs w:val="22"/>
          <w:color w:val="010000"/>
        </w:rPr>
        <w:t xml:space="preserve"> </w:t>
      </w:r>
      <w:r>
        <w:rPr>
          <w:rFonts w:ascii="Arial" w:cs="Arial" w:eastAsia="Arial" w:hAnsi="Arial"/>
          <w:sz w:val="22"/>
          <w:szCs w:val="22"/>
          <w:color w:val="000000"/>
        </w:rPr>
        <w:t>permitted under the LC Credit Agreement, each Grantor will use commercially reasonable efforts to collect and enforce, at such Grantor’s sole expense, all amounts due or hereafter due to such Grantor under the Receivables owned by such Grantor.</w:t>
      </w:r>
    </w:p>
    <w:p>
      <w:pPr>
        <w:spacing w:after="0" w:line="191" w:lineRule="exact"/>
        <w:rPr>
          <w:sz w:val="20"/>
          <w:szCs w:val="20"/>
          <w:color w:val="auto"/>
        </w:rPr>
      </w:pPr>
    </w:p>
    <w:p>
      <w:pPr>
        <w:jc w:val="both"/>
        <w:ind w:left="660" w:firstLine="972"/>
        <w:spacing w:after="0" w:line="327" w:lineRule="auto"/>
        <w:rPr>
          <w:sz w:val="20"/>
          <w:szCs w:val="20"/>
          <w:color w:val="auto"/>
        </w:rPr>
      </w:pPr>
      <w:r>
        <w:rPr>
          <w:rFonts w:ascii="Arial" w:cs="Arial" w:eastAsia="Arial" w:hAnsi="Arial"/>
          <w:sz w:val="19"/>
          <w:szCs w:val="19"/>
          <w:color w:val="010000"/>
        </w:rPr>
        <w:t xml:space="preserve">4.2.3 </w:t>
      </w:r>
      <w:r>
        <w:rPr>
          <w:rFonts w:ascii="Arial" w:cs="Arial" w:eastAsia="Arial" w:hAnsi="Arial"/>
          <w:sz w:val="19"/>
          <w:szCs w:val="19"/>
          <w:u w:val="single" w:color="auto"/>
          <w:color w:val="000000"/>
        </w:rPr>
        <w:t>Delivery of Invoices</w:t>
      </w:r>
      <w:r>
        <w:rPr>
          <w:rFonts w:ascii="Arial" w:cs="Arial" w:eastAsia="Arial" w:hAnsi="Arial"/>
          <w:sz w:val="19"/>
          <w:szCs w:val="19"/>
          <w:color w:val="000000"/>
        </w:rPr>
        <w:t>. Each Grantor will deliver to the Agent promptly upon its request after the</w:t>
      </w:r>
      <w:r>
        <w:rPr>
          <w:rFonts w:ascii="Arial" w:cs="Arial" w:eastAsia="Arial" w:hAnsi="Arial"/>
          <w:sz w:val="19"/>
          <w:szCs w:val="19"/>
          <w:color w:val="010000"/>
        </w:rPr>
        <w:t xml:space="preserve"> </w:t>
      </w:r>
      <w:r>
        <w:rPr>
          <w:rFonts w:ascii="Arial" w:cs="Arial" w:eastAsia="Arial" w:hAnsi="Arial"/>
          <w:sz w:val="19"/>
          <w:szCs w:val="19"/>
          <w:color w:val="000000"/>
        </w:rPr>
        <w:t>occurrence and during the continuance of an Event of Default duplicate invoices with respect to each Account owned by such Grantor and, if requested by the Agent, bearing such language of assignment as the Agent shall reasonably specify.</w:t>
      </w:r>
    </w:p>
    <w:p>
      <w:pPr>
        <w:spacing w:after="0" w:line="133"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4.2.4 </w:t>
      </w:r>
      <w:r>
        <w:rPr>
          <w:rFonts w:ascii="Arial" w:cs="Arial" w:eastAsia="Arial" w:hAnsi="Arial"/>
          <w:sz w:val="22"/>
          <w:szCs w:val="22"/>
          <w:u w:val="single" w:color="auto"/>
          <w:color w:val="000000"/>
        </w:rPr>
        <w:t>Disclosure of Counterclaim on Receivables</w:t>
      </w:r>
      <w:r>
        <w:rPr>
          <w:rFonts w:ascii="Arial" w:cs="Arial" w:eastAsia="Arial" w:hAnsi="Arial"/>
          <w:sz w:val="22"/>
          <w:szCs w:val="22"/>
          <w:color w:val="000000"/>
        </w:rPr>
        <w:t>. After the occurrence and during the continuation of an</w:t>
      </w:r>
      <w:r>
        <w:rPr>
          <w:rFonts w:ascii="Arial" w:cs="Arial" w:eastAsia="Arial" w:hAnsi="Arial"/>
          <w:sz w:val="22"/>
          <w:szCs w:val="22"/>
          <w:color w:val="010000"/>
        </w:rPr>
        <w:t xml:space="preserve"> </w:t>
      </w:r>
      <w:r>
        <w:rPr>
          <w:rFonts w:ascii="Arial" w:cs="Arial" w:eastAsia="Arial" w:hAnsi="Arial"/>
          <w:sz w:val="22"/>
          <w:szCs w:val="22"/>
          <w:color w:val="000000"/>
        </w:rPr>
        <w:t>Event of Default if (i) any discount, credit or agreement to make a rebate or to otherwise reduce the amount owing on a Receivable owned by such Grantor exists or (ii) to the knowledge of such Grantor, any dispute, setoff, claim, counterclaim or defense exists or has been asserted or threatened with respect to a Receivable, such Grantor will disclose such fact to the Agent in writing in connection with the inspection by the Agent of any record of such Grantor relating to such Receivable and in connection with any invoice or report furnished by such Grantor to the Agent relating to such Receivable.</w:t>
      </w:r>
    </w:p>
    <w:p>
      <w:pPr>
        <w:spacing w:after="0" w:line="195" w:lineRule="exact"/>
        <w:rPr>
          <w:sz w:val="20"/>
          <w:szCs w:val="20"/>
          <w:color w:val="auto"/>
        </w:rPr>
      </w:pPr>
    </w:p>
    <w:p>
      <w:pPr>
        <w:jc w:val="both"/>
        <w:ind w:left="660" w:firstLine="972"/>
        <w:spacing w:after="0" w:line="304" w:lineRule="auto"/>
        <w:rPr>
          <w:sz w:val="20"/>
          <w:szCs w:val="20"/>
          <w:color w:val="auto"/>
        </w:rPr>
      </w:pPr>
      <w:r>
        <w:rPr>
          <w:rFonts w:ascii="Arial" w:cs="Arial" w:eastAsia="Arial" w:hAnsi="Arial"/>
          <w:sz w:val="19"/>
          <w:szCs w:val="19"/>
          <w:color w:val="010000"/>
        </w:rPr>
        <w:t xml:space="preserve">4.2.5 </w:t>
      </w:r>
      <w:r>
        <w:rPr>
          <w:rFonts w:ascii="Arial" w:cs="Arial" w:eastAsia="Arial" w:hAnsi="Arial"/>
          <w:sz w:val="19"/>
          <w:szCs w:val="19"/>
          <w:u w:val="single" w:color="auto"/>
          <w:color w:val="000000"/>
        </w:rPr>
        <w:t>Electronic Chattel Paper</w:t>
      </w:r>
      <w:r>
        <w:rPr>
          <w:rFonts w:ascii="Arial" w:cs="Arial" w:eastAsia="Arial" w:hAnsi="Arial"/>
          <w:sz w:val="19"/>
          <w:szCs w:val="19"/>
          <w:color w:val="000000"/>
        </w:rPr>
        <w:t>. Each Grantor shall promptly notify Agent if any amount in excess of</w:t>
      </w:r>
      <w:r>
        <w:rPr>
          <w:rFonts w:ascii="Arial" w:cs="Arial" w:eastAsia="Arial" w:hAnsi="Arial"/>
          <w:sz w:val="19"/>
          <w:szCs w:val="19"/>
          <w:color w:val="010000"/>
        </w:rPr>
        <w:t xml:space="preserve"> </w:t>
      </w:r>
      <w:r>
        <w:rPr>
          <w:rFonts w:ascii="Arial" w:cs="Arial" w:eastAsia="Arial" w:hAnsi="Arial"/>
          <w:sz w:val="19"/>
          <w:szCs w:val="19"/>
          <w:color w:val="000000"/>
        </w:rPr>
        <w:t>$5,000,000, individually, or $10,000,000 in the aggregate payable under or in connection with any electronic chattel paper or a “transferable record” (as defined in the UETA), and shall take such action as the Agent may reasonably request to establish the Agent’s Control of such electronic chattel paper or transferable record. The Agent agrees with such Grantor that the Agent will arrange, pursuant to procedures reasonably satisfactory to the Agent and so long as such procedures will not result in the Agent’s loss of Control, for the Grantor to make alterations to the electronic chattel paper or transferable record permitted under Section 9-105 of the UCC or Section 16 of the UETA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155"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4.2.6 </w:t>
      </w:r>
      <w:r>
        <w:rPr>
          <w:rFonts w:ascii="Arial" w:cs="Arial" w:eastAsia="Arial" w:hAnsi="Arial"/>
          <w:sz w:val="22"/>
          <w:szCs w:val="22"/>
          <w:u w:val="single" w:color="auto"/>
          <w:color w:val="000000"/>
        </w:rPr>
        <w:t>Account Verification</w:t>
      </w:r>
      <w:r>
        <w:rPr>
          <w:rFonts w:ascii="Arial" w:cs="Arial" w:eastAsia="Arial" w:hAnsi="Arial"/>
          <w:sz w:val="22"/>
          <w:szCs w:val="22"/>
          <w:color w:val="000000"/>
        </w:rPr>
        <w:t>. Each Grantor will, and will cause each of its Subsidiaries to, permit Agent, in</w:t>
      </w:r>
      <w:r>
        <w:rPr>
          <w:rFonts w:ascii="Arial" w:cs="Arial" w:eastAsia="Arial" w:hAnsi="Arial"/>
          <w:sz w:val="22"/>
          <w:szCs w:val="22"/>
          <w:color w:val="010000"/>
        </w:rPr>
        <w:t xml:space="preserve"> </w:t>
      </w:r>
      <w:r>
        <w:rPr>
          <w:rFonts w:ascii="Arial" w:cs="Arial" w:eastAsia="Arial" w:hAnsi="Arial"/>
          <w:sz w:val="22"/>
          <w:szCs w:val="22"/>
          <w:color w:val="000000"/>
        </w:rPr>
        <w:t>Agent's name or in the name or a nominee of Agent, after the occurrence and during the continuation of an Event of Default, to verify the validity, amount or any other matter relating to any Account, by mail, telephone, facsimile transmission or other electronic means of transmission or otherwise. Further, at the reasonable request of Agent, each Grantor will, and will cause each of its Subsidiaries to, send requests for verification of Accounts or, after the occurrence and during the continuance of an Event of Default, send notices of assignment of Accounts to Account Debtors and other obligors.</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Maintenance of Goods</w:t>
      </w:r>
      <w:r>
        <w:rPr>
          <w:rFonts w:ascii="Arial" w:cs="Arial" w:eastAsia="Arial" w:hAnsi="Arial"/>
          <w:sz w:val="22"/>
          <w:szCs w:val="22"/>
          <w:color w:val="auto"/>
        </w:rPr>
        <w:t>. Each Grantor will do all things reasonably necessary to maintain, preserve, protect and keep the Inventory and the Equipment owned by such Grantor and constituting Collateral in good repair, working order and saleable condition (ordinary wear and tear excepted) and make all necessary and proper repairs, renewals and replacements so that its business carried on in connection therewith may be conducted in the ordinary course, consistent with past practices, except in each case where the failure to do so, individually or in the aggregate, could not reasonably be expected to have a Material Adverse Effect.</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u w:val="single" w:color="auto"/>
          <w:color w:val="auto"/>
        </w:rPr>
        <w:t>Instruments, Securities, Chattel Paper, Documents and Pledged Deposits</w:t>
      </w:r>
      <w:r>
        <w:rPr>
          <w:rFonts w:ascii="Arial" w:cs="Arial" w:eastAsia="Arial" w:hAnsi="Arial"/>
          <w:sz w:val="19"/>
          <w:szCs w:val="19"/>
          <w:color w:val="auto"/>
        </w:rPr>
        <w:t xml:space="preserve">. Each Grantor will (i) deliver to the Agent immediately upon execution of this Security Agreement the originals of all Chattel Paper and Instruments (other than Intercompany Instruments;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Intercompany Instruments shall not be delivered to any Person which is not a Grantor, the ABL Collateral Agent or the Agent), in each case, to the extent evidencing amounts in excess of $5,000,000 individually, or $10,000,000 in the aggregate, and constituting Collateral (if any then exist) and Securities constituting Collateral (to the extent certificated);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Grantor shall be deemed to have complied with this requirement to the extent that the ABL Collateral Agent has received such Chattel Paper, Instruments or Securities as bailee of the Agent in a manner consistent with the Intercreditor Agreement; (ii) hold in trust for the Agent upon receipt and promptly thereafter deliver to the Agent any Chattel Paper and Instruments (other than Intercompany Instruments;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Intercompany Instruments shall not be delivered to any Person who is not a Grantor, the ABL Collateral Agent or the Agent), in each case, to the extent evidencing amounts in excess of $5,000,000 individually or $10,000,000 in the aggregate, and constituting Collateral (if any then exist) and Securities (to the extent certificated);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each Grantor shall be deemed to have</w:t>
      </w:r>
    </w:p>
    <w:p>
      <w:pPr>
        <w:sectPr>
          <w:pgSz w:w="11900" w:h="16838" w:orient="portrait"/>
          <w:cols w:equalWidth="0" w:num="1">
            <w:col w:w="11240"/>
          </w:cols>
          <w:pgMar w:left="320" w:top="131" w:right="339" w:bottom="0" w:gutter="0" w:footer="0" w:header="0"/>
        </w:sectPr>
      </w:pPr>
    </w:p>
    <w:bookmarkStart w:id="461" w:name="page462"/>
    <w:bookmarkEnd w:id="461"/>
    <w:p>
      <w:pPr>
        <w:jc w:val="both"/>
        <w:spacing w:after="0" w:line="301" w:lineRule="auto"/>
        <w:rPr>
          <w:sz w:val="20"/>
          <w:szCs w:val="20"/>
          <w:color w:val="auto"/>
        </w:rPr>
      </w:pPr>
      <w:r>
        <w:rPr>
          <w:rFonts w:ascii="Arial" w:cs="Arial" w:eastAsia="Arial" w:hAnsi="Arial"/>
          <w:sz w:val="19"/>
          <w:szCs w:val="19"/>
          <w:color w:val="auto"/>
        </w:rPr>
        <w:t xml:space="preserve">complied with this requirement to the extent that the ABL Collateral Agent has received such Chattel Paper, Instruments or Securities as bailee of the Agent in a manner consistent with the Intercreditor Agreement; (iii) upon the designation by a Grantor of any Pledged Deposits (as set forth in the definition thereof) as Collateral, deliver to the Agent such Pledged Deposits which are evidenced by certificates included in the Collateral endorsed in blank, marked with such legends and assigned as the Agent shall reasonably specify;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Grantor shall be deemed to have complied with this requirement to the extent that the ABL Collateral Agent has received such certificates as a bailee of the Agent in a manner consistent with the Intercreditor Agreement; (iv) upon the Agent’s request, after the occurrence and during the continuation of an Event of Default (subject to the terms of the Intercreditor Agreement), deliver to the Agent (and thereafter hold in trust for the Agent upon receipt and promptly deliver to the Agent) any Document evidencing or constituting Collateral; and (v) upon the Agent’s request, deliver to the Agent, promptly after the delivery of a Compliance Certificate, a duly executed amendment to this Security Agreement,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Amendment</w:t>
      </w:r>
      <w:r>
        <w:rPr>
          <w:rFonts w:ascii="Arial" w:cs="Arial" w:eastAsia="Arial" w:hAnsi="Arial"/>
          <w:sz w:val="19"/>
          <w:szCs w:val="19"/>
          <w:color w:val="auto"/>
        </w:rPr>
        <w:t>”), pursuant to which such Grantor will specify such additional Collateral pledged hereunder. Such Grantor hereby authorizes the Agent to attach each Amendment to this Security Agreement and agrees that all additional Collateral owned by it set forth in such Amendments shall be considered to be part of the Collateral.</w:t>
      </w:r>
    </w:p>
    <w:p>
      <w:pPr>
        <w:spacing w:after="0" w:line="1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u w:val="single" w:color="auto"/>
          <w:color w:val="auto"/>
        </w:rPr>
        <w:t>Uncertificated Securities and Certain Other Investment Property</w:t>
      </w:r>
      <w:r>
        <w:rPr>
          <w:rFonts w:ascii="Arial" w:cs="Arial" w:eastAsia="Arial" w:hAnsi="Arial"/>
          <w:sz w:val="19"/>
          <w:szCs w:val="19"/>
          <w:color w:val="auto"/>
        </w:rPr>
        <w:t>. Each Grantor will, following the reasonable request of the Agent (and after the occurrence and during the continuation of an Event of Default, will permit the Agent to) from time to time cause the appropriate issuers (and, if held with a securities intermediary, such securities intermediary) of uncertificated securities or other types of Investment Property owned by such Grantor and constituting Collateral that are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Lien of the Agent granted pursuant to this Security Agreement. With respect to Investment Property having a value in excess of $5,000,000 individually or $10,000,000 in the aggregate and constituting Collateral owned by such Grantor held with a financial intermediary (including in a Securities Account), such Grantor shall, within 30 days following the Effective Date or such later date on which it becomes a Grantor hereunder (in each case, or such later date as may be agreed to by the Agent in its sole discretion), cause such financial intermediary to enter into a Control Agreement with the Agent in form and substance reasonably satisfactory to the Agent, in order to give the Agent Control (subject to the terms of the Intercreditor Agreement) of such Investment Property.</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Stock and Other Ownership Interests</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79" w:lineRule="auto"/>
        <w:rPr>
          <w:sz w:val="20"/>
          <w:szCs w:val="20"/>
          <w:color w:val="auto"/>
        </w:rPr>
      </w:pPr>
      <w:r>
        <w:rPr>
          <w:rFonts w:ascii="Arial" w:cs="Arial" w:eastAsia="Arial" w:hAnsi="Arial"/>
          <w:sz w:val="21"/>
          <w:szCs w:val="21"/>
          <w:color w:val="010000"/>
        </w:rPr>
        <w:t xml:space="preserve">4.6.1 </w:t>
      </w:r>
      <w:r>
        <w:rPr>
          <w:rFonts w:ascii="Arial" w:cs="Arial" w:eastAsia="Arial" w:hAnsi="Arial"/>
          <w:sz w:val="21"/>
          <w:szCs w:val="21"/>
          <w:u w:val="single" w:color="auto"/>
          <w:color w:val="000000"/>
        </w:rPr>
        <w:t>Registration of Pledged Securities and other Investment Property</w:t>
      </w:r>
      <w:r>
        <w:rPr>
          <w:rFonts w:ascii="Arial" w:cs="Arial" w:eastAsia="Arial" w:hAnsi="Arial"/>
          <w:sz w:val="21"/>
          <w:szCs w:val="21"/>
          <w:color w:val="000000"/>
        </w:rPr>
        <w:t>. Subject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4.6.4</w:t>
      </w:r>
      <w:r>
        <w:rPr>
          <w:rFonts w:ascii="Arial" w:cs="Arial" w:eastAsia="Arial" w:hAnsi="Arial"/>
          <w:sz w:val="21"/>
          <w:szCs w:val="21"/>
          <w:color w:val="010000"/>
        </w:rPr>
        <w:t xml:space="preserve"> </w:t>
      </w:r>
      <w:r>
        <w:rPr>
          <w:rFonts w:ascii="Arial" w:cs="Arial" w:eastAsia="Arial" w:hAnsi="Arial"/>
          <w:sz w:val="21"/>
          <w:szCs w:val="21"/>
          <w:color w:val="000000"/>
        </w:rPr>
        <w:t>hereof in</w:t>
      </w:r>
      <w:r>
        <w:rPr>
          <w:rFonts w:ascii="Arial" w:cs="Arial" w:eastAsia="Arial" w:hAnsi="Arial"/>
          <w:sz w:val="21"/>
          <w:szCs w:val="21"/>
          <w:color w:val="010000"/>
        </w:rPr>
        <w:t xml:space="preserve"> </w:t>
      </w:r>
      <w:r>
        <w:rPr>
          <w:rFonts w:ascii="Arial" w:cs="Arial" w:eastAsia="Arial" w:hAnsi="Arial"/>
          <w:sz w:val="21"/>
          <w:szCs w:val="21"/>
          <w:color w:val="000000"/>
        </w:rPr>
        <w:t>the case of ULC Shares, each Grantor will permit any registrable Collateral owned by such Grantor to be registered in the name of the Agent or its nominee at any time at the option of the Required Lenders following the occurrence and during the continuance of an Event of Default and without any further consent of such Grantor.</w:t>
      </w:r>
    </w:p>
    <w:p>
      <w:pPr>
        <w:spacing w:after="0" w:line="173"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4.6.2 </w:t>
      </w:r>
      <w:r>
        <w:rPr>
          <w:rFonts w:ascii="Arial" w:cs="Arial" w:eastAsia="Arial" w:hAnsi="Arial"/>
          <w:sz w:val="22"/>
          <w:szCs w:val="22"/>
          <w:u w:val="single" w:color="auto"/>
          <w:color w:val="000000"/>
        </w:rPr>
        <w:t>Exercise of Rights in Pledged Securities</w:t>
      </w:r>
      <w:r>
        <w:rPr>
          <w:rFonts w:ascii="Arial" w:cs="Arial" w:eastAsia="Arial" w:hAnsi="Arial"/>
          <w:sz w:val="22"/>
          <w:szCs w:val="22"/>
          <w:color w:val="000000"/>
        </w:rPr>
        <w:t>. Subject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4.6.4</w:t>
      </w:r>
      <w:r>
        <w:rPr>
          <w:rFonts w:ascii="Arial" w:cs="Arial" w:eastAsia="Arial" w:hAnsi="Arial"/>
          <w:sz w:val="22"/>
          <w:szCs w:val="22"/>
          <w:color w:val="010000"/>
        </w:rPr>
        <w:t xml:space="preserve"> </w:t>
      </w:r>
      <w:r>
        <w:rPr>
          <w:rFonts w:ascii="Arial" w:cs="Arial" w:eastAsia="Arial" w:hAnsi="Arial"/>
          <w:sz w:val="22"/>
          <w:szCs w:val="22"/>
          <w:color w:val="000000"/>
        </w:rPr>
        <w:t>hereof in the case of ULC Shares,</w:t>
      </w:r>
      <w:r>
        <w:rPr>
          <w:rFonts w:ascii="Arial" w:cs="Arial" w:eastAsia="Arial" w:hAnsi="Arial"/>
          <w:sz w:val="22"/>
          <w:szCs w:val="22"/>
          <w:color w:val="010000"/>
        </w:rPr>
        <w:t xml:space="preserve"> </w:t>
      </w:r>
      <w:r>
        <w:rPr>
          <w:rFonts w:ascii="Arial" w:cs="Arial" w:eastAsia="Arial" w:hAnsi="Arial"/>
          <w:sz w:val="22"/>
          <w:szCs w:val="22"/>
          <w:color w:val="000000"/>
        </w:rPr>
        <w:t>each Grantor will permit the Agent or its nominee at any time after the occurrence and during the continuance of an Event of Default, without notice, to exercise or refrain from exercising any and all voting and other consensual rights pertaining to Pledged Collateral owned by such Grantor or any part thereof, and to receive all dividends and interest in respect of such Pledged Collateral.</w:t>
      </w:r>
    </w:p>
    <w:p>
      <w:pPr>
        <w:spacing w:after="0" w:line="190"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4.6.3 </w:t>
      </w:r>
      <w:r>
        <w:rPr>
          <w:rFonts w:ascii="Arial" w:cs="Arial" w:eastAsia="Arial" w:hAnsi="Arial"/>
          <w:sz w:val="22"/>
          <w:szCs w:val="22"/>
          <w:u w:val="single" w:color="auto"/>
          <w:color w:val="000000"/>
        </w:rPr>
        <w:t>ULCs</w:t>
      </w:r>
      <w:r>
        <w:rPr>
          <w:rFonts w:ascii="Arial" w:cs="Arial" w:eastAsia="Arial" w:hAnsi="Arial"/>
          <w:sz w:val="22"/>
          <w:szCs w:val="22"/>
          <w:color w:val="000000"/>
        </w:rPr>
        <w:t>. For greater certainty, the Agent shall have no right under any circumstance to vote ULC</w:t>
      </w:r>
      <w:r>
        <w:rPr>
          <w:rFonts w:ascii="Arial" w:cs="Arial" w:eastAsia="Arial" w:hAnsi="Arial"/>
          <w:sz w:val="22"/>
          <w:szCs w:val="22"/>
          <w:color w:val="010000"/>
        </w:rPr>
        <w:t xml:space="preserve"> </w:t>
      </w:r>
      <w:r>
        <w:rPr>
          <w:rFonts w:ascii="Arial" w:cs="Arial" w:eastAsia="Arial" w:hAnsi="Arial"/>
          <w:sz w:val="22"/>
          <w:szCs w:val="22"/>
          <w:color w:val="000000"/>
        </w:rPr>
        <w:t>Shares or receive dividends from any ULC until such time as notice is given to the applicable Grantor and further steps are taken so as to register the Agent as the holder of the applicable ULC Shares.</w:t>
      </w:r>
    </w:p>
    <w:p>
      <w:pPr>
        <w:spacing w:after="0" w:line="185" w:lineRule="exact"/>
        <w:rPr>
          <w:sz w:val="20"/>
          <w:szCs w:val="20"/>
          <w:color w:val="auto"/>
        </w:rPr>
      </w:pPr>
    </w:p>
    <w:p>
      <w:pPr>
        <w:jc w:val="both"/>
        <w:ind w:left="660" w:firstLine="972"/>
        <w:spacing w:after="0" w:line="300" w:lineRule="auto"/>
        <w:rPr>
          <w:sz w:val="20"/>
          <w:szCs w:val="20"/>
          <w:color w:val="auto"/>
        </w:rPr>
      </w:pPr>
      <w:r>
        <w:rPr>
          <w:rFonts w:ascii="Arial" w:cs="Arial" w:eastAsia="Arial" w:hAnsi="Arial"/>
          <w:sz w:val="19"/>
          <w:szCs w:val="19"/>
          <w:color w:val="010000"/>
        </w:rPr>
        <w:t xml:space="preserve">4.6.4 </w:t>
      </w:r>
      <w:r>
        <w:rPr>
          <w:rFonts w:ascii="Arial" w:cs="Arial" w:eastAsia="Arial" w:hAnsi="Arial"/>
          <w:sz w:val="19"/>
          <w:szCs w:val="19"/>
          <w:u w:val="single" w:color="auto"/>
          <w:color w:val="000000"/>
        </w:rPr>
        <w:t>ULC Shares</w:t>
      </w:r>
      <w:r>
        <w:rPr>
          <w:rFonts w:ascii="Arial" w:cs="Arial" w:eastAsia="Arial" w:hAnsi="Arial"/>
          <w:sz w:val="19"/>
          <w:szCs w:val="19"/>
          <w:color w:val="000000"/>
        </w:rPr>
        <w:t>. Each Grantor acknowledges that certain of the Collateral of such Grantor may now or</w:t>
      </w:r>
      <w:r>
        <w:rPr>
          <w:rFonts w:ascii="Arial" w:cs="Arial" w:eastAsia="Arial" w:hAnsi="Arial"/>
          <w:sz w:val="19"/>
          <w:szCs w:val="19"/>
          <w:color w:val="010000"/>
        </w:rPr>
        <w:t xml:space="preserve"> </w:t>
      </w:r>
      <w:r>
        <w:rPr>
          <w:rFonts w:ascii="Arial" w:cs="Arial" w:eastAsia="Arial" w:hAnsi="Arial"/>
          <w:sz w:val="19"/>
          <w:szCs w:val="19"/>
          <w:color w:val="000000"/>
        </w:rPr>
        <w:t>in the future consist of ULC Shares, and that it is the intention of the Agent and each Grantor that neither the Agent nor any other Secured Party should under any circumstances prior to realization thereon be held to be a “member” or a “shareholder”, as applicable, of a ULC for the purposes of any ULC Laws. Therefore, notwithstanding any provision to the contrary contained in this Security Agreement, the LC Credit Agreement or any other Loan Document, where a Grantor is the registered owner of ULC Shares which are Collateral of such Grantor, such Grantor shall remain the sole registered owner of such ULC Shares until such time as such ULC Shares are effectively transferred into the name of the Agent, any other Secured Party, or any other Person on the books and records of the applicable ULC. Accordingly, each Grantor shall be entitled to receive and retain for its own account any dividend on or other distribution, if any, with respect to such ULC Shares (except for any dividend or distribution comprised of certificated Securities pledged of such Grantor, which shall be delivered to the Agent to hold hereunder) and shall have the right to vote such ULC Shares and to control the direction, management and policies of the applicable ULC to the same extent as such Grantor would if such ULC Shares were not pledged to the Agent pursuant hereto. Nothing in this Security Agreement, the LC Credit Agreement or any other Loan Document is intended to, and nothing in this Security Agreement, the LC Credit Agreement or any other Loan Document shall, constitute the Agent, any other Secured Party, or any other Person other than the applicable Grantor, a member or shareholder of a ULC for the purposes of any ULC Laws (whether listed or unlisted, registered or beneficial), until such time as notice is given to such Grantor and further steps are taken pursuant hereto or</w:t>
      </w:r>
    </w:p>
    <w:p>
      <w:pPr>
        <w:sectPr>
          <w:pgSz w:w="11900" w:h="16838" w:orient="portrait"/>
          <w:cols w:equalWidth="0" w:num="1">
            <w:col w:w="11240"/>
          </w:cols>
          <w:pgMar w:left="320" w:top="131" w:right="339" w:bottom="0" w:gutter="0" w:footer="0" w:header="0"/>
        </w:sectPr>
      </w:pPr>
    </w:p>
    <w:bookmarkStart w:id="462" w:name="page463"/>
    <w:bookmarkEnd w:id="462"/>
    <w:p>
      <w:pPr>
        <w:jc w:val="both"/>
        <w:ind w:left="660"/>
        <w:spacing w:after="0" w:line="297" w:lineRule="auto"/>
        <w:rPr>
          <w:sz w:val="20"/>
          <w:szCs w:val="20"/>
          <w:color w:val="auto"/>
        </w:rPr>
      </w:pPr>
      <w:r>
        <w:rPr>
          <w:rFonts w:ascii="Arial" w:cs="Arial" w:eastAsia="Arial" w:hAnsi="Arial"/>
          <w:sz w:val="19"/>
          <w:szCs w:val="19"/>
          <w:color w:val="auto"/>
        </w:rPr>
        <w:t>thereto so as to register the Agent, any other Secured Party, or such other Person, as specified in such notice, as the holder of the ULC Shares. To the extent any provision hereof would have the effect of constituting the Agent or any other Secured Party as a member or a shareholder, as applicable, of any ULC prior to such time, such provision shall be severed herefrom and shall be ineffective with respect to ULC Shares which are Collateral of any Grantor without otherwise invalidating or rendering unenforceable this Security Agreement or invalidating or rendering unenforceable such provision insofar as it relates to Collateral of any Grantor which is not ULC Shares. Except upon the exercise of rights of the Agent to sell, transfer or otherwise dispose of ULC Shares in accordance with this Security Agreement, each Grantor shall not cause or permit, or enable a Subsidiary that is a ULC to cause or permit, the Agent or any other Secured Party to:</w:t>
      </w:r>
    </w:p>
    <w:p>
      <w:pPr>
        <w:spacing w:after="0" w:line="1" w:lineRule="exact"/>
        <w:rPr>
          <w:sz w:val="20"/>
          <w:szCs w:val="20"/>
          <w:color w:val="auto"/>
        </w:rPr>
      </w:pPr>
    </w:p>
    <w:p>
      <w:pPr>
        <w:jc w:val="both"/>
        <w:ind w:left="660" w:hanging="4"/>
        <w:spacing w:after="0" w:line="310" w:lineRule="auto"/>
        <w:tabs>
          <w:tab w:leader="none" w:pos="923" w:val="left"/>
        </w:tabs>
        <w:numPr>
          <w:ilvl w:val="0"/>
          <w:numId w:val="520"/>
        </w:numPr>
        <w:rPr>
          <w:rFonts w:ascii="Arial" w:cs="Arial" w:eastAsia="Arial" w:hAnsi="Arial"/>
          <w:sz w:val="19"/>
          <w:szCs w:val="19"/>
          <w:color w:val="auto"/>
        </w:rPr>
      </w:pPr>
      <w:r>
        <w:rPr>
          <w:rFonts w:ascii="Arial" w:cs="Arial" w:eastAsia="Arial" w:hAnsi="Arial"/>
          <w:sz w:val="19"/>
          <w:szCs w:val="19"/>
          <w:color w:val="auto"/>
        </w:rPr>
        <w:t>be registered as a shareholder or member of such Subsidiary; (ii) have any notation entered in their favour in the share register of such Subsidiary; (iii) be held out as shareholders or members of such Subsidiary; (iv) receive, directly or indirectly, any dividends, property or other distributions from such Subsidiary by reason of the Agent holding a Lien over the ULC Shares; or (v) act as a shareholder of such Subsidiary, or exercise any rights of a shareholder including the right to attend a meeting of shareholders of such Subsidiary or to vote its ULC Shares.</w:t>
      </w:r>
    </w:p>
    <w:p>
      <w:pPr>
        <w:spacing w:after="0" w:line="1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u w:val="single" w:color="auto"/>
          <w:color w:val="auto"/>
        </w:rPr>
        <w:t>Specified Deposit Accounts</w:t>
      </w:r>
      <w:r>
        <w:rPr>
          <w:rFonts w:ascii="Arial" w:cs="Arial" w:eastAsia="Arial" w:hAnsi="Arial"/>
          <w:sz w:val="22"/>
          <w:szCs w:val="22"/>
          <w:color w:val="auto"/>
        </w:rPr>
        <w:t>. Each Grantor will cause each bank or other financial institution in which it maintains a Specified Deposit Account to enter into a Control Agreement with the Agent and the ABL Collateral Agent, in form and substance reasonably satisfactory to the Agent in order to give the Agent Control (subject to the terms of the Intercreditor Agreement) of the Specified Deposit Account within 60 days following the Effective Date or such later date on which it becomes a Grantor hereunder (in each case, or such later date as may be agreed to by the Agent in its sole discretion). In the case of deposits maintained with Lenders, the terms of such letter shall be subject to the provisions of the LC Credit Agreement regarding setoffs.</w:t>
      </w:r>
    </w:p>
    <w:p>
      <w:pPr>
        <w:spacing w:after="0" w:line="195"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u w:val="single" w:color="auto"/>
          <w:color w:val="auto"/>
        </w:rPr>
        <w:t>Letter of Credit Rights</w:t>
      </w:r>
      <w:r>
        <w:rPr>
          <w:rFonts w:ascii="Arial" w:cs="Arial" w:eastAsia="Arial" w:hAnsi="Arial"/>
          <w:sz w:val="19"/>
          <w:szCs w:val="19"/>
          <w:color w:val="auto"/>
        </w:rPr>
        <w:t>. Each Grantor will, upon the Agent’s request, cause each issuer of a letter of credit in excess of $5,000,000 individually or in the aggregate to consent to the assignment of proceeds of such letter of credit in order to give the Agent Control (subject to the terms of the Intercreditor Agreement) of the Letter of Credit Rights to such letter of credit.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301" w:lineRule="auto"/>
        <w:rPr>
          <w:sz w:val="20"/>
          <w:szCs w:val="20"/>
          <w:color w:val="auto"/>
        </w:rPr>
      </w:pPr>
      <w:r>
        <w:rPr>
          <w:rFonts w:ascii="Arial" w:cs="Arial" w:eastAsia="Arial" w:hAnsi="Arial"/>
          <w:sz w:val="19"/>
          <w:szCs w:val="19"/>
          <w:color w:val="010000"/>
        </w:rPr>
        <w:t xml:space="preserve">4.9.1 </w:t>
      </w:r>
      <w:r>
        <w:rPr>
          <w:rFonts w:ascii="Arial" w:cs="Arial" w:eastAsia="Arial" w:hAnsi="Arial"/>
          <w:sz w:val="19"/>
          <w:szCs w:val="19"/>
          <w:color w:val="000000"/>
        </w:rPr>
        <w:t>If, after the date hereof, any Grantor obtains rights to, including, but not limited to filing and</w:t>
      </w:r>
      <w:r>
        <w:rPr>
          <w:rFonts w:ascii="Arial" w:cs="Arial" w:eastAsia="Arial" w:hAnsi="Arial"/>
          <w:sz w:val="19"/>
          <w:szCs w:val="19"/>
          <w:color w:val="010000"/>
        </w:rPr>
        <w:t xml:space="preserve"> </w:t>
      </w:r>
      <w:r>
        <w:rPr>
          <w:rFonts w:ascii="Arial" w:cs="Arial" w:eastAsia="Arial" w:hAnsi="Arial"/>
          <w:sz w:val="19"/>
          <w:szCs w:val="19"/>
          <w:color w:val="000000"/>
        </w:rPr>
        <w:t xml:space="preserve">acceptance of a statement of use or an amendment to allege use with the United States Patent and Trademark Office, or applies for or seeks registration of, any new Patent, Trademark or Copyright (limited, in the case of any Foreign Grantor, to any new U.S. Patent, Trademark or Copyright) in addition to the Patents, Trademarks and Copyrights described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then to the extent the foregoing constitutes Specified Intellectual Property, such Grantor agrees promptly and within 60 days following the date on which financial statements are required to be delivered pursuant to Section 7.01(a) and/or Section 7.01(b) of the LC Credit Agreement, to execute and deliver to the Agent any supplement to this Security Agreement or any other document reasonably requested by the Agent to evidence such security interest in a form appropriate for recording in the applicable U.S. federal office. In the event the applicable Grantor does not comply with the above deadline, each Grantor also hereby authorizes the Agent to (i) modify this Security Agreement unilaterally by amending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to include any future Patents, Trademarks and/or Copyrights constituting Specified Intellectual Property of which such Grantor is required to notify the Agent pursuant hereto and (ii) record, in addition to and not in substitution for this Security Agreement, a duplicate original of this Security Agreement containing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a description of such future registrations and applications for Patents, Trademarks and/or Copyrights constituting Specified Intellectual Property.</w:t>
      </w:r>
    </w:p>
    <w:p>
      <w:pPr>
        <w:spacing w:after="0" w:line="200" w:lineRule="exact"/>
        <w:rPr>
          <w:sz w:val="20"/>
          <w:szCs w:val="20"/>
          <w:color w:val="auto"/>
        </w:rPr>
      </w:pPr>
    </w:p>
    <w:p>
      <w:pPr>
        <w:spacing w:after="0" w:line="230" w:lineRule="exact"/>
        <w:rPr>
          <w:sz w:val="20"/>
          <w:szCs w:val="20"/>
          <w:color w:val="auto"/>
        </w:rPr>
      </w:pPr>
    </w:p>
    <w:p>
      <w:pPr>
        <w:jc w:val="both"/>
        <w:ind w:left="660" w:firstLine="972"/>
        <w:spacing w:after="0" w:line="303" w:lineRule="auto"/>
        <w:rPr>
          <w:sz w:val="20"/>
          <w:szCs w:val="20"/>
          <w:color w:val="auto"/>
        </w:rPr>
      </w:pPr>
      <w:r>
        <w:rPr>
          <w:rFonts w:ascii="Arial" w:cs="Arial" w:eastAsia="Arial" w:hAnsi="Arial"/>
          <w:sz w:val="19"/>
          <w:szCs w:val="19"/>
          <w:color w:val="010000"/>
        </w:rPr>
        <w:t xml:space="preserve">4.9.2 </w:t>
      </w:r>
      <w:r>
        <w:rPr>
          <w:rFonts w:ascii="Arial" w:cs="Arial" w:eastAsia="Arial" w:hAnsi="Arial"/>
          <w:sz w:val="19"/>
          <w:szCs w:val="19"/>
          <w:color w:val="000000"/>
        </w:rPr>
        <w:t>As of the applicable Determination Date, no Grantor has any interest in, or title to, any U.S.</w:t>
      </w:r>
      <w:r>
        <w:rPr>
          <w:rFonts w:ascii="Arial" w:cs="Arial" w:eastAsia="Arial" w:hAnsi="Arial"/>
          <w:sz w:val="19"/>
          <w:szCs w:val="19"/>
          <w:color w:val="010000"/>
        </w:rPr>
        <w:t xml:space="preserve"> </w:t>
      </w:r>
      <w:r>
        <w:rPr>
          <w:rFonts w:ascii="Arial" w:cs="Arial" w:eastAsia="Arial" w:hAnsi="Arial"/>
          <w:sz w:val="19"/>
          <w:szCs w:val="19"/>
          <w:color w:val="000000"/>
        </w:rPr>
        <w:t xml:space="preserve">Intellectual Property registrations or applications, except as set forth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As of the applicable Determination Date, this Security Agreement is effective to create a valid and continuing Lien on each Grantor’s interest in its Intellectual Property pledged hereunder and, upon timely filing of the IP Short Form with respect to Copyrights with the United States Copyright Office and filing of the IP Short Form with respect to Patents and the IP Short Form with respect to Trademarks with the United States Patent and Trademark Office, and the filing of appropriate financing statements in the jurisdictions listed in </w:t>
      </w:r>
      <w:r>
        <w:rPr>
          <w:rFonts w:ascii="Arial" w:cs="Arial" w:eastAsia="Arial" w:hAnsi="Arial"/>
          <w:sz w:val="19"/>
          <w:szCs w:val="19"/>
          <w:u w:val="single" w:color="auto"/>
          <w:color w:val="000000"/>
        </w:rPr>
        <w:t>Exhibit “E”</w:t>
      </w:r>
      <w:r>
        <w:rPr>
          <w:rFonts w:ascii="Arial" w:cs="Arial" w:eastAsia="Arial" w:hAnsi="Arial"/>
          <w:sz w:val="19"/>
          <w:szCs w:val="19"/>
          <w:color w:val="000000"/>
        </w:rPr>
        <w:t xml:space="preserve"> hereto, all action necessary or desirable to protect and perfect the security interest in, to and on each Grantor’s interest in U.S. Patents, Trademarks or Copyrights that are set forth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as of the applicable Determination Date shall have been taken and such perfected security interest shall be enforceable as such as against any and all creditors of and purchasers from any Grantor.</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u w:val="single" w:color="auto"/>
          <w:color w:val="auto"/>
        </w:rPr>
        <w:t>Commercial Tort Claims</w:t>
      </w:r>
      <w:r>
        <w:rPr>
          <w:rFonts w:ascii="Arial" w:cs="Arial" w:eastAsia="Arial" w:hAnsi="Arial"/>
          <w:sz w:val="22"/>
          <w:szCs w:val="22"/>
          <w:color w:val="auto"/>
        </w:rPr>
        <w:t xml:space="preserve">. If, after the date hereof, any Grantor identifies the existence of a Commercial Tort Claim constituting Collateral belonging to such Grantor that has arisen in the course of such Grantor’s business in addition to the Commercial Tort Claims described in </w:t>
      </w:r>
      <w:r>
        <w:rPr>
          <w:rFonts w:ascii="Arial" w:cs="Arial" w:eastAsia="Arial" w:hAnsi="Arial"/>
          <w:sz w:val="22"/>
          <w:szCs w:val="22"/>
          <w:u w:val="single" w:color="auto"/>
          <w:color w:val="auto"/>
        </w:rPr>
        <w:t>Exhibit “F”</w:t>
      </w:r>
      <w:r>
        <w:rPr>
          <w:rFonts w:ascii="Arial" w:cs="Arial" w:eastAsia="Arial" w:hAnsi="Arial"/>
          <w:sz w:val="22"/>
          <w:szCs w:val="22"/>
          <w:color w:val="auto"/>
        </w:rPr>
        <w:t>, which are all of such Grantor’s Commercial Tort Claims as of the Effective Date, then such Grantor shall give the Agent prompt notice thereof, but in any event not less frequently than quarterly. Each Grantor agrees promptly upon request by the Agent to execute and deliver to the Agent any supplement to this Security Agreement or any other document reasonably requested by the Agent to evidence the grant of a security interest therein in favor of the Agent.</w:t>
      </w:r>
    </w:p>
    <w:p>
      <w:pPr>
        <w:sectPr>
          <w:pgSz w:w="11900" w:h="16838" w:orient="portrait"/>
          <w:cols w:equalWidth="0" w:num="1">
            <w:col w:w="11240"/>
          </w:cols>
          <w:pgMar w:left="320" w:top="131" w:right="339" w:bottom="0" w:gutter="0" w:footer="0" w:header="0"/>
        </w:sectPr>
      </w:pPr>
    </w:p>
    <w:bookmarkStart w:id="463" w:name="page464"/>
    <w:bookmarkEnd w:id="463"/>
    <w:p>
      <w:pPr>
        <w:jc w:val="both"/>
        <w:ind w:firstLine="648"/>
        <w:spacing w:after="0" w:line="260" w:lineRule="auto"/>
        <w:rPr>
          <w:sz w:val="20"/>
          <w:szCs w:val="20"/>
          <w:color w:val="auto"/>
        </w:rPr>
      </w:pPr>
      <w:r>
        <w:rPr>
          <w:rFonts w:ascii="Arial" w:cs="Arial" w:eastAsia="Arial" w:hAnsi="Arial"/>
          <w:sz w:val="22"/>
          <w:szCs w:val="22"/>
          <w:u w:val="single" w:color="auto"/>
          <w:color w:val="auto"/>
        </w:rPr>
        <w:t>Updating of Exhibits to Security Agreement</w:t>
      </w:r>
      <w:r>
        <w:rPr>
          <w:rFonts w:ascii="Arial" w:cs="Arial" w:eastAsia="Arial" w:hAnsi="Arial"/>
          <w:sz w:val="22"/>
          <w:szCs w:val="22"/>
          <w:color w:val="auto"/>
        </w:rPr>
        <w:t>. The Borrowers will provide to the Agent, concurrently with the delivery of each Compliance Certificate required by Section 7.01(e) of the LC Credit Agreement, updated versions of the Exhibits to this Security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there have been no changes to any such Exhibits since the previous updating thereof required hereby, the Borrowers shall indicate that there has been “no change” to the applicable Exhibit(s)). Any reference to any Exhibit herein shall mean such Exhibit after giving effect to any updates thereof by the Borrowers or such Grantor pursuant to this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or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5.1.1 </w:t>
      </w:r>
      <w:r>
        <w:rPr>
          <w:rFonts w:ascii="Arial" w:cs="Arial" w:eastAsia="Arial" w:hAnsi="Arial"/>
          <w:sz w:val="22"/>
          <w:szCs w:val="22"/>
          <w:color w:val="000000"/>
        </w:rPr>
        <w:t>Upon the occurrence and during the continuation of an Event of Default, the Agent may, and at the</w:t>
      </w:r>
      <w:r>
        <w:rPr>
          <w:rFonts w:ascii="Arial" w:cs="Arial" w:eastAsia="Arial" w:hAnsi="Arial"/>
          <w:sz w:val="22"/>
          <w:szCs w:val="22"/>
          <w:color w:val="010000"/>
        </w:rPr>
        <w:t xml:space="preserve"> </w:t>
      </w:r>
      <w:r>
        <w:rPr>
          <w:rFonts w:ascii="Arial" w:cs="Arial" w:eastAsia="Arial" w:hAnsi="Arial"/>
          <w:sz w:val="22"/>
          <w:szCs w:val="22"/>
          <w:color w:val="000000"/>
        </w:rPr>
        <w:t>direction of the Required Lenders shall, subject to the Intercreditor Agreement, exercise any or all of the following rights and remedies:</w:t>
      </w:r>
    </w:p>
    <w:p>
      <w:pPr>
        <w:spacing w:after="0" w:line="179" w:lineRule="exact"/>
        <w:rPr>
          <w:sz w:val="20"/>
          <w:szCs w:val="20"/>
          <w:color w:val="auto"/>
        </w:rPr>
      </w:pPr>
    </w:p>
    <w:p>
      <w:pPr>
        <w:jc w:val="both"/>
        <w:ind w:left="1300" w:hanging="644"/>
        <w:spacing w:after="0" w:line="263" w:lineRule="auto"/>
        <w:tabs>
          <w:tab w:leader="none" w:pos="1300" w:val="left"/>
        </w:tabs>
        <w:numPr>
          <w:ilvl w:val="0"/>
          <w:numId w:val="521"/>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.4 hereof in the case of the ULC Shares, those rights and remedies provided in this Security Agreement, the LC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not be understood to limit any rights or remedies available to the Agent and the Secured Parties prior to an Event of Default.</w:t>
      </w:r>
    </w:p>
    <w:p>
      <w:pPr>
        <w:spacing w:after="0" w:line="183" w:lineRule="exact"/>
        <w:rPr>
          <w:rFonts w:ascii="Arial" w:cs="Arial" w:eastAsia="Arial" w:hAnsi="Arial"/>
          <w:sz w:val="18"/>
          <w:szCs w:val="18"/>
          <w:color w:val="010000"/>
        </w:rPr>
      </w:pPr>
    </w:p>
    <w:p>
      <w:pPr>
        <w:jc w:val="both"/>
        <w:ind w:left="1300" w:hanging="644"/>
        <w:spacing w:after="0" w:line="263" w:lineRule="auto"/>
        <w:tabs>
          <w:tab w:leader="none" w:pos="1300" w:val="left"/>
        </w:tabs>
        <w:numPr>
          <w:ilvl w:val="0"/>
          <w:numId w:val="521"/>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4.6.4</w:t>
      </w:r>
      <w:r>
        <w:rPr>
          <w:rFonts w:ascii="Arial" w:cs="Arial" w:eastAsia="Arial" w:hAnsi="Arial"/>
          <w:sz w:val="18"/>
          <w:szCs w:val="18"/>
          <w:color w:val="auto"/>
        </w:rPr>
        <w:t xml:space="preserve"> hereof in the case of the ULC Shares, those rights and remedies available to a secured party under the UCC (whether or not the UCC applies to the affected Collateral) or under any other applicable law when a debtor is in default under a security agreement.</w:t>
      </w:r>
    </w:p>
    <w:p>
      <w:pPr>
        <w:spacing w:after="0" w:line="183"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521"/>
        </w:numPr>
        <w:rPr>
          <w:rFonts w:ascii="Arial" w:cs="Arial" w:eastAsia="Arial" w:hAnsi="Arial"/>
          <w:sz w:val="18"/>
          <w:szCs w:val="18"/>
          <w:color w:val="010000"/>
        </w:rPr>
      </w:pPr>
      <w:r>
        <w:rPr>
          <w:rFonts w:ascii="Arial" w:cs="Arial" w:eastAsia="Arial" w:hAnsi="Arial"/>
          <w:sz w:val="18"/>
          <w:szCs w:val="18"/>
          <w:color w:val="auto"/>
        </w:rPr>
        <w:t>Give notice of sole control or any other instruction under any Control Agreement or other control agreement with any securities intermediary and take any action therein with respect to such Collateral.</w:t>
      </w:r>
    </w:p>
    <w:p>
      <w:pPr>
        <w:spacing w:after="0" w:line="170" w:lineRule="exact"/>
        <w:rPr>
          <w:rFonts w:ascii="Arial" w:cs="Arial" w:eastAsia="Arial" w:hAnsi="Arial"/>
          <w:sz w:val="18"/>
          <w:szCs w:val="18"/>
          <w:color w:val="010000"/>
        </w:rPr>
      </w:pPr>
    </w:p>
    <w:p>
      <w:pPr>
        <w:jc w:val="both"/>
        <w:ind w:left="1300" w:hanging="644"/>
        <w:spacing w:after="0" w:line="254" w:lineRule="auto"/>
        <w:tabs>
          <w:tab w:leader="none" w:pos="1300" w:val="left"/>
        </w:tabs>
        <w:numPr>
          <w:ilvl w:val="0"/>
          <w:numId w:val="521"/>
        </w:numPr>
        <w:rPr>
          <w:rFonts w:ascii="Arial" w:cs="Arial" w:eastAsia="Arial" w:hAnsi="Arial"/>
          <w:sz w:val="18"/>
          <w:szCs w:val="18"/>
          <w:color w:val="010000"/>
        </w:rPr>
      </w:pPr>
      <w:r>
        <w:rPr>
          <w:rFonts w:ascii="Arial" w:cs="Arial" w:eastAsia="Arial" w:hAnsi="Arial"/>
          <w:sz w:val="18"/>
          <w:szCs w:val="18"/>
          <w:color w:val="auto"/>
        </w:rPr>
        <w:t xml:space="preserve">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Agent may deem commercially reasonable.</w:t>
      </w:r>
    </w:p>
    <w:p>
      <w:pPr>
        <w:spacing w:after="0" w:line="194" w:lineRule="exact"/>
        <w:rPr>
          <w:rFonts w:ascii="Arial" w:cs="Arial" w:eastAsia="Arial" w:hAnsi="Arial"/>
          <w:sz w:val="18"/>
          <w:szCs w:val="18"/>
          <w:color w:val="010000"/>
        </w:rPr>
      </w:pPr>
    </w:p>
    <w:p>
      <w:pPr>
        <w:jc w:val="both"/>
        <w:ind w:left="1300" w:hanging="644"/>
        <w:spacing w:after="0" w:line="296" w:lineRule="auto"/>
        <w:tabs>
          <w:tab w:leader="none" w:pos="1300" w:val="left"/>
        </w:tabs>
        <w:numPr>
          <w:ilvl w:val="0"/>
          <w:numId w:val="521"/>
        </w:numPr>
        <w:rPr>
          <w:rFonts w:ascii="Arial" w:cs="Arial" w:eastAsia="Arial" w:hAnsi="Arial"/>
          <w:sz w:val="16"/>
          <w:szCs w:val="16"/>
          <w:color w:val="010000"/>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4.6.4</w:t>
      </w:r>
      <w:r>
        <w:rPr>
          <w:rFonts w:ascii="Arial" w:cs="Arial" w:eastAsia="Arial" w:hAnsi="Arial"/>
          <w:sz w:val="16"/>
          <w:szCs w:val="16"/>
          <w:color w:val="auto"/>
        </w:rPr>
        <w:t xml:space="preserve"> hereof in the case of the ULC Shares, 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Collateral as though the Agent was the outright owner thereof.</w:t>
      </w:r>
    </w:p>
    <w:p>
      <w:pPr>
        <w:spacing w:after="0" w:line="168"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5.1.2 </w:t>
      </w:r>
      <w:r>
        <w:rPr>
          <w:rFonts w:ascii="Arial" w:cs="Arial" w:eastAsia="Arial" w:hAnsi="Arial"/>
          <w:sz w:val="22"/>
          <w:szCs w:val="22"/>
          <w:color w:val="000000"/>
        </w:rPr>
        <w:t>The Agent, on behalf of the Secured Parties, shall comply with any applicable state or federal law</w:t>
      </w:r>
      <w:r>
        <w:rPr>
          <w:rFonts w:ascii="Arial" w:cs="Arial" w:eastAsia="Arial" w:hAnsi="Arial"/>
          <w:sz w:val="22"/>
          <w:szCs w:val="22"/>
          <w:color w:val="010000"/>
        </w:rPr>
        <w:t xml:space="preserve"> </w:t>
      </w:r>
      <w:r>
        <w:rPr>
          <w:rFonts w:ascii="Arial" w:cs="Arial" w:eastAsia="Arial" w:hAnsi="Arial"/>
          <w:sz w:val="22"/>
          <w:szCs w:val="22"/>
          <w:color w:val="000000"/>
        </w:rPr>
        <w:t>requirements in connection with a disposition of the Collateral, and such compliance will not be considered to adversely affect the commercial reasonableness of any sale of the Collateral.</w:t>
      </w:r>
    </w:p>
    <w:p>
      <w:pPr>
        <w:spacing w:after="0" w:line="185"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5.1.3 </w:t>
      </w:r>
      <w:r>
        <w:rPr>
          <w:rFonts w:ascii="Arial" w:cs="Arial" w:eastAsia="Arial" w:hAnsi="Arial"/>
          <w:sz w:val="22"/>
          <w:szCs w:val="22"/>
          <w:color w:val="000000"/>
        </w:rPr>
        <w:t>The Agent shall have the right upon any such public sale or sales and, to the extent permitted by</w:t>
      </w:r>
      <w:r>
        <w:rPr>
          <w:rFonts w:ascii="Arial" w:cs="Arial" w:eastAsia="Arial" w:hAnsi="Arial"/>
          <w:sz w:val="22"/>
          <w:szCs w:val="22"/>
          <w:color w:val="010000"/>
        </w:rPr>
        <w:t xml:space="preserve"> </w:t>
      </w:r>
      <w:r>
        <w:rPr>
          <w:rFonts w:ascii="Arial" w:cs="Arial" w:eastAsia="Arial" w:hAnsi="Arial"/>
          <w:sz w:val="22"/>
          <w:szCs w:val="22"/>
          <w:color w:val="000000"/>
        </w:rPr>
        <w:t>law, upon any such private sale or sales, to purchase for the benefit of the Agent and the other Secured Parties, the whole or any part of the Collateral so sold, free of any right of equity redemption, which equity redemption the Grantor hereby expressly releases.</w:t>
      </w:r>
    </w:p>
    <w:p>
      <w:pPr>
        <w:spacing w:after="0" w:line="191" w:lineRule="exact"/>
        <w:rPr>
          <w:sz w:val="20"/>
          <w:szCs w:val="20"/>
          <w:color w:val="auto"/>
        </w:rPr>
      </w:pPr>
    </w:p>
    <w:p>
      <w:pPr>
        <w:jc w:val="both"/>
        <w:ind w:left="660" w:firstLine="972"/>
        <w:spacing w:after="0" w:line="260" w:lineRule="auto"/>
        <w:rPr>
          <w:sz w:val="20"/>
          <w:szCs w:val="20"/>
          <w:color w:val="auto"/>
        </w:rPr>
      </w:pPr>
      <w:r>
        <w:rPr>
          <w:rFonts w:ascii="Arial" w:cs="Arial" w:eastAsia="Arial" w:hAnsi="Arial"/>
          <w:sz w:val="22"/>
          <w:szCs w:val="22"/>
          <w:color w:val="010000"/>
        </w:rPr>
        <w:t xml:space="preserve">5.1.4 </w:t>
      </w:r>
      <w:r>
        <w:rPr>
          <w:rFonts w:ascii="Arial" w:cs="Arial" w:eastAsia="Arial" w:hAnsi="Arial"/>
          <w:sz w:val="22"/>
          <w:szCs w:val="22"/>
          <w:color w:val="000000"/>
        </w:rPr>
        <w:t>Until the Agent is able to effect a sale, lease, or other disposition of Collateral, the Agent shall have</w:t>
      </w:r>
      <w:r>
        <w:rPr>
          <w:rFonts w:ascii="Arial" w:cs="Arial" w:eastAsia="Arial" w:hAnsi="Arial"/>
          <w:sz w:val="22"/>
          <w:szCs w:val="22"/>
          <w:color w:val="010000"/>
        </w:rPr>
        <w:t xml:space="preserve"> </w:t>
      </w:r>
      <w:r>
        <w:rPr>
          <w:rFonts w:ascii="Arial" w:cs="Arial" w:eastAsia="Arial" w:hAnsi="Arial"/>
          <w:sz w:val="22"/>
          <w:szCs w:val="22"/>
          <w:color w:val="000000"/>
        </w:rPr>
        <w:t>the right to hold or use Collateral, or any part thereof, to the extent that it deems appropriate for the purpose of preserving Collateral or its value or for any other purpose deemed appropriate by the Agent. The Agent may, if it so elects, seek the appointment of a receiver or keeper to take possession of Collateral and to enforce any of the Agent’s remedies (for the benefit of the Agent and other Secured Parties), with respect to such appointment without prior notice or hearing as to such appointment.</w:t>
      </w:r>
    </w:p>
    <w:p>
      <w:pPr>
        <w:spacing w:after="0" w:line="192" w:lineRule="exact"/>
        <w:rPr>
          <w:sz w:val="20"/>
          <w:szCs w:val="20"/>
          <w:color w:val="auto"/>
        </w:rPr>
      </w:pPr>
    </w:p>
    <w:p>
      <w:pPr>
        <w:ind w:left="1620"/>
        <w:spacing w:after="0"/>
        <w:tabs>
          <w:tab w:leader="none" w:pos="2660" w:val="left"/>
        </w:tabs>
        <w:rPr>
          <w:sz w:val="20"/>
          <w:szCs w:val="20"/>
          <w:color w:val="auto"/>
        </w:rPr>
      </w:pPr>
      <w:r>
        <w:rPr>
          <w:rFonts w:ascii="Arial" w:cs="Arial" w:eastAsia="Arial" w:hAnsi="Arial"/>
          <w:sz w:val="22"/>
          <w:szCs w:val="22"/>
          <w:color w:val="010000"/>
        </w:rPr>
        <w:t>5.1.5</w:t>
      </w:r>
      <w:r>
        <w:rPr>
          <w:sz w:val="20"/>
          <w:szCs w:val="20"/>
          <w:color w:val="auto"/>
        </w:rPr>
        <w:tab/>
      </w:r>
      <w:r>
        <w:rPr>
          <w:rFonts w:ascii="Arial" w:cs="Arial" w:eastAsia="Arial" w:hAnsi="Arial"/>
          <w:sz w:val="19"/>
          <w:szCs w:val="19"/>
          <w:color w:val="auto"/>
        </w:rPr>
        <w:t>Notwithstanding the foregoing, neither the Agent nor any other Secured Party shall be required to</w:t>
      </w:r>
    </w:p>
    <w:p>
      <w:pPr>
        <w:spacing w:after="0" w:line="21" w:lineRule="exact"/>
        <w:rPr>
          <w:sz w:val="20"/>
          <w:szCs w:val="20"/>
          <w:color w:val="auto"/>
        </w:rPr>
      </w:pPr>
    </w:p>
    <w:p>
      <w:pPr>
        <w:jc w:val="both"/>
        <w:ind w:left="660" w:hanging="4"/>
        <w:spacing w:after="0" w:line="306" w:lineRule="auto"/>
        <w:tabs>
          <w:tab w:leader="none" w:pos="932" w:val="left"/>
        </w:tabs>
        <w:numPr>
          <w:ilvl w:val="0"/>
          <w:numId w:val="522"/>
        </w:numPr>
        <w:rPr>
          <w:rFonts w:ascii="Arial" w:cs="Arial" w:eastAsia="Arial" w:hAnsi="Arial"/>
          <w:sz w:val="19"/>
          <w:szCs w:val="19"/>
          <w:color w:val="auto"/>
        </w:rPr>
      </w:pPr>
      <w:r>
        <w:rPr>
          <w:rFonts w:ascii="Arial" w:cs="Arial" w:eastAsia="Arial" w:hAnsi="Arial"/>
          <w:sz w:val="19"/>
          <w:szCs w:val="19"/>
          <w:color w:val="auto"/>
        </w:rPr>
        <w:t>make any demand 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 To the extent that it lawfully may, each Grantor hereby agrees that it will not invoke any law relating to the marshaling of collateral which might cause delay in or impede the enforcement of Agent's rights and remedies under this Security Agreement or under any other instrument creating or</w:t>
      </w:r>
    </w:p>
    <w:p>
      <w:pPr>
        <w:sectPr>
          <w:pgSz w:w="11900" w:h="16838" w:orient="portrait"/>
          <w:cols w:equalWidth="0" w:num="1">
            <w:col w:w="11240"/>
          </w:cols>
          <w:pgMar w:left="320" w:top="131" w:right="339" w:bottom="0" w:gutter="0" w:footer="0" w:header="0"/>
        </w:sectPr>
      </w:pPr>
    </w:p>
    <w:bookmarkStart w:id="464" w:name="page465"/>
    <w:bookmarkEnd w:id="464"/>
    <w:p>
      <w:pPr>
        <w:spacing w:after="0" w:line="47"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185" w:lineRule="exact"/>
        <w:rPr>
          <w:sz w:val="20"/>
          <w:szCs w:val="20"/>
          <w:color w:val="auto"/>
        </w:rPr>
      </w:pPr>
    </w:p>
    <w:p>
      <w:pPr>
        <w:jc w:val="both"/>
        <w:ind w:left="660" w:firstLine="972"/>
        <w:spacing w:after="0" w:line="272" w:lineRule="auto"/>
        <w:rPr>
          <w:sz w:val="20"/>
          <w:szCs w:val="20"/>
          <w:color w:val="auto"/>
        </w:rPr>
      </w:pPr>
      <w:r>
        <w:rPr>
          <w:rFonts w:ascii="Arial" w:cs="Arial" w:eastAsia="Arial" w:hAnsi="Arial"/>
          <w:sz w:val="21"/>
          <w:szCs w:val="21"/>
          <w:color w:val="010000"/>
        </w:rPr>
        <w:t xml:space="preserve">5.1.6 </w:t>
      </w:r>
      <w:r>
        <w:rPr>
          <w:rFonts w:ascii="Arial" w:cs="Arial" w:eastAsia="Arial" w:hAnsi="Arial"/>
          <w:sz w:val="21"/>
          <w:szCs w:val="21"/>
          <w:color w:val="000000"/>
        </w:rPr>
        <w:t>Each Grantor recognizes that the Agent may be unable to effect a public sale of any or all the</w:t>
      </w:r>
      <w:r>
        <w:rPr>
          <w:rFonts w:ascii="Arial" w:cs="Arial" w:eastAsia="Arial" w:hAnsi="Arial"/>
          <w:sz w:val="21"/>
          <w:szCs w:val="21"/>
          <w:color w:val="010000"/>
        </w:rPr>
        <w:t xml:space="preserve"> </w:t>
      </w:r>
      <w:r>
        <w:rPr>
          <w:rFonts w:ascii="Arial" w:cs="Arial" w:eastAsia="Arial" w:hAnsi="Arial"/>
          <w:sz w:val="21"/>
          <w:szCs w:val="21"/>
          <w:color w:val="000000"/>
        </w:rPr>
        <w:t xml:space="preserve">Pledged Collateral and may be compelled to resort to one or more private sales thereof in accordance with </w:t>
      </w:r>
      <w:r>
        <w:rPr>
          <w:rFonts w:ascii="Arial" w:cs="Arial" w:eastAsia="Arial" w:hAnsi="Arial"/>
          <w:sz w:val="21"/>
          <w:szCs w:val="21"/>
          <w:u w:val="single" w:color="auto"/>
          <w:color w:val="000000"/>
        </w:rPr>
        <w:t>Section 5.1.1</w:t>
      </w:r>
      <w:r>
        <w:rPr>
          <w:rFonts w:ascii="Arial" w:cs="Arial" w:eastAsia="Arial" w:hAnsi="Arial"/>
          <w:sz w:val="21"/>
          <w:szCs w:val="21"/>
          <w:color w:val="000000"/>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Agent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8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u w:val="single" w:color="auto"/>
          <w:color w:val="auto"/>
        </w:rPr>
        <w:t>Grantors’ Obligations Upon Default</w:t>
      </w:r>
      <w:r>
        <w:rPr>
          <w:rFonts w:ascii="Arial" w:cs="Arial" w:eastAsia="Arial" w:hAnsi="Arial"/>
          <w:sz w:val="22"/>
          <w:szCs w:val="22"/>
          <w:color w:val="auto"/>
        </w:rPr>
        <w:t>. Upon the written request of the Agent after the occurrence and during the continuation of an Event of Default, subject to the Intercreditor Agreement, each Grantor will:</w:t>
      </w:r>
    </w:p>
    <w:p>
      <w:pPr>
        <w:spacing w:after="0" w:line="174" w:lineRule="exact"/>
        <w:rPr>
          <w:sz w:val="20"/>
          <w:szCs w:val="20"/>
          <w:color w:val="auto"/>
        </w:rPr>
      </w:pPr>
    </w:p>
    <w:p>
      <w:pPr>
        <w:jc w:val="both"/>
        <w:ind w:left="660" w:right="20" w:firstLine="972"/>
        <w:spacing w:after="0" w:line="276" w:lineRule="auto"/>
        <w:rPr>
          <w:sz w:val="20"/>
          <w:szCs w:val="20"/>
          <w:color w:val="auto"/>
        </w:rPr>
      </w:pPr>
      <w:r>
        <w:rPr>
          <w:rFonts w:ascii="Arial" w:cs="Arial" w:eastAsia="Arial" w:hAnsi="Arial"/>
          <w:sz w:val="22"/>
          <w:szCs w:val="22"/>
          <w:color w:val="010000"/>
        </w:rPr>
        <w:t xml:space="preserve">5.2.1 </w:t>
      </w:r>
      <w:r>
        <w:rPr>
          <w:rFonts w:ascii="Arial" w:cs="Arial" w:eastAsia="Arial" w:hAnsi="Arial"/>
          <w:sz w:val="22"/>
          <w:szCs w:val="22"/>
          <w:u w:val="single" w:color="auto"/>
          <w:color w:val="000000"/>
        </w:rPr>
        <w:t>Assembly of Collateral</w:t>
      </w:r>
      <w:r>
        <w:rPr>
          <w:rFonts w:ascii="Arial" w:cs="Arial" w:eastAsia="Arial" w:hAnsi="Arial"/>
          <w:sz w:val="22"/>
          <w:szCs w:val="22"/>
          <w:color w:val="000000"/>
        </w:rPr>
        <w:t>. Assemble and make available to the Agent the Collateral and all books and</w:t>
      </w:r>
      <w:r>
        <w:rPr>
          <w:rFonts w:ascii="Arial" w:cs="Arial" w:eastAsia="Arial" w:hAnsi="Arial"/>
          <w:sz w:val="22"/>
          <w:szCs w:val="22"/>
          <w:color w:val="010000"/>
        </w:rPr>
        <w:t xml:space="preserve"> </w:t>
      </w:r>
      <w:r>
        <w:rPr>
          <w:rFonts w:ascii="Arial" w:cs="Arial" w:eastAsia="Arial" w:hAnsi="Arial"/>
          <w:sz w:val="22"/>
          <w:szCs w:val="22"/>
          <w:color w:val="000000"/>
        </w:rPr>
        <w:t>records relating thereto at any place or places specified in writing by the Agent.</w:t>
      </w:r>
    </w:p>
    <w:p>
      <w:pPr>
        <w:spacing w:after="0" w:line="174"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5.2.2 </w:t>
      </w:r>
      <w:r>
        <w:rPr>
          <w:rFonts w:ascii="Arial" w:cs="Arial" w:eastAsia="Arial" w:hAnsi="Arial"/>
          <w:sz w:val="21"/>
          <w:szCs w:val="21"/>
          <w:u w:val="single" w:color="auto"/>
          <w:color w:val="000000"/>
        </w:rPr>
        <w:t>Secured Party Access</w:t>
      </w:r>
      <w:r>
        <w:rPr>
          <w:rFonts w:ascii="Arial" w:cs="Arial" w:eastAsia="Arial" w:hAnsi="Arial"/>
          <w:sz w:val="21"/>
          <w:szCs w:val="21"/>
          <w:color w:val="000000"/>
        </w:rPr>
        <w:t>. Permit the Agent, by the Agent’s representatives and agents, to enter, occupy</w:t>
      </w:r>
      <w:r>
        <w:rPr>
          <w:rFonts w:ascii="Arial" w:cs="Arial" w:eastAsia="Arial" w:hAnsi="Arial"/>
          <w:sz w:val="21"/>
          <w:szCs w:val="21"/>
          <w:color w:val="010000"/>
        </w:rPr>
        <w:t xml:space="preserve"> </w:t>
      </w:r>
      <w:r>
        <w:rPr>
          <w:rFonts w:ascii="Arial" w:cs="Arial" w:eastAsia="Arial" w:hAnsi="Arial"/>
          <w:sz w:val="21"/>
          <w:szCs w:val="21"/>
          <w:color w:val="000000"/>
        </w:rPr>
        <w:t>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77"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5.2.3 </w:t>
      </w:r>
      <w:r>
        <w:rPr>
          <w:rFonts w:ascii="Arial" w:cs="Arial" w:eastAsia="Arial" w:hAnsi="Arial"/>
          <w:sz w:val="21"/>
          <w:szCs w:val="21"/>
          <w:color w:val="000000"/>
        </w:rPr>
        <w:t>Prepare and file, or cause an issuer of Pledged Collateral to prepare and file, with the SEC or any</w:t>
      </w:r>
      <w:r>
        <w:rPr>
          <w:rFonts w:ascii="Arial" w:cs="Arial" w:eastAsia="Arial" w:hAnsi="Arial"/>
          <w:sz w:val="21"/>
          <w:szCs w:val="21"/>
          <w:color w:val="010000"/>
        </w:rPr>
        <w:t xml:space="preserve"> </w:t>
      </w:r>
      <w:r>
        <w:rPr>
          <w:rFonts w:ascii="Arial" w:cs="Arial" w:eastAsia="Arial" w:hAnsi="Arial"/>
          <w:sz w:val="21"/>
          <w:szCs w:val="21"/>
          <w:color w:val="000000"/>
        </w:rPr>
        <w:t>other applicable government agency, registration statements, a prospectus and such other documentation in connection with the Pledged Collateral as the Agent may request, all in form and substance reasonably satisfactory to the Agent, and furnish to the Agent, or cause an issuer of Pledged Collateral to furnish to the Agent, any information regarding the Pledged Collateral in such detail as the Agent may specify.</w:t>
      </w:r>
    </w:p>
    <w:p>
      <w:pPr>
        <w:spacing w:after="0" w:line="177"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5.2.4 </w:t>
      </w:r>
      <w:r>
        <w:rPr>
          <w:rFonts w:ascii="Arial" w:cs="Arial" w:eastAsia="Arial" w:hAnsi="Arial"/>
          <w:sz w:val="22"/>
          <w:szCs w:val="22"/>
          <w:color w:val="000000"/>
        </w:rPr>
        <w:t>Subject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4.6.4</w:t>
      </w:r>
      <w:r>
        <w:rPr>
          <w:rFonts w:ascii="Arial" w:cs="Arial" w:eastAsia="Arial" w:hAnsi="Arial"/>
          <w:sz w:val="22"/>
          <w:szCs w:val="22"/>
          <w:color w:val="010000"/>
        </w:rPr>
        <w:t xml:space="preserve"> </w:t>
      </w:r>
      <w:r>
        <w:rPr>
          <w:rFonts w:ascii="Arial" w:cs="Arial" w:eastAsia="Arial" w:hAnsi="Arial"/>
          <w:sz w:val="22"/>
          <w:szCs w:val="22"/>
          <w:color w:val="000000"/>
        </w:rPr>
        <w:t>hereof in the case of ULC Shares, take, or cause an issuer of Pledged</w:t>
      </w:r>
      <w:r>
        <w:rPr>
          <w:rFonts w:ascii="Arial" w:cs="Arial" w:eastAsia="Arial" w:hAnsi="Arial"/>
          <w:sz w:val="22"/>
          <w:szCs w:val="22"/>
          <w:color w:val="010000"/>
        </w:rPr>
        <w:t xml:space="preserve"> </w:t>
      </w:r>
      <w:r>
        <w:rPr>
          <w:rFonts w:ascii="Arial" w:cs="Arial" w:eastAsia="Arial" w:hAnsi="Arial"/>
          <w:sz w:val="22"/>
          <w:szCs w:val="22"/>
          <w:color w:val="000000"/>
        </w:rPr>
        <w:t>Collateral to take, any and all actions necessary to register or qualify the Pledged Collateral to enable the Agent to consummate a public sale or other disposition of the Pledged Collateral.</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u w:val="single" w:color="auto"/>
          <w:color w:val="auto"/>
        </w:rPr>
        <w:t>License</w:t>
      </w:r>
      <w:r>
        <w:rPr>
          <w:rFonts w:ascii="Arial" w:cs="Arial" w:eastAsia="Arial" w:hAnsi="Arial"/>
          <w:sz w:val="19"/>
          <w:szCs w:val="19"/>
          <w:color w:val="auto"/>
        </w:rPr>
        <w:t>. The Agent is hereby granted a sublicenseable license or other right to use, following the occurrence and during the continuance of an Event of Default and, subject to the Intercreditor Agreement, without charge, each Grantor’s Intellectual Property constituting Collateral and to access all media and materials containing same. In addition, each Grantor hereby irrevocably agrees that the Agent may, following the occurrence and during the continuance of an Event of Default, subject to the Intercreditor Agreement, sell any of such Grantor’s Inventory constituting Collateral directly to any person, including without limitation persons who have previously purchased such Grantor’s Inventory from such Grantor and in connection with any such sale or other enforcement of the Agent’s rights under this Security Agreement, may sell such Inventory which bears any trademark owned by or licensed to such Grantor and any such Inventory that is covered by any copyright owned by or licensed to such Grantor and the Agent may (but shall have no obligation to) finish any work in process and affix any Trademark owned by or licensed to such Grantor and sell such Inventory as provided herein.</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u w:val="single" w:color="auto"/>
          <w:color w:val="auto"/>
        </w:rPr>
        <w:t>Remedies Cumulative.</w:t>
      </w:r>
      <w:r>
        <w:rPr>
          <w:rFonts w:ascii="Arial" w:cs="Arial" w:eastAsia="Arial" w:hAnsi="Arial"/>
          <w:sz w:val="19"/>
          <w:szCs w:val="19"/>
          <w:color w:val="auto"/>
        </w:rPr>
        <w:t xml:space="preserve"> Each right, power, and remedy of Agent or any other Secured Party as provided for in this Security Agreement, the other Loan Documents, any Swap Agreements or any Banking Services Agreements now or hereafter existing at law or in equity or by statute or otherwise shall be cumulative and concurrent and shall be in addition to every other right, power, or remedy provided for in this Security Agreement, the other Loan Documents, any Swap Agreements or any Banking Services Agreements now or hereafter existing at law or in equity or by statute or otherwise, and the exercise or beginning of the exercise by Agent or any other Secured Party of any one or more of such rights, powers, or remedies shall not preclude the simultaneous or later exercise by Agent or such other Secured Parties of any or all such other rights, powers, or remedies.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WAIVERS, AMENDMENTS AND REMEDIES</w:t>
      </w:r>
    </w:p>
    <w:p>
      <w:pPr>
        <w:spacing w:after="0" w:line="23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No delay or omission of the Agent or any Secured Party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w:t>
      </w:r>
    </w:p>
    <w:p>
      <w:pPr>
        <w:sectPr>
          <w:pgSz w:w="11900" w:h="16885" w:orient="portrait"/>
          <w:cols w:equalWidth="0" w:num="1">
            <w:col w:w="11240"/>
          </w:cols>
          <w:pgMar w:left="320" w:top="131" w:right="339" w:bottom="0" w:gutter="0" w:footer="0" w:header="0"/>
        </w:sectPr>
      </w:pPr>
    </w:p>
    <w:bookmarkStart w:id="465" w:name="page466"/>
    <w:bookmarkEnd w:id="465"/>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 xml:space="preserve">exercise thereof or the exercise of any other right or remedy. No waiver, amendment or other variation of the terms, conditions or provisions of this Security Agreement whatsoever shall be valid unless in writing signed by the Agent and each Grantor, and then only to the extent in such writing specifically set forth;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addition of any Subsidiary as a Grantor hereunder by execution of a Security Agreement Supplement in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(with such modifications as shall be acceptable to the Agent) shall not require receipt of any consent from or execution of any documentation by any other Grantor party hereto. All rights and remedies contained in this Security Agreement or by law afforded shall be cumulative and all shall be available to the Agent and the Secured Parties until the Secured Obligations have been paid in full.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PROCEEDS; COLLECTION OF RECEIVABLES</w:t>
      </w: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u w:val="single" w:color="auto"/>
          <w:color w:val="auto"/>
        </w:rPr>
        <w:t>Lockboxes</w:t>
      </w:r>
      <w:r>
        <w:rPr>
          <w:rFonts w:ascii="Arial" w:cs="Arial" w:eastAsia="Arial" w:hAnsi="Arial"/>
          <w:sz w:val="19"/>
          <w:szCs w:val="19"/>
          <w:color w:val="auto"/>
        </w:rPr>
        <w:t>. Upon request of the Agent after the occurrence and during the continuation of an Event of Default and subject to the Intercreditor Agreement, each Grantor shall execute and deliver to the Agent irrevocable lockbox agreements in the form provided by or otherwise reasonably acceptable to the Agent, which agreements, if so required by the Agent, shall be accompanied by an acknowledgment by the bank where the lockbox is located of the Lien of the Agent granted hereunder and of irrevocable instructions to wire all amounts collected therein to a special collateral account at the Agent.</w:t>
      </w:r>
    </w:p>
    <w:p>
      <w:pPr>
        <w:spacing w:after="0" w:line="15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u w:val="single" w:color="auto"/>
          <w:color w:val="auto"/>
        </w:rPr>
        <w:t>Collection of Receivables</w:t>
      </w:r>
      <w:r>
        <w:rPr>
          <w:rFonts w:ascii="Arial" w:cs="Arial" w:eastAsia="Arial" w:hAnsi="Arial"/>
          <w:sz w:val="19"/>
          <w:szCs w:val="19"/>
          <w:color w:val="auto"/>
        </w:rPr>
        <w:t xml:space="preserve">. The Agent may at any time after the occurrence and during the continuation of an Event of Default and subject to the Intercreditor Agreement, by giving each Grantor written notice, elect to require that the Receivables be paid directly to the Agent for the benefit of the Secured Parties. In such event, subject to the Intercreditor Agreement, each Grantor shall, and shall permit the Agent to, promptly notify the account debtors or obligors under the Receivables owned by such Grantor of the Agent’s interest therein and direct such account debtors or obligors to make payment of all amounts then or thereafter due under such Receivables directly to the Agent. Upon receipt of any such notice from the Agent, each Grantor shall thereafter during the continuation of any Event of Default and subject to the Intercreditor Agreement hold in trust for the Agent, on behalf of the Secured Parties, all amounts and proceeds received by it with respect to the Receivables and Other Collateral and immediately and at all times thereafter deliver to the Agent all such amounts and proceeds in the same form as so received, whether by cash, check, draft or otherwise, with any necessary endorsements. The Agent shall hold and apply funds so received as provided by the terms of </w:t>
      </w:r>
      <w:r>
        <w:rPr>
          <w:rFonts w:ascii="Arial" w:cs="Arial" w:eastAsia="Arial" w:hAnsi="Arial"/>
          <w:sz w:val="19"/>
          <w:szCs w:val="19"/>
          <w:u w:val="single" w:color="auto"/>
          <w:color w:val="auto"/>
        </w:rPr>
        <w:t>Sections 7.3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hereof.</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u w:val="single" w:color="auto"/>
          <w:color w:val="auto"/>
        </w:rPr>
        <w:t>Special Collateral Account</w:t>
      </w:r>
      <w:r>
        <w:rPr>
          <w:rFonts w:ascii="Arial" w:cs="Arial" w:eastAsia="Arial" w:hAnsi="Arial"/>
          <w:sz w:val="21"/>
          <w:szCs w:val="21"/>
          <w:color w:val="auto"/>
        </w:rPr>
        <w:t>. Upon the occurrence and during the continuation of an Event of Default and subject to the Intercreditor Agreement, the Agent may require, by giving the Grantors written notice, that all cash proceeds of the Collateral to be deposited in a special non-interest bearing cash collateral account with the Agent and held there as security for the Secured Obligations. No Grantor shall have any control whatsoever over such cash collateral account. The Agent shall from time to time deposit the collected balances in such cash collateral account into the applicable Grantor’s general operating account with the Agent. Subject to the Intercreditor Agreement, if any Event of Default has occurred and is continuing, the Agent may (and shall, at the direction of the Required Lenders), from time to time, apply the collected balances in such cash collateral account to the payment of the Secured Obligations.</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Application of Proceeds</w:t>
      </w:r>
      <w:r>
        <w:rPr>
          <w:rFonts w:ascii="Arial" w:cs="Arial" w:eastAsia="Arial" w:hAnsi="Arial"/>
          <w:sz w:val="22"/>
          <w:szCs w:val="22"/>
          <w:color w:val="auto"/>
        </w:rPr>
        <w:t>. Subject to the Intercreditor Agreement, the proceeds of the Collateral shall be applied by the Agent to payment of the Secured Obligations of the Grantors, as provided under Sections 4.01 and 9.04 of the LC Credit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Swiss Limitations</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301" w:lineRule="auto"/>
        <w:rPr>
          <w:sz w:val="20"/>
          <w:szCs w:val="20"/>
          <w:color w:val="auto"/>
        </w:rPr>
      </w:pPr>
      <w:r>
        <w:rPr>
          <w:rFonts w:ascii="Arial" w:cs="Arial" w:eastAsia="Arial" w:hAnsi="Arial"/>
          <w:sz w:val="19"/>
          <w:szCs w:val="19"/>
          <w:color w:val="010000"/>
        </w:rPr>
        <w:t xml:space="preserve">7.5.1 </w:t>
      </w:r>
      <w:r>
        <w:rPr>
          <w:rFonts w:ascii="Arial" w:cs="Arial" w:eastAsia="Arial" w:hAnsi="Arial"/>
          <w:sz w:val="19"/>
          <w:szCs w:val="19"/>
          <w:color w:val="000000"/>
        </w:rPr>
        <w:t>If and to the extent that the security granted by a Grantor incorporated in Switzerland and/or having</w:t>
      </w:r>
      <w:r>
        <w:rPr>
          <w:rFonts w:ascii="Arial" w:cs="Arial" w:eastAsia="Arial" w:hAnsi="Arial"/>
          <w:sz w:val="19"/>
          <w:szCs w:val="19"/>
          <w:color w:val="010000"/>
        </w:rPr>
        <w:t xml:space="preserve"> </w:t>
      </w:r>
      <w:r>
        <w:rPr>
          <w:rFonts w:ascii="Arial" w:cs="Arial" w:eastAsia="Arial" w:hAnsi="Arial"/>
          <w:sz w:val="19"/>
          <w:szCs w:val="19"/>
          <w:color w:val="000000"/>
        </w:rPr>
        <w:t>its registered office in Switzerland and/or qualifying as a Swiss resident pursuant to art. 9 of the Swiss Withholding Tax Act (the “</w:t>
      </w:r>
      <w:r>
        <w:rPr>
          <w:rFonts w:ascii="Arial" w:cs="Arial" w:eastAsia="Arial" w:hAnsi="Arial"/>
          <w:sz w:val="19"/>
          <w:szCs w:val="19"/>
          <w:u w:val="single" w:color="auto"/>
          <w:color w:val="000000"/>
        </w:rPr>
        <w:t>Swiss Grantor</w:t>
      </w:r>
      <w:r>
        <w:rPr>
          <w:rFonts w:ascii="Arial" w:cs="Arial" w:eastAsia="Arial" w:hAnsi="Arial"/>
          <w:sz w:val="19"/>
          <w:szCs w:val="19"/>
          <w:color w:val="000000"/>
        </w:rPr>
        <w:t>”) under this Security Agreement secures obligations other than obligations of one of its direct or indirect subsidiaries (i.e. obligations of the Swiss Grantor's direct or indirect parent companies (up-stream liabilities) or sister companies (cross-stream liabilities)) (the “</w:t>
      </w:r>
      <w:r>
        <w:rPr>
          <w:rFonts w:ascii="Arial" w:cs="Arial" w:eastAsia="Arial" w:hAnsi="Arial"/>
          <w:sz w:val="19"/>
          <w:szCs w:val="19"/>
          <w:u w:val="single" w:color="auto"/>
          <w:color w:val="000000"/>
        </w:rPr>
        <w:t>Restricted Obligations</w:t>
      </w:r>
      <w:r>
        <w:rPr>
          <w:rFonts w:ascii="Arial" w:cs="Arial" w:eastAsia="Arial" w:hAnsi="Arial"/>
          <w:sz w:val="19"/>
          <w:szCs w:val="19"/>
          <w:b w:val="1"/>
          <w:bCs w:val="1"/>
          <w:color w:val="000000"/>
        </w:rPr>
        <w:t>”</w:t>
      </w:r>
      <w:r>
        <w:rPr>
          <w:rFonts w:ascii="Arial" w:cs="Arial" w:eastAsia="Arial" w:hAnsi="Arial"/>
          <w:sz w:val="19"/>
          <w:szCs w:val="19"/>
          <w:color w:val="000000"/>
        </w:rPr>
        <w:t>) and that using the proceeds from the enforcement of such security would under Swiss corporate law (</w:t>
      </w:r>
      <w:r>
        <w:rPr>
          <w:rFonts w:ascii="Arial" w:cs="Arial" w:eastAsia="Arial" w:hAnsi="Arial"/>
          <w:sz w:val="19"/>
          <w:szCs w:val="19"/>
          <w:i w:val="1"/>
          <w:iCs w:val="1"/>
          <w:color w:val="000000"/>
        </w:rPr>
        <w:t>inter alia</w:t>
      </w:r>
      <w:r>
        <w:rPr>
          <w:rFonts w:ascii="Arial" w:cs="Arial" w:eastAsia="Arial" w:hAnsi="Arial"/>
          <w:sz w:val="19"/>
          <w:szCs w:val="19"/>
          <w:color w:val="000000"/>
        </w:rPr>
        <w:t xml:space="preserve">, prohibiting capital repayments or restricting profit distributions) not be permitted at such time, then the proceeds from the enforcement of such security to be applied towards discharging Restricted Obligations shall from time to time be limited to the amount permitted under applicable Swiss law; </w:t>
      </w:r>
      <w:r>
        <w:rPr>
          <w:rFonts w:ascii="Arial" w:cs="Arial" w:eastAsia="Arial" w:hAnsi="Arial"/>
          <w:sz w:val="19"/>
          <w:szCs w:val="19"/>
          <w:u w:val="single" w:color="auto"/>
          <w:color w:val="000000"/>
        </w:rPr>
        <w:t>provided</w:t>
      </w:r>
      <w:r>
        <w:rPr>
          <w:rFonts w:ascii="Arial" w:cs="Arial" w:eastAsia="Arial" w:hAnsi="Arial"/>
          <w:sz w:val="19"/>
          <w:szCs w:val="19"/>
          <w:color w:val="000000"/>
        </w:rPr>
        <w:t>, that such limited amount shall at no time be less than the Swiss Grantor's distributable capital (presently being the balance sheet profits and any reserves available for distribution) at the time or times of enforcement for Restricted Obligations, and further provided that such limitation (as may apply from time to time or not) shall not (generally or definitively) affect the security granted by the Swiss Grantor under this Security Agreement in excess thereof, but merely postpone the time of using such proceeds from Enforcement of such security until such times as application towards discharging the Restricted Obligations is again permitted notwithstanding such limitation.</w:t>
      </w:r>
    </w:p>
    <w:p>
      <w:pPr>
        <w:spacing w:after="0" w:line="160"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22"/>
          <w:szCs w:val="22"/>
          <w:color w:val="010000"/>
        </w:rPr>
        <w:t>7.5.2</w:t>
      </w:r>
      <w:r>
        <w:rPr>
          <w:sz w:val="20"/>
          <w:szCs w:val="20"/>
          <w:color w:val="auto"/>
        </w:rPr>
        <w:tab/>
      </w:r>
      <w:r>
        <w:rPr>
          <w:rFonts w:ascii="Arial" w:cs="Arial" w:eastAsia="Arial" w:hAnsi="Arial"/>
          <w:sz w:val="19"/>
          <w:szCs w:val="19"/>
          <w:color w:val="auto"/>
        </w:rPr>
        <w:t>In case the Swiss Grantor who must make a payment in respect of Restricted Obligations under this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Security Agreement is obliged to withhold Swiss Withholding Tax in respect of such payment, the Swiss Grantor shall:</w:t>
      </w:r>
    </w:p>
    <w:p>
      <w:pPr>
        <w:sectPr>
          <w:pgSz w:w="11900" w:h="16863" w:orient="portrait"/>
          <w:cols w:equalWidth="0" w:num="1">
            <w:col w:w="11240"/>
          </w:cols>
          <w:pgMar w:left="320" w:top="131" w:right="339" w:bottom="0" w:gutter="0" w:footer="0" w:header="0"/>
        </w:sectPr>
      </w:pPr>
    </w:p>
    <w:bookmarkStart w:id="466" w:name="page467"/>
    <w:bookmarkEnd w:id="466"/>
    <w:p>
      <w:pPr>
        <w:jc w:val="both"/>
        <w:ind w:left="1300" w:hanging="656"/>
        <w:spacing w:after="0" w:line="263" w:lineRule="auto"/>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procure that such payments can be made without deduction of Swiss Withholding Tax, or with deduction of Swiss Withholding Tax at a reduced rate, by discharging the liability to such tax by notification pursuant to applicable law (including double tax treaties) rather than payment of the tax;</w:t>
      </w:r>
    </w:p>
    <w:p>
      <w:pPr>
        <w:spacing w:after="0" w:line="183" w:lineRule="exact"/>
        <w:rPr>
          <w:rFonts w:ascii="Arial" w:cs="Arial" w:eastAsia="Arial" w:hAnsi="Arial"/>
          <w:sz w:val="18"/>
          <w:szCs w:val="18"/>
          <w:color w:val="auto"/>
        </w:rPr>
      </w:pPr>
    </w:p>
    <w:p>
      <w:pPr>
        <w:jc w:val="both"/>
        <w:ind w:left="1300" w:hanging="656"/>
        <w:spacing w:after="0" w:line="257" w:lineRule="auto"/>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 xml:space="preserve">if the notification procedure pursuant to </w:t>
      </w:r>
      <w:r>
        <w:rPr>
          <w:rFonts w:ascii="Arial" w:cs="Arial" w:eastAsia="Arial" w:hAnsi="Arial"/>
          <w:sz w:val="18"/>
          <w:szCs w:val="18"/>
          <w:u w:val="single" w:color="auto"/>
          <w:color w:val="auto"/>
        </w:rPr>
        <w:t>Section 7.5.2(i)</w:t>
      </w:r>
      <w:r>
        <w:rPr>
          <w:rFonts w:ascii="Arial" w:cs="Arial" w:eastAsia="Arial" w:hAnsi="Arial"/>
          <w:sz w:val="18"/>
          <w:szCs w:val="18"/>
          <w:color w:val="auto"/>
        </w:rPr>
        <w:t xml:space="preserve"> hereof does not apply, deduct Swiss Withholding Tax at the rate of 35% (or such other rate as in force from time to time), or if the notification procedure pursuant to </w:t>
      </w:r>
      <w:r>
        <w:rPr>
          <w:rFonts w:ascii="Arial" w:cs="Arial" w:eastAsia="Arial" w:hAnsi="Arial"/>
          <w:sz w:val="18"/>
          <w:szCs w:val="18"/>
          <w:u w:val="single" w:color="auto"/>
          <w:color w:val="auto"/>
        </w:rPr>
        <w:t>Section 7.5.2(i)</w:t>
      </w:r>
      <w:r>
        <w:rPr>
          <w:rFonts w:ascii="Arial" w:cs="Arial" w:eastAsia="Arial" w:hAnsi="Arial"/>
          <w:sz w:val="18"/>
          <w:szCs w:val="18"/>
          <w:color w:val="auto"/>
        </w:rPr>
        <w:t xml:space="preserve"> hereof applies for a part of the Swiss Withholding Tax only, deduct Swiss Withholding Tax at the reduced rate resulting after the discharge of part of such tax by notification under applicable law, from any payment made by it in respect of Restricted Obligations and promptly pay any such taxes to the Swiss Federal Tax Administration;</w:t>
      </w:r>
    </w:p>
    <w:p>
      <w:pPr>
        <w:spacing w:after="0" w:line="187"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notify the Agent that such notification, or as the case may be, deduction has been made and provide the Agent with evidence that such a notification of the Swiss Federal Tax Administration has been made or, as the case may be, such taxes deducted have been paid to the Swiss Federal Tax Administration; and</w:t>
      </w:r>
    </w:p>
    <w:p>
      <w:pPr>
        <w:spacing w:after="0" w:line="183"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use its best efforts to ensure that any person other than the Agent, which is entitled to a full or partial refund of the Swiss Withholding Tax deducted from such payment in respect of Restricted Obligations, will, as soon as possible after such deduction:</w:t>
      </w:r>
    </w:p>
    <w:p>
      <w:pPr>
        <w:spacing w:after="0" w:line="189" w:lineRule="exact"/>
        <w:rPr>
          <w:rFonts w:ascii="Arial" w:cs="Arial" w:eastAsia="Arial" w:hAnsi="Arial"/>
          <w:sz w:val="18"/>
          <w:szCs w:val="18"/>
          <w:color w:val="auto"/>
        </w:rPr>
      </w:pPr>
    </w:p>
    <w:p>
      <w:pPr>
        <w:ind w:left="1300" w:right="20" w:firstLine="640"/>
        <w:spacing w:after="0" w:line="276" w:lineRule="auto"/>
        <w:tabs>
          <w:tab w:leader="none" w:pos="3085" w:val="left"/>
        </w:tabs>
        <w:numPr>
          <w:ilvl w:val="1"/>
          <w:numId w:val="523"/>
        </w:numPr>
        <w:rPr>
          <w:rFonts w:ascii="Arial" w:cs="Arial" w:eastAsia="Arial" w:hAnsi="Arial"/>
          <w:sz w:val="22"/>
          <w:szCs w:val="22"/>
          <w:color w:val="auto"/>
        </w:rPr>
      </w:pPr>
      <w:r>
        <w:rPr>
          <w:rFonts w:ascii="Arial" w:cs="Arial" w:eastAsia="Arial" w:hAnsi="Arial"/>
          <w:sz w:val="22"/>
          <w:szCs w:val="22"/>
          <w:color w:val="auto"/>
        </w:rPr>
        <w:t>request a refund of the Swiss Withholding Tax under applicable law (including tax treaties) and pay to the Agent upon receipt any amounts so refunded; or</w:t>
      </w:r>
    </w:p>
    <w:p>
      <w:pPr>
        <w:spacing w:after="0" w:line="174" w:lineRule="exact"/>
        <w:rPr>
          <w:rFonts w:ascii="Arial" w:cs="Arial" w:eastAsia="Arial" w:hAnsi="Arial"/>
          <w:sz w:val="22"/>
          <w:szCs w:val="22"/>
          <w:color w:val="auto"/>
        </w:rPr>
      </w:pPr>
    </w:p>
    <w:p>
      <w:pPr>
        <w:jc w:val="both"/>
        <w:ind w:left="1300" w:firstLine="640"/>
        <w:spacing w:after="0" w:line="261" w:lineRule="auto"/>
        <w:tabs>
          <w:tab w:leader="none" w:pos="3113" w:val="left"/>
        </w:tabs>
        <w:numPr>
          <w:ilvl w:val="1"/>
          <w:numId w:val="523"/>
        </w:numPr>
        <w:rPr>
          <w:rFonts w:ascii="Arial" w:cs="Arial" w:eastAsia="Arial" w:hAnsi="Arial"/>
          <w:sz w:val="22"/>
          <w:szCs w:val="22"/>
          <w:color w:val="auto"/>
        </w:rPr>
      </w:pPr>
      <w:r>
        <w:rPr>
          <w:rFonts w:ascii="Arial" w:cs="Arial" w:eastAsia="Arial" w:hAnsi="Arial"/>
          <w:sz w:val="22"/>
          <w:szCs w:val="22"/>
          <w:color w:val="auto"/>
        </w:rPr>
        <w:t>if the Agent or a Secured Party is entitled to a full or partial refund of the Swiss Withholding Tax deducted from such payment and if requested by the Agent, provide the Agent and/or the relevant Secured Party those documents that are required by law and applicable tax treaties to be provided by the payer of such tax in order to enable the Agent and/or the relevant Secured Party to prepare a claim for refund of Swiss Withholding Tax.</w:t>
      </w:r>
    </w:p>
    <w:p>
      <w:pPr>
        <w:spacing w:after="0" w:line="190" w:lineRule="exact"/>
        <w:rPr>
          <w:sz w:val="20"/>
          <w:szCs w:val="20"/>
          <w:color w:val="auto"/>
        </w:rPr>
      </w:pPr>
    </w:p>
    <w:p>
      <w:pPr>
        <w:jc w:val="both"/>
        <w:ind w:firstLine="972"/>
        <w:spacing w:after="0" w:line="304" w:lineRule="auto"/>
        <w:rPr>
          <w:sz w:val="20"/>
          <w:szCs w:val="20"/>
          <w:color w:val="auto"/>
        </w:rPr>
      </w:pPr>
      <w:r>
        <w:rPr>
          <w:rFonts w:ascii="Arial" w:cs="Arial" w:eastAsia="Arial" w:hAnsi="Arial"/>
          <w:sz w:val="19"/>
          <w:szCs w:val="19"/>
          <w:color w:val="010000"/>
        </w:rPr>
        <w:t xml:space="preserve">7.5.3 </w:t>
      </w:r>
      <w:r>
        <w:rPr>
          <w:rFonts w:ascii="Arial" w:cs="Arial" w:eastAsia="Arial" w:hAnsi="Arial"/>
          <w:sz w:val="19"/>
          <w:szCs w:val="19"/>
          <w:color w:val="000000"/>
        </w:rPr>
        <w:t>If the Swiss Grantor is obliged to withhold Swiss Withholding Tax in accordance with</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7.5.1</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hereof</w:t>
      </w:r>
      <w:r>
        <w:rPr>
          <w:rFonts w:ascii="Arial" w:cs="Arial" w:eastAsia="Arial" w:hAnsi="Arial"/>
          <w:sz w:val="19"/>
          <w:szCs w:val="19"/>
          <w:color w:val="000000"/>
        </w:rPr>
        <w:t xml:space="preserve">, the Agent shall be entitled to further request payment as per this </w:t>
      </w:r>
      <w:r>
        <w:rPr>
          <w:rFonts w:ascii="Arial" w:cs="Arial" w:eastAsia="Arial" w:hAnsi="Arial"/>
          <w:sz w:val="19"/>
          <w:szCs w:val="19"/>
          <w:u w:val="single" w:color="auto"/>
          <w:color w:val="000000"/>
        </w:rPr>
        <w:t>Section 7.5</w:t>
      </w:r>
      <w:r>
        <w:rPr>
          <w:rFonts w:ascii="Arial" w:cs="Arial" w:eastAsia="Arial" w:hAnsi="Arial"/>
          <w:sz w:val="19"/>
          <w:szCs w:val="19"/>
          <w:color w:val="000000"/>
        </w:rPr>
        <w:t xml:space="preserve"> and other indemnity granted to it under this Security Agreement and apply proceeds therefrom against the Restricted Obligations up to an amount which is equal to that amount which would have been obtained if no withholding of Swiss Withholding Tax were required, whereby such further payments shall always be limited to the maximum amount of the freely distributable capital of the Swiss Grantor as set out in </w:t>
      </w:r>
      <w:r>
        <w:rPr>
          <w:rFonts w:ascii="Arial" w:cs="Arial" w:eastAsia="Arial" w:hAnsi="Arial"/>
          <w:sz w:val="19"/>
          <w:szCs w:val="19"/>
          <w:u w:val="single" w:color="auto"/>
          <w:color w:val="000000"/>
        </w:rPr>
        <w:t>Section 7.5.1</w:t>
      </w:r>
      <w:r>
        <w:rPr>
          <w:rFonts w:ascii="Arial" w:cs="Arial" w:eastAsia="Arial" w:hAnsi="Arial"/>
          <w:sz w:val="19"/>
          <w:szCs w:val="19"/>
          <w:color w:val="000000"/>
        </w:rPr>
        <w:t xml:space="preserve"> hereof. In case the proceeds irrevocably received by the Agent and the Secured Parties pursuant to </w:t>
      </w:r>
      <w:r>
        <w:rPr>
          <w:rFonts w:ascii="Arial" w:cs="Arial" w:eastAsia="Arial" w:hAnsi="Arial"/>
          <w:sz w:val="19"/>
          <w:szCs w:val="19"/>
          <w:u w:val="single" w:color="auto"/>
          <w:color w:val="000000"/>
        </w:rPr>
        <w:t>Section 7.5.2(iv)</w:t>
      </w:r>
      <w:r>
        <w:rPr>
          <w:rFonts w:ascii="Arial" w:cs="Arial" w:eastAsia="Arial" w:hAnsi="Arial"/>
          <w:sz w:val="19"/>
          <w:szCs w:val="19"/>
          <w:color w:val="000000"/>
        </w:rPr>
        <w:t xml:space="preserve"> hereof and this paragraph (additional enforcements) have the effect that the proceeds received by the Agent and the Secured Parties exceed the Secured Obligations, then the Agent or the relevant Secured Party shall return such overcompensation to the Swiss Grantor.</w:t>
      </w:r>
    </w:p>
    <w:p>
      <w:pPr>
        <w:spacing w:after="0" w:line="155" w:lineRule="exact"/>
        <w:rPr>
          <w:sz w:val="20"/>
          <w:szCs w:val="20"/>
          <w:color w:val="auto"/>
        </w:rPr>
      </w:pPr>
    </w:p>
    <w:p>
      <w:pPr>
        <w:jc w:val="both"/>
        <w:ind w:firstLine="972"/>
        <w:spacing w:after="0" w:line="327" w:lineRule="auto"/>
        <w:rPr>
          <w:sz w:val="20"/>
          <w:szCs w:val="20"/>
          <w:color w:val="auto"/>
        </w:rPr>
      </w:pPr>
      <w:r>
        <w:rPr>
          <w:rFonts w:ascii="Arial" w:cs="Arial" w:eastAsia="Arial" w:hAnsi="Arial"/>
          <w:sz w:val="19"/>
          <w:szCs w:val="19"/>
          <w:color w:val="010000"/>
        </w:rPr>
        <w:t xml:space="preserve">7.5.4 </w:t>
      </w:r>
      <w:r>
        <w:rPr>
          <w:rFonts w:ascii="Arial" w:cs="Arial" w:eastAsia="Arial" w:hAnsi="Arial"/>
          <w:sz w:val="19"/>
          <w:szCs w:val="19"/>
          <w:color w:val="000000"/>
        </w:rPr>
        <w:t>If and to the extent requested by the Agent and if and to the extent this is from time to time required</w:t>
      </w:r>
      <w:r>
        <w:rPr>
          <w:rFonts w:ascii="Arial" w:cs="Arial" w:eastAsia="Arial" w:hAnsi="Arial"/>
          <w:sz w:val="19"/>
          <w:szCs w:val="19"/>
          <w:color w:val="010000"/>
        </w:rPr>
        <w:t xml:space="preserve"> </w:t>
      </w:r>
      <w:r>
        <w:rPr>
          <w:rFonts w:ascii="Arial" w:cs="Arial" w:eastAsia="Arial" w:hAnsi="Arial"/>
          <w:sz w:val="19"/>
          <w:szCs w:val="19"/>
          <w:color w:val="000000"/>
        </w:rPr>
        <w:t>under Swiss law (restricting profit distributions), in order to allow the Agent (and the Secured Parties) to obtain a maximum benefit under this Security Agreement, the Swiss Grantor shall promptly implement the following:</w:t>
      </w:r>
    </w:p>
    <w:p>
      <w:pPr>
        <w:spacing w:after="0" w:line="127" w:lineRule="exact"/>
        <w:rPr>
          <w:sz w:val="20"/>
          <w:szCs w:val="20"/>
          <w:color w:val="auto"/>
        </w:rPr>
      </w:pPr>
    </w:p>
    <w:p>
      <w:pPr>
        <w:ind w:left="1300" w:hanging="656"/>
        <w:spacing w:after="0"/>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preparation of an up-to-date audited balance sheet of the Swiss Grantor;</w:t>
      </w:r>
    </w:p>
    <w:p>
      <w:pPr>
        <w:spacing w:after="0" w:line="225"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confirmation of the auditors of the Swiss Grantor that the relevant amount represents the maximum of freely distributable profits;</w:t>
      </w:r>
    </w:p>
    <w:p>
      <w:pPr>
        <w:spacing w:after="0" w:line="170"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prompt convening of a meeting of the shareholders of the Swiss Grantor which will approve the (resulting) profit distribution;</w:t>
      </w:r>
    </w:p>
    <w:p>
      <w:pPr>
        <w:spacing w:after="0" w:line="170" w:lineRule="exact"/>
        <w:rPr>
          <w:rFonts w:ascii="Arial" w:cs="Arial" w:eastAsia="Arial" w:hAnsi="Arial"/>
          <w:sz w:val="18"/>
          <w:szCs w:val="18"/>
          <w:color w:val="auto"/>
        </w:rPr>
      </w:pPr>
    </w:p>
    <w:p>
      <w:pPr>
        <w:jc w:val="both"/>
        <w:ind w:left="1300" w:hanging="656"/>
        <w:spacing w:after="0" w:line="257"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if the enforcement of any Restricted Obligations would be limited as a result of any matter referred to in this </w:t>
      </w:r>
      <w:r>
        <w:rPr>
          <w:rFonts w:ascii="Arial" w:cs="Arial" w:eastAsia="Arial" w:hAnsi="Arial"/>
          <w:sz w:val="18"/>
          <w:szCs w:val="18"/>
          <w:u w:val="single" w:color="auto"/>
          <w:color w:val="auto"/>
        </w:rPr>
        <w:t>Section 7.5</w:t>
      </w:r>
      <w:r>
        <w:rPr>
          <w:rFonts w:ascii="Arial" w:cs="Arial" w:eastAsia="Arial" w:hAnsi="Arial"/>
          <w:sz w:val="18"/>
          <w:szCs w:val="18"/>
          <w:color w:val="auto"/>
        </w:rPr>
        <w:t>, the Swiss Grantor shall, to the extent permitted by applicable law, (a) write up or realise any of its assets shown in its balance sheet with a book value that is significantly lower than the market value of the assets, in case of realisation, however, only if such assets are not necessary for the Swiss Grantor’s business (</w:t>
      </w:r>
      <w:r>
        <w:rPr>
          <w:rFonts w:ascii="Arial" w:cs="Arial" w:eastAsia="Arial" w:hAnsi="Arial"/>
          <w:sz w:val="18"/>
          <w:szCs w:val="18"/>
          <w:i w:val="1"/>
          <w:iCs w:val="1"/>
          <w:color w:val="auto"/>
        </w:rPr>
        <w:t>nicht betriebsnotwendig</w:t>
      </w:r>
      <w:r>
        <w:rPr>
          <w:rFonts w:ascii="Arial" w:cs="Arial" w:eastAsia="Arial" w:hAnsi="Arial"/>
          <w:sz w:val="18"/>
          <w:szCs w:val="18"/>
          <w:color w:val="auto"/>
        </w:rPr>
        <w:t>) and/or (b) reduce its share capital to the extent permitted by applicable law; and</w:t>
      </w:r>
    </w:p>
    <w:p>
      <w:pPr>
        <w:spacing w:after="0" w:line="187"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all such other measures reasonably necessary and/or to promptly procure the fulfilment of all prerequisites reasonably necessary to allow the Swiss Grantor and relevant parent company to promptly make the payments and perform the obligations agreed hereunder from time to time with a minimum of limitations.</w:t>
      </w:r>
    </w:p>
    <w:p>
      <w:pPr>
        <w:spacing w:after="0" w:line="19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7.6.</w:t>
      </w:r>
      <w:r>
        <w:rPr>
          <w:sz w:val="20"/>
          <w:szCs w:val="20"/>
          <w:color w:val="auto"/>
        </w:rPr>
        <w:tab/>
      </w:r>
      <w:r>
        <w:rPr>
          <w:rFonts w:ascii="Arial" w:cs="Arial" w:eastAsia="Arial" w:hAnsi="Arial"/>
          <w:sz w:val="19"/>
          <w:szCs w:val="19"/>
          <w:u w:val="single" w:color="auto"/>
          <w:color w:val="auto"/>
        </w:rPr>
        <w:t>Norwegian Limitations.</w:t>
      </w:r>
    </w:p>
    <w:p>
      <w:pPr>
        <w:spacing w:after="0" w:line="233" w:lineRule="exact"/>
        <w:rPr>
          <w:sz w:val="20"/>
          <w:szCs w:val="20"/>
          <w:color w:val="auto"/>
        </w:rPr>
      </w:pPr>
    </w:p>
    <w:p>
      <w:pPr>
        <w:jc w:val="both"/>
        <w:ind w:firstLine="972"/>
        <w:spacing w:after="0" w:line="305" w:lineRule="auto"/>
        <w:rPr>
          <w:sz w:val="20"/>
          <w:szCs w:val="20"/>
          <w:color w:val="auto"/>
        </w:rPr>
      </w:pPr>
      <w:r>
        <w:rPr>
          <w:rFonts w:ascii="Arial" w:cs="Arial" w:eastAsia="Arial" w:hAnsi="Arial"/>
          <w:sz w:val="19"/>
          <w:szCs w:val="19"/>
          <w:color w:val="010000"/>
        </w:rPr>
        <w:t xml:space="preserve">7.6.1 </w:t>
      </w:r>
      <w:r>
        <w:rPr>
          <w:rFonts w:ascii="Arial" w:cs="Arial" w:eastAsia="Arial" w:hAnsi="Arial"/>
          <w:sz w:val="19"/>
          <w:szCs w:val="19"/>
          <w:color w:val="000000"/>
        </w:rPr>
        <w:t>The Norwegian Financial Agreements Act shall not apply to this Security Agreement, except as</w:t>
      </w:r>
      <w:r>
        <w:rPr>
          <w:rFonts w:ascii="Arial" w:cs="Arial" w:eastAsia="Arial" w:hAnsi="Arial"/>
          <w:sz w:val="19"/>
          <w:szCs w:val="19"/>
          <w:color w:val="010000"/>
        </w:rPr>
        <w:t xml:space="preserve"> </w:t>
      </w:r>
      <w:r>
        <w:rPr>
          <w:rFonts w:ascii="Arial" w:cs="Arial" w:eastAsia="Arial" w:hAnsi="Arial"/>
          <w:sz w:val="19"/>
          <w:szCs w:val="19"/>
          <w:color w:val="000000"/>
        </w:rPr>
        <w:t>required by § 2 of the Financial Agreements Act (if applicable). The liability of each Grantor incorporated in Norway in its capacity as Grantor (each a “</w:t>
      </w:r>
      <w:r>
        <w:rPr>
          <w:rFonts w:ascii="Arial" w:cs="Arial" w:eastAsia="Arial" w:hAnsi="Arial"/>
          <w:sz w:val="19"/>
          <w:szCs w:val="19"/>
          <w:u w:val="single" w:color="auto"/>
          <w:color w:val="000000"/>
        </w:rPr>
        <w:t>Norwegian Grantor</w:t>
      </w:r>
      <w:r>
        <w:rPr>
          <w:rFonts w:ascii="Arial" w:cs="Arial" w:eastAsia="Arial" w:hAnsi="Arial"/>
          <w:sz w:val="19"/>
          <w:szCs w:val="19"/>
          <w:color w:val="000000"/>
        </w:rPr>
        <w:t>”) shall be limited to USD $240,000,000, plus any interest, default interest, commissions, charges, fees and expenses due under any Secured Obligation. Notwithstanding any other provision of this Security Agreement to the contrary, the obligations and liabilities of any Norwegian Grantor under this Security Agreement shall be limited by such mandatory provisions of sections 8-7 and/or 8-10 of the Norwegian Limited Liability Companies Act of 13 June 1997 (the “</w:t>
      </w:r>
      <w:r>
        <w:rPr>
          <w:rFonts w:ascii="Arial" w:cs="Arial" w:eastAsia="Arial" w:hAnsi="Arial"/>
          <w:sz w:val="19"/>
          <w:szCs w:val="19"/>
          <w:u w:val="single" w:color="auto"/>
          <w:color w:val="000000"/>
        </w:rPr>
        <w:t>Act</w:t>
      </w:r>
      <w:r>
        <w:rPr>
          <w:rFonts w:ascii="Arial" w:cs="Arial" w:eastAsia="Arial" w:hAnsi="Arial"/>
          <w:sz w:val="19"/>
          <w:szCs w:val="19"/>
          <w:color w:val="000000"/>
        </w:rPr>
        <w:t>”) regarding restrictions on a Norwegian limited liability company’s ability to grant guarantees, loans, security or other financial assistance. The obligations of the Norwegian Grantors shall only be</w:t>
      </w:r>
    </w:p>
    <w:p>
      <w:pPr>
        <w:sectPr>
          <w:pgSz w:w="11900" w:h="16838" w:orient="portrait"/>
          <w:cols w:equalWidth="0" w:num="1">
            <w:col w:w="10580"/>
          </w:cols>
          <w:pgMar w:left="980" w:top="125" w:right="339" w:bottom="0" w:gutter="0" w:footer="0" w:header="0"/>
        </w:sectPr>
      </w:pPr>
    </w:p>
    <w:bookmarkStart w:id="467" w:name="page468"/>
    <w:bookmarkEnd w:id="467"/>
    <w:p>
      <w:pPr>
        <w:spacing w:after="0" w:line="28" w:lineRule="exact"/>
        <w:rPr>
          <w:sz w:val="20"/>
          <w:szCs w:val="20"/>
          <w:color w:val="auto"/>
        </w:rPr>
      </w:pPr>
    </w:p>
    <w:p>
      <w:pPr>
        <w:jc w:val="both"/>
        <w:ind w:left="660"/>
        <w:spacing w:after="0" w:line="311" w:lineRule="auto"/>
        <w:rPr>
          <w:sz w:val="20"/>
          <w:szCs w:val="20"/>
          <w:color w:val="auto"/>
        </w:rPr>
      </w:pPr>
      <w:r>
        <w:rPr>
          <w:rFonts w:ascii="Arial" w:cs="Arial" w:eastAsia="Arial" w:hAnsi="Arial"/>
          <w:sz w:val="19"/>
          <w:szCs w:val="19"/>
          <w:color w:val="auto"/>
        </w:rPr>
        <w:t>limited to the extent this is required from time to time, and the Norwegian Grantors shall be liable to the fullest extent permitted by the Act as amended from time to time. To the extent permitted by applicable law, if a payment under this Security Agreement by a Norwegian Grantor has been made in contravention of the limitations contained in this Section 7.6.1, the Secured Parties shall not be liable for any damages in relation thereto, and the maximum amount repayable by the Secured Parties as a consequence of such contravention shall be the amount received from that Norwegian Grantor.</w:t>
      </w:r>
    </w:p>
    <w:p>
      <w:pPr>
        <w:spacing w:after="0" w:line="150"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7.6.2 </w:t>
      </w:r>
      <w:r>
        <w:rPr>
          <w:rFonts w:ascii="Arial" w:cs="Arial" w:eastAsia="Arial" w:hAnsi="Arial"/>
          <w:sz w:val="22"/>
          <w:szCs w:val="22"/>
          <w:color w:val="000000"/>
        </w:rPr>
        <w:t>The Norwegian Grantors' Collateral is limited to such Norwegian Grantors' Patents being held and</w:t>
      </w:r>
      <w:r>
        <w:rPr>
          <w:rFonts w:ascii="Arial" w:cs="Arial" w:eastAsia="Arial" w:hAnsi="Arial"/>
          <w:sz w:val="22"/>
          <w:szCs w:val="22"/>
          <w:color w:val="010000"/>
        </w:rPr>
        <w:t xml:space="preserve"> </w:t>
      </w:r>
      <w:r>
        <w:rPr>
          <w:rFonts w:ascii="Arial" w:cs="Arial" w:eastAsia="Arial" w:hAnsi="Arial"/>
          <w:sz w:val="22"/>
          <w:szCs w:val="22"/>
          <w:color w:val="000000"/>
        </w:rPr>
        <w:t>registered in the United States, and does not extend to any Collateral held or registered outside the jurisdiction of the United States.</w:t>
      </w:r>
    </w:p>
    <w:p>
      <w:pPr>
        <w:spacing w:after="0" w:line="185"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7.6.3 </w:t>
      </w:r>
      <w:r>
        <w:rPr>
          <w:rFonts w:ascii="Arial" w:cs="Arial" w:eastAsia="Arial" w:hAnsi="Arial"/>
          <w:sz w:val="22"/>
          <w:szCs w:val="22"/>
          <w:color w:val="000000"/>
        </w:rPr>
        <w:t>Each Norwegian Grantor and the Agent hereby confirms and acknowledges that each</w:t>
      </w:r>
      <w:r>
        <w:rPr>
          <w:rFonts w:ascii="Arial" w:cs="Arial" w:eastAsia="Arial" w:hAnsi="Arial"/>
          <w:sz w:val="22"/>
          <w:szCs w:val="22"/>
          <w:color w:val="010000"/>
        </w:rPr>
        <w:t xml:space="preserve"> </w:t>
      </w:r>
      <w:r>
        <w:rPr>
          <w:rFonts w:ascii="Arial" w:cs="Arial" w:eastAsia="Arial" w:hAnsi="Arial"/>
          <w:sz w:val="22"/>
          <w:szCs w:val="22"/>
          <w:color w:val="000000"/>
        </w:rPr>
        <w:t xml:space="preserve">representation and warranty made by the Norwegian Grantors under </w:t>
      </w:r>
      <w:r>
        <w:rPr>
          <w:rFonts w:ascii="Arial" w:cs="Arial" w:eastAsia="Arial" w:hAnsi="Arial"/>
          <w:sz w:val="22"/>
          <w:szCs w:val="22"/>
          <w:u w:val="single" w:color="auto"/>
          <w:color w:val="000000"/>
        </w:rPr>
        <w:t>Article III</w:t>
      </w:r>
      <w:r>
        <w:rPr>
          <w:rFonts w:ascii="Arial" w:cs="Arial" w:eastAsia="Arial" w:hAnsi="Arial"/>
          <w:sz w:val="22"/>
          <w:szCs w:val="22"/>
          <w:color w:val="000000"/>
        </w:rPr>
        <w:t xml:space="preserve">, each covenant made under </w:t>
      </w:r>
      <w:r>
        <w:rPr>
          <w:rFonts w:ascii="Arial" w:cs="Arial" w:eastAsia="Arial" w:hAnsi="Arial"/>
          <w:sz w:val="22"/>
          <w:szCs w:val="22"/>
          <w:u w:val="single" w:color="auto"/>
          <w:color w:val="000000"/>
        </w:rPr>
        <w:t>Article IV</w:t>
      </w:r>
      <w:r>
        <w:rPr>
          <w:rFonts w:ascii="Arial" w:cs="Arial" w:eastAsia="Arial" w:hAnsi="Arial"/>
          <w:sz w:val="22"/>
          <w:szCs w:val="22"/>
          <w:color w:val="000000"/>
        </w:rPr>
        <w:t xml:space="preserve"> and each provision under A</w:t>
      </w:r>
      <w:r>
        <w:rPr>
          <w:rFonts w:ascii="Arial" w:cs="Arial" w:eastAsia="Arial" w:hAnsi="Arial"/>
          <w:sz w:val="22"/>
          <w:szCs w:val="22"/>
          <w:u w:val="single" w:color="auto"/>
          <w:color w:val="000000"/>
        </w:rPr>
        <w:t>rticles VII</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VIII</w:t>
      </w:r>
      <w:r>
        <w:rPr>
          <w:rFonts w:ascii="Arial" w:cs="Arial" w:eastAsia="Arial" w:hAnsi="Arial"/>
          <w:sz w:val="22"/>
          <w:szCs w:val="22"/>
          <w:color w:val="000000"/>
        </w:rPr>
        <w:t xml:space="preserve"> are made subject to Section 8.23, and that any failure to comply with any of the Sections under such Articles does not constitute a breach of any such provisions or Event of Default to the extent that failure to comply is by reason of Norwegian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PROVISIONS</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u w:val="single" w:color="auto"/>
          <w:color w:val="auto"/>
        </w:rPr>
        <w:t>Notice of Disposition of Collateral; Condition of Collateral</w:t>
      </w:r>
      <w:r>
        <w:rPr>
          <w:rFonts w:ascii="Arial" w:cs="Arial" w:eastAsia="Arial" w:hAnsi="Arial"/>
          <w:sz w:val="19"/>
          <w:szCs w:val="19"/>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at least 10 days prior to (i) the date of any such public sale or (ii) the time after which any such private sale or other disposition may be made. To the maximum extent permitted by applicable law, each Grantor waives all claims, damages, and demands against the Agent or any other Secured Party arising out of the repossession, retention or sale of the Collateral, except such as arise solely out of the gross negligence or willful misconduct of the Agent or such other Secured Party, or its or their agents, employees, officers, nominees or other representatives, as finally determined by a court of competent jurisdiction. To the extent it may lawfully do so, each Grantor absolutely and irrevocably waives and relinquishes the benefit and advantage of, and covenants not to assert against the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6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u w:val="single" w:color="auto"/>
          <w:color w:val="auto"/>
        </w:rPr>
        <w:t>Limitation on Agent’s and other Secured Parties’ Duty with Respect to the Collateral</w:t>
      </w:r>
      <w:r>
        <w:rPr>
          <w:rFonts w:ascii="Arial" w:cs="Arial" w:eastAsia="Arial" w:hAnsi="Arial"/>
          <w:sz w:val="19"/>
          <w:szCs w:val="19"/>
          <w:color w:val="auto"/>
        </w:rPr>
        <w:t>. The Agent shall have no obligation to clean-up or otherwise prepare the Collateral for sale. The Agent and each other Secured Party shall use reasonable care with respect to the Collateral in its possession or under its control (or in the possession or under the care of any agent, employee, officer, nominee or other representative of the Agent or such other Secured Party). Neither the Agent nor any other Secured Party shall have any other duty as to any Collateral in its possession or control or in the possession or control of any agent or nominee of the Agent or such other Secured Party, or any income thereon or as to the preservation of rights against prior parties or any other rights pertaining thereto. To the extent that applicable law imposes duties on the Agent to exercise remedies in a commercially reasonable manner, each Grantor acknowledges and agrees that it is commercially reasonable for the Agent (i) to fail to incur expenses deemed significant by the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w:t>
      </w:r>
    </w:p>
    <w:p>
      <w:pPr>
        <w:spacing w:after="0" w:line="11" w:lineRule="exact"/>
        <w:rPr>
          <w:sz w:val="20"/>
          <w:szCs w:val="20"/>
          <w:color w:val="auto"/>
        </w:rPr>
      </w:pPr>
    </w:p>
    <w:p>
      <w:pPr>
        <w:jc w:val="both"/>
        <w:ind w:firstLine="8"/>
        <w:spacing w:after="0" w:line="296" w:lineRule="auto"/>
        <w:tabs>
          <w:tab w:leader="none" w:pos="375" w:val="left"/>
        </w:tabs>
        <w:numPr>
          <w:ilvl w:val="0"/>
          <w:numId w:val="525"/>
        </w:numPr>
        <w:rPr>
          <w:rFonts w:ascii="Arial" w:cs="Arial" w:eastAsia="Arial" w:hAnsi="Arial"/>
          <w:sz w:val="19"/>
          <w:szCs w:val="19"/>
          <w:color w:val="auto"/>
        </w:rPr>
      </w:pPr>
      <w:r>
        <w:rPr>
          <w:rFonts w:ascii="Arial" w:cs="Arial" w:eastAsia="Arial" w:hAnsi="Arial"/>
          <w:sz w:val="19"/>
          <w:szCs w:val="19"/>
          <w:color w:val="auto"/>
        </w:rPr>
        <w:t>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w:t>
      </w:r>
    </w:p>
    <w:p>
      <w:pPr>
        <w:spacing w:after="0" w:line="2" w:lineRule="exact"/>
        <w:rPr>
          <w:rFonts w:ascii="Arial" w:cs="Arial" w:eastAsia="Arial" w:hAnsi="Arial"/>
          <w:sz w:val="19"/>
          <w:szCs w:val="19"/>
          <w:color w:val="auto"/>
        </w:rPr>
      </w:pPr>
    </w:p>
    <w:p>
      <w:pPr>
        <w:jc w:val="both"/>
        <w:ind w:firstLine="8"/>
        <w:spacing w:after="0" w:line="306" w:lineRule="auto"/>
        <w:tabs>
          <w:tab w:leader="none" w:pos="487" w:val="left"/>
        </w:tabs>
        <w:numPr>
          <w:ilvl w:val="0"/>
          <w:numId w:val="526"/>
        </w:numPr>
        <w:rPr>
          <w:rFonts w:ascii="Arial" w:cs="Arial" w:eastAsia="Arial" w:hAnsi="Arial"/>
          <w:sz w:val="19"/>
          <w:szCs w:val="19"/>
          <w:color w:val="auto"/>
        </w:rPr>
      </w:pPr>
      <w:r>
        <w:rPr>
          <w:rFonts w:ascii="Arial" w:cs="Arial" w:eastAsia="Arial" w:hAnsi="Arial"/>
          <w:sz w:val="19"/>
          <w:szCs w:val="19"/>
          <w:color w:val="auto"/>
        </w:rPr>
        <w:t xml:space="preserve">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Agent against risks of loss, collection or disposition of Collateral or to provide to the Agent a guaranteed return from the collection or disposition of Collateral, or (xii) to the extent deemed appropriate by the Agent, to obtain the services of other brokers, investment bankers, consultants and other professionals to assist the Agent in the collection or disposition of any of the Collateral. Each Grantor acknowledges that the purpose of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is to provide</w:t>
      </w:r>
    </w:p>
    <w:p>
      <w:pPr>
        <w:sectPr>
          <w:pgSz w:w="11900" w:h="16866" w:orient="portrait"/>
          <w:cols w:equalWidth="0" w:num="1">
            <w:col w:w="11240"/>
          </w:cols>
          <w:pgMar w:left="320" w:top="131" w:right="339" w:bottom="0" w:gutter="0" w:footer="0" w:header="0"/>
        </w:sectPr>
      </w:pPr>
    </w:p>
    <w:bookmarkStart w:id="468" w:name="page469"/>
    <w:bookmarkEnd w:id="468"/>
    <w:p>
      <w:pPr>
        <w:jc w:val="both"/>
        <w:spacing w:after="0" w:line="311" w:lineRule="auto"/>
        <w:rPr>
          <w:sz w:val="20"/>
          <w:szCs w:val="20"/>
          <w:color w:val="auto"/>
        </w:rPr>
      </w:pPr>
      <w:r>
        <w:rPr>
          <w:rFonts w:ascii="Arial" w:cs="Arial" w:eastAsia="Arial" w:hAnsi="Arial"/>
          <w:sz w:val="19"/>
          <w:szCs w:val="19"/>
          <w:color w:val="auto"/>
        </w:rPr>
        <w:t xml:space="preserve">non-exhaustive indications of what actions or omissions by the Agent would be commercially reasonable in the Agent’s exercise of remedies against the Collateral and that other actions or omissions by the Agent shall not be deemed commercially unreasonable solely on account of not being indicated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Without limitation upon the foregoing, nothing contained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be construed to grant any rights to any Grantor or to impose any duties on the Agent that would not have been granted or imposed by this Security Agreement or by applicable law in the absence of this </w:t>
      </w:r>
      <w:r>
        <w:rPr>
          <w:rFonts w:ascii="Arial" w:cs="Arial" w:eastAsia="Arial" w:hAnsi="Arial"/>
          <w:sz w:val="19"/>
          <w:szCs w:val="19"/>
          <w:u w:val="single" w:color="auto"/>
          <w:color w:val="auto"/>
        </w:rPr>
        <w:t>Section 8.2</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u w:val="single" w:color="auto"/>
          <w:color w:val="auto"/>
        </w:rPr>
        <w:t>Compromises and Collection of Collateral</w:t>
      </w:r>
      <w:r>
        <w:rPr>
          <w:rFonts w:ascii="Arial" w:cs="Arial" w:eastAsia="Arial" w:hAnsi="Arial"/>
          <w:sz w:val="19"/>
          <w:szCs w:val="19"/>
          <w:color w:val="auto"/>
        </w:rPr>
        <w:t>. Each Grantor and the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subject to applicable bankruptcy laws, that the Agent may at any time and from time to time, if an Event of Default has occurred and is continuing, and subject to the Intercreditor Agreement, compromise with the obligor on any Receivable, accept in full payment of any Receivable such amount as the Agent in its sole discretion shall determine or abandon any Receivable, and any such action by the Agent shall be commercially reasonable so long as the Agent acts in good faith based on information known to it at the time it takes any such action.</w:t>
      </w:r>
    </w:p>
    <w:p>
      <w:pPr>
        <w:spacing w:after="0" w:line="1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u w:val="single" w:color="auto"/>
          <w:color w:val="auto"/>
        </w:rPr>
        <w:t>Secured Party Performance of Grantor’s Obligations</w:t>
      </w:r>
      <w:r>
        <w:rPr>
          <w:rFonts w:ascii="Arial" w:cs="Arial" w:eastAsia="Arial" w:hAnsi="Arial"/>
          <w:sz w:val="22"/>
          <w:szCs w:val="22"/>
          <w:color w:val="auto"/>
        </w:rPr>
        <w:t xml:space="preserve">. Without having any obligation to do so, the Agent may perform or pay any obligation which any Grantor has agreed to perform or pay in this Security Agreement and fails to so perform or pay and such Grantor shall reimburse the Agent for any reasonable and documented amounts paid by the Agent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8.4</w:t>
      </w:r>
      <w:r>
        <w:rPr>
          <w:rFonts w:ascii="Arial" w:cs="Arial" w:eastAsia="Arial" w:hAnsi="Arial"/>
          <w:sz w:val="22"/>
          <w:szCs w:val="22"/>
          <w:color w:val="auto"/>
        </w:rPr>
        <w:t>. Each Grantor’s obligation to reimburse the Agent pursuant to the preceding sentence shall be a Secured Obligation payable on demand.</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Authorization for Secured Party to Take Certain Action</w:t>
      </w:r>
      <w:r>
        <w:rPr>
          <w:rFonts w:ascii="Arial" w:cs="Arial" w:eastAsia="Arial" w:hAnsi="Arial"/>
          <w:sz w:val="19"/>
          <w:szCs w:val="19"/>
          <w:color w:val="auto"/>
        </w:rPr>
        <w:t>. Each Grantor irrevocably authorizes the Agent at any time and from time to time in the sole discretion of the Agent and appoints the Agent as its attorney in fact (i) to execute on behalf of such Grantor as debtor and to file financing statements necessary or desirable in the Agent’s sole discretion to perfect and to maintain the perfection and priority of the Agent’s security interest in the Collateral, (ii) to indorse and collect any cash proceeds of the Collateral,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Agent in its sole discretion deems necessary or desirable to perfect and to maintain the perfection and priority of the Agent’s security interest in the Collateral, (iv) to contact and enter into one or more agreements with the issuers of uncertificated securities which are Collateral owned by such Grantor and which are Securities or with financial intermediaries holding other Investment Property which is Collateral as may be necessary or advisable to give the Agent Control (subject to the Intercreditor Agreement) over such Securities or other Investment Property,</w:t>
      </w:r>
    </w:p>
    <w:p>
      <w:pPr>
        <w:jc w:val="both"/>
        <w:ind w:firstLine="8"/>
        <w:spacing w:after="0" w:line="272" w:lineRule="auto"/>
        <w:tabs>
          <w:tab w:leader="none" w:pos="313" w:val="left"/>
        </w:tabs>
        <w:numPr>
          <w:ilvl w:val="0"/>
          <w:numId w:val="527"/>
        </w:numPr>
        <w:rPr>
          <w:rFonts w:ascii="Arial" w:cs="Arial" w:eastAsia="Arial" w:hAnsi="Arial"/>
          <w:sz w:val="21"/>
          <w:szCs w:val="21"/>
          <w:color w:val="auto"/>
        </w:rPr>
      </w:pPr>
      <w:r>
        <w:rPr>
          <w:rFonts w:ascii="Arial" w:cs="Arial" w:eastAsia="Arial" w:hAnsi="Arial"/>
          <w:sz w:val="21"/>
          <w:szCs w:val="21"/>
          <w:color w:val="auto"/>
        </w:rPr>
        <w:t xml:space="preserve">solely to the extent an Event of Default has occurred and is continuing, to enforce payment of the Instruments, Accounts and Receivables constituting Collateral in the name of the Agent or such Grantor, (vi) solely to the extent an Event of Default has occurred and is continuing, to apply the proceeds of any Collateral received by the Agent to the Secured Obligations as provided in Article VII and (vii) to discharge past due taxes, assessments, charges, fees or Liens on the Collateral (except for such Liens as are specifically permitted hereunder or under any other Loan Document), and each Grantor agrees to reimburse the Agent on demand for any reasonable and documented payment made or any reasonable and documented expense incurred by the Agent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that this authorization shall not relieve any Grantor of any of its obligations under this Security Agreement or under the LC Credit Agreement.</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u w:val="single" w:color="auto"/>
          <w:color w:val="auto"/>
        </w:rPr>
        <w:t>Specific Performance of Certain Covenants</w:t>
      </w:r>
      <w:r>
        <w:rPr>
          <w:rFonts w:ascii="Arial" w:cs="Arial" w:eastAsia="Arial" w:hAnsi="Arial"/>
          <w:sz w:val="21"/>
          <w:szCs w:val="21"/>
          <w:color w:val="auto"/>
        </w:rPr>
        <w:t xml:space="preserve">. Each Grantor acknowledges and agrees that a breach of any of the covenants contained in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hereof will cause irreparable injury to the Agent and the other Secured Parties, that the Agent and the other Secured Parties have no adequate remedy at law in respect of such breaches and therefore agrees, without limiting the right of the Agent or the other Secured Parties to seek and obtain specific performance of other obligations of the Grantors contained in this Security Agreement, that the covenants of the Grantors contained in the Sections referred to in this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shall be specifically enforceable against the Grantors.</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u w:val="single" w:color="auto"/>
          <w:color w:val="auto"/>
        </w:rPr>
        <w:t>Use and Possession of Certain Premises</w:t>
      </w:r>
      <w:r>
        <w:rPr>
          <w:rFonts w:ascii="Arial" w:cs="Arial" w:eastAsia="Arial" w:hAnsi="Arial"/>
          <w:sz w:val="22"/>
          <w:szCs w:val="22"/>
          <w:color w:val="auto"/>
        </w:rPr>
        <w:t xml:space="preserve">. Upon the occurrence and during the continuation of an Event of Default, subject to the Intercreditor Agreement, the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 subject to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hereof all respects.</w:t>
      </w:r>
    </w:p>
    <w:p>
      <w:pPr>
        <w:spacing w:after="0" w:line="19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u w:val="single" w:color="auto"/>
          <w:color w:val="auto"/>
        </w:rPr>
        <w:t>Reinstatement</w:t>
      </w:r>
      <w:r>
        <w:rPr>
          <w:rFonts w:ascii="Arial" w:cs="Arial" w:eastAsia="Arial" w:hAnsi="Arial"/>
          <w:sz w:val="19"/>
          <w:szCs w:val="19"/>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w:t>
      </w:r>
    </w:p>
    <w:p>
      <w:pPr>
        <w:sectPr>
          <w:pgSz w:w="11900" w:h="16838" w:orient="portrait"/>
          <w:cols w:equalWidth="0" w:num="1">
            <w:col w:w="11240"/>
          </w:cols>
          <w:pgMar w:left="320" w:top="131" w:right="339" w:bottom="0" w:gutter="0" w:footer="0" w:header="0"/>
        </w:sectPr>
      </w:pPr>
    </w:p>
    <w:bookmarkStart w:id="469" w:name="page470"/>
    <w:bookmarkEnd w:id="469"/>
    <w:p>
      <w:pPr>
        <w:jc w:val="both"/>
        <w:spacing w:after="0" w:line="276" w:lineRule="auto"/>
        <w:rPr>
          <w:sz w:val="20"/>
          <w:szCs w:val="20"/>
          <w:color w:val="auto"/>
        </w:rPr>
      </w:pPr>
      <w:r>
        <w:rPr>
          <w:rFonts w:ascii="Arial" w:cs="Arial" w:eastAsia="Arial" w:hAnsi="Arial"/>
          <w:sz w:val="22"/>
          <w:szCs w:val="22"/>
          <w:color w:val="auto"/>
        </w:rPr>
        <w:t>payment, or any part thereof, is rescinded, reduced, restored or returned, the Secured Obligations shall be reinstated and deemed reduced only by such amount paid and not so rescinded, reduced, restored or returned.</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u w:val="single" w:color="auto"/>
          <w:color w:val="auto"/>
        </w:rPr>
        <w:t>Benefit of Agreement</w:t>
      </w:r>
      <w:r>
        <w:rPr>
          <w:rFonts w:ascii="Arial" w:cs="Arial" w:eastAsia="Arial" w:hAnsi="Arial"/>
          <w:sz w:val="21"/>
          <w:szCs w:val="21"/>
          <w:color w:val="auto"/>
        </w:rPr>
        <w:t xml:space="preserve">. The terms and provisions of this Security Agreement shall be binding upon and inure to the benefit of the Grantors, the Agent and the Secured Parties and their respective successors and assigns (including all persons who become bound as a debtor to this Security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Grantors shall not have the right to assign their rights or delegate their obligations under this Security Agreement or any interest herein, except as permitted under the LC Credit Agreement. No sales of participations, assignments, transfers, or other dispositions of any agreement governing the Secured Obligations or any portion thereof or interest therein shall in any manner impair the Lien granted to the Agent, for the benefit of the Agent and the other Secured Parties, hereunder.</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Survival of Representations</w:t>
      </w:r>
      <w:r>
        <w:rPr>
          <w:rFonts w:ascii="Arial" w:cs="Arial" w:eastAsia="Arial" w:hAnsi="Arial"/>
          <w:sz w:val="22"/>
          <w:szCs w:val="22"/>
          <w:color w:val="auto"/>
        </w:rPr>
        <w:t>. All representations and warranties of the Grantors contained in this Security Agreement shall survive the execution and delivery of this Security Agreement.</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u w:val="single" w:color="auto"/>
          <w:color w:val="auto"/>
        </w:rPr>
        <w:t>Taxes and Expenses</w:t>
      </w:r>
      <w:r>
        <w:rPr>
          <w:rFonts w:ascii="Arial" w:cs="Arial" w:eastAsia="Arial" w:hAnsi="Arial"/>
          <w:sz w:val="21"/>
          <w:szCs w:val="21"/>
          <w:color w:val="auto"/>
        </w:rPr>
        <w:t>. To the extent required by Section 4.02 of the LC Credit Agreement, any Other Taxes payable or ruled payable by a Governmental Authority in respect of this Security Agreement shall be paid by the applicable Grantor. The Grantors shall reimburse the Agent for any and all of its reasonable out-of-pocket expenses (including reasonable external legal, auditors’ and accountants’ fees) if and to the extent the Borrowers are required to reimburse such amounts under Section 11.03 of the LC Credit Agreement. Any and all costs and expenses incurred by the Grantors in the performance of actions required pursuant to the terms hereof shall be borne solely by the Grantors.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title of and section headings in this Security Agreement are for convenience of reference only, and shall not govern the interpretation of any of the terms and provisions of this Security Agreement.</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Security Agreement shall continue in effect (notwithstanding the fact that from time to time there may be no Secured Obligations outstanding) until Payment in Full. Notwithstanding the foregoing, the obligations of any individual Grantor under this Security Agreement shall automatically terminate to the extent provided in and in accordance with Section 11.23 of the LC Credit Agreement.</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Security Agreement and the other Loan Documents constitute the entire contract among the parties relating to the subject matter hereof and supersede any and all previous agreements and understandings, oral or written, relating to the subject matter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Governing Law; Jurisdiction; Waiver of Jury Trial</w:t>
      </w:r>
      <w:r>
        <w:rPr>
          <w:rFonts w:ascii="Arial" w:cs="Arial" w:eastAsia="Arial" w:hAnsi="Arial"/>
          <w:sz w:val="22"/>
          <w:szCs w:val="22"/>
          <w:color w:val="auto"/>
        </w:rPr>
        <w:t>.</w:t>
      </w:r>
    </w:p>
    <w:p>
      <w:pPr>
        <w:spacing w:after="0" w:line="227" w:lineRule="exact"/>
        <w:rPr>
          <w:sz w:val="20"/>
          <w:szCs w:val="20"/>
          <w:color w:val="auto"/>
        </w:rPr>
      </w:pPr>
    </w:p>
    <w:p>
      <w:pPr>
        <w:ind w:left="1620"/>
        <w:spacing w:after="0"/>
        <w:tabs>
          <w:tab w:leader="none" w:pos="2820" w:val="left"/>
        </w:tabs>
        <w:rPr>
          <w:sz w:val="20"/>
          <w:szCs w:val="20"/>
          <w:color w:val="auto"/>
        </w:rPr>
      </w:pPr>
      <w:r>
        <w:rPr>
          <w:rFonts w:ascii="Arial" w:cs="Arial" w:eastAsia="Arial" w:hAnsi="Arial"/>
          <w:sz w:val="22"/>
          <w:szCs w:val="22"/>
          <w:color w:val="010000"/>
        </w:rPr>
        <w:t>8.15.1</w:t>
      </w:r>
      <w:r>
        <w:rPr>
          <w:sz w:val="20"/>
          <w:szCs w:val="20"/>
          <w:color w:val="auto"/>
        </w:rPr>
        <w:tab/>
      </w:r>
      <w:r>
        <w:rPr>
          <w:rFonts w:ascii="Arial" w:cs="Arial" w:eastAsia="Arial" w:hAnsi="Arial"/>
          <w:sz w:val="22"/>
          <w:szCs w:val="22"/>
          <w:b w:val="1"/>
          <w:bCs w:val="1"/>
          <w:color w:val="auto"/>
        </w:rPr>
        <w:t>THIS SECURITY AGREEMENT SHALL BE CONSTRUED IN ACCORDANCE WITH</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AND GOVERNED BY THE LAW OF THE STATE OF NEW YORK.</w:t>
      </w:r>
    </w:p>
    <w:p>
      <w:pPr>
        <w:spacing w:after="0" w:line="229" w:lineRule="exact"/>
        <w:rPr>
          <w:sz w:val="20"/>
          <w:szCs w:val="20"/>
          <w:color w:val="auto"/>
        </w:rPr>
      </w:pPr>
    </w:p>
    <w:p>
      <w:pPr>
        <w:jc w:val="both"/>
        <w:ind w:left="660" w:firstLine="972"/>
        <w:spacing w:after="0" w:line="302" w:lineRule="auto"/>
        <w:rPr>
          <w:sz w:val="20"/>
          <w:szCs w:val="20"/>
          <w:color w:val="auto"/>
        </w:rPr>
      </w:pPr>
      <w:r>
        <w:rPr>
          <w:rFonts w:ascii="Arial" w:cs="Arial" w:eastAsia="Arial" w:hAnsi="Arial"/>
          <w:sz w:val="19"/>
          <w:szCs w:val="19"/>
          <w:color w:val="010000"/>
        </w:rPr>
        <w:t xml:space="preserve">8.15.2 </w:t>
      </w:r>
      <w:r>
        <w:rPr>
          <w:rFonts w:ascii="Arial" w:cs="Arial" w:eastAsia="Arial" w:hAnsi="Arial"/>
          <w:sz w:val="19"/>
          <w:szCs w:val="19"/>
          <w:color w:val="000000"/>
        </w:rPr>
        <w:t>Each Grantor hereby irrevocably and unconditionally submits, for itself and its property, to the</w:t>
      </w:r>
      <w:r>
        <w:rPr>
          <w:rFonts w:ascii="Arial" w:cs="Arial" w:eastAsia="Arial" w:hAnsi="Arial"/>
          <w:sz w:val="19"/>
          <w:szCs w:val="19"/>
          <w:color w:val="010000"/>
        </w:rPr>
        <w:t xml:space="preserve"> </w:t>
      </w:r>
      <w:r>
        <w:rPr>
          <w:rFonts w:ascii="Arial" w:cs="Arial" w:eastAsia="Arial" w:hAnsi="Arial"/>
          <w:sz w:val="19"/>
          <w:szCs w:val="19"/>
          <w:color w:val="000000"/>
        </w:rPr>
        <w:t xml:space="preserve">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(other than any Security Agreement governed by Norwegian law), or for recognition or enforcement of any judgment, and each Grantor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Security Agreement or any other Loan Document shall (including this </w:t>
      </w:r>
      <w:r>
        <w:rPr>
          <w:rFonts w:ascii="Arial" w:cs="Arial" w:eastAsia="Arial" w:hAnsi="Arial"/>
          <w:sz w:val="19"/>
          <w:szCs w:val="19"/>
          <w:u w:val="single" w:color="auto"/>
          <w:color w:val="000000"/>
        </w:rPr>
        <w:t>Section 8.15</w:t>
      </w:r>
      <w:r>
        <w:rPr>
          <w:rFonts w:ascii="Arial" w:cs="Arial" w:eastAsia="Arial" w:hAnsi="Arial"/>
          <w:sz w:val="19"/>
          <w:szCs w:val="19"/>
          <w:color w:val="000000"/>
        </w:rPr>
        <w:t>) affect any right that any Secured Party may otherwise have to bring any suit, action or proceeding relating to this Security Agreement or any other Loan Document against any Grantor or its properties in the courts of any jurisdiction.</w:t>
      </w:r>
    </w:p>
    <w:p>
      <w:pPr>
        <w:spacing w:after="0" w:line="157"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8.15.3 </w:t>
      </w:r>
      <w:r>
        <w:rPr>
          <w:rFonts w:ascii="Arial" w:cs="Arial" w:eastAsia="Arial" w:hAnsi="Arial"/>
          <w:sz w:val="21"/>
          <w:szCs w:val="21"/>
          <w:color w:val="000000"/>
        </w:rPr>
        <w:t>Each Grantor hereby irrevocably and unconditionally waives, to the fullest extent it may legally</w:t>
      </w:r>
      <w:r>
        <w:rPr>
          <w:rFonts w:ascii="Arial" w:cs="Arial" w:eastAsia="Arial" w:hAnsi="Arial"/>
          <w:sz w:val="21"/>
          <w:szCs w:val="21"/>
          <w:color w:val="010000"/>
        </w:rPr>
        <w:t xml:space="preserve"> </w:t>
      </w:r>
      <w:r>
        <w:rPr>
          <w:rFonts w:ascii="Arial" w:cs="Arial" w:eastAsia="Arial" w:hAnsi="Arial"/>
          <w:sz w:val="21"/>
          <w:szCs w:val="21"/>
          <w:color w:val="000000"/>
        </w:rPr>
        <w:t xml:space="preserve">and 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21"/>
          <w:szCs w:val="21"/>
          <w:u w:val="single" w:color="auto"/>
          <w:color w:val="000000"/>
        </w:rPr>
        <w:t>Section 8.15.2</w:t>
      </w:r>
      <w:r>
        <w:rPr>
          <w:rFonts w:ascii="Arial" w:cs="Arial" w:eastAsia="Arial" w:hAnsi="Arial"/>
          <w:sz w:val="21"/>
          <w:szCs w:val="21"/>
          <w:color w:val="000000"/>
        </w:rPr>
        <w:t>. Each Grantor hereby irrevocably waives, to the fullest extent permitted by law, the defense of an inconvenient forum to the maintenance of such action or proceeding in any such court.</w:t>
      </w:r>
    </w:p>
    <w:p>
      <w:pPr>
        <w:spacing w:after="0" w:line="177" w:lineRule="exact"/>
        <w:rPr>
          <w:sz w:val="20"/>
          <w:szCs w:val="20"/>
          <w:color w:val="auto"/>
        </w:rPr>
      </w:pPr>
    </w:p>
    <w:p>
      <w:pPr>
        <w:jc w:val="both"/>
        <w:ind w:left="660" w:firstLine="972"/>
        <w:spacing w:after="0" w:line="308" w:lineRule="auto"/>
        <w:rPr>
          <w:sz w:val="20"/>
          <w:szCs w:val="20"/>
          <w:color w:val="auto"/>
        </w:rPr>
      </w:pPr>
      <w:r>
        <w:rPr>
          <w:rFonts w:ascii="Arial" w:cs="Arial" w:eastAsia="Arial" w:hAnsi="Arial"/>
          <w:sz w:val="19"/>
          <w:szCs w:val="19"/>
          <w:color w:val="010000"/>
        </w:rPr>
        <w:t xml:space="preserve">8.15.4 </w:t>
      </w:r>
      <w:r>
        <w:rPr>
          <w:rFonts w:ascii="Arial" w:cs="Arial" w:eastAsia="Arial" w:hAnsi="Arial"/>
          <w:sz w:val="19"/>
          <w:szCs w:val="19"/>
          <w:color w:val="000000"/>
        </w:rPr>
        <w:t>Each party to this Security Agreement irrevocably consents to service of process in the manner</w:t>
      </w:r>
      <w:r>
        <w:rPr>
          <w:rFonts w:ascii="Arial" w:cs="Arial" w:eastAsia="Arial" w:hAnsi="Arial"/>
          <w:sz w:val="19"/>
          <w:szCs w:val="19"/>
          <w:color w:val="010000"/>
        </w:rPr>
        <w:t xml:space="preserve"> </w:t>
      </w:r>
      <w:r>
        <w:rPr>
          <w:rFonts w:ascii="Arial" w:cs="Arial" w:eastAsia="Arial" w:hAnsi="Arial"/>
          <w:sz w:val="19"/>
          <w:szCs w:val="19"/>
          <w:color w:val="000000"/>
        </w:rPr>
        <w:t xml:space="preserve">provided for notices in </w:t>
      </w:r>
      <w:r>
        <w:rPr>
          <w:rFonts w:ascii="Arial" w:cs="Arial" w:eastAsia="Arial" w:hAnsi="Arial"/>
          <w:sz w:val="19"/>
          <w:szCs w:val="19"/>
          <w:u w:val="single" w:color="auto"/>
          <w:color w:val="000000"/>
        </w:rPr>
        <w:t>Article IX</w:t>
      </w:r>
      <w:r>
        <w:rPr>
          <w:rFonts w:ascii="Arial" w:cs="Arial" w:eastAsia="Arial" w:hAnsi="Arial"/>
          <w:sz w:val="19"/>
          <w:szCs w:val="19"/>
          <w:color w:val="000000"/>
        </w:rPr>
        <w:t xml:space="preserve"> of this Security Agreement other than by facsimile. Nothing in this Security Agreement or any other Loan Document will affect the right of any party to this Security Agreement to serve process in any other manner permitted by law. Notwithstanding any other provision of this Security Agreement, each Foreign Grantor hereby irrevocably designates CT Corporation System, 28 Liberty Street, New York, New York 10005, as the designee, appointee and agent of such Foreign Grantor to receive, for and on behalf of such Foreign Grantor, service of process in the State of</w:t>
      </w:r>
    </w:p>
    <w:p>
      <w:pPr>
        <w:sectPr>
          <w:pgSz w:w="11900" w:h="16838" w:orient="portrait"/>
          <w:cols w:equalWidth="0" w:num="1">
            <w:col w:w="11240"/>
          </w:cols>
          <w:pgMar w:left="320" w:top="131" w:right="339" w:bottom="0" w:gutter="0" w:footer="0" w:header="0"/>
        </w:sectPr>
      </w:pPr>
    </w:p>
    <w:bookmarkStart w:id="470" w:name="page471"/>
    <w:bookmarkEnd w:id="470"/>
    <w:p>
      <w:pPr>
        <w:spacing w:after="0" w:line="126"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New York in any suit, action or proceeding arising out of or relating to this Security Agreement or any other Loan Document.</w:t>
      </w:r>
    </w:p>
    <w:p>
      <w:pPr>
        <w:spacing w:after="0" w:line="174" w:lineRule="exact"/>
        <w:rPr>
          <w:sz w:val="20"/>
          <w:szCs w:val="20"/>
          <w:color w:val="auto"/>
        </w:rPr>
      </w:pPr>
    </w:p>
    <w:p>
      <w:pPr>
        <w:jc w:val="both"/>
        <w:ind w:left="660" w:firstLine="972"/>
        <w:spacing w:after="0" w:line="274" w:lineRule="auto"/>
        <w:rPr>
          <w:sz w:val="20"/>
          <w:szCs w:val="20"/>
          <w:color w:val="auto"/>
        </w:rPr>
      </w:pPr>
      <w:r>
        <w:rPr>
          <w:rFonts w:ascii="Arial" w:cs="Arial" w:eastAsia="Arial" w:hAnsi="Arial"/>
          <w:sz w:val="21"/>
          <w:szCs w:val="21"/>
          <w:color w:val="010000"/>
        </w:rPr>
        <w:t xml:space="preserve">8.15.5 </w:t>
      </w:r>
      <w:r>
        <w:rPr>
          <w:rFonts w:ascii="Arial" w:cs="Arial" w:eastAsia="Arial" w:hAnsi="Arial"/>
          <w:sz w:val="21"/>
          <w:szCs w:val="21"/>
          <w:color w:val="000000"/>
        </w:rPr>
        <w:t>Each Grantor agrees that any suit, action or proceeding brought by any Grantor or any of their</w:t>
      </w:r>
      <w:r>
        <w:rPr>
          <w:rFonts w:ascii="Arial" w:cs="Arial" w:eastAsia="Arial" w:hAnsi="Arial"/>
          <w:sz w:val="21"/>
          <w:szCs w:val="21"/>
          <w:color w:val="010000"/>
        </w:rPr>
        <w:t xml:space="preserve"> </w:t>
      </w:r>
      <w:r>
        <w:rPr>
          <w:rFonts w:ascii="Arial" w:cs="Arial" w:eastAsia="Arial" w:hAnsi="Arial"/>
          <w:sz w:val="21"/>
          <w:szCs w:val="21"/>
          <w:color w:val="000000"/>
        </w:rPr>
        <w:t>respective Subsidiaries relating to this Security Agreement or any other Loan Document (other than any Security Agreement governed by Norwegian law) against the Agent, any other Secured Party or any of their respective Affiliates shall be brought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2" w:lineRule="exact"/>
        <w:rPr>
          <w:sz w:val="20"/>
          <w:szCs w:val="20"/>
          <w:color w:val="auto"/>
        </w:rPr>
      </w:pPr>
    </w:p>
    <w:p>
      <w:pPr>
        <w:jc w:val="both"/>
        <w:ind w:left="660" w:firstLine="972"/>
        <w:spacing w:after="0" w:line="271" w:lineRule="auto"/>
        <w:rPr>
          <w:sz w:val="20"/>
          <w:szCs w:val="20"/>
          <w:color w:val="auto"/>
        </w:rPr>
      </w:pPr>
      <w:r>
        <w:rPr>
          <w:rFonts w:ascii="Arial" w:cs="Arial" w:eastAsia="Arial" w:hAnsi="Arial"/>
          <w:sz w:val="21"/>
          <w:szCs w:val="21"/>
          <w:color w:val="010000"/>
        </w:rPr>
        <w:t xml:space="preserve">8.15.6 </w:t>
      </w:r>
      <w:r>
        <w:rPr>
          <w:rFonts w:ascii="Arial" w:cs="Arial" w:eastAsia="Arial" w:hAnsi="Arial"/>
          <w:sz w:val="21"/>
          <w:szCs w:val="21"/>
          <w:color w:val="000000"/>
        </w:rPr>
        <w:t>The Agent hereby irrevocably and unconditionally submits, for itself and its property, to the</w:t>
      </w:r>
      <w:r>
        <w:rPr>
          <w:rFonts w:ascii="Arial" w:cs="Arial" w:eastAsia="Arial" w:hAnsi="Arial"/>
          <w:sz w:val="21"/>
          <w:szCs w:val="21"/>
          <w:color w:val="010000"/>
        </w:rPr>
        <w:t xml:space="preserve"> </w:t>
      </w:r>
      <w:r>
        <w:rPr>
          <w:rFonts w:ascii="Arial" w:cs="Arial" w:eastAsia="Arial" w:hAnsi="Arial"/>
          <w:sz w:val="21"/>
          <w:szCs w:val="21"/>
          <w:color w:val="000000"/>
        </w:rPr>
        <w:t>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(other than any Security Agreement governed by Norwegian law),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89"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8.15.7 </w:t>
      </w:r>
      <w:r>
        <w:rPr>
          <w:rFonts w:ascii="Arial" w:cs="Arial" w:eastAsia="Arial" w:hAnsi="Arial"/>
          <w:sz w:val="21"/>
          <w:szCs w:val="21"/>
          <w:color w:val="000000"/>
        </w:rPr>
        <w:t>The Agent hereby irrevocably and unconditionally waives, to the fullest extent it may legally and</w:t>
      </w:r>
      <w:r>
        <w:rPr>
          <w:rFonts w:ascii="Arial" w:cs="Arial" w:eastAsia="Arial" w:hAnsi="Arial"/>
          <w:sz w:val="21"/>
          <w:szCs w:val="21"/>
          <w:color w:val="010000"/>
        </w:rPr>
        <w:t xml:space="preserve"> </w:t>
      </w:r>
      <w:r>
        <w:rPr>
          <w:rFonts w:ascii="Arial" w:cs="Arial" w:eastAsia="Arial" w:hAnsi="Arial"/>
          <w:sz w:val="21"/>
          <w:szCs w:val="21"/>
          <w:color w:val="000000"/>
        </w:rPr>
        <w:t xml:space="preserve">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21"/>
          <w:szCs w:val="21"/>
          <w:u w:val="single" w:color="auto"/>
          <w:color w:val="000000"/>
        </w:rPr>
        <w:t>Section 8.15.2</w:t>
      </w:r>
      <w:r>
        <w:rPr>
          <w:rFonts w:ascii="Arial" w:cs="Arial" w:eastAsia="Arial" w:hAnsi="Arial"/>
          <w:sz w:val="21"/>
          <w:szCs w:val="21"/>
          <w:color w:val="000000"/>
        </w:rPr>
        <w:t>. The Agent hereby irrevocably waives, to the fullest extent permitted by law, the defense of an inconvenient forum to the maintenance of such action or proceeding in any such court.</w:t>
      </w:r>
    </w:p>
    <w:p>
      <w:pPr>
        <w:spacing w:after="0" w:line="177"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8.15.8 </w:t>
      </w:r>
      <w:r>
        <w:rPr>
          <w:rFonts w:ascii="Arial" w:cs="Arial" w:eastAsia="Arial" w:hAnsi="Arial"/>
          <w:sz w:val="22"/>
          <w:szCs w:val="22"/>
          <w:color w:val="000000"/>
        </w:rPr>
        <w:t>To the extent that any Grantor has or hereafter may acquire any immunity from jurisdiction of any</w:t>
      </w:r>
      <w:r>
        <w:rPr>
          <w:rFonts w:ascii="Arial" w:cs="Arial" w:eastAsia="Arial" w:hAnsi="Arial"/>
          <w:sz w:val="22"/>
          <w:szCs w:val="22"/>
          <w:color w:val="010000"/>
        </w:rPr>
        <w:t xml:space="preserve"> </w:t>
      </w:r>
      <w:r>
        <w:rPr>
          <w:rFonts w:ascii="Arial" w:cs="Arial" w:eastAsia="Arial" w:hAnsi="Arial"/>
          <w:sz w:val="22"/>
          <w:szCs w:val="22"/>
          <w:color w:val="000000"/>
        </w:rPr>
        <w:t>court or from set-off or any legal process (whether through service or notice, attachment prior to judgment, attachment in aid of execution, execution or otherwise) with respect to itself or its property, such Grantor hereby irrevocably waives such immunity in respect of its obligations under the Loan Documents.</w:t>
      </w:r>
    </w:p>
    <w:p>
      <w:pPr>
        <w:spacing w:after="0" w:line="191" w:lineRule="exact"/>
        <w:rPr>
          <w:sz w:val="20"/>
          <w:szCs w:val="20"/>
          <w:color w:val="auto"/>
        </w:rPr>
      </w:pPr>
    </w:p>
    <w:p>
      <w:pPr>
        <w:jc w:val="both"/>
        <w:ind w:left="660" w:firstLine="972"/>
        <w:spacing w:after="0" w:line="258" w:lineRule="auto"/>
        <w:rPr>
          <w:sz w:val="20"/>
          <w:szCs w:val="20"/>
          <w:color w:val="auto"/>
        </w:rPr>
      </w:pPr>
      <w:r>
        <w:rPr>
          <w:rFonts w:ascii="Arial" w:cs="Arial" w:eastAsia="Arial" w:hAnsi="Arial"/>
          <w:sz w:val="22"/>
          <w:szCs w:val="22"/>
          <w:color w:val="010000"/>
        </w:rPr>
        <w:t xml:space="preserve">8.15.9 </w:t>
      </w:r>
      <w:r>
        <w:rPr>
          <w:rFonts w:ascii="Arial" w:cs="Arial" w:eastAsia="Arial" w:hAnsi="Arial"/>
          <w:sz w:val="22"/>
          <w:szCs w:val="22"/>
          <w:color w:val="000000"/>
        </w:rPr>
        <w:t>EACH PARTY HERETO HEREBY WAIVES, TO THE FULLEST EXTENT PERMITTED BY</w:t>
      </w:r>
      <w:r>
        <w:rPr>
          <w:rFonts w:ascii="Arial" w:cs="Arial" w:eastAsia="Arial" w:hAnsi="Arial"/>
          <w:sz w:val="22"/>
          <w:szCs w:val="22"/>
          <w:color w:val="010000"/>
        </w:rPr>
        <w:t xml:space="preserve"> </w:t>
      </w:r>
      <w:r>
        <w:rPr>
          <w:rFonts w:ascii="Arial" w:cs="Arial" w:eastAsia="Arial" w:hAnsi="Arial"/>
          <w:sz w:val="22"/>
          <w:szCs w:val="22"/>
          <w:color w:val="000000"/>
        </w:rPr>
        <w:t>APPLICABLE LAW, ANY RIGHT IT MAY HAVE TO A TRIAL BY JURY IN ANY LEGAL PROCEEDING DIRECTLY OR INDIRECTLY ARISING OUT OF OR RELATING TO THIS SECURITY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Indemnity</w:t>
      </w:r>
      <w:r>
        <w:rPr>
          <w:rFonts w:ascii="Arial" w:cs="Arial" w:eastAsia="Arial" w:hAnsi="Arial"/>
          <w:sz w:val="22"/>
          <w:szCs w:val="22"/>
          <w:color w:val="auto"/>
        </w:rPr>
        <w:t xml:space="preserve">. Each Grantor hereby agrees, jointly with the other Grantors and severally, to indemnify the Agent and the Secured Parties in accordance with Section 11.04 of the LC Credit Agreement,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in this Security Agreement that is held to be inoperative, unenforceable, not permissible, or invalid in any jurisdiction shall, as to that jurisdiction, be inoperative, unenforceable, not permissible,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UETA.</w:t>
      </w:r>
    </w:p>
    <w:p>
      <w:pPr>
        <w:sectPr>
          <w:pgSz w:w="11900" w:h="16964" w:orient="portrait"/>
          <w:cols w:equalWidth="0" w:num="1">
            <w:col w:w="11240"/>
          </w:cols>
          <w:pgMar w:left="320" w:top="131" w:right="339" w:bottom="0" w:gutter="0" w:footer="0" w:header="0"/>
        </w:sectPr>
      </w:pPr>
    </w:p>
    <w:bookmarkStart w:id="471" w:name="page472"/>
    <w:bookmarkEnd w:id="471"/>
    <w:p>
      <w:pPr>
        <w:jc w:val="both"/>
        <w:ind w:firstLine="648"/>
        <w:spacing w:after="0" w:line="306" w:lineRule="auto"/>
        <w:rPr>
          <w:sz w:val="20"/>
          <w:szCs w:val="20"/>
          <w:color w:val="auto"/>
        </w:rPr>
      </w:pP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Notwithstanding anything herein to the contrary, the Lien and security interest granted to the Agent pursuant to or in connection with this Security Agreement, and the exercise of any right or remedy by the Agent hereunder are subject to the provisions of the Intercreditor Agreement. In the event of any conflict between the terms of the Intercreditor Agreement and this Security Agreement, subject to </w:t>
      </w:r>
      <w:r>
        <w:rPr>
          <w:rFonts w:ascii="Arial" w:cs="Arial" w:eastAsia="Arial" w:hAnsi="Arial"/>
          <w:sz w:val="19"/>
          <w:szCs w:val="19"/>
          <w:u w:val="single" w:color="auto"/>
          <w:color w:val="auto"/>
        </w:rPr>
        <w:t>Section 4.6.4</w:t>
      </w:r>
      <w:r>
        <w:rPr>
          <w:rFonts w:ascii="Arial" w:cs="Arial" w:eastAsia="Arial" w:hAnsi="Arial"/>
          <w:sz w:val="19"/>
          <w:szCs w:val="19"/>
          <w:color w:val="auto"/>
        </w:rPr>
        <w:t xml:space="preserve"> hereof and any other limitation on rights of the Agent or other Secured Party with respect to ULC Shares hereunder, the terms of the Intercreditor Agreement shall control. For so long as the Intercreditor Agreement remains in effect, the delivery of any Collateral to the ABL Collateral Agent as required by the Intercreditor Agreement shall satisfy any delivery requirement with respect to such Collateral hereunder.</w:t>
      </w:r>
    </w:p>
    <w:p>
      <w:pPr>
        <w:spacing w:after="0" w:line="1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Loan Document</w:t>
      </w:r>
      <w:r>
        <w:rPr>
          <w:rFonts w:ascii="Arial" w:cs="Arial" w:eastAsia="Arial" w:hAnsi="Arial"/>
          <w:sz w:val="22"/>
          <w:szCs w:val="22"/>
          <w:color w:val="auto"/>
        </w:rPr>
        <w:t>. This Security Agreement constitutes a Loan Document for all purposes under the LC Credit Agreement and all other Loan Documents.</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Each Grantor shall, execute and deliver, or cause to be executed and delivered, to the Agent such documents, agreements, instruments, forms and notices and will take or cause to be taken such further actions (including the filing and recording of financing statements and other documents serving notices of assignment and such other actions or deliveries of the type required by Section 5.01 of the LC Credit Agreement, as applicable), which may be required by law or which the Agent may, from time to time, reasonably request to carry out the terms and conditions of this Security Agreement and to ensure perfection and priority of the Liens created or intended to be created hereby, all at the expense of the Grantors.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Swiss Security Limitation</w:t>
      </w:r>
      <w:r>
        <w:rPr>
          <w:rFonts w:ascii="Arial" w:cs="Arial" w:eastAsia="Arial" w:hAnsi="Arial"/>
          <w:sz w:val="22"/>
          <w:szCs w:val="22"/>
          <w:color w:val="auto"/>
        </w:rPr>
        <w:t>. If and to the extent the Collateral is subject to any Swiss Security Documents, the security interests created under the respective Swiss Security Documents shall rank senior to the security interests created hereunder and the provisions of the respective Swiss Security Documents shall prevail.</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010000"/>
        </w:rPr>
        <w:t xml:space="preserve">8.23. </w:t>
      </w:r>
      <w:r>
        <w:rPr>
          <w:rFonts w:ascii="Arial" w:cs="Arial" w:eastAsia="Arial" w:hAnsi="Arial"/>
          <w:sz w:val="22"/>
          <w:szCs w:val="22"/>
          <w:u w:val="single" w:color="auto"/>
          <w:color w:val="000000"/>
        </w:rPr>
        <w:t>Norwegian Security Limitation</w:t>
      </w:r>
      <w:r>
        <w:rPr>
          <w:rFonts w:ascii="Arial" w:cs="Arial" w:eastAsia="Arial" w:hAnsi="Arial"/>
          <w:sz w:val="22"/>
          <w:szCs w:val="22"/>
          <w:color w:val="000000"/>
        </w:rPr>
        <w:t>. If and to the extent the Collateral is subject to any Collateral Documents</w:t>
      </w:r>
      <w:r>
        <w:rPr>
          <w:rFonts w:ascii="Arial" w:cs="Arial" w:eastAsia="Arial" w:hAnsi="Arial"/>
          <w:sz w:val="22"/>
          <w:szCs w:val="22"/>
          <w:color w:val="010000"/>
        </w:rPr>
        <w:t xml:space="preserve"> </w:t>
      </w:r>
      <w:r>
        <w:rPr>
          <w:rFonts w:ascii="Arial" w:cs="Arial" w:eastAsia="Arial" w:hAnsi="Arial"/>
          <w:sz w:val="22"/>
          <w:szCs w:val="22"/>
          <w:color w:val="000000"/>
        </w:rPr>
        <w:t>governed by the law of Norway (the “</w:t>
      </w:r>
      <w:r>
        <w:rPr>
          <w:rFonts w:ascii="Arial" w:cs="Arial" w:eastAsia="Arial" w:hAnsi="Arial"/>
          <w:sz w:val="22"/>
          <w:szCs w:val="22"/>
          <w:u w:val="single" w:color="auto"/>
          <w:color w:val="000000"/>
        </w:rPr>
        <w:t>Norwegian Security Documents</w:t>
      </w:r>
      <w:r>
        <w:rPr>
          <w:rFonts w:ascii="Arial" w:cs="Arial" w:eastAsia="Arial" w:hAnsi="Arial"/>
          <w:sz w:val="22"/>
          <w:szCs w:val="22"/>
          <w:color w:val="000000"/>
        </w:rPr>
        <w:t>”), the security interests created under the respective Norwegian security documents shall rank senior to the security interests created hereunder and the provisions of the respective Norwegian Security Documents shall prevail.</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Foreign Grantors</w:t>
      </w:r>
      <w:r>
        <w:rPr>
          <w:rFonts w:ascii="Arial" w:cs="Arial" w:eastAsia="Arial" w:hAnsi="Arial"/>
          <w:sz w:val="22"/>
          <w:szCs w:val="22"/>
          <w:color w:val="auto"/>
        </w:rPr>
        <w:t>. Notwithstanding anything to the contrary set forth in this Security Agreement, the parties hereto acknowledge that the representations and warranties, covenants and obligations hereunder of any Foreign Grantor shall apply with respect to the Collateral or, if applicable, any other assets of such Foreign Grantor only to the extent such Collateral or other assets are registered in a jurisdiction located in the United States or, in the case of Capital Stock and Stock Rights pledged pursuant to this Security Agreement by a Foreign Grantor, any such Capital Stock or Stock Rights that are issued by a Domestic Subsidiary.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u w:val="single" w:color="auto"/>
          <w:color w:val="auto"/>
        </w:rPr>
        <w:t>Sending Notices</w:t>
      </w:r>
      <w:r>
        <w:rPr>
          <w:rFonts w:ascii="Arial" w:cs="Arial" w:eastAsia="Arial" w:hAnsi="Arial"/>
          <w:sz w:val="21"/>
          <w:szCs w:val="21"/>
          <w:color w:val="auto"/>
        </w:rPr>
        <w:t>. All notices, requests and other communications to any party hereunder shall be given in the manner prescribed in Section 11.02 of the LC Credit Agreement with respect to the Agent at its notice address therein and, with respect to any Grantor, in the care of Weatherford International, LLC, as provided and at the notice address set forth in the Credit Agreement, or such other address or telecopy number as such party may hereafter specify for such purpose in accordance with the provisions of Section 11.02 of the LC Credit Agreement. Any notice delivered to the Borrowers on behalf of the Grantors shall be deemed to have been delivered to all of the Grantors.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Change in Address for Notices</w:t>
      </w:r>
      <w:r>
        <w:rPr>
          <w:rFonts w:ascii="Arial" w:cs="Arial" w:eastAsia="Arial" w:hAnsi="Arial"/>
          <w:sz w:val="22"/>
          <w:szCs w:val="22"/>
          <w:color w:val="auto"/>
        </w:rPr>
        <w:t>. Each of the Grantors, the Agent and the Lenders may change the address for service of notice upon it by a notice in writing to the other parties.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Pages Follow</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2" w:name="page473"/>
    <w:bookmarkEnd w:id="472"/>
    <w:p>
      <w:pPr>
        <w:ind w:firstLine="648"/>
        <w:spacing w:after="0" w:line="276" w:lineRule="auto"/>
        <w:rPr>
          <w:sz w:val="20"/>
          <w:szCs w:val="20"/>
          <w:color w:val="auto"/>
        </w:rPr>
      </w:pPr>
      <w:r>
        <w:rPr>
          <w:rFonts w:ascii="Arial" w:cs="Arial" w:eastAsia="Arial" w:hAnsi="Arial"/>
          <w:sz w:val="22"/>
          <w:szCs w:val="22"/>
          <w:color w:val="auto"/>
        </w:rPr>
        <w:t>IN WITNESS WHEREOF, each of the Grantors and the Agent have executed this Security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GRANTORS:</w:t>
      </w: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[INSERT GRANTORS]</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 as Agent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3" w:name="page474"/>
    <w:bookmarkEnd w:id="473"/>
    <w:p>
      <w:pPr>
        <w:jc w:val="center"/>
        <w:spacing w:after="0"/>
        <w:rPr>
          <w:sz w:val="20"/>
          <w:szCs w:val="20"/>
          <w:color w:val="auto"/>
        </w:rPr>
      </w:pPr>
      <w:r>
        <w:rPr>
          <w:rFonts w:ascii="Arial" w:cs="Arial" w:eastAsia="Arial" w:hAnsi="Arial"/>
          <w:sz w:val="21"/>
          <w:szCs w:val="2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468630</wp:posOffset>
            </wp:positionV>
            <wp:extent cx="71323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74" w:name="page475"/>
    <w:bookmarkEnd w:id="474"/>
    <w:p>
      <w:pPr>
        <w:jc w:val="right"/>
        <w:spacing w:after="0"/>
        <w:rPr>
          <w:sz w:val="20"/>
          <w:szCs w:val="20"/>
          <w:color w:val="auto"/>
        </w:rPr>
      </w:pPr>
      <w:r>
        <w:rPr>
          <w:rFonts w:ascii="Arial" w:cs="Arial" w:eastAsia="Arial" w:hAnsi="Arial"/>
          <w:sz w:val="22"/>
          <w:szCs w:val="22"/>
          <w:b w:val="1"/>
          <w:bCs w:val="1"/>
          <w:u w:val="single" w:color="auto"/>
          <w:color w:val="auto"/>
        </w:rPr>
        <w:t>EXHIBIT I</w:t>
      </w:r>
    </w:p>
    <w:p>
      <w:pPr>
        <w:spacing w:after="0" w:line="233" w:lineRule="exact"/>
        <w:rPr>
          <w:sz w:val="20"/>
          <w:szCs w:val="20"/>
          <w:color w:val="auto"/>
        </w:rPr>
      </w:pPr>
    </w:p>
    <w:p>
      <w:pPr>
        <w:ind w:left="2060"/>
        <w:spacing w:after="0"/>
        <w:rPr>
          <w:sz w:val="20"/>
          <w:szCs w:val="20"/>
          <w:color w:val="auto"/>
        </w:rPr>
      </w:pPr>
      <w:r>
        <w:rPr>
          <w:rFonts w:ascii="Arial" w:cs="Arial" w:eastAsia="Arial" w:hAnsi="Arial"/>
          <w:sz w:val="22"/>
          <w:szCs w:val="22"/>
          <w:b w:val="1"/>
          <w:bCs w:val="1"/>
          <w:u w:val="single" w:color="auto"/>
          <w:color w:val="auto"/>
        </w:rPr>
        <w:t>FORM OF CANADIAN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22"/>
          <w:szCs w:val="22"/>
          <w:b w:val="1"/>
          <w:bCs w:val="1"/>
          <w:u w:val="single" w:color="auto"/>
          <w:color w:val="auto"/>
        </w:rPr>
        <w:t>CANADIAN SECURITY AGREEMENT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December 13, 2019</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WEATHERFORD CANADA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(NOVA SCOTIA) ULC,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PRECISION ENERGY SERVICES ULC,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PRECISION ENERGY INTERNATIONAL LTD.,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PRECISION ENERGY SERVICES COLOMBIA LTD.,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other GRANTORS from time to time party hereto,</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u w:val="single" w:color="auto"/>
          <w:color w:val="auto"/>
        </w:rPr>
        <w:t>Reference is made to the Intercreditor Agreement, dated as of December 13, 2019, among Wells Fargo Bank, National Association, as ABL Collateral Agent (as defined in the Intercreditor Agreement) for the ABL Secured Parties referred to therein; Deutsche Bank Trust Company Americas, as LC Collateral Agent (as defined in the Intercreditor Agreement) for the LC Facility Secured Parties referred to therein; Weatherford International plc, a public limited company incorporated in the Republic of Ireland, Weatherford International Ltd., a Bermuda exempted company, Weatherford International, LLC, a Delaware limited liability company and the other Grantors of Weatherford International plc named therein (as amended, amended and restated, supplemented or otherwise modified from time to time, the “</w:t>
      </w:r>
      <w:r>
        <w:rPr>
          <w:rFonts w:ascii="Arial" w:cs="Arial" w:eastAsia="Arial" w:hAnsi="Arial"/>
          <w:sz w:val="19"/>
          <w:szCs w:val="19"/>
          <w:b w:val="1"/>
          <w:bCs w:val="1"/>
          <w:i w:val="1"/>
          <w:iCs w:val="1"/>
          <w:u w:val="single" w:color="auto"/>
          <w:color w:val="auto"/>
        </w:rPr>
        <w:t>Intercreditor Agreement</w:t>
      </w:r>
      <w:r>
        <w:rPr>
          <w:rFonts w:ascii="Arial" w:cs="Arial" w:eastAsia="Arial" w:hAnsi="Arial"/>
          <w:sz w:val="19"/>
          <w:szCs w:val="19"/>
          <w:i w:val="1"/>
          <w:iCs w:val="1"/>
          <w:u w:val="single" w:color="auto"/>
          <w:color w:val="auto"/>
        </w:rPr>
        <w:t>”). Each Lender, of its acceptance of the benefits hereof (a) consents to the subordination of Liens provided for in the Intercreditor Agreement, (b) agrees that it will be bound by, and will take no actions contrary to, the provisions of the Intercreditor Agreement and (c) authorizes and instructs the LC Collateral Agent to enter into the Intercreditor Agreement as LC Collateral Agent on behalf of such LC Lender. The foregoing provisions are intended as an inducement to the Lenders to extend credit to the Borrowers (as defined below) or to acquire any notes or other evidence of any debt obligation owing from the Borrowers and such Lenders are intended third party beneficiaries of such provisions and the provisions of the Intercreditor Agreement.</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i w:val="1"/>
          <w:iCs w:val="1"/>
          <w:u w:val="single" w:color="auto"/>
          <w:color w:val="auto"/>
        </w:rPr>
        <w:t>Notwithstanding any other provision contained herein, this Security Agreement, the Liens created hereby and the rights, remedies, duties and obligations provided for herein are subject in all respects to the provisions of the Intercreditor Agreement and, to the extent provided therein, the applicable ABL Security Documents and LC Security Documents (as defined in the Intercreditor Agreement). In the event of any conflict or inconsistency between the provisions of this Security Agreement and the Intercreditor Agreement, subject to Section 4.6.4 hereof and any other limitation on rights of the Agent or other Secured Party with respect to ULC Shares hereunder, the provisions of the Intercreditor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76" w:name="page477"/>
    <w:bookmarkEnd w:id="476"/>
    <w:p>
      <w:pPr>
        <w:jc w:val="both"/>
        <w:ind w:firstLine="648"/>
        <w:spacing w:after="0" w:line="305" w:lineRule="auto"/>
        <w:rPr>
          <w:sz w:val="20"/>
          <w:szCs w:val="20"/>
          <w:color w:val="auto"/>
        </w:rPr>
      </w:pPr>
      <w:r>
        <w:rPr>
          <w:rFonts w:ascii="Arial" w:cs="Arial" w:eastAsia="Arial" w:hAnsi="Arial"/>
          <w:sz w:val="19"/>
          <w:szCs w:val="19"/>
          <w:color w:val="auto"/>
        </w:rPr>
        <w:t>This CANADIAN SECURITY AGREEMENT (as the same may be amended, restated, supplemented or otherwise modified from time to time, this “</w:t>
      </w:r>
      <w:r>
        <w:rPr>
          <w:rFonts w:ascii="Arial" w:cs="Arial" w:eastAsia="Arial" w:hAnsi="Arial"/>
          <w:sz w:val="19"/>
          <w:szCs w:val="19"/>
          <w:b w:val="1"/>
          <w:bCs w:val="1"/>
          <w:i w:val="1"/>
          <w:iCs w:val="1"/>
          <w:color w:val="auto"/>
        </w:rPr>
        <w:t>Security Agreement</w:t>
      </w:r>
      <w:r>
        <w:rPr>
          <w:rFonts w:ascii="Arial" w:cs="Arial" w:eastAsia="Arial" w:hAnsi="Arial"/>
          <w:sz w:val="19"/>
          <w:szCs w:val="19"/>
          <w:color w:val="auto"/>
        </w:rPr>
        <w:t>”) is entered into as of December 13, 2019 by and among the entities listed on the signature pages hereto (such listed entities, collectively, the “</w:t>
      </w:r>
      <w:r>
        <w:rPr>
          <w:rFonts w:ascii="Arial" w:cs="Arial" w:eastAsia="Arial" w:hAnsi="Arial"/>
          <w:sz w:val="19"/>
          <w:szCs w:val="19"/>
          <w:b w:val="1"/>
          <w:bCs w:val="1"/>
          <w:i w:val="1"/>
          <w:iCs w:val="1"/>
          <w:color w:val="auto"/>
        </w:rPr>
        <w:t>Initial Grantors</w:t>
      </w:r>
      <w:r>
        <w:rPr>
          <w:rFonts w:ascii="Arial" w:cs="Arial" w:eastAsia="Arial" w:hAnsi="Arial"/>
          <w:sz w:val="19"/>
          <w:szCs w:val="19"/>
          <w:color w:val="auto"/>
        </w:rPr>
        <w:t>” and, together with any other Subsidiaries of Weatherford International plc, an Irish public limited company (“</w:t>
      </w:r>
      <w:r>
        <w:rPr>
          <w:rFonts w:ascii="Arial" w:cs="Arial" w:eastAsia="Arial" w:hAnsi="Arial"/>
          <w:sz w:val="19"/>
          <w:szCs w:val="19"/>
          <w:b w:val="1"/>
          <w:bCs w:val="1"/>
          <w:i w:val="1"/>
          <w:iCs w:val="1"/>
          <w:color w:val="auto"/>
        </w:rPr>
        <w:t>WIL-Ireland</w:t>
      </w:r>
      <w:r>
        <w:rPr>
          <w:rFonts w:ascii="Arial" w:cs="Arial" w:eastAsia="Arial" w:hAnsi="Arial"/>
          <w:sz w:val="19"/>
          <w:szCs w:val="19"/>
          <w:color w:val="auto"/>
        </w:rPr>
        <w:t xml:space="preserve">”),whether now existing or hereafter formed or acquired, that become parties to this Security Agreement from time to time in accordance with the terms of the LC Credit Agreement described below by executing a Security Agreement Supplement hereto in substantially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each, a “</w:t>
      </w:r>
      <w:r>
        <w:rPr>
          <w:rFonts w:ascii="Arial" w:cs="Arial" w:eastAsia="Arial" w:hAnsi="Arial"/>
          <w:sz w:val="19"/>
          <w:szCs w:val="19"/>
          <w:b w:val="1"/>
          <w:bCs w:val="1"/>
          <w:i w:val="1"/>
          <w:iCs w:val="1"/>
          <w:color w:val="auto"/>
        </w:rPr>
        <w:t>Grantor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Grantors</w:t>
      </w:r>
      <w:r>
        <w:rPr>
          <w:rFonts w:ascii="Arial" w:cs="Arial" w:eastAsia="Arial" w:hAnsi="Arial"/>
          <w:sz w:val="19"/>
          <w:szCs w:val="19"/>
          <w:color w:val="auto"/>
        </w:rPr>
        <w:t>”), and Deutsche Bank Trust Company Americas in its capacity as administrative agent (in such capacity, the “</w:t>
      </w:r>
      <w:r>
        <w:rPr>
          <w:rFonts w:ascii="Arial" w:cs="Arial" w:eastAsia="Arial" w:hAnsi="Arial"/>
          <w:sz w:val="19"/>
          <w:szCs w:val="19"/>
          <w:b w:val="1"/>
          <w:bCs w:val="1"/>
          <w:i w:val="1"/>
          <w:iCs w:val="1"/>
          <w:color w:val="auto"/>
        </w:rPr>
        <w:t>Agent</w:t>
      </w:r>
      <w:r>
        <w:rPr>
          <w:rFonts w:ascii="Arial" w:cs="Arial" w:eastAsia="Arial" w:hAnsi="Arial"/>
          <w:sz w:val="19"/>
          <w:szCs w:val="19"/>
          <w:color w:val="auto"/>
        </w:rPr>
        <w:t>”) for itself and on behalf and for the benefit of the other Secured Parties (as defined below).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WIL-Ireland, Weatherford International Ltd., a Bermuda exempted company (“</w:t>
      </w:r>
      <w:r>
        <w:rPr>
          <w:rFonts w:ascii="Arial" w:cs="Arial" w:eastAsia="Arial" w:hAnsi="Arial"/>
          <w:sz w:val="19"/>
          <w:szCs w:val="19"/>
          <w:b w:val="1"/>
          <w:bCs w:val="1"/>
          <w:i w:val="1"/>
          <w:iCs w:val="1"/>
          <w:color w:val="auto"/>
        </w:rPr>
        <w:t>WIL-Bermuda</w:t>
      </w:r>
      <w:r>
        <w:rPr>
          <w:rFonts w:ascii="Arial" w:cs="Arial" w:eastAsia="Arial" w:hAnsi="Arial"/>
          <w:sz w:val="19"/>
          <w:szCs w:val="19"/>
          <w:color w:val="auto"/>
        </w:rPr>
        <w:t>”), Weatherford International LLC, a Delaware limited liability company (“</w:t>
      </w:r>
      <w:r>
        <w:rPr>
          <w:rFonts w:ascii="Arial" w:cs="Arial" w:eastAsia="Arial" w:hAnsi="Arial"/>
          <w:sz w:val="19"/>
          <w:szCs w:val="19"/>
          <w:b w:val="1"/>
          <w:bCs w:val="1"/>
          <w:i w:val="1"/>
          <w:iCs w:val="1"/>
          <w:color w:val="auto"/>
        </w:rPr>
        <w:t>WIL-Delaware</w:t>
      </w:r>
      <w:r>
        <w:rPr>
          <w:rFonts w:ascii="Arial" w:cs="Arial" w:eastAsia="Arial" w:hAnsi="Arial"/>
          <w:sz w:val="19"/>
          <w:szCs w:val="19"/>
          <w:color w:val="auto"/>
        </w:rPr>
        <w:t>” and together with WIL-Bermuda, the “</w:t>
      </w:r>
      <w:r>
        <w:rPr>
          <w:rFonts w:ascii="Arial" w:cs="Arial" w:eastAsia="Arial" w:hAnsi="Arial"/>
          <w:sz w:val="19"/>
          <w:szCs w:val="19"/>
          <w:b w:val="1"/>
          <w:bCs w:val="1"/>
          <w:i w:val="1"/>
          <w:iCs w:val="1"/>
          <w:color w:val="auto"/>
        </w:rPr>
        <w:t>Borrowers</w:t>
      </w:r>
      <w:r>
        <w:rPr>
          <w:rFonts w:ascii="Arial" w:cs="Arial" w:eastAsia="Arial" w:hAnsi="Arial"/>
          <w:sz w:val="19"/>
          <w:szCs w:val="19"/>
          <w:color w:val="auto"/>
        </w:rPr>
        <w:t>”), the Agent, and the Lenders are entering into that certain LC Credit Agreement dated as of the date hereof (as the same may be amended, amended and restated, supplemented or otherwise modified from time to time, the “</w:t>
      </w:r>
      <w:r>
        <w:rPr>
          <w:rFonts w:ascii="Arial" w:cs="Arial" w:eastAsia="Arial" w:hAnsi="Arial"/>
          <w:sz w:val="19"/>
          <w:szCs w:val="19"/>
          <w:b w:val="1"/>
          <w:bCs w:val="1"/>
          <w:i w:val="1"/>
          <w:iCs w:val="1"/>
          <w:color w:val="auto"/>
        </w:rPr>
        <w:t>LC Credit Agreement</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Grantors are entering into this Security Agreement in order to induce the Lenders to enter into and extend credit to the Borrowers under the LC Credit Agreement on the terms set forth therein.</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ACCORDINGLY, the Grantors and the Agent, for itself and on behalf and for the benefit of the other Secured Parties, hereby agree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Terms Defined in the LC Credit Agreement and the Intercreditor Agreement</w:t>
      </w:r>
      <w:r>
        <w:rPr>
          <w:rFonts w:ascii="Arial" w:cs="Arial" w:eastAsia="Arial" w:hAnsi="Arial"/>
          <w:sz w:val="22"/>
          <w:szCs w:val="22"/>
          <w:color w:val="auto"/>
        </w:rPr>
        <w:t>. All capitalized terms used herein and not otherwise defined shall have the respective meanings assigned to such terms in the LC Credit Agreement and the Intercreditor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u w:val="single" w:color="auto"/>
          <w:color w:val="auto"/>
        </w:rPr>
        <w:t>Terms Defined in PPSA</w:t>
      </w:r>
      <w:r>
        <w:rPr>
          <w:rFonts w:ascii="Arial" w:cs="Arial" w:eastAsia="Arial" w:hAnsi="Arial"/>
          <w:sz w:val="22"/>
          <w:szCs w:val="22"/>
          <w:color w:val="auto"/>
        </w:rPr>
        <w:t>. Terms defined in the PPSA that are not otherwise defined in this Security Agreement are used herein as defined in the PPSA; provided that in any event, the following terms shall have the meanings assigned to them in the PPSA: “Accessions”, “Account”, “Chattel Paper”, “Certificated Security”, “Consumer Goods”, “Document of Title”, “Equipment”, “financing statement”, “financing change statement”, “Futures Account”, “Futures Contract”, “Futures Intermediary”, “Goods”, “Instrument”, “Inventory”, “Investment Property”, “Money”, “Proceeds”, “Securities Account”, “Securities Intermediary”, “Security”, “Security Certificate”, “Security Entitlement”, “serial number goods” and “Uncertificated Security”.</w:t>
      </w:r>
    </w:p>
    <w:p>
      <w:pPr>
        <w:spacing w:after="0" w:line="19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1.3. </w:t>
      </w:r>
      <w:r>
        <w:rPr>
          <w:rFonts w:ascii="Arial" w:cs="Arial" w:eastAsia="Arial" w:hAnsi="Arial"/>
          <w:sz w:val="22"/>
          <w:szCs w:val="22"/>
          <w:u w:val="single" w:color="auto"/>
          <w:color w:val="000000"/>
        </w:rPr>
        <w:t>Terms Defined in STA</w:t>
      </w:r>
      <w:r>
        <w:rPr>
          <w:rFonts w:ascii="Arial" w:cs="Arial" w:eastAsia="Arial" w:hAnsi="Arial"/>
          <w:sz w:val="22"/>
          <w:szCs w:val="22"/>
          <w:color w:val="000000"/>
        </w:rPr>
        <w:t>. As used in this Security Agreement, the words “Control”, “Entitlement Holder”,</w:t>
      </w:r>
      <w:r>
        <w:rPr>
          <w:rFonts w:ascii="Arial" w:cs="Arial" w:eastAsia="Arial" w:hAnsi="Arial"/>
          <w:sz w:val="22"/>
          <w:szCs w:val="22"/>
          <w:color w:val="010000"/>
        </w:rPr>
        <w:t xml:space="preserve"> </w:t>
      </w:r>
      <w:r>
        <w:rPr>
          <w:rFonts w:ascii="Arial" w:cs="Arial" w:eastAsia="Arial" w:hAnsi="Arial"/>
          <w:sz w:val="22"/>
          <w:szCs w:val="22"/>
          <w:color w:val="000000"/>
        </w:rPr>
        <w:t>“Entitlement Order”, “Issuer” and “Financial Asset” have the meaning given to the terms “control”, “entitlement holder”, “entitlement order”, “issuer” and “financial asset”, respectively, in the STA.</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Definitions of Certain Terms Used Herein</w:t>
      </w:r>
      <w:r>
        <w:rPr>
          <w:rFonts w:ascii="Arial" w:cs="Arial" w:eastAsia="Arial" w:hAnsi="Arial"/>
          <w:sz w:val="22"/>
          <w:szCs w:val="22"/>
          <w:color w:val="auto"/>
        </w:rPr>
        <w:t>. As used in this Security Agreement, in addition to the terms defined above and in the Preliminary Statement, the following terms shall have the following meanings: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Article</w:t>
      </w:r>
      <w:r>
        <w:rPr>
          <w:rFonts w:ascii="Arial" w:cs="Arial" w:eastAsia="Arial" w:hAnsi="Arial"/>
          <w:sz w:val="19"/>
          <w:szCs w:val="19"/>
          <w:color w:val="auto"/>
        </w:rPr>
        <w:t>” means a numbered article of this Security Agreement, unless another document is specifically referenced.</w:t>
      </w:r>
    </w:p>
    <w:p>
      <w:pPr>
        <w:spacing w:after="0" w:line="2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with respect to any Grantor, all Accounts, Chattel Paper, Deposit Accounts, Documents of Title, Equipment, Fixtures, Goods, Instruments, Intangibles, Intellectual Property, Inventory, Investment Property, letters of credit, Letter of 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Notwithstanding any of the foregoing, Collateral shall not include (a) any Excluded Assets,</w:t>
      </w:r>
    </w:p>
    <w:p>
      <w:pPr>
        <w:spacing w:after="0" w:line="2" w:lineRule="exact"/>
        <w:rPr>
          <w:sz w:val="20"/>
          <w:szCs w:val="20"/>
          <w:color w:val="auto"/>
        </w:rPr>
      </w:pPr>
    </w:p>
    <w:p>
      <w:pPr>
        <w:jc w:val="both"/>
        <w:ind w:firstLine="8"/>
        <w:spacing w:after="0" w:line="324" w:lineRule="auto"/>
        <w:tabs>
          <w:tab w:leader="none" w:pos="326" w:val="left"/>
        </w:tabs>
        <w:numPr>
          <w:ilvl w:val="0"/>
          <w:numId w:val="528"/>
        </w:numPr>
        <w:rPr>
          <w:rFonts w:ascii="Arial" w:cs="Arial" w:eastAsia="Arial" w:hAnsi="Arial"/>
          <w:sz w:val="19"/>
          <w:szCs w:val="19"/>
          <w:color w:val="auto"/>
        </w:rPr>
      </w:pPr>
      <w:r>
        <w:rPr>
          <w:rFonts w:ascii="Arial" w:cs="Arial" w:eastAsia="Arial" w:hAnsi="Arial"/>
          <w:sz w:val="19"/>
          <w:szCs w:val="19"/>
          <w:color w:val="auto"/>
        </w:rPr>
        <w:t>any Consumer Goods, or (c) the last day of any real property lease or any agreement to lease real property, to which such Grantor is now or becomes a party as lessee, provided that any such last day shall be held in trust by such Grantor and, on the exercise by the Agent of its rights and remedies hereunder, shall be assigned by the Grantor as directed by the Agent.</w:t>
      </w:r>
    </w:p>
    <w:p>
      <w:pPr>
        <w:spacing w:after="0" w:line="1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Contracts</w:t>
      </w:r>
      <w:r>
        <w:rPr>
          <w:rFonts w:ascii="Arial" w:cs="Arial" w:eastAsia="Arial" w:hAnsi="Arial"/>
          <w:sz w:val="22"/>
          <w:szCs w:val="22"/>
          <w:color w:val="auto"/>
        </w:rPr>
        <w:t>” means, with respect to any Grantor, all contracts and agreements to which such Grantor is at any time a party or pursuant to which such Grantor has at any time acquired rights, and includes (i) all rights of such Grantor to receive money due and to become due to it in connection with a contract or agreement, (ii) all rights of such Grantor to damages arising out of, or for breach or default with respect to, a contract or agreement, and (iii) all rights of such Grantor to perform and exercise all remedies in connection with a contract or agreement.</w:t>
      </w:r>
    </w:p>
    <w:p>
      <w:pPr>
        <w:sectPr>
          <w:pgSz w:w="11900" w:h="16838" w:orient="portrait"/>
          <w:cols w:equalWidth="0" w:num="1">
            <w:col w:w="11240"/>
          </w:cols>
          <w:pgMar w:left="320" w:top="131" w:right="339" w:bottom="0" w:gutter="0" w:footer="0" w:header="0"/>
        </w:sectPr>
      </w:pPr>
    </w:p>
    <w:bookmarkStart w:id="477" w:name="page478"/>
    <w:bookmarkEnd w:id="477"/>
    <w:p>
      <w:pPr>
        <w:spacing w:after="0" w:line="13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Agreement</w:t>
      </w:r>
      <w:r>
        <w:rPr>
          <w:rFonts w:ascii="Arial" w:cs="Arial" w:eastAsia="Arial" w:hAnsi="Arial"/>
          <w:sz w:val="19"/>
          <w:szCs w:val="19"/>
          <w:color w:val="auto"/>
        </w:rPr>
        <w:t>” means a control agreement, in form and substance reasonably satisfactory to the Agent, executed and delivered by a Grantor, the Agent, and the applicable securities intermediary (with respect to a Securities Account) or bank (with respect to a Deposit Account), or an equivalent agreement under any applicable foreign jurisdiction.</w:t>
      </w:r>
    </w:p>
    <w:p>
      <w:pPr>
        <w:spacing w:after="0" w:line="1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and (e) all rights corresponding to any of the foregoing throughout the world.</w:t>
      </w:r>
    </w:p>
    <w:p>
      <w:pPr>
        <w:spacing w:after="0" w:line="1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w:t>
      </w:r>
      <w:r>
        <w:rPr>
          <w:rFonts w:ascii="Arial" w:cs="Arial" w:eastAsia="Arial" w:hAnsi="Arial"/>
          <w:sz w:val="22"/>
          <w:szCs w:val="22"/>
          <w:color w:val="auto"/>
        </w:rPr>
        <w:t>” means each Confirmatory Grant in U.S. Copyrights executed and delivered by any Grantor in favor of Agent in a form substantially similar to the Trademark Security Agreement and the Patent Security Agreement.</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w:t>
      </w:r>
      <w:r>
        <w:rPr>
          <w:rFonts w:ascii="Arial" w:cs="Arial" w:eastAsia="Arial" w:hAnsi="Arial"/>
          <w:sz w:val="22"/>
          <w:szCs w:val="22"/>
          <w:color w:val="auto"/>
        </w:rPr>
        <w:t>” means a demand, time, savings, passbook, or similar account maintained with a financial institution, including any sub-account relating thereto, and all cash, funds, cheques, notes and instruments from time to time on deposit in any such account or sub-account.</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xml:space="preserve">” means the most recent to occur of (a) in the case of an Initial Grantor, the date hereof or, in the case of any other Grantor, the date such Grantor becomes a party hereto and (b) the most recent date on which the Borrowers deliver to the Agent a Compliance Certificate accompanied by updated Exhibits to this Security Agreement pursuant to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hereof.</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Exhibit</w:t>
      </w:r>
      <w:r>
        <w:rPr>
          <w:rFonts w:ascii="Arial" w:cs="Arial" w:eastAsia="Arial" w:hAnsi="Arial"/>
          <w:sz w:val="19"/>
          <w:szCs w:val="19"/>
          <w:color w:val="auto"/>
        </w:rPr>
        <w:t>” refers to a specific exhibit to this Security Agreement, unless another document is specifically referenced.</w:t>
      </w:r>
    </w:p>
    <w:p>
      <w:pPr>
        <w:spacing w:after="0" w:line="2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Fixtures</w:t>
      </w:r>
      <w:r>
        <w:rPr>
          <w:rFonts w:ascii="Arial" w:cs="Arial" w:eastAsia="Arial" w:hAnsi="Arial"/>
          <w:sz w:val="22"/>
          <w:szCs w:val="22"/>
          <w:color w:val="auto"/>
        </w:rPr>
        <w:t>” means goods that have become so related to particular real property that an interest in them arises under real property law.</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Industrial Designs</w:t>
      </w:r>
      <w:r>
        <w:rPr>
          <w:rFonts w:ascii="Arial" w:cs="Arial" w:eastAsia="Arial" w:hAnsi="Arial"/>
          <w:sz w:val="19"/>
          <w:szCs w:val="19"/>
          <w:color w:val="auto"/>
        </w:rPr>
        <w:t xml:space="preserve">” means (a) registered industrial designs and industrial design applications, and also includes registered industrial designs and industrial design applications listed in </w:t>
      </w:r>
      <w:r>
        <w:rPr>
          <w:rFonts w:ascii="Arial" w:cs="Arial" w:eastAsia="Arial" w:hAnsi="Arial"/>
          <w:sz w:val="19"/>
          <w:szCs w:val="19"/>
          <w:u w:val="single" w:color="auto"/>
          <w:color w:val="auto"/>
        </w:rPr>
        <w:t>Exhibit “B”</w:t>
      </w:r>
      <w:r>
        <w:rPr>
          <w:rFonts w:ascii="Arial" w:cs="Arial" w:eastAsia="Arial" w:hAnsi="Arial"/>
          <w:sz w:val="19"/>
          <w:szCs w:val="19"/>
          <w:color w:val="auto"/>
        </w:rPr>
        <w:t>, (b) all renewals, divisions and any industrial design registrations issuing thereon and any and all foreign applications corresponding thereto, (c) all income, royalties, damages and payments now and hereafter due or payable under and with respect thereto, including payments under all licenses entered into in connection therewith and damages and payments for past or future infringements thereof, (d) the right to sue for past, present and future infringements thereof, and (e) all of each Grantor’s rights corresponding thereto throughout the world.</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Intangibles</w:t>
      </w:r>
      <w:r>
        <w:rPr>
          <w:rFonts w:ascii="Arial" w:cs="Arial" w:eastAsia="Arial" w:hAnsi="Arial"/>
          <w:sz w:val="21"/>
          <w:szCs w:val="21"/>
          <w:color w:val="auto"/>
        </w:rPr>
        <w:t>” shall have the meaning set forth in the PPSA and, in any event, includes payment intangibles, contract rights, rights to payment, rights arising under common law, statutes, or regulations, choses in action, Intellectual Property, programs, programming materials, blueprints, drawings, purchase orders, customer lists, monies due or recoverable from pension funds, route lists,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the STA, and any other personal property other than Money, Accounts, Chattel Paper, Deposit Accounts, Goods, Investment Property, negotiable Collateral, and oil, gas, or other minerals before extraction.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Patents, Trademarks, Copyrights, Industrial Designs and any other intellectual property.</w:t>
      </w:r>
    </w:p>
    <w:p>
      <w:pPr>
        <w:spacing w:after="0" w:line="2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Instrument</w:t>
      </w:r>
      <w:r>
        <w:rPr>
          <w:rFonts w:ascii="Arial" w:cs="Arial" w:eastAsia="Arial" w:hAnsi="Arial"/>
          <w:sz w:val="22"/>
          <w:szCs w:val="22"/>
          <w:color w:val="auto"/>
        </w:rPr>
        <w:t>” means an Instrument between a Grantor, as the payee thereunder, and WIL-Ireland or any of its Restricted Subsidiaries, as the payor thereunder.</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Rights</w:t>
      </w:r>
      <w:r>
        <w:rPr>
          <w:rFonts w:ascii="Arial" w:cs="Arial" w:eastAsia="Arial" w:hAnsi="Arial"/>
          <w:sz w:val="22"/>
          <w:szCs w:val="22"/>
          <w:color w:val="auto"/>
        </w:rPr>
        <w:t>” means a right to payment or performance under a letter of credit, whether or not the beneficiary has demanded or is at the time entitled to demand payment or performance, but does not include the right of a beneficiary to demand payment or performance under a letter of credit.</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Licenses</w:t>
      </w:r>
      <w:r>
        <w:rPr>
          <w:rFonts w:ascii="Arial" w:cs="Arial" w:eastAsia="Arial" w:hAnsi="Arial"/>
          <w:sz w:val="22"/>
          <w:szCs w:val="22"/>
          <w:color w:val="auto"/>
        </w:rPr>
        <w:t>” means, with respect to any Person, all of such Person’s right, title, and interest in and to (a) any and all licensing agreements or similar arrangements in and to its Patents, Copyrights, Trademarks or Industrial Designs,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9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Collateral</w:t>
      </w:r>
      <w:r>
        <w:rPr>
          <w:rFonts w:ascii="Arial" w:cs="Arial" w:eastAsia="Arial" w:hAnsi="Arial"/>
          <w:sz w:val="19"/>
          <w:szCs w:val="19"/>
          <w:color w:val="auto"/>
        </w:rPr>
        <w:t>” means any personal property of the Grantors, not included within the defined terms Accounts, Chattel Paper, Deposit Accounts, Documents of Title, Equipment, Fixtures, Goods, Instruments, Intangibles, Intellectual Property, Inventory, Investment Property, Letter of 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personal property of the</w:t>
      </w:r>
    </w:p>
    <w:p>
      <w:pPr>
        <w:sectPr>
          <w:pgSz w:w="11900" w:h="16975" w:orient="portrait"/>
          <w:cols w:equalWidth="0" w:num="1">
            <w:col w:w="11240"/>
          </w:cols>
          <w:pgMar w:left="320" w:top="131" w:right="339" w:bottom="0" w:gutter="0" w:footer="0" w:header="0"/>
        </w:sectPr>
      </w:pPr>
    </w:p>
    <w:bookmarkStart w:id="478" w:name="page479"/>
    <w:bookmarkEnd w:id="478"/>
    <w:p>
      <w:pPr>
        <w:jc w:val="both"/>
        <w:spacing w:after="0" w:line="276" w:lineRule="auto"/>
        <w:rPr>
          <w:sz w:val="20"/>
          <w:szCs w:val="20"/>
          <w:color w:val="auto"/>
        </w:rPr>
      </w:pPr>
      <w:r>
        <w:rPr>
          <w:rFonts w:ascii="Arial" w:cs="Arial" w:eastAsia="Arial" w:hAnsi="Arial"/>
          <w:sz w:val="22"/>
          <w:szCs w:val="22"/>
          <w:color w:val="auto"/>
        </w:rPr>
        <w:t xml:space="preserve">Grantors, subject to the exclusions or limitations contained in Article II of this Security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Other Collateral shall not include any Excluded Assets.</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licenses of the foregoing whether as licensee or licensor; (e) all income, royalties, damages, claims, and payments now or hereafter due or payable under and with respect thereto, including, without limitation, damages and payments for past and future infringements thereof; (f) all rights to sue for past, present, and future infringements thereof; and (g) all rights corresponding to any of the foregoing throughout the world.</w:t>
      </w:r>
    </w:p>
    <w:p>
      <w:pPr>
        <w:spacing w:after="0" w:line="15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xml:space="preserve">” means each Confirmatory Grant in U.S. Patents executed and delivered by any Grantor in favor of Agent in substantially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licences, waivers, exemptions, consents, certificates, authorizations, approvals, franchises, rights-of-way, easements and entitlements of any Grantor that such Grantor has, requires or is required to have, to own, possess or operate any of its property or to operate and carry on any part of its business.</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Collateral</w:t>
      </w:r>
      <w:r>
        <w:rPr>
          <w:rFonts w:ascii="Arial" w:cs="Arial" w:eastAsia="Arial" w:hAnsi="Arial"/>
          <w:sz w:val="21"/>
          <w:szCs w:val="21"/>
          <w:color w:val="auto"/>
        </w:rPr>
        <w:t>” means all Instruments, Securities and other Investment Property of the Grantors to the extent constituting Collateral hereunder, whether or not physically delivered to the Agent pursuant to this Security Agreement.</w:t>
      </w:r>
    </w:p>
    <w:p>
      <w:pPr>
        <w:spacing w:after="0" w:line="1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Deposits</w:t>
      </w:r>
      <w:r>
        <w:rPr>
          <w:rFonts w:ascii="Arial" w:cs="Arial" w:eastAsia="Arial" w:hAnsi="Arial"/>
          <w:sz w:val="22"/>
          <w:szCs w:val="22"/>
          <w:color w:val="auto"/>
        </w:rPr>
        <w:t>” means all time deposits of money (other than Deposit Accounts and Instruments), whether or not evidenced by certificates, which a Grantor may from time to time designate as pledged to the Agent or to any Secured Party as security for any Secured Obligations, and all rights to receive interest on said deposits.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PPSA</w:t>
      </w:r>
      <w:r>
        <w:rPr>
          <w:rFonts w:ascii="Arial" w:cs="Arial" w:eastAsia="Arial" w:hAnsi="Arial"/>
          <w:sz w:val="22"/>
          <w:szCs w:val="22"/>
          <w:color w:val="auto"/>
        </w:rPr>
        <w:t>” means the Personal Property Security Act as in effect from time to time in the Province of Alberta and includes all regulations from time to time made under such legislation; provided that, if perfection or the effect of perfection or non-perfection or the priority of any Lien on any Collateral is governed by the personal property security legislation or uniform commercial code as in effect in a jurisdiction other than Alberta, “</w:t>
      </w:r>
      <w:r>
        <w:rPr>
          <w:rFonts w:ascii="Arial" w:cs="Arial" w:eastAsia="Arial" w:hAnsi="Arial"/>
          <w:sz w:val="22"/>
          <w:szCs w:val="22"/>
          <w:u w:val="single" w:color="auto"/>
          <w:color w:val="auto"/>
        </w:rPr>
        <w:t>PPSA</w:t>
      </w:r>
      <w:r>
        <w:rPr>
          <w:rFonts w:ascii="Arial" w:cs="Arial" w:eastAsia="Arial" w:hAnsi="Arial"/>
          <w:sz w:val="22"/>
          <w:szCs w:val="22"/>
          <w:color w:val="auto"/>
        </w:rPr>
        <w:t>” means such legislation as in effect from time to time in such other jurisdiction for purposes of the provisions hereof relating to such perfection, effect of perfection or non-perfection or priority.</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xml:space="preserve">” means the Accounts, Chattel Paper, Documents of Title, Investment Property, Instruments or Pledged Deposits, and any other rights or claims to receive money which are Intangibles or which are otherwise included as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Receivables shall not include any Excluded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Receiver</w:t>
      </w:r>
      <w:r>
        <w:rPr>
          <w:rFonts w:ascii="Arial" w:cs="Arial" w:eastAsia="Arial" w:hAnsi="Arial"/>
          <w:sz w:val="22"/>
          <w:szCs w:val="22"/>
          <w:color w:val="auto"/>
        </w:rPr>
        <w:t>” means a receiver, a manager or a receiver and manager.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w:t>
      </w:r>
      <w:r>
        <w:rPr>
          <w:rFonts w:ascii="Arial" w:cs="Arial" w:eastAsia="Arial" w:hAnsi="Arial"/>
          <w:sz w:val="19"/>
          <w:szCs w:val="19"/>
          <w:color w:val="auto"/>
        </w:rPr>
        <w:t>” means a numbered section of this Security Agreement, unless another document is specifically referenced.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has the meaning ascribed thereto in the LC Credit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has the meaning ascribed thereto in the LC Credit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Deposit Account</w:t>
      </w:r>
      <w:r>
        <w:rPr>
          <w:rFonts w:ascii="Arial" w:cs="Arial" w:eastAsia="Arial" w:hAnsi="Arial"/>
          <w:sz w:val="22"/>
          <w:szCs w:val="22"/>
          <w:color w:val="auto"/>
        </w:rPr>
        <w:t>” means any Deposit Account of a Grantor other than the Excluded Accounts.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Intellectual Property</w:t>
      </w:r>
      <w:r>
        <w:rPr>
          <w:rFonts w:ascii="Arial" w:cs="Arial" w:eastAsia="Arial" w:hAnsi="Arial"/>
          <w:sz w:val="22"/>
          <w:szCs w:val="22"/>
          <w:color w:val="auto"/>
        </w:rPr>
        <w:t>” means any Intellectual Property of one or more Grantors (a) the book value of which exceeds $5,000,000 individually or in the aggregate, (b) which generates annual revenue, royalties or license fees of greater than $5,000,000 or (c) which, in the commercially reasonable judgment of the Grantors, is material to the conduct of all or a material portion of the business of WIL-Ireland and its Restricted Subsidiaries.</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w:t>
      </w:r>
      <w:r>
        <w:rPr>
          <w:rFonts w:ascii="Arial" w:cs="Arial" w:eastAsia="Arial" w:hAnsi="Arial"/>
          <w:sz w:val="22"/>
          <w:szCs w:val="22"/>
          <w:color w:val="auto"/>
        </w:rPr>
        <w:t>” means the Securities Transfer Act of the Province of Alberta, as such legislation may be amended, renamed or replaced from time to time, and includes all regulations from time to time made under such legislation.</w:t>
      </w:r>
    </w:p>
    <w:p>
      <w:pPr>
        <w:spacing w:after="0" w:line="17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Rights</w:t>
      </w:r>
      <w:r>
        <w:rPr>
          <w:rFonts w:ascii="Arial" w:cs="Arial" w:eastAsia="Arial" w:hAnsi="Arial"/>
          <w:sz w:val="19"/>
          <w:szCs w:val="19"/>
          <w:color w:val="auto"/>
        </w:rPr>
        <w:t>” means any securities, dividends,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Capital Stock and any right to receive earnings, in which any Grantor now has or hereafter acquires any right, issued by an issuer of such securities.</w:t>
      </w:r>
    </w:p>
    <w:p>
      <w:pPr>
        <w:spacing w:after="0" w:line="1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Supporting Obligation</w:t>
      </w:r>
      <w:r>
        <w:rPr>
          <w:rFonts w:ascii="Arial" w:cs="Arial" w:eastAsia="Arial" w:hAnsi="Arial"/>
          <w:sz w:val="22"/>
          <w:szCs w:val="22"/>
          <w:color w:val="auto"/>
        </w:rPr>
        <w:t>” means any Letter-of-Credit Right or secondary obligation that supports the payment or performance of an Account, Chattel Paper, Document of Title, Intangible, Instrument or Investment Property.</w:t>
      </w:r>
    </w:p>
    <w:p>
      <w:pPr>
        <w:spacing w:after="0" w:line="17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Trademarks</w:t>
      </w:r>
      <w:r>
        <w:rPr>
          <w:rFonts w:ascii="Arial" w:cs="Arial" w:eastAsia="Arial" w:hAnsi="Arial"/>
          <w:sz w:val="19"/>
          <w:szCs w:val="19"/>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w:t>
      </w:r>
    </w:p>
    <w:p>
      <w:pPr>
        <w:sectPr>
          <w:pgSz w:w="11900" w:h="16838" w:orient="portrait"/>
          <w:cols w:equalWidth="0" w:num="1">
            <w:col w:w="11240"/>
          </w:cols>
          <w:pgMar w:left="320" w:top="131" w:right="339" w:bottom="0" w:gutter="0" w:footer="0" w:header="0"/>
        </w:sectPr>
      </w:pPr>
    </w:p>
    <w:bookmarkStart w:id="479" w:name="page480"/>
    <w:bookmarkEnd w:id="479"/>
    <w:p>
      <w:pPr>
        <w:spacing w:after="0" w:line="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4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xml:space="preserve">” means each Confirmatory Grant in U.S. Trademarks executed and delivered by any Grantor in favor of Agent in substantially the form of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ULC</w:t>
      </w:r>
      <w:r>
        <w:rPr>
          <w:rFonts w:ascii="Arial" w:cs="Arial" w:eastAsia="Arial" w:hAnsi="Arial"/>
          <w:sz w:val="21"/>
          <w:szCs w:val="21"/>
          <w:color w:val="auto"/>
        </w:rPr>
        <w:t>” means a Person that is an unlimited company, unlimited liability corporation or unlimited liability company.</w:t>
      </w:r>
    </w:p>
    <w:p>
      <w:pPr>
        <w:spacing w:after="0" w:line="24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ULC Laws</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Companies Act</w:t>
      </w:r>
      <w:r>
        <w:rPr>
          <w:rFonts w:ascii="Arial" w:cs="Arial" w:eastAsia="Arial" w:hAnsi="Arial"/>
          <w:sz w:val="22"/>
          <w:szCs w:val="22"/>
          <w:color w:val="auto"/>
        </w:rPr>
        <w:t xml:space="preserve"> (Nova Scotia), the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xml:space="preserve"> (Alberta), the </w:t>
      </w:r>
      <w:r>
        <w:rPr>
          <w:rFonts w:ascii="Arial" w:cs="Arial" w:eastAsia="Arial" w:hAnsi="Arial"/>
          <w:sz w:val="22"/>
          <w:szCs w:val="22"/>
          <w:i w:val="1"/>
          <w:iCs w:val="1"/>
          <w:color w:val="auto"/>
        </w:rPr>
        <w:t>Business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Corporations Act </w:t>
      </w:r>
      <w:r>
        <w:rPr>
          <w:rFonts w:ascii="Arial" w:cs="Arial" w:eastAsia="Arial" w:hAnsi="Arial"/>
          <w:sz w:val="22"/>
          <w:szCs w:val="22"/>
          <w:color w:val="auto"/>
        </w:rPr>
        <w:t>(British Columbia) and any other present or future Laws governing ULCs.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ULC Shares</w:t>
      </w:r>
      <w:r>
        <w:rPr>
          <w:rFonts w:ascii="Arial" w:cs="Arial" w:eastAsia="Arial" w:hAnsi="Arial"/>
          <w:sz w:val="22"/>
          <w:szCs w:val="22"/>
          <w:color w:val="auto"/>
        </w:rPr>
        <w:t>” means shares in the capital stock of, or other equity interests of, a ULC.</w:t>
      </w: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The foregoing definitions shall be equally applicable to both the singular and plural forms of the defined terms.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 OF SECURITY INTEREST</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Each of the Grantors hereby pledges, mortgages, charges, assigns (except in the case of ULC Shares) and grants to the Agent, on behalf of and for the benefit of the Secured Parties, a security interest in all of such Grantor’s present and future property and undertaking including, without limitation, its right, title and interest, whether now owned or hereafter acquired, in and to the Collateral to secure the prompt and complete payment and performance of its Secured Obligations. For the avoidance of doubt, the grant of a security interest herein shall not be deemed to be an assignment of any ULC Shares or any intellectual property rights owned by the Grantors (other than, in respect of any intellectual property rights owned by the Grantors, the collateral assignment pursuant hereto). If the grant of security hereunder with respect to any Contract, Intellectual Property right or Permit would result in the termination or breach of such Contract, Intellectual Property right or Permit, or is otherwise prohibited or ineffective (whether by the terms thereof or under applicable law), then such Contract, Intellectual Property right or Permit shall not be subject to the Liens created hereby, but shall be held in trust by the applicable Grantor for the benefit of the Agent (for its own benefit and for the benefit of the other Secured Parties) and, subject to </w:t>
      </w:r>
      <w:r>
        <w:rPr>
          <w:rFonts w:ascii="Arial" w:cs="Arial" w:eastAsia="Arial" w:hAnsi="Arial"/>
          <w:sz w:val="19"/>
          <w:szCs w:val="19"/>
          <w:u w:val="single" w:color="auto"/>
          <w:color w:val="auto"/>
        </w:rPr>
        <w:t>Section 4.6.4</w:t>
      </w:r>
      <w:r>
        <w:rPr>
          <w:rFonts w:ascii="Arial" w:cs="Arial" w:eastAsia="Arial" w:hAnsi="Arial"/>
          <w:sz w:val="19"/>
          <w:szCs w:val="19"/>
          <w:color w:val="auto"/>
        </w:rPr>
        <w:t xml:space="preserve"> hereof in the case of ULC Shares, on the exercise by the Agent of its rights or remedies hereunder following a Default, shall be assigned by such Grantor as directed by the Agent; provided that (a) the security interest created hereby shall automatically attach to such Contract, Intellectual Property right or Permit, or applicable portion thereof, immediately at such time as the condition causing such termination or breach is remedied, and (b) if a term of the Contract that prohibits or restricts the grant of the security interests in the whole of an Account or Chattel Paper forming part of the Collateral is unenforceable against the Agent under applicable law, then the exclusion from the Collateral set out above shall not apply to such Account or Chattel Paper.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Each of the Initial Grantors represents and warrants to the Agent and the Secured Parties, and each Grantor that becomes a party to this Security Agreement pursuant to the execution of a Security Agreement Supplement in substantially the form of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represents and warrants (after giving effect to supplements to each of the Exhibits hereto, with respect to such subsequent Grantor, as attached to such Security Agreement Supplement), that:</w:t>
      </w:r>
    </w:p>
    <w:p>
      <w:pPr>
        <w:spacing w:after="0" w:line="19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u w:val="single" w:color="auto"/>
          <w:color w:val="auto"/>
        </w:rPr>
        <w:t>Title, Authorization, Validity and Enforceability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3.11.10</w:t>
      </w:r>
      <w:r>
        <w:rPr>
          <w:rFonts w:ascii="Arial" w:cs="Arial" w:eastAsia="Arial" w:hAnsi="Arial"/>
          <w:sz w:val="19"/>
          <w:szCs w:val="19"/>
          <w:color w:val="auto"/>
        </w:rPr>
        <w:t xml:space="preserve">, such Grantor has good and valid rights in or the power to transfer its respective Collateral, free and clear of all Liens except for Liens permitted under Section 8.04 of the LC Credit Agreement, and has the corporate, unlimited liability company, limited liability company or partnership, as applicable, power and authority to grant to the Agent the security interest in such Collateral pursuant hereto. The execution and delivery by such Grantor of this Security Agreement have been duly authorized by corporate, unlimited liability company, limited liability company, limited partnership or partnership, as applicable, proceedings or actions, and this Security Agreement constitutes a legal, valid and binding obligation of such Grantor and creates a security interest which is enforceable against such Grantor in all Collateral it now owns or hereafter acquires, except (a) as enforceability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 When financing statements have been filed in the appropriate offices against such Grantor in the locations listed in </w:t>
      </w:r>
      <w:r>
        <w:rPr>
          <w:rFonts w:ascii="Arial" w:cs="Arial" w:eastAsia="Arial" w:hAnsi="Arial"/>
          <w:sz w:val="19"/>
          <w:szCs w:val="19"/>
          <w:u w:val="single" w:color="auto"/>
          <w:color w:val="auto"/>
        </w:rPr>
        <w:t>Exhibit “E”</w:t>
      </w:r>
      <w:r>
        <w:rPr>
          <w:rFonts w:ascii="Arial" w:cs="Arial" w:eastAsia="Arial" w:hAnsi="Arial"/>
          <w:sz w:val="19"/>
          <w:szCs w:val="19"/>
          <w:color w:val="auto"/>
        </w:rPr>
        <w:t>, the Agent shall have a perfected security interest (with the</w:t>
      </w:r>
    </w:p>
    <w:p>
      <w:pPr>
        <w:sectPr>
          <w:pgSz w:w="11900" w:h="16854" w:orient="portrait"/>
          <w:cols w:equalWidth="0" w:num="1">
            <w:col w:w="11240"/>
          </w:cols>
          <w:pgMar w:left="320" w:top="131" w:right="339" w:bottom="0" w:gutter="0" w:footer="0" w:header="0"/>
        </w:sectPr>
      </w:pPr>
    </w:p>
    <w:bookmarkStart w:id="480" w:name="page481"/>
    <w:bookmarkEnd w:id="480"/>
    <w:p>
      <w:pPr>
        <w:spacing w:after="0" w:line="8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priority set forth in the Intercreditor Agreement and subject only to Liens permitted by Section 8.04 of the LC Credit Agreement) in the Collateral of each Grantor to the extent such security interest can be perfected by the filing of a financing statement under the PPSA. Each Grantor confirms that value has been given by the Secured Parties to such Grantor, that such Grantor has rights in, or the power to transfer rights in, its Collateral existing as of the date of this Security Agreement or the date of any Security Agreement Supplement, as applicable, and that such Grantor and the Agent have not agreed to postpone the time for attachment of any security interest created by this Security Agreement to any of the Collateral of such Grantor.</w:t>
      </w:r>
    </w:p>
    <w:p>
      <w:pPr>
        <w:spacing w:after="0" w:line="1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u w:val="single" w:color="auto"/>
          <w:color w:val="auto"/>
        </w:rPr>
        <w:t>Conflicting Laws and Contracts</w:t>
      </w:r>
      <w:r>
        <w:rPr>
          <w:rFonts w:ascii="Arial" w:cs="Arial" w:eastAsia="Arial" w:hAnsi="Arial"/>
          <w:sz w:val="19"/>
          <w:szCs w:val="19"/>
          <w:color w:val="auto"/>
        </w:rPr>
        <w:t xml:space="preserve">. Neither the execution and delivery by such Grantor of this Security Agreement, the creation and perfection of the security interest in the Collateral granted hereunder, nor compliance with the terms and provisions hereof (a) will breach or violate any applicable Requirement of Law binding on such Grantor, (b) will result in any breach or violation of, or constitute a default under, or result in the creation or imposition of (or the obligation to create or impose) any Lien prohibited under the LC Credit Agreement, upon any of its property or assets pursuant to the terms of (i) the ABL Credit Agreement, the Exit Senior Notes or the Exit Senior Notes Indenture or (ii) any other indenture, agreement or other instrument to which such Grantor is a party or by which any property or asset of it is bound or to which it is subject, except for breaches, violations and defaults under clauses (a)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that collectively for the Grantors would not have a Material Adverse Effect, or (c) will violate any provision of such Grantor’s charter, articles or certificate of incorporation or formation, memorandum of association, partnership agreement, by-laws or operating agreement (or similar constitutive document).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Principal Location</w:t>
      </w:r>
      <w:r>
        <w:rPr>
          <w:rFonts w:ascii="Arial" w:cs="Arial" w:eastAsia="Arial" w:hAnsi="Arial"/>
          <w:sz w:val="22"/>
          <w:szCs w:val="22"/>
          <w:color w:val="auto"/>
        </w:rPr>
        <w:t xml:space="preserve">. Such Grantor’s mailing address and the location of its place of business (if it has only one) or its chief executive office (if it has more than one place of business), are disclosed, as of the applicable Determination Date,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u w:val="single" w:color="auto"/>
          <w:color w:val="auto"/>
        </w:rPr>
        <w:t>Property Locations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lists, as of the applicable Determination Date, all of such Grantor’s locations where Inventory and Equipment constituting Collateral are located (other than any such location where the book value of all Inventory and Equipment located thereon does not exceed $10,000,000). Such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indicate whether such locations are locations (i) owned by a Grantor, (ii) leased by such Grantor as lessee or (iii) at which Inventory is held in a public warehouse or is otherwise held by a bailee or on consignment by such Grantor.</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u w:val="single" w:color="auto"/>
          <w:color w:val="auto"/>
        </w:rPr>
        <w:t>No Other Names; Etc.</w:t>
      </w:r>
      <w:r>
        <w:rPr>
          <w:rFonts w:ascii="Arial" w:cs="Arial" w:eastAsia="Arial" w:hAnsi="Arial"/>
          <w:sz w:val="21"/>
          <w:szCs w:val="21"/>
          <w:color w:val="auto"/>
        </w:rPr>
        <w:t xml:space="preserve"> Within the five-year period ending as of the date such Person becomes a Grantor hereunder, such Grantor has not conducted business under any other name, changed its jurisdiction of organization or incorporation, merged with or into or consolidated or amalgamated with any other Person, except as disclosed in </w:t>
      </w:r>
      <w:r>
        <w:rPr>
          <w:rFonts w:ascii="Arial" w:cs="Arial" w:eastAsia="Arial" w:hAnsi="Arial"/>
          <w:sz w:val="21"/>
          <w:szCs w:val="21"/>
          <w:u w:val="single" w:color="auto"/>
          <w:color w:val="auto"/>
        </w:rPr>
        <w:t>Exhibit “A”</w:t>
      </w:r>
      <w:r>
        <w:rPr>
          <w:rFonts w:ascii="Arial" w:cs="Arial" w:eastAsia="Arial" w:hAnsi="Arial"/>
          <w:sz w:val="21"/>
          <w:szCs w:val="21"/>
          <w:color w:val="auto"/>
        </w:rPr>
        <w:t>. The name in which such Grantor has executed this Security Agreement (or a Security Agreement Supplement) is, as of the date such agreement is executed and delivered, the exact name as it appears in such Grantor’s charter or certificate of incorporation or formation (or similar formation document), as amended, as filed with such Grantor’s jurisdiction of organization or incorporation as of the date such Person becomes a Grantor hereunder.</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u w:val="single" w:color="auto"/>
          <w:color w:val="auto"/>
        </w:rPr>
        <w:t>Accounts and Chattel Paper</w:t>
      </w:r>
      <w:r>
        <w:rPr>
          <w:rFonts w:ascii="Arial" w:cs="Arial" w:eastAsia="Arial" w:hAnsi="Arial"/>
          <w:sz w:val="21"/>
          <w:szCs w:val="21"/>
          <w:color w:val="auto"/>
        </w:rPr>
        <w:t>. The names of the obligors, amounts owing, due dates and other information with respect to the Accounts and Chattel Paper owned by such Grantor and constituting Collateral are and will be correctly stated in all material respects in all records of such Grantor relating thereto and in all invoices and reports with respect thereto furnished to the Agent by such Grantor from time to time. As of the time when each Account or each item of Chattel Paper constituting Collateral arises, such Grantor shall be deemed to have represented and warranted that such Account or Chattel Paper, as the case may be, and all records relating thereto, are genuine and in all respects what they purport to be, except, in each case, as could not be reasonably expected to result in a Material Adverse Effect.</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u w:val="single" w:color="auto"/>
          <w:color w:val="auto"/>
        </w:rPr>
        <w:t>No Financing Statements, Security Agreements</w:t>
      </w:r>
      <w:r>
        <w:rPr>
          <w:rFonts w:ascii="Arial" w:cs="Arial" w:eastAsia="Arial" w:hAnsi="Arial"/>
          <w:sz w:val="22"/>
          <w:szCs w:val="22"/>
          <w:color w:val="auto"/>
        </w:rPr>
        <w:t xml:space="preserve">. No financing statement or security agreement describing all or any portion of the Collateral (other than a financing statement or security agreement that has lapsed or been terminated) naming such Grantor as debtor has been filed or is of record in any jurisdiction except financing statements (i) naming the Agent on behalf of the Secured Parties as the secured party and (ii) in respect of Liens permitted by Section 8.04 of the LC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nothing herein shall be deemed to constitute an agreement to subordinate any of the Liens of the Agent under the Loan Documents to any Liens otherwise permitted under Section 8.04 of the LC Credit Agreement or except as set forth in the Intercreditor Agreement.</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3.8. </w:t>
      </w:r>
      <w:r>
        <w:rPr>
          <w:rFonts w:ascii="Arial" w:cs="Arial" w:eastAsia="Arial" w:hAnsi="Arial"/>
          <w:sz w:val="22"/>
          <w:szCs w:val="22"/>
          <w:u w:val="single" w:color="auto"/>
          <w:color w:val="000000"/>
        </w:rPr>
        <w:t>Serial Number Goods</w:t>
      </w:r>
      <w:r>
        <w:rPr>
          <w:rFonts w:ascii="Arial" w:cs="Arial" w:eastAsia="Arial" w:hAnsi="Arial"/>
          <w:sz w:val="22"/>
          <w:szCs w:val="22"/>
          <w:color w:val="000000"/>
        </w:rPr>
        <w:t>. None of the Collateral owned by such Grantor constitutes serial number goods except</w:t>
      </w:r>
      <w:r>
        <w:rPr>
          <w:rFonts w:ascii="Arial" w:cs="Arial" w:eastAsia="Arial" w:hAnsi="Arial"/>
          <w:sz w:val="22"/>
          <w:szCs w:val="22"/>
          <w:color w:val="010000"/>
        </w:rPr>
        <w:t xml:space="preserve"> </w:t>
      </w:r>
      <w:r>
        <w:rPr>
          <w:rFonts w:ascii="Arial" w:cs="Arial" w:eastAsia="Arial" w:hAnsi="Arial"/>
          <w:sz w:val="22"/>
          <w:szCs w:val="22"/>
          <w:color w:val="000000"/>
        </w:rPr>
        <w:t xml:space="preserve">for those identified in Part A of </w:t>
      </w:r>
      <w:r>
        <w:rPr>
          <w:rFonts w:ascii="Arial" w:cs="Arial" w:eastAsia="Arial" w:hAnsi="Arial"/>
          <w:sz w:val="22"/>
          <w:szCs w:val="22"/>
          <w:u w:val="single" w:color="auto"/>
          <w:color w:val="000000"/>
        </w:rPr>
        <w:t>Exhibit “B”</w:t>
      </w:r>
      <w:r>
        <w:rPr>
          <w:rFonts w:ascii="Arial" w:cs="Arial" w:eastAsia="Arial" w:hAnsi="Arial"/>
          <w:sz w:val="22"/>
          <w:szCs w:val="22"/>
          <w:color w:val="000000"/>
        </w:rPr>
        <w:t>.</w:t>
      </w:r>
    </w:p>
    <w:p>
      <w:pPr>
        <w:spacing w:after="0" w:line="17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u w:val="single" w:color="auto"/>
          <w:color w:val="auto"/>
        </w:rPr>
        <w:t>Organization Number; Jurisdiction of Organization</w:t>
      </w:r>
      <w:r>
        <w:rPr>
          <w:rFonts w:ascii="Arial" w:cs="Arial" w:eastAsia="Arial" w:hAnsi="Arial"/>
          <w:sz w:val="19"/>
          <w:szCs w:val="19"/>
          <w:color w:val="auto"/>
        </w:rPr>
        <w:t xml:space="preserve">. Such Grantor’s jurisdiction of organization, type of organization and organization identification number (if any) are, as of the applicable Determination Date, listed in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u w:val="single" w:color="auto"/>
          <w:color w:val="auto"/>
        </w:rPr>
        <w:t>Pledged Securities and Other Investment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sets forth, as of the applicable Determination Date, a complete and accurate list of the Instruments (other than Intercompany Instruments), Securities and other Investment Property constituting Collateral and delivered to the Agent. Each Grantor is the direct and beneficial owner of each Instrument, Security and other type of Investment Property listed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as being owned by it, free and clear of any Liens, except for the security interest granted to the Agent for the benefit of the Secured Parties hereunder or as permitted by Section 8.04 of the LC</w:t>
      </w:r>
    </w:p>
    <w:p>
      <w:pPr>
        <w:sectPr>
          <w:pgSz w:w="11900" w:h="16921" w:orient="portrait"/>
          <w:cols w:equalWidth="0" w:num="1">
            <w:col w:w="11240"/>
          </w:cols>
          <w:pgMar w:left="320" w:top="131" w:right="339" w:bottom="0" w:gutter="0" w:footer="0" w:header="0"/>
        </w:sectPr>
      </w:pPr>
    </w:p>
    <w:bookmarkStart w:id="481" w:name="page482"/>
    <w:bookmarkEnd w:id="481"/>
    <w:p>
      <w:pPr>
        <w:jc w:val="both"/>
        <w:spacing w:after="0" w:line="300" w:lineRule="auto"/>
        <w:rPr>
          <w:sz w:val="20"/>
          <w:szCs w:val="20"/>
          <w:color w:val="auto"/>
        </w:rPr>
      </w:pPr>
      <w:r>
        <w:rPr>
          <w:rFonts w:ascii="Arial" w:cs="Arial" w:eastAsia="Arial" w:hAnsi="Arial"/>
          <w:sz w:val="19"/>
          <w:szCs w:val="19"/>
          <w:color w:val="auto"/>
        </w:rPr>
        <w:t xml:space="preserve">Credit Agreement. Each Grantor further represents and warrants that (i) all Pledged Collateral owned by it constituting Capital Stock has been (to the extent such concepts are relevant with respect to such Pledged Collateral) duly authorized and validly issued, are fully paid and, except in the case of ULC Shares, non-assessable and constitute, as of the applicable Determination Date, the percentage of the issued and outstanding shares of stock (or other Capital Stock) of the respective issuers thereof indicated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and (ii) all such Pledged Collateral held by a Securities Intermediary (including in a Securities Account) is covered by a Control Agreement among such Grantor, the securities intermediary and the Agent pursuant to which the Agent has Control to the extent required by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In addition, each Grantor hereby represents and warrants that (x) no partnership agreement or operating agreement (or similar constitutive document) with respect to Pledged Collateral in respect of a limited liability company or partnership provides that such Pledged Collateral constitute securities governed by the STA as in effect in any relevant jurisdiction and (y) no Collateral constitutes Certificated Securities, except as otherwise indicated on </w:t>
      </w:r>
      <w:r>
        <w:rPr>
          <w:rFonts w:ascii="Arial" w:cs="Arial" w:eastAsia="Arial" w:hAnsi="Arial"/>
          <w:sz w:val="19"/>
          <w:szCs w:val="19"/>
          <w:u w:val="single" w:color="auto"/>
          <w:color w:val="auto"/>
        </w:rPr>
        <w:t>Exhibit “D”</w:t>
      </w:r>
      <w:r>
        <w:rPr>
          <w:rFonts w:ascii="Arial" w:cs="Arial" w:eastAsia="Arial" w:hAnsi="Arial"/>
          <w:sz w:val="19"/>
          <w:szCs w:val="19"/>
          <w:color w:val="auto"/>
        </w:rPr>
        <w:t>. Each Grantor covenants that for so long as this Security Agreement is in effect, it shall not permit any of its Subsidiaries whose Capital Stock is Pledged Collateral (the “</w:t>
      </w:r>
      <w:r>
        <w:rPr>
          <w:rFonts w:ascii="Arial" w:cs="Arial" w:eastAsia="Arial" w:hAnsi="Arial"/>
          <w:sz w:val="19"/>
          <w:szCs w:val="19"/>
          <w:u w:val="single" w:color="auto"/>
          <w:color w:val="auto"/>
        </w:rPr>
        <w:t>Acknowledgment Parties</w:t>
      </w:r>
      <w:r>
        <w:rPr>
          <w:rFonts w:ascii="Arial" w:cs="Arial" w:eastAsia="Arial" w:hAnsi="Arial"/>
          <w:sz w:val="19"/>
          <w:szCs w:val="19"/>
          <w:color w:val="auto"/>
        </w:rPr>
        <w:t xml:space="preserve">”) (I) except as otherwise indicated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cause such Capital Stock to become Certificated Securities, or (II) except as otherwise indicated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for any such Subsidiaries that are limited liability companies or partnerships, to elect that its membership interests constitute securities governed by the STA as in effect in any relevant jurisdiction without the consent of all pledgees of such membership interests or the delivery of any applicable limited liability company certificate or control agreement necessary to perfect each such pledgee's interests in the applicable membership interests. Each Grantor further agrees to cause each Acknowledgment Party, other than any Acknowledgment Party that is a ULC, to execute and deliver an acknowledgment substantially in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hereto promptly upon such party becoming an Acknowledgment Party.</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71" w:lineRule="auto"/>
        <w:rPr>
          <w:sz w:val="20"/>
          <w:szCs w:val="20"/>
          <w:color w:val="auto"/>
        </w:rPr>
      </w:pPr>
      <w:r>
        <w:rPr>
          <w:rFonts w:ascii="Arial" w:cs="Arial" w:eastAsia="Arial" w:hAnsi="Arial"/>
          <w:sz w:val="21"/>
          <w:szCs w:val="21"/>
          <w:color w:val="010000"/>
        </w:rPr>
        <w:t xml:space="preserve">3.11.1 </w:t>
      </w:r>
      <w:r>
        <w:rPr>
          <w:rFonts w:ascii="Arial" w:cs="Arial" w:eastAsia="Arial" w:hAnsi="Arial"/>
          <w:sz w:val="21"/>
          <w:szCs w:val="21"/>
          <w:u w:val="single" w:color="auto"/>
          <w:color w:val="000000"/>
        </w:rPr>
        <w:t>Exhibit “B”</w:t>
      </w:r>
      <w:r>
        <w:rPr>
          <w:rFonts w:ascii="Arial" w:cs="Arial" w:eastAsia="Arial" w:hAnsi="Arial"/>
          <w:sz w:val="21"/>
          <w:szCs w:val="21"/>
          <w:color w:val="010000"/>
        </w:rPr>
        <w:t xml:space="preserve"> </w:t>
      </w:r>
      <w:r>
        <w:rPr>
          <w:rFonts w:ascii="Arial" w:cs="Arial" w:eastAsia="Arial" w:hAnsi="Arial"/>
          <w:sz w:val="21"/>
          <w:szCs w:val="21"/>
          <w:color w:val="000000"/>
        </w:rPr>
        <w:t>contains a complete and accurate listing as of the applicable Determination Date of all</w:t>
      </w:r>
      <w:r>
        <w:rPr>
          <w:rFonts w:ascii="Arial" w:cs="Arial" w:eastAsia="Arial" w:hAnsi="Arial"/>
          <w:sz w:val="21"/>
          <w:szCs w:val="21"/>
          <w:color w:val="010000"/>
        </w:rPr>
        <w:t xml:space="preserve"> </w:t>
      </w:r>
      <w:r>
        <w:rPr>
          <w:rFonts w:ascii="Arial" w:cs="Arial" w:eastAsia="Arial" w:hAnsi="Arial"/>
          <w:sz w:val="21"/>
          <w:szCs w:val="21"/>
          <w:color w:val="000000"/>
        </w:rPr>
        <w:t xml:space="preserve">of the below-described Specified Intellectual Property of each of the Grantors: (i) state, provincial, U.S., Canadian and foreign trademark registrations, and applications for trademark registration, (ii) U.S., Canadian and foreign patents and patent applications, together with all reissuances, continuations, continuations in part, revisions, extensions, and reexaminations thereof, (iii) U.S., Canadian and foreign copyright registrations and applications for registration, (iv) Exclusive Copyright Licenses, (v) foreign industrial design registrations and industrial design applications, and (vi) domain names. All of the U.S. and Canadian registrations, applications for registration or applications for issuance of such Specified Intellectual Property are valid and subsisting, in good standing and, subject to </w:t>
      </w:r>
      <w:r>
        <w:rPr>
          <w:rFonts w:ascii="Arial" w:cs="Arial" w:eastAsia="Arial" w:hAnsi="Arial"/>
          <w:sz w:val="21"/>
          <w:szCs w:val="21"/>
          <w:u w:val="single" w:color="auto"/>
          <w:color w:val="000000"/>
        </w:rPr>
        <w:t>Section 3.11.10</w:t>
      </w:r>
      <w:r>
        <w:rPr>
          <w:rFonts w:ascii="Arial" w:cs="Arial" w:eastAsia="Arial" w:hAnsi="Arial"/>
          <w:sz w:val="21"/>
          <w:szCs w:val="21"/>
          <w:color w:val="000000"/>
        </w:rPr>
        <w:t>, are recorded or in the process of being recorded in the name of the applicable Grantor, except as could not be reasonably expected to result in a Material Adverse Effect.</w:t>
      </w:r>
    </w:p>
    <w:p>
      <w:pPr>
        <w:spacing w:after="0" w:line="189"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3.11.2 </w:t>
      </w:r>
      <w:r>
        <w:rPr>
          <w:rFonts w:ascii="Arial" w:cs="Arial" w:eastAsia="Arial" w:hAnsi="Arial"/>
          <w:sz w:val="22"/>
          <w:szCs w:val="22"/>
          <w:color w:val="000000"/>
        </w:rPr>
        <w:t>Such Specific Intellectual Property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Exhibit B</w:t>
      </w:r>
      <w:r>
        <w:rPr>
          <w:rFonts w:ascii="Arial" w:cs="Arial" w:eastAsia="Arial" w:hAnsi="Arial"/>
          <w:sz w:val="22"/>
          <w:szCs w:val="22"/>
          <w:color w:val="010000"/>
        </w:rPr>
        <w:t xml:space="preserve"> </w:t>
      </w:r>
      <w:r>
        <w:rPr>
          <w:rFonts w:ascii="Arial" w:cs="Arial" w:eastAsia="Arial" w:hAnsi="Arial"/>
          <w:sz w:val="22"/>
          <w:szCs w:val="22"/>
          <w:color w:val="000000"/>
        </w:rPr>
        <w:t>is valid, subsisting, unexpired (where registered)</w:t>
      </w:r>
      <w:r>
        <w:rPr>
          <w:rFonts w:ascii="Arial" w:cs="Arial" w:eastAsia="Arial" w:hAnsi="Arial"/>
          <w:sz w:val="22"/>
          <w:szCs w:val="22"/>
          <w:color w:val="010000"/>
        </w:rPr>
        <w:t xml:space="preserve"> </w:t>
      </w:r>
      <w:r>
        <w:rPr>
          <w:rFonts w:ascii="Arial" w:cs="Arial" w:eastAsia="Arial" w:hAnsi="Arial"/>
          <w:sz w:val="22"/>
          <w:szCs w:val="22"/>
          <w:color w:val="000000"/>
        </w:rPr>
        <w:t>and enforceable and has not been abandoned or adjudged invalid or unenforceable, in whole or in part, except as could not be reasonably expected to result in a Material Adverse Effect.</w:t>
      </w:r>
    </w:p>
    <w:p>
      <w:pPr>
        <w:spacing w:after="0" w:line="185" w:lineRule="exact"/>
        <w:rPr>
          <w:sz w:val="20"/>
          <w:szCs w:val="20"/>
          <w:color w:val="auto"/>
        </w:rPr>
      </w:pPr>
    </w:p>
    <w:p>
      <w:pPr>
        <w:jc w:val="both"/>
        <w:ind w:left="660" w:firstLine="972"/>
        <w:spacing w:after="0" w:line="306" w:lineRule="auto"/>
        <w:rPr>
          <w:sz w:val="20"/>
          <w:szCs w:val="20"/>
          <w:color w:val="auto"/>
        </w:rPr>
      </w:pPr>
      <w:r>
        <w:rPr>
          <w:rFonts w:ascii="Arial" w:cs="Arial" w:eastAsia="Arial" w:hAnsi="Arial"/>
          <w:sz w:val="19"/>
          <w:szCs w:val="19"/>
          <w:color w:val="010000"/>
        </w:rPr>
        <w:t xml:space="preserve">3.11.3 </w:t>
      </w:r>
      <w:r>
        <w:rPr>
          <w:rFonts w:ascii="Arial" w:cs="Arial" w:eastAsia="Arial" w:hAnsi="Arial"/>
          <w:sz w:val="19"/>
          <w:szCs w:val="19"/>
          <w:color w:val="000000"/>
        </w:rPr>
        <w:t>Subject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3.11.10</w:t>
      </w:r>
      <w:r>
        <w:rPr>
          <w:rFonts w:ascii="Arial" w:cs="Arial" w:eastAsia="Arial" w:hAnsi="Arial"/>
          <w:sz w:val="19"/>
          <w:szCs w:val="19"/>
          <w:color w:val="000000"/>
        </w:rPr>
        <w:t>, (i) no Person other than the respective Grantor (or any other Grantor)</w:t>
      </w:r>
      <w:r>
        <w:rPr>
          <w:rFonts w:ascii="Arial" w:cs="Arial" w:eastAsia="Arial" w:hAnsi="Arial"/>
          <w:sz w:val="19"/>
          <w:szCs w:val="19"/>
          <w:color w:val="010000"/>
        </w:rPr>
        <w:t xml:space="preserve"> </w:t>
      </w:r>
      <w:r>
        <w:rPr>
          <w:rFonts w:ascii="Arial" w:cs="Arial" w:eastAsia="Arial" w:hAnsi="Arial"/>
          <w:sz w:val="19"/>
          <w:szCs w:val="19"/>
          <w:color w:val="000000"/>
        </w:rPr>
        <w:t>has any right or interest of any kind or nature in or to the Specified Intellectual Property owned by such Grantor, including any right to sell, license, lease, transfer, distribute, use or otherwise exploit such Specified Intellectual Property or any portion thereof outside of the ordinary course of the respective Grantor’s business, except as could not be reasonably expected to result in a Material Adverse Effect and (ii) each Grantor has good, marketable and exclusive title to, and the valid and enforceable power and right to sell, license, transfer, distribute, use and otherwise exploit, its Specified Intellectual Property, except as could not be reasonably expected to result in a Material Adverse Effect.</w:t>
      </w:r>
    </w:p>
    <w:p>
      <w:pPr>
        <w:spacing w:after="0" w:line="156" w:lineRule="exact"/>
        <w:rPr>
          <w:sz w:val="20"/>
          <w:szCs w:val="20"/>
          <w:color w:val="auto"/>
        </w:rPr>
      </w:pPr>
    </w:p>
    <w:p>
      <w:pPr>
        <w:jc w:val="both"/>
        <w:ind w:left="660" w:firstLine="972"/>
        <w:spacing w:after="0" w:line="311" w:lineRule="auto"/>
        <w:rPr>
          <w:sz w:val="20"/>
          <w:szCs w:val="20"/>
          <w:color w:val="auto"/>
        </w:rPr>
      </w:pPr>
      <w:r>
        <w:rPr>
          <w:rFonts w:ascii="Arial" w:cs="Arial" w:eastAsia="Arial" w:hAnsi="Arial"/>
          <w:sz w:val="19"/>
          <w:szCs w:val="19"/>
          <w:color w:val="010000"/>
        </w:rPr>
        <w:t xml:space="preserve">3.11.4 </w:t>
      </w:r>
      <w:r>
        <w:rPr>
          <w:rFonts w:ascii="Arial" w:cs="Arial" w:eastAsia="Arial" w:hAnsi="Arial"/>
          <w:sz w:val="19"/>
          <w:szCs w:val="19"/>
          <w:color w:val="000000"/>
        </w:rPr>
        <w:t>Each Grantor has taken or caused to be taken steps so that none of its material Specified</w:t>
      </w:r>
      <w:r>
        <w:rPr>
          <w:rFonts w:ascii="Arial" w:cs="Arial" w:eastAsia="Arial" w:hAnsi="Arial"/>
          <w:sz w:val="19"/>
          <w:szCs w:val="19"/>
          <w:color w:val="010000"/>
        </w:rPr>
        <w:t xml:space="preserve"> </w:t>
      </w:r>
      <w:r>
        <w:rPr>
          <w:rFonts w:ascii="Arial" w:cs="Arial" w:eastAsia="Arial" w:hAnsi="Arial"/>
          <w:sz w:val="19"/>
          <w:szCs w:val="19"/>
          <w:color w:val="000000"/>
        </w:rPr>
        <w:t>Intellectual Property, the value of which to the Grantors are contingent upon maintenance of the confidentiality thereof, have been disclosed by such Grantor to any Person other than any Affiliate owners thereof and employees, contractors, customers, representatives and agents of the Grantors or such Affiliate owners who are parties to customary confidentiality and nondisclosure agreements with the Grantors or such Affiliate owners, as applicable.</w:t>
      </w:r>
    </w:p>
    <w:p>
      <w:pPr>
        <w:spacing w:after="0" w:line="150"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3.11.5 </w:t>
      </w:r>
      <w:r>
        <w:rPr>
          <w:rFonts w:ascii="Arial" w:cs="Arial" w:eastAsia="Arial" w:hAnsi="Arial"/>
          <w:sz w:val="22"/>
          <w:szCs w:val="22"/>
          <w:color w:val="000000"/>
        </w:rPr>
        <w:t>To each Grantor’s knowledge, no Person has violated, infringed upon or breached, or is currently</w:t>
      </w:r>
      <w:r>
        <w:rPr>
          <w:rFonts w:ascii="Arial" w:cs="Arial" w:eastAsia="Arial" w:hAnsi="Arial"/>
          <w:sz w:val="22"/>
          <w:szCs w:val="22"/>
          <w:color w:val="010000"/>
        </w:rPr>
        <w:t xml:space="preserve"> </w:t>
      </w:r>
      <w:r>
        <w:rPr>
          <w:rFonts w:ascii="Arial" w:cs="Arial" w:eastAsia="Arial" w:hAnsi="Arial"/>
          <w:sz w:val="22"/>
          <w:szCs w:val="22"/>
          <w:color w:val="000000"/>
        </w:rPr>
        <w:t>violating, infringing upon or breaching, any of the rights of the Grantors to the Specified Intellectual Property or has breached or is breaching any duty or obligation owed to the Grantors in respect of the Specified Intellectual Property except where those breaches, individually or in the aggregate, could not be reasonably expected to result in a Material Adverse Effect.</w:t>
      </w:r>
    </w:p>
    <w:p>
      <w:pPr>
        <w:spacing w:after="0" w:line="190"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3.11.6 </w:t>
      </w:r>
      <w:r>
        <w:rPr>
          <w:rFonts w:ascii="Arial" w:cs="Arial" w:eastAsia="Arial" w:hAnsi="Arial"/>
          <w:sz w:val="22"/>
          <w:szCs w:val="22"/>
          <w:color w:val="000000"/>
        </w:rPr>
        <w:t>No settlement or consents, covenants not to sue, nonassertion assurances, or releases have been</w:t>
      </w:r>
      <w:r>
        <w:rPr>
          <w:rFonts w:ascii="Arial" w:cs="Arial" w:eastAsia="Arial" w:hAnsi="Arial"/>
          <w:sz w:val="22"/>
          <w:szCs w:val="22"/>
          <w:color w:val="010000"/>
        </w:rPr>
        <w:t xml:space="preserve"> </w:t>
      </w:r>
      <w:r>
        <w:rPr>
          <w:rFonts w:ascii="Arial" w:cs="Arial" w:eastAsia="Arial" w:hAnsi="Arial"/>
          <w:sz w:val="22"/>
          <w:szCs w:val="22"/>
          <w:color w:val="000000"/>
        </w:rPr>
        <w:t>entered into by any Grantor or to which any Grantor is bound that adversely affects its rights to own or use any Specified Intellectual Property except as could not be reasonably expected to result in a Material Adverse Effect, in each case individually or in the aggregate.</w:t>
      </w:r>
    </w:p>
    <w:p>
      <w:pPr>
        <w:sectPr>
          <w:pgSz w:w="11900" w:h="16838" w:orient="portrait"/>
          <w:cols w:equalWidth="0" w:num="1">
            <w:col w:w="11240"/>
          </w:cols>
          <w:pgMar w:left="320" w:top="131" w:right="339" w:bottom="25" w:gutter="0" w:footer="0" w:header="0"/>
        </w:sectPr>
      </w:pPr>
    </w:p>
    <w:bookmarkStart w:id="482" w:name="page483"/>
    <w:bookmarkEnd w:id="482"/>
    <w:p>
      <w:pPr>
        <w:spacing w:after="0" w:line="131" w:lineRule="exact"/>
        <w:rPr>
          <w:sz w:val="20"/>
          <w:szCs w:val="20"/>
          <w:color w:val="auto"/>
        </w:rPr>
      </w:pPr>
    </w:p>
    <w:p>
      <w:pPr>
        <w:jc w:val="both"/>
        <w:ind w:left="660" w:right="20" w:firstLine="972"/>
        <w:spacing w:after="0" w:line="262" w:lineRule="auto"/>
        <w:rPr>
          <w:sz w:val="20"/>
          <w:szCs w:val="20"/>
          <w:color w:val="auto"/>
        </w:rPr>
      </w:pPr>
      <w:r>
        <w:rPr>
          <w:rFonts w:ascii="Arial" w:cs="Arial" w:eastAsia="Arial" w:hAnsi="Arial"/>
          <w:sz w:val="22"/>
          <w:szCs w:val="22"/>
          <w:color w:val="010000"/>
        </w:rPr>
        <w:t xml:space="preserve">3.11.7 </w:t>
      </w:r>
      <w:r>
        <w:rPr>
          <w:rFonts w:ascii="Arial" w:cs="Arial" w:eastAsia="Arial" w:hAnsi="Arial"/>
          <w:sz w:val="22"/>
          <w:szCs w:val="22"/>
          <w:color w:val="000000"/>
        </w:rPr>
        <w:t>No Grantor has received any written notice that remains outstanding challenging the validity,</w:t>
      </w:r>
      <w:r>
        <w:rPr>
          <w:rFonts w:ascii="Arial" w:cs="Arial" w:eastAsia="Arial" w:hAnsi="Arial"/>
          <w:sz w:val="22"/>
          <w:szCs w:val="22"/>
          <w:color w:val="010000"/>
        </w:rPr>
        <w:t xml:space="preserve"> </w:t>
      </w:r>
      <w:r>
        <w:rPr>
          <w:rFonts w:ascii="Arial" w:cs="Arial" w:eastAsia="Arial" w:hAnsi="Arial"/>
          <w:sz w:val="22"/>
          <w:szCs w:val="22"/>
          <w:color w:val="000000"/>
        </w:rPr>
        <w:t>enforceability, or ownership of any Specified Intellectual Property except where those challenges could not reasonably be expected to result in a Material Adverse Effect, and to such Grantor’s knowledge at the date hereof there are no facts upon which such a challenge could be made.</w:t>
      </w:r>
    </w:p>
    <w:p>
      <w:pPr>
        <w:spacing w:after="0" w:line="191"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3.11.8 </w:t>
      </w:r>
      <w:r>
        <w:rPr>
          <w:rFonts w:ascii="Arial" w:cs="Arial" w:eastAsia="Arial" w:hAnsi="Arial"/>
          <w:sz w:val="22"/>
          <w:szCs w:val="22"/>
          <w:color w:val="000000"/>
        </w:rPr>
        <w:t>Each Grantor owns directly or is entitled to use, by license or otherwise, all Specified Intellectual</w:t>
      </w:r>
      <w:r>
        <w:rPr>
          <w:rFonts w:ascii="Arial" w:cs="Arial" w:eastAsia="Arial" w:hAnsi="Arial"/>
          <w:sz w:val="22"/>
          <w:szCs w:val="22"/>
          <w:color w:val="010000"/>
        </w:rPr>
        <w:t xml:space="preserve"> </w:t>
      </w:r>
      <w:r>
        <w:rPr>
          <w:rFonts w:ascii="Arial" w:cs="Arial" w:eastAsia="Arial" w:hAnsi="Arial"/>
          <w:sz w:val="22"/>
          <w:szCs w:val="22"/>
          <w:color w:val="000000"/>
        </w:rPr>
        <w:t>Property necessary for the conduct of such Grantor’s business, and the conduct of each Grantor’s business does not infringe upon the Intellectual Property of any other Person, except as could not reasonably be expected to result in a Material Adverse Effect.</w:t>
      </w:r>
    </w:p>
    <w:p>
      <w:pPr>
        <w:spacing w:after="0" w:line="191" w:lineRule="exact"/>
        <w:rPr>
          <w:sz w:val="20"/>
          <w:szCs w:val="20"/>
          <w:color w:val="auto"/>
        </w:rPr>
      </w:pPr>
    </w:p>
    <w:p>
      <w:pPr>
        <w:jc w:val="both"/>
        <w:ind w:left="660" w:right="20" w:firstLine="972"/>
        <w:spacing w:after="0" w:line="276" w:lineRule="auto"/>
        <w:rPr>
          <w:sz w:val="20"/>
          <w:szCs w:val="20"/>
          <w:color w:val="auto"/>
        </w:rPr>
      </w:pPr>
      <w:r>
        <w:rPr>
          <w:rFonts w:ascii="Arial" w:cs="Arial" w:eastAsia="Arial" w:hAnsi="Arial"/>
          <w:sz w:val="22"/>
          <w:szCs w:val="22"/>
          <w:color w:val="010000"/>
        </w:rPr>
        <w:t xml:space="preserve">3.11.9 </w:t>
      </w:r>
      <w:r>
        <w:rPr>
          <w:rFonts w:ascii="Arial" w:cs="Arial" w:eastAsia="Arial" w:hAnsi="Arial"/>
          <w:sz w:val="22"/>
          <w:szCs w:val="22"/>
          <w:color w:val="000000"/>
        </w:rPr>
        <w:t>The consummation of the transactions contemplated by the Loan Documents will not result in the</w:t>
      </w:r>
      <w:r>
        <w:rPr>
          <w:rFonts w:ascii="Arial" w:cs="Arial" w:eastAsia="Arial" w:hAnsi="Arial"/>
          <w:sz w:val="22"/>
          <w:szCs w:val="22"/>
          <w:color w:val="010000"/>
        </w:rPr>
        <w:t xml:space="preserve"> </w:t>
      </w:r>
      <w:r>
        <w:rPr>
          <w:rFonts w:ascii="Arial" w:cs="Arial" w:eastAsia="Arial" w:hAnsi="Arial"/>
          <w:sz w:val="22"/>
          <w:szCs w:val="22"/>
          <w:color w:val="000000"/>
        </w:rPr>
        <w:t>termination or material impairment of any material Intellectual Property owned by such Grantor.</w:t>
      </w:r>
    </w:p>
    <w:p>
      <w:pPr>
        <w:spacing w:after="0" w:line="174"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2"/>
          <w:szCs w:val="22"/>
          <w:color w:val="010000"/>
        </w:rPr>
        <w:t xml:space="preserve">3.11.10 </w:t>
      </w:r>
      <w:r>
        <w:rPr>
          <w:rFonts w:ascii="Arial" w:cs="Arial" w:eastAsia="Arial" w:hAnsi="Arial"/>
          <w:sz w:val="22"/>
          <w:szCs w:val="22"/>
          <w:color w:val="000000"/>
        </w:rPr>
        <w:t>Each party hereto acknowledges that certain Specified Intellectual Property is owned in part by</w:t>
      </w:r>
      <w:r>
        <w:rPr>
          <w:rFonts w:ascii="Arial" w:cs="Arial" w:eastAsia="Arial" w:hAnsi="Arial"/>
          <w:sz w:val="22"/>
          <w:szCs w:val="22"/>
          <w:color w:val="010000"/>
        </w:rPr>
        <w:t xml:space="preserve"> </w:t>
      </w:r>
      <w:r>
        <w:rPr>
          <w:rFonts w:ascii="Arial" w:cs="Arial" w:eastAsia="Arial" w:hAnsi="Arial"/>
          <w:sz w:val="22"/>
          <w:szCs w:val="22"/>
          <w:color w:val="000000"/>
        </w:rPr>
        <w:t xml:space="preserve">the Grantors and in part by Affiliates of the Grantors, in each case as scheduled on </w:t>
      </w:r>
      <w:r>
        <w:rPr>
          <w:rFonts w:ascii="Arial" w:cs="Arial" w:eastAsia="Arial" w:hAnsi="Arial"/>
          <w:sz w:val="22"/>
          <w:szCs w:val="22"/>
          <w:u w:val="single" w:color="auto"/>
          <w:color w:val="000000"/>
        </w:rPr>
        <w:t>Exhibit “B”</w:t>
      </w:r>
      <w:r>
        <w:rPr>
          <w:rFonts w:ascii="Arial" w:cs="Arial" w:eastAsia="Arial" w:hAnsi="Arial"/>
          <w:sz w:val="22"/>
          <w:szCs w:val="22"/>
          <w:color w:val="000000"/>
        </w:rPr>
        <w:t>.</w:t>
      </w:r>
    </w:p>
    <w:p>
      <w:pPr>
        <w:spacing w:after="0" w:line="174"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u w:val="single" w:color="auto"/>
          <w:color w:val="auto"/>
        </w:rPr>
        <w:t>Specified Deposit Accounts and Securities Accounts</w:t>
      </w:r>
      <w:r>
        <w:rPr>
          <w:rFonts w:ascii="Arial" w:cs="Arial" w:eastAsia="Arial" w:hAnsi="Arial"/>
          <w:sz w:val="22"/>
          <w:szCs w:val="22"/>
          <w:color w:val="auto"/>
        </w:rPr>
        <w:t xml:space="preserve">. All of such Grantor’s Specified Deposit Accounts and Securities Accounts as of the applicable Determination Date are listed on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74"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010000"/>
        </w:rPr>
        <w:t>3.13.</w:t>
      </w:r>
      <w:r>
        <w:rPr>
          <w:sz w:val="20"/>
          <w:szCs w:val="20"/>
          <w:color w:val="auto"/>
        </w:rPr>
        <w:tab/>
      </w:r>
      <w:r>
        <w:rPr>
          <w:rFonts w:ascii="Arial" w:cs="Arial" w:eastAsia="Arial" w:hAnsi="Arial"/>
          <w:sz w:val="19"/>
          <w:szCs w:val="19"/>
          <w:u w:val="single" w:color="auto"/>
          <w:color w:val="auto"/>
        </w:rPr>
        <w:t>Consents and Transfer Restrictions</w:t>
      </w:r>
      <w:r>
        <w:rPr>
          <w:rFonts w:ascii="Arial" w:cs="Arial" w:eastAsia="Arial" w:hAnsi="Arial"/>
          <w:sz w:val="19"/>
          <w:szCs w:val="19"/>
          <w:color w:val="auto"/>
        </w:rPr>
        <w:t>.</w:t>
      </w:r>
    </w:p>
    <w:p>
      <w:pPr>
        <w:spacing w:after="0" w:line="233" w:lineRule="exact"/>
        <w:rPr>
          <w:sz w:val="20"/>
          <w:szCs w:val="20"/>
          <w:color w:val="auto"/>
        </w:rPr>
      </w:pPr>
    </w:p>
    <w:p>
      <w:pPr>
        <w:jc w:val="both"/>
        <w:ind w:left="660" w:firstLine="972"/>
        <w:spacing w:after="0" w:line="304" w:lineRule="auto"/>
        <w:rPr>
          <w:sz w:val="20"/>
          <w:szCs w:val="20"/>
          <w:color w:val="auto"/>
        </w:rPr>
      </w:pPr>
      <w:r>
        <w:rPr>
          <w:rFonts w:ascii="Arial" w:cs="Arial" w:eastAsia="Arial" w:hAnsi="Arial"/>
          <w:sz w:val="19"/>
          <w:szCs w:val="19"/>
          <w:color w:val="010000"/>
        </w:rPr>
        <w:t xml:space="preserve">3.13.1 </w:t>
      </w:r>
      <w:r>
        <w:rPr>
          <w:rFonts w:ascii="Arial" w:cs="Arial" w:eastAsia="Arial" w:hAnsi="Arial"/>
          <w:sz w:val="19"/>
          <w:szCs w:val="19"/>
          <w:color w:val="000000"/>
        </w:rPr>
        <w:t>Except for any consent that has been obtained and is in full force and effect, no consent of any</w:t>
      </w:r>
      <w:r>
        <w:rPr>
          <w:rFonts w:ascii="Arial" w:cs="Arial" w:eastAsia="Arial" w:hAnsi="Arial"/>
          <w:sz w:val="19"/>
          <w:szCs w:val="19"/>
          <w:color w:val="010000"/>
        </w:rPr>
        <w:t xml:space="preserve"> </w:t>
      </w:r>
      <w:r>
        <w:rPr>
          <w:rFonts w:ascii="Arial" w:cs="Arial" w:eastAsia="Arial" w:hAnsi="Arial"/>
          <w:sz w:val="19"/>
          <w:szCs w:val="19"/>
          <w:color w:val="000000"/>
        </w:rPr>
        <w:t>Person (including any counterparty with respect to any Contract, any account debtor with respect to any Account, or any Governmental Authority with respect to any Permit) is required, or is purported to be required, for the execution, delivery, performance and enforcement of this Security Agreement (this representation being given without reference to the Excluded Assets) provided that the enforcement of any security interest in ULC Shares may be subject to restrictions on transfer in the constitutive documents governing the issuer ULC. For the purposes of complying with any transfer restrictions contained in the organizational documents of any Subsidiary, such Grantor hereby irrevocably consents to the transfer of such Grantor's Pledged Collateral of such Subsidiary, provided that this consent shall not constitute approval of transfer for the purposes of the constitutive documents governing the issuer ULC.</w:t>
      </w:r>
    </w:p>
    <w:p>
      <w:pPr>
        <w:spacing w:after="0" w:line="155" w:lineRule="exact"/>
        <w:rPr>
          <w:sz w:val="20"/>
          <w:szCs w:val="20"/>
          <w:color w:val="auto"/>
        </w:rPr>
      </w:pPr>
    </w:p>
    <w:p>
      <w:pPr>
        <w:jc w:val="both"/>
        <w:ind w:left="660" w:firstLine="972"/>
        <w:spacing w:after="0" w:line="274" w:lineRule="auto"/>
        <w:rPr>
          <w:sz w:val="20"/>
          <w:szCs w:val="20"/>
          <w:color w:val="auto"/>
        </w:rPr>
      </w:pPr>
      <w:r>
        <w:rPr>
          <w:rFonts w:ascii="Arial" w:cs="Arial" w:eastAsia="Arial" w:hAnsi="Arial"/>
          <w:sz w:val="21"/>
          <w:szCs w:val="21"/>
          <w:color w:val="010000"/>
        </w:rPr>
        <w:t xml:space="preserve">3.13.2 </w:t>
      </w:r>
      <w:r>
        <w:rPr>
          <w:rFonts w:ascii="Arial" w:cs="Arial" w:eastAsia="Arial" w:hAnsi="Arial"/>
          <w:sz w:val="21"/>
          <w:szCs w:val="21"/>
          <w:color w:val="000000"/>
        </w:rPr>
        <w:t>No order ceasing or suspending trading in, or prohibiting the transfer of the Pledged Collateral has</w:t>
      </w:r>
      <w:r>
        <w:rPr>
          <w:rFonts w:ascii="Arial" w:cs="Arial" w:eastAsia="Arial" w:hAnsi="Arial"/>
          <w:sz w:val="21"/>
          <w:szCs w:val="21"/>
          <w:color w:val="010000"/>
        </w:rPr>
        <w:t xml:space="preserve"> </w:t>
      </w:r>
      <w:r>
        <w:rPr>
          <w:rFonts w:ascii="Arial" w:cs="Arial" w:eastAsia="Arial" w:hAnsi="Arial"/>
          <w:sz w:val="21"/>
          <w:szCs w:val="21"/>
          <w:color w:val="000000"/>
        </w:rPr>
        <w:t>been issued and no proceedings for this purpose have been instituted, nor does such Grantor have any reason to believe that any such proceedings are pending, contemplated or threatened, and the Pledged Collateral is not subject to any escrow or other agreement, arrangement, commitment or understanding, prohibiting the transfer of the Pledged Collateral, including pursuant to applicable securities laws or the rules, regulations or policies of any marketplace on which the Pledged Collateral is listed, posted or traded.</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010000"/>
        </w:rPr>
        <w:t xml:space="preserve">3.14. </w:t>
      </w:r>
      <w:r>
        <w:rPr>
          <w:rFonts w:ascii="Arial" w:cs="Arial" w:eastAsia="Arial" w:hAnsi="Arial"/>
          <w:sz w:val="21"/>
          <w:szCs w:val="21"/>
          <w:u w:val="single" w:color="auto"/>
          <w:color w:val="000000"/>
        </w:rPr>
        <w:t>No Consumer Goods</w:t>
      </w:r>
      <w:r>
        <w:rPr>
          <w:rFonts w:ascii="Arial" w:cs="Arial" w:eastAsia="Arial" w:hAnsi="Arial"/>
          <w:sz w:val="21"/>
          <w:szCs w:val="21"/>
          <w:color w:val="000000"/>
        </w:rPr>
        <w:t>. Such Grantor does not own any Consumer Goods which are material in value or which</w:t>
      </w:r>
      <w:r>
        <w:rPr>
          <w:rFonts w:ascii="Arial" w:cs="Arial" w:eastAsia="Arial" w:hAnsi="Arial"/>
          <w:sz w:val="21"/>
          <w:szCs w:val="21"/>
          <w:color w:val="010000"/>
        </w:rPr>
        <w:t xml:space="preserve"> </w:t>
      </w:r>
      <w:r>
        <w:rPr>
          <w:rFonts w:ascii="Arial" w:cs="Arial" w:eastAsia="Arial" w:hAnsi="Arial"/>
          <w:sz w:val="21"/>
          <w:szCs w:val="21"/>
          <w:color w:val="000000"/>
        </w:rPr>
        <w:t>are material to the business, operations, property, condition or prospects (financial or otherwise) of such Grantor.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23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4.1.1 </w:t>
      </w:r>
      <w:r>
        <w:rPr>
          <w:rFonts w:ascii="Arial" w:cs="Arial" w:eastAsia="Arial" w:hAnsi="Arial"/>
          <w:sz w:val="22"/>
          <w:szCs w:val="22"/>
          <w:u w:val="single" w:color="auto"/>
          <w:color w:val="000000"/>
        </w:rPr>
        <w:t>Records</w:t>
      </w:r>
      <w:r>
        <w:rPr>
          <w:rFonts w:ascii="Arial" w:cs="Arial" w:eastAsia="Arial" w:hAnsi="Arial"/>
          <w:sz w:val="22"/>
          <w:szCs w:val="22"/>
          <w:color w:val="000000"/>
        </w:rPr>
        <w:t>. Each Grantor shall keep and maintain, in a manner consistent with prudent business</w:t>
      </w:r>
      <w:r>
        <w:rPr>
          <w:rFonts w:ascii="Arial" w:cs="Arial" w:eastAsia="Arial" w:hAnsi="Arial"/>
          <w:sz w:val="22"/>
          <w:szCs w:val="22"/>
          <w:color w:val="010000"/>
        </w:rPr>
        <w:t xml:space="preserve"> </w:t>
      </w:r>
      <w:r>
        <w:rPr>
          <w:rFonts w:ascii="Arial" w:cs="Arial" w:eastAsia="Arial" w:hAnsi="Arial"/>
          <w:sz w:val="22"/>
          <w:szCs w:val="22"/>
          <w:color w:val="000000"/>
        </w:rPr>
        <w:t>practices, reasonably complete, accurate and proper books and records with respect to the Collateral owned by such Grantor.</w:t>
      </w:r>
    </w:p>
    <w:p>
      <w:pPr>
        <w:spacing w:after="0" w:line="185" w:lineRule="exact"/>
        <w:rPr>
          <w:sz w:val="20"/>
          <w:szCs w:val="20"/>
          <w:color w:val="auto"/>
        </w:rPr>
      </w:pPr>
    </w:p>
    <w:p>
      <w:pPr>
        <w:jc w:val="both"/>
        <w:ind w:left="660" w:firstLine="972"/>
        <w:spacing w:after="0" w:line="306" w:lineRule="auto"/>
        <w:rPr>
          <w:sz w:val="20"/>
          <w:szCs w:val="20"/>
          <w:color w:val="auto"/>
        </w:rPr>
      </w:pPr>
      <w:r>
        <w:rPr>
          <w:rFonts w:ascii="Arial" w:cs="Arial" w:eastAsia="Arial" w:hAnsi="Arial"/>
          <w:sz w:val="19"/>
          <w:szCs w:val="19"/>
          <w:color w:val="010000"/>
        </w:rPr>
        <w:t xml:space="preserve">4.1.2 </w:t>
      </w:r>
      <w:r>
        <w:rPr>
          <w:rFonts w:ascii="Arial" w:cs="Arial" w:eastAsia="Arial" w:hAnsi="Arial"/>
          <w:sz w:val="19"/>
          <w:szCs w:val="19"/>
          <w:u w:val="single" w:color="auto"/>
          <w:color w:val="000000"/>
        </w:rPr>
        <w:t>Financing Statements and Other Actions; Defense of Title</w:t>
      </w:r>
      <w:r>
        <w:rPr>
          <w:rFonts w:ascii="Arial" w:cs="Arial" w:eastAsia="Arial" w:hAnsi="Arial"/>
          <w:sz w:val="19"/>
          <w:szCs w:val="19"/>
          <w:color w:val="000000"/>
        </w:rPr>
        <w:t>. Each Grantor hereby authorizes the</w:t>
      </w:r>
      <w:r>
        <w:rPr>
          <w:rFonts w:ascii="Arial" w:cs="Arial" w:eastAsia="Arial" w:hAnsi="Arial"/>
          <w:sz w:val="19"/>
          <w:szCs w:val="19"/>
          <w:color w:val="010000"/>
        </w:rPr>
        <w:t xml:space="preserve"> </w:t>
      </w:r>
      <w:r>
        <w:rPr>
          <w:rFonts w:ascii="Arial" w:cs="Arial" w:eastAsia="Arial" w:hAnsi="Arial"/>
          <w:sz w:val="19"/>
          <w:szCs w:val="19"/>
          <w:color w:val="000000"/>
        </w:rPr>
        <w:t xml:space="preserve">Agent to file, and if requested will execute and deliver to the Agent, all financing statements describing the Collateral owned by such Grantor and other documents and take such other actions as may from time to time reasonably be requested by the Agent in order to maintain a perfected security interest with the priority set forth in the Intercreditor Agreement in and Lien on, and, if applicable, Control of, the Collateral owned by such Grantor, subject to Liens permitted under Section 8.04 of the LC Credit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nothing herein shall be deemed to constitute an agreement to subordinate any of the Liens of the Agent under the Loan Documents to any Liens otherwise permitted under Section</w:t>
      </w:r>
    </w:p>
    <w:p>
      <w:pPr>
        <w:sectPr>
          <w:pgSz w:w="11900" w:h="16970" w:orient="portrait"/>
          <w:cols w:equalWidth="0" w:num="1">
            <w:col w:w="11240"/>
          </w:cols>
          <w:pgMar w:left="320" w:top="131" w:right="339" w:bottom="0" w:gutter="0" w:footer="0" w:header="0"/>
        </w:sectPr>
      </w:pPr>
    </w:p>
    <w:bookmarkStart w:id="483" w:name="page484"/>
    <w:bookmarkEnd w:id="483"/>
    <w:p>
      <w:pPr>
        <w:spacing w:after="0" w:line="137" w:lineRule="exact"/>
        <w:rPr>
          <w:sz w:val="20"/>
          <w:szCs w:val="20"/>
          <w:color w:val="auto"/>
        </w:rPr>
      </w:pPr>
    </w:p>
    <w:p>
      <w:pPr>
        <w:jc w:val="both"/>
        <w:ind w:left="660"/>
        <w:spacing w:after="0" w:line="272" w:lineRule="auto"/>
        <w:rPr>
          <w:sz w:val="20"/>
          <w:szCs w:val="20"/>
          <w:color w:val="auto"/>
        </w:rPr>
      </w:pPr>
      <w:r>
        <w:rPr>
          <w:rFonts w:ascii="Arial" w:cs="Arial" w:eastAsia="Arial" w:hAnsi="Arial"/>
          <w:sz w:val="21"/>
          <w:szCs w:val="21"/>
          <w:color w:val="auto"/>
        </w:rPr>
        <w:t>8.04 of the LC Credit Agreement. Such financing statements may describe the Collateral in the same manner as described herein or may contain an indication or description of Collateral that describes such Collateral in any other manner as the Agent may reasonably determine is necessary, advisable or prudent to ensure the perfection of the security interest in the Collateral granted to the Agent herein, including, without limitation, describing such property as “all assets of the debtor whether now owned or hereafter acquired and wheresoever located, including all accessions thereto and proceeds thereof” or an equivalent formulation. Each Grantor will take any and all actions reasonably necessary to defend title to the Collateral owned by such Grantor against all persons and to defend the security interest of the Agent in such Collateral and the priority thereof against any Lien, in each case, not expressly permitted hereunder or under the LC Credit Agreement.</w:t>
      </w:r>
    </w:p>
    <w:p>
      <w:pPr>
        <w:spacing w:after="0" w:line="183"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2"/>
          <w:szCs w:val="22"/>
          <w:color w:val="010000"/>
        </w:rPr>
        <w:t xml:space="preserve">4.1.3 </w:t>
      </w:r>
      <w:r>
        <w:rPr>
          <w:rFonts w:ascii="Arial" w:cs="Arial" w:eastAsia="Arial" w:hAnsi="Arial"/>
          <w:sz w:val="22"/>
          <w:szCs w:val="22"/>
          <w:u w:val="single" w:color="auto"/>
          <w:color w:val="000000"/>
        </w:rPr>
        <w:t>Change in Corporate Existence, Type or Jurisdiction of Organization, Location, Name</w:t>
      </w:r>
      <w:r>
        <w:rPr>
          <w:rFonts w:ascii="Arial" w:cs="Arial" w:eastAsia="Arial" w:hAnsi="Arial"/>
          <w:sz w:val="22"/>
          <w:szCs w:val="22"/>
          <w:color w:val="000000"/>
        </w:rPr>
        <w:t>. Each</w:t>
      </w:r>
      <w:r>
        <w:rPr>
          <w:rFonts w:ascii="Arial" w:cs="Arial" w:eastAsia="Arial" w:hAnsi="Arial"/>
          <w:sz w:val="22"/>
          <w:szCs w:val="22"/>
          <w:color w:val="010000"/>
        </w:rPr>
        <w:t xml:space="preserve"> </w:t>
      </w:r>
      <w:r>
        <w:rPr>
          <w:rFonts w:ascii="Arial" w:cs="Arial" w:eastAsia="Arial" w:hAnsi="Arial"/>
          <w:sz w:val="22"/>
          <w:szCs w:val="22"/>
          <w:color w:val="000000"/>
        </w:rPr>
        <w:t>Grantor will, except as otherwise permitted by the LC Credit Agreement:</w:t>
      </w:r>
    </w:p>
    <w:p>
      <w:pPr>
        <w:spacing w:after="0" w:line="168" w:lineRule="exact"/>
        <w:rPr>
          <w:sz w:val="20"/>
          <w:szCs w:val="20"/>
          <w:color w:val="auto"/>
        </w:rPr>
      </w:pPr>
    </w:p>
    <w:p>
      <w:pPr>
        <w:ind w:left="2600" w:hanging="648"/>
        <w:spacing w:after="0"/>
        <w:tabs>
          <w:tab w:leader="none" w:pos="2600" w:val="left"/>
        </w:tabs>
        <w:numPr>
          <w:ilvl w:val="0"/>
          <w:numId w:val="529"/>
        </w:numPr>
        <w:rPr>
          <w:rFonts w:ascii="Arial" w:cs="Arial" w:eastAsia="Arial" w:hAnsi="Arial"/>
          <w:sz w:val="18"/>
          <w:szCs w:val="18"/>
          <w:color w:val="010000"/>
        </w:rPr>
      </w:pPr>
      <w:r>
        <w:rPr>
          <w:rFonts w:ascii="Arial" w:cs="Arial" w:eastAsia="Arial" w:hAnsi="Arial"/>
          <w:sz w:val="18"/>
          <w:szCs w:val="18"/>
          <w:color w:val="auto"/>
        </w:rPr>
        <w:t>preserve its existence and corporate structure as in effect on the Effective Date;</w:t>
      </w:r>
    </w:p>
    <w:p>
      <w:pPr>
        <w:spacing w:after="0" w:line="225" w:lineRule="exact"/>
        <w:rPr>
          <w:rFonts w:ascii="Arial" w:cs="Arial" w:eastAsia="Arial" w:hAnsi="Arial"/>
          <w:sz w:val="18"/>
          <w:szCs w:val="18"/>
          <w:color w:val="010000"/>
        </w:rPr>
      </w:pPr>
    </w:p>
    <w:p>
      <w:pPr>
        <w:ind w:left="2600" w:hanging="648"/>
        <w:spacing w:after="0"/>
        <w:tabs>
          <w:tab w:leader="none" w:pos="2600" w:val="left"/>
        </w:tabs>
        <w:numPr>
          <w:ilvl w:val="0"/>
          <w:numId w:val="529"/>
        </w:numPr>
        <w:rPr>
          <w:rFonts w:ascii="Arial" w:cs="Arial" w:eastAsia="Arial" w:hAnsi="Arial"/>
          <w:sz w:val="18"/>
          <w:szCs w:val="18"/>
          <w:color w:val="010000"/>
        </w:rPr>
      </w:pPr>
      <w:r>
        <w:rPr>
          <w:rFonts w:ascii="Arial" w:cs="Arial" w:eastAsia="Arial" w:hAnsi="Arial"/>
          <w:sz w:val="18"/>
          <w:szCs w:val="18"/>
          <w:color w:val="auto"/>
        </w:rPr>
        <w:t>not change its name or jurisdiction of organization or incorporation;</w:t>
      </w:r>
    </w:p>
    <w:p>
      <w:pPr>
        <w:spacing w:after="0" w:line="225" w:lineRule="exact"/>
        <w:rPr>
          <w:rFonts w:ascii="Arial" w:cs="Arial" w:eastAsia="Arial" w:hAnsi="Arial"/>
          <w:sz w:val="18"/>
          <w:szCs w:val="18"/>
          <w:color w:val="010000"/>
        </w:rPr>
      </w:pPr>
    </w:p>
    <w:p>
      <w:pPr>
        <w:ind w:left="2600" w:right="20" w:hanging="648"/>
        <w:spacing w:after="0" w:line="277" w:lineRule="auto"/>
        <w:tabs>
          <w:tab w:leader="none" w:pos="2600" w:val="left"/>
        </w:tabs>
        <w:numPr>
          <w:ilvl w:val="0"/>
          <w:numId w:val="529"/>
        </w:numPr>
        <w:rPr>
          <w:rFonts w:ascii="Arial" w:cs="Arial" w:eastAsia="Arial" w:hAnsi="Arial"/>
          <w:sz w:val="18"/>
          <w:szCs w:val="18"/>
          <w:color w:val="010000"/>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ind w:left="2600" w:hanging="648"/>
        <w:spacing w:after="0"/>
        <w:tabs>
          <w:tab w:leader="none" w:pos="2600" w:val="left"/>
        </w:tabs>
        <w:numPr>
          <w:ilvl w:val="0"/>
          <w:numId w:val="529"/>
        </w:numPr>
        <w:rPr>
          <w:rFonts w:ascii="Arial" w:cs="Arial" w:eastAsia="Arial" w:hAnsi="Arial"/>
          <w:sz w:val="18"/>
          <w:szCs w:val="18"/>
          <w:color w:val="010000"/>
        </w:rPr>
      </w:pPr>
      <w:r>
        <w:rPr>
          <w:rFonts w:ascii="Arial" w:cs="Arial" w:eastAsia="Arial" w:hAnsi="Arial"/>
          <w:sz w:val="18"/>
          <w:szCs w:val="18"/>
          <w:color w:val="auto"/>
        </w:rPr>
        <w:t>not change its taxpayer identification number (if any) or its mailing address,</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unless, in each such case, such Grantor shall have given the Agent not less than 10 days’ (or such shorter period as the Agent may agree) prior written notice of such event or occurrence.</w:t>
      </w:r>
    </w:p>
    <w:p>
      <w:pPr>
        <w:spacing w:after="0" w:line="174"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4.1.4 </w:t>
      </w:r>
      <w:r>
        <w:rPr>
          <w:rFonts w:ascii="Arial" w:cs="Arial" w:eastAsia="Arial" w:hAnsi="Arial"/>
          <w:sz w:val="22"/>
          <w:szCs w:val="22"/>
          <w:u w:val="single" w:color="auto"/>
          <w:color w:val="000000"/>
        </w:rPr>
        <w:t>Other Financing Statements</w:t>
      </w:r>
      <w:r>
        <w:rPr>
          <w:rFonts w:ascii="Arial" w:cs="Arial" w:eastAsia="Arial" w:hAnsi="Arial"/>
          <w:sz w:val="22"/>
          <w:szCs w:val="22"/>
          <w:color w:val="000000"/>
        </w:rPr>
        <w:t>. No Grantor will suffer to exist or authorize the filing of any financing</w:t>
      </w:r>
      <w:r>
        <w:rPr>
          <w:rFonts w:ascii="Arial" w:cs="Arial" w:eastAsia="Arial" w:hAnsi="Arial"/>
          <w:sz w:val="22"/>
          <w:szCs w:val="22"/>
          <w:color w:val="010000"/>
        </w:rPr>
        <w:t xml:space="preserve"> </w:t>
      </w:r>
      <w:r>
        <w:rPr>
          <w:rFonts w:ascii="Arial" w:cs="Arial" w:eastAsia="Arial" w:hAnsi="Arial"/>
          <w:sz w:val="22"/>
          <w:szCs w:val="22"/>
          <w:color w:val="000000"/>
        </w:rPr>
        <w:t xml:space="preserve">statement naming it as debtor covering all or any portion of the Collateral owned by such Grantor, except any financing statement authorized under </w:t>
      </w:r>
      <w:r>
        <w:rPr>
          <w:rFonts w:ascii="Arial" w:cs="Arial" w:eastAsia="Arial" w:hAnsi="Arial"/>
          <w:sz w:val="22"/>
          <w:szCs w:val="22"/>
          <w:u w:val="single" w:color="auto"/>
          <w:color w:val="000000"/>
        </w:rPr>
        <w:t>Section 4.1.2</w:t>
      </w:r>
      <w:r>
        <w:rPr>
          <w:rFonts w:ascii="Arial" w:cs="Arial" w:eastAsia="Arial" w:hAnsi="Arial"/>
          <w:sz w:val="22"/>
          <w:szCs w:val="22"/>
          <w:color w:val="000000"/>
        </w:rPr>
        <w:t xml:space="preserve"> hereof or in respect of a Lien permitted under Section 8.04 of the LC Credit Agreement. Each Grantor acknowledges that it is not authorized to file any financing statement or amendment or termination statement with respect to any financing statement filed in connection herewith prior to termination of this Security Agreement in accordance with the first sentence of </w:t>
      </w:r>
      <w:r>
        <w:rPr>
          <w:rFonts w:ascii="Arial" w:cs="Arial" w:eastAsia="Arial" w:hAnsi="Arial"/>
          <w:sz w:val="22"/>
          <w:szCs w:val="22"/>
          <w:u w:val="single" w:color="auto"/>
          <w:color w:val="000000"/>
        </w:rPr>
        <w:t>Section 8.13</w:t>
      </w:r>
      <w:r>
        <w:rPr>
          <w:rFonts w:ascii="Arial" w:cs="Arial" w:eastAsia="Arial" w:hAnsi="Arial"/>
          <w:sz w:val="22"/>
          <w:szCs w:val="22"/>
          <w:color w:val="000000"/>
        </w:rPr>
        <w:t xml:space="preserve"> hereof. without the prior written consent of the Agent.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Receivables</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4.2.1 </w:t>
      </w:r>
      <w:r>
        <w:rPr>
          <w:rFonts w:ascii="Arial" w:cs="Arial" w:eastAsia="Arial" w:hAnsi="Arial"/>
          <w:sz w:val="22"/>
          <w:szCs w:val="22"/>
          <w:u w:val="single" w:color="auto"/>
          <w:color w:val="000000"/>
        </w:rPr>
        <w:t>Certain Agreements on Receivables</w:t>
      </w:r>
      <w:r>
        <w:rPr>
          <w:rFonts w:ascii="Arial" w:cs="Arial" w:eastAsia="Arial" w:hAnsi="Arial"/>
          <w:sz w:val="22"/>
          <w:szCs w:val="22"/>
          <w:color w:val="000000"/>
        </w:rPr>
        <w:t>. After the occurrence and during the continuation of an Event</w:t>
      </w:r>
      <w:r>
        <w:rPr>
          <w:rFonts w:ascii="Arial" w:cs="Arial" w:eastAsia="Arial" w:hAnsi="Arial"/>
          <w:sz w:val="22"/>
          <w:szCs w:val="22"/>
          <w:color w:val="010000"/>
        </w:rPr>
        <w:t xml:space="preserve"> </w:t>
      </w:r>
      <w:r>
        <w:rPr>
          <w:rFonts w:ascii="Arial" w:cs="Arial" w:eastAsia="Arial" w:hAnsi="Arial"/>
          <w:sz w:val="22"/>
          <w:szCs w:val="22"/>
          <w:color w:val="000000"/>
        </w:rPr>
        <w:t>of Default, no Grantor will make or agree to make any discount, credit, rebate or other reduction in the original amount owing on a Receivable or accept in satisfaction of a Receivable less than the original amount thereof, except as permitted by the LC Credit Agreement. Prior to the occurrence and continuation of an Event of Default, such Grantor may, in its sole discretion, adjust the amount of Accounts arising from the sale of Inventory or the rendering of services in substantially accordance with its present policies and in the ordinary course of business and as otherwise permitted under the LC Credit Agreement.</w:t>
      </w:r>
    </w:p>
    <w:p>
      <w:pPr>
        <w:spacing w:after="0" w:line="195"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4.2.2 </w:t>
      </w:r>
      <w:r>
        <w:rPr>
          <w:rFonts w:ascii="Arial" w:cs="Arial" w:eastAsia="Arial" w:hAnsi="Arial"/>
          <w:sz w:val="22"/>
          <w:szCs w:val="22"/>
          <w:u w:val="single" w:color="auto"/>
          <w:color w:val="000000"/>
        </w:rPr>
        <w:t>Collection of Receivables</w:t>
      </w:r>
      <w:r>
        <w:rPr>
          <w:rFonts w:ascii="Arial" w:cs="Arial" w:eastAsia="Arial" w:hAnsi="Arial"/>
          <w:sz w:val="22"/>
          <w:szCs w:val="22"/>
          <w:color w:val="000000"/>
        </w:rPr>
        <w:t>. Except as otherwise provided in this Security Agreement or as otherwise</w:t>
      </w:r>
      <w:r>
        <w:rPr>
          <w:rFonts w:ascii="Arial" w:cs="Arial" w:eastAsia="Arial" w:hAnsi="Arial"/>
          <w:sz w:val="22"/>
          <w:szCs w:val="22"/>
          <w:color w:val="010000"/>
        </w:rPr>
        <w:t xml:space="preserve"> </w:t>
      </w:r>
      <w:r>
        <w:rPr>
          <w:rFonts w:ascii="Arial" w:cs="Arial" w:eastAsia="Arial" w:hAnsi="Arial"/>
          <w:sz w:val="22"/>
          <w:szCs w:val="22"/>
          <w:color w:val="000000"/>
        </w:rPr>
        <w:t>permitted under the LC Credit Agreement, each Grantor will use commercially reasonable efforts to collect and enforce, at such Grantor’s sole expense, all amounts due or hereafter due to such Grantor under the Receivables owned by such Grantor.</w:t>
      </w:r>
    </w:p>
    <w:p>
      <w:pPr>
        <w:spacing w:after="0" w:line="191" w:lineRule="exact"/>
        <w:rPr>
          <w:sz w:val="20"/>
          <w:szCs w:val="20"/>
          <w:color w:val="auto"/>
        </w:rPr>
      </w:pPr>
    </w:p>
    <w:p>
      <w:pPr>
        <w:jc w:val="both"/>
        <w:ind w:left="660" w:firstLine="972"/>
        <w:spacing w:after="0" w:line="327" w:lineRule="auto"/>
        <w:rPr>
          <w:sz w:val="20"/>
          <w:szCs w:val="20"/>
          <w:color w:val="auto"/>
        </w:rPr>
      </w:pPr>
      <w:r>
        <w:rPr>
          <w:rFonts w:ascii="Arial" w:cs="Arial" w:eastAsia="Arial" w:hAnsi="Arial"/>
          <w:sz w:val="19"/>
          <w:szCs w:val="19"/>
          <w:color w:val="010000"/>
        </w:rPr>
        <w:t xml:space="preserve">4.2.3 </w:t>
      </w:r>
      <w:r>
        <w:rPr>
          <w:rFonts w:ascii="Arial" w:cs="Arial" w:eastAsia="Arial" w:hAnsi="Arial"/>
          <w:sz w:val="19"/>
          <w:szCs w:val="19"/>
          <w:u w:val="single" w:color="auto"/>
          <w:color w:val="000000"/>
        </w:rPr>
        <w:t>Delivery of Invoices</w:t>
      </w:r>
      <w:r>
        <w:rPr>
          <w:rFonts w:ascii="Arial" w:cs="Arial" w:eastAsia="Arial" w:hAnsi="Arial"/>
          <w:sz w:val="19"/>
          <w:szCs w:val="19"/>
          <w:color w:val="000000"/>
        </w:rPr>
        <w:t>. Each Grantor will deliver to the Agent promptly upon its request after the</w:t>
      </w:r>
      <w:r>
        <w:rPr>
          <w:rFonts w:ascii="Arial" w:cs="Arial" w:eastAsia="Arial" w:hAnsi="Arial"/>
          <w:sz w:val="19"/>
          <w:szCs w:val="19"/>
          <w:color w:val="010000"/>
        </w:rPr>
        <w:t xml:space="preserve"> </w:t>
      </w:r>
      <w:r>
        <w:rPr>
          <w:rFonts w:ascii="Arial" w:cs="Arial" w:eastAsia="Arial" w:hAnsi="Arial"/>
          <w:sz w:val="19"/>
          <w:szCs w:val="19"/>
          <w:color w:val="000000"/>
        </w:rPr>
        <w:t>occurrence and during the continuance of an Event of Default duplicate invoices with respect to each Account owned by such Grantor and, if requested by the Agent, bearing such language of assignment as the Agent shall reasonably specify.</w:t>
      </w:r>
    </w:p>
    <w:p>
      <w:pPr>
        <w:spacing w:after="0" w:line="133"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4.2.4 </w:t>
      </w:r>
      <w:r>
        <w:rPr>
          <w:rFonts w:ascii="Arial" w:cs="Arial" w:eastAsia="Arial" w:hAnsi="Arial"/>
          <w:sz w:val="22"/>
          <w:szCs w:val="22"/>
          <w:u w:val="single" w:color="auto"/>
          <w:color w:val="000000"/>
        </w:rPr>
        <w:t>Disclosure of Counterclaim on Receivables</w:t>
      </w:r>
      <w:r>
        <w:rPr>
          <w:rFonts w:ascii="Arial" w:cs="Arial" w:eastAsia="Arial" w:hAnsi="Arial"/>
          <w:sz w:val="22"/>
          <w:szCs w:val="22"/>
          <w:color w:val="000000"/>
        </w:rPr>
        <w:t>. After the occurrence and during the continuation of an</w:t>
      </w:r>
      <w:r>
        <w:rPr>
          <w:rFonts w:ascii="Arial" w:cs="Arial" w:eastAsia="Arial" w:hAnsi="Arial"/>
          <w:sz w:val="22"/>
          <w:szCs w:val="22"/>
          <w:color w:val="010000"/>
        </w:rPr>
        <w:t xml:space="preserve"> </w:t>
      </w:r>
      <w:r>
        <w:rPr>
          <w:rFonts w:ascii="Arial" w:cs="Arial" w:eastAsia="Arial" w:hAnsi="Arial"/>
          <w:sz w:val="22"/>
          <w:szCs w:val="22"/>
          <w:color w:val="000000"/>
        </w:rPr>
        <w:t>Event of Default, if (i) any discount, credit or agreement to make a rebate or to otherwise reduce the amount owing on a Receivable owned by such Grantor exists or (ii) to the knowledge of such Grantor, any dispute, setoff, claim, counterclaim or defense exists or has been asserted or threatened with respect to a Receivable, such Grantor will disclose such fact to the Agent in writing in connection with the inspection by the Agent of any record of such Grantor relating to such Receivable and in connection with any invoice or report furnished by such Grantor to the Agent relating to such Receivable.</w:t>
      </w:r>
    </w:p>
    <w:p>
      <w:pPr>
        <w:spacing w:after="0" w:line="195" w:lineRule="exact"/>
        <w:rPr>
          <w:sz w:val="20"/>
          <w:szCs w:val="20"/>
          <w:color w:val="auto"/>
        </w:rPr>
      </w:pPr>
    </w:p>
    <w:p>
      <w:pPr>
        <w:jc w:val="both"/>
        <w:ind w:left="660" w:firstLine="972"/>
        <w:spacing w:after="0" w:line="311" w:lineRule="auto"/>
        <w:rPr>
          <w:sz w:val="20"/>
          <w:szCs w:val="20"/>
          <w:color w:val="auto"/>
        </w:rPr>
      </w:pPr>
      <w:r>
        <w:rPr>
          <w:rFonts w:ascii="Arial" w:cs="Arial" w:eastAsia="Arial" w:hAnsi="Arial"/>
          <w:sz w:val="19"/>
          <w:szCs w:val="19"/>
          <w:color w:val="010000"/>
        </w:rPr>
        <w:t xml:space="preserve">4.2.5 </w:t>
      </w:r>
      <w:r>
        <w:rPr>
          <w:rFonts w:ascii="Arial" w:cs="Arial" w:eastAsia="Arial" w:hAnsi="Arial"/>
          <w:sz w:val="19"/>
          <w:szCs w:val="19"/>
          <w:u w:val="single" w:color="auto"/>
          <w:color w:val="000000"/>
        </w:rPr>
        <w:t>Account Verification</w:t>
      </w:r>
      <w:r>
        <w:rPr>
          <w:rFonts w:ascii="Arial" w:cs="Arial" w:eastAsia="Arial" w:hAnsi="Arial"/>
          <w:sz w:val="19"/>
          <w:szCs w:val="19"/>
          <w:color w:val="000000"/>
        </w:rPr>
        <w:t>. Each Grantor will, and will cause each of its Subsidiaries to, permit Agent, in</w:t>
      </w:r>
      <w:r>
        <w:rPr>
          <w:rFonts w:ascii="Arial" w:cs="Arial" w:eastAsia="Arial" w:hAnsi="Arial"/>
          <w:sz w:val="19"/>
          <w:szCs w:val="19"/>
          <w:color w:val="010000"/>
        </w:rPr>
        <w:t xml:space="preserve"> </w:t>
      </w:r>
      <w:r>
        <w:rPr>
          <w:rFonts w:ascii="Arial" w:cs="Arial" w:eastAsia="Arial" w:hAnsi="Arial"/>
          <w:sz w:val="19"/>
          <w:szCs w:val="19"/>
          <w:color w:val="000000"/>
        </w:rPr>
        <w:t>Agent's name or in the name or a nominee of Agent, after the occurrence and during the continuation of an Event of Default, to verify the validity, amount or any other matter relating to any Account, by mail, telephone, facsimile transmission or other electronic means of transmission or otherwise. Further, at the reasonable request of Agent, each Grantor will, and will cause each of its Subsidiaries to, send requests for verification of Accounts or, after the occurrence</w:t>
      </w:r>
    </w:p>
    <w:p>
      <w:pPr>
        <w:sectPr>
          <w:pgSz w:w="11900" w:h="16975" w:orient="portrait"/>
          <w:cols w:equalWidth="0" w:num="1">
            <w:col w:w="11240"/>
          </w:cols>
          <w:pgMar w:left="320" w:top="131" w:right="339" w:bottom="0" w:gutter="0" w:footer="0" w:header="0"/>
        </w:sectPr>
      </w:pPr>
    </w:p>
    <w:bookmarkStart w:id="484" w:name="page485"/>
    <w:bookmarkEnd w:id="484"/>
    <w:p>
      <w:pPr>
        <w:ind w:left="660"/>
        <w:spacing w:after="0" w:line="276" w:lineRule="auto"/>
        <w:rPr>
          <w:sz w:val="20"/>
          <w:szCs w:val="20"/>
          <w:color w:val="auto"/>
        </w:rPr>
      </w:pPr>
      <w:r>
        <w:rPr>
          <w:rFonts w:ascii="Arial" w:cs="Arial" w:eastAsia="Arial" w:hAnsi="Arial"/>
          <w:sz w:val="22"/>
          <w:szCs w:val="22"/>
          <w:color w:val="auto"/>
        </w:rPr>
        <w:t>and during the continuance of an Event of Default, send notices of assignment of Accounts to Account Debtors and other obligors.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Maintenance of Goods</w:t>
      </w:r>
      <w:r>
        <w:rPr>
          <w:rFonts w:ascii="Arial" w:cs="Arial" w:eastAsia="Arial" w:hAnsi="Arial"/>
          <w:sz w:val="22"/>
          <w:szCs w:val="22"/>
          <w:color w:val="auto"/>
        </w:rPr>
        <w:t>. Each Grantor will do all things reasonably necessary to maintain, preserve, protect and keep the Inventory and the Equipment owned by such Grantor and constituting Collateral in good repair, working order and saleable condition (ordinary wear and tear excepted) and make all necessary and proper repairs, renewals and replacements so that its business carried on in connection therewith may be conducted in the ordinary course, consistent with past practices, except in each case where the failure to do so, individually or in the aggregate, could not reasonably be expected to have a Material Adverse Effect.</w:t>
      </w:r>
    </w:p>
    <w:p>
      <w:pPr>
        <w:spacing w:after="0" w:line="19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u w:val="single" w:color="auto"/>
          <w:color w:val="auto"/>
        </w:rPr>
        <w:t>Instruments, Securities, Chattel Paper, Documents of Title and Pledged Deposits</w:t>
      </w:r>
      <w:r>
        <w:rPr>
          <w:rFonts w:ascii="Arial" w:cs="Arial" w:eastAsia="Arial" w:hAnsi="Arial"/>
          <w:sz w:val="19"/>
          <w:szCs w:val="19"/>
          <w:color w:val="auto"/>
        </w:rPr>
        <w:t xml:space="preserve">. Each Grantor will (i) deliver to the Agent immediately upon execution of this Security Agreement the originals of all Chattel Paper and Instruments (other than Intercompany Instruments;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Intercompany Instruments shall not be delivered to any Person which is not a Grantor, the ABL Collateral Agent or the Agent), in each case, to the extent evidencing amounts in excess of $5,000,000 individually, or $10,000,000 in the aggregate, and constituting Collateral (if any then exist) and Securities constituting Collateral (to the extent certificated),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Grantor shall be deemed to have complied with this requirement to the extent that the ABL Collateral Agent has received such Chattel Paper, Instruments or Securities as bailee of the Agent in a manner consistent with the Intercreditor Agreement, (ii) hold in trust for the Agent upon receipt and promptly thereafter deliver to the Agent any Chattel Paper and Instruments (other than Intercompany Instruments;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Intercompany Instruments shall not be delivered to any Person who is not a Grantor, the ABL Collateral Agent or the Agent), in each case, to the extent evidencing amounts in excess of $5,000,000 individually or $10,000,000 in the aggregate, and constituting Collateral (if any then exist) and Securities (to the extent certificated),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Grantor shall be deemed to have complied with this requirement to the extent that the ABL Collateral Agent has received such Chattel Paper, Instruments or Securities as bailee of the Agent in a manner consistent with the Intercreditor Agreement, (iii) upon the designation by a Grantor of any Pledged Deposits (as set forth in the definition thereof) as Collateral, deliver to the Agent such Pledged Deposits which are evidenced by certificates included in the Collateral endorsed in blank, marked with such legends and assigned as the Agent shall reasonably specify,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Grantor shall be deemed to have complied with this requirement to the extent that the ABL Collateral Agent has received such certificates as a bailee of the Agent in a manner consistent with the Intercreditor Agreement, (iv) upon the Agent’s request, after the occurrence and during the continuation of an Event of Default (subject to the terms of the Intercreditor Agreement), deliver to the Agent (and thereafter hold in trust for the Agent upon receipt and promptly deliver to the Agent) any Document of Title evidencing or constituting Collateral, and (v) upon the Agent’s request, deliver to the Agent, promptly after the delivery of a Compliance Certificate, a duly executed amendment to this Security Agreement,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Amendment</w:t>
      </w:r>
      <w:r>
        <w:rPr>
          <w:rFonts w:ascii="Arial" w:cs="Arial" w:eastAsia="Arial" w:hAnsi="Arial"/>
          <w:sz w:val="19"/>
          <w:szCs w:val="19"/>
          <w:color w:val="auto"/>
        </w:rPr>
        <w:t>”), pursuant to which such Grantor will specify such additional Collateral pledged hereunder. Such Grantor hereby authorizes the Agent to attach each Amendment to this Security Agreement and agrees that all additional Collateral owned by it set forth in such Amendments shall be considered to be part of the Collateral.</w:t>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u w:val="single" w:color="auto"/>
          <w:color w:val="auto"/>
        </w:rPr>
        <w:t>Uncertificated Securities and Certain Other Investment Property</w:t>
      </w:r>
      <w:r>
        <w:rPr>
          <w:rFonts w:ascii="Arial" w:cs="Arial" w:eastAsia="Arial" w:hAnsi="Arial"/>
          <w:sz w:val="19"/>
          <w:szCs w:val="19"/>
          <w:color w:val="auto"/>
        </w:rPr>
        <w:t>. Each Grantor will, following the reasonable request of the Agent (and after the occurrence and during the continuation of an Event of Default, will permit the Agent to) from time to time to cause the appropriate issuers (and, if held with a Securities Intermediary, such Securities Intermediary) of Uncertificated Securities or other types of Investment Property owned by such Grantor and constituting Collateral that are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Lien of the Agent granted pursuant to this Security Agreement. With respect to Investment Property having a value in excess of $5,000,000 individually or $10,000,000 in the aggregate and constituting Collateral owned by such Grantor held with a Futures Intermediary or Securities Intermediary (including in a Securities Account), such Grantor shall, within 30 days following the Effective Date or such later date on which it becomes a Grantor hereunder (in each case, or such later date as may be agreed to by the Agent in its sole discretion), cause such Futures Intermediary or Securities Intermediary to enter into a Control Agreement with the Agent in form and substance reasonably satisfactory to the Agent, in order to give the Agent Control (subject to the terms of the Intercreditor Agreement) of such Investment Property.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Stock and Other Ownership Interests</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79" w:lineRule="auto"/>
        <w:rPr>
          <w:sz w:val="20"/>
          <w:szCs w:val="20"/>
          <w:color w:val="auto"/>
        </w:rPr>
      </w:pPr>
      <w:r>
        <w:rPr>
          <w:rFonts w:ascii="Arial" w:cs="Arial" w:eastAsia="Arial" w:hAnsi="Arial"/>
          <w:sz w:val="21"/>
          <w:szCs w:val="21"/>
          <w:color w:val="010000"/>
        </w:rPr>
        <w:t xml:space="preserve">4.6.1 </w:t>
      </w:r>
      <w:r>
        <w:rPr>
          <w:rFonts w:ascii="Arial" w:cs="Arial" w:eastAsia="Arial" w:hAnsi="Arial"/>
          <w:sz w:val="21"/>
          <w:szCs w:val="21"/>
          <w:u w:val="single" w:color="auto"/>
          <w:color w:val="000000"/>
        </w:rPr>
        <w:t>Registration of Pledged Securities and other Investment Property</w:t>
      </w:r>
      <w:r>
        <w:rPr>
          <w:rFonts w:ascii="Arial" w:cs="Arial" w:eastAsia="Arial" w:hAnsi="Arial"/>
          <w:sz w:val="21"/>
          <w:szCs w:val="21"/>
          <w:color w:val="000000"/>
        </w:rPr>
        <w:t>. Subject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4.6.4</w:t>
      </w:r>
      <w:r>
        <w:rPr>
          <w:rFonts w:ascii="Arial" w:cs="Arial" w:eastAsia="Arial" w:hAnsi="Arial"/>
          <w:sz w:val="21"/>
          <w:szCs w:val="21"/>
          <w:color w:val="010000"/>
        </w:rPr>
        <w:t xml:space="preserve"> </w:t>
      </w:r>
      <w:r>
        <w:rPr>
          <w:rFonts w:ascii="Arial" w:cs="Arial" w:eastAsia="Arial" w:hAnsi="Arial"/>
          <w:sz w:val="21"/>
          <w:szCs w:val="21"/>
          <w:color w:val="000000"/>
        </w:rPr>
        <w:t>hereof in</w:t>
      </w:r>
      <w:r>
        <w:rPr>
          <w:rFonts w:ascii="Arial" w:cs="Arial" w:eastAsia="Arial" w:hAnsi="Arial"/>
          <w:sz w:val="21"/>
          <w:szCs w:val="21"/>
          <w:color w:val="010000"/>
        </w:rPr>
        <w:t xml:space="preserve"> </w:t>
      </w:r>
      <w:r>
        <w:rPr>
          <w:rFonts w:ascii="Arial" w:cs="Arial" w:eastAsia="Arial" w:hAnsi="Arial"/>
          <w:sz w:val="21"/>
          <w:szCs w:val="21"/>
          <w:color w:val="000000"/>
        </w:rPr>
        <w:t>the case of ULC Shares, each Grantor will permit any registrable Collateral owned by such Grantor to be registered in the name of the Agent or its nominee at any time at the option of the Required Lenders following the occurrence and during the continuance of an Event of Default and without any further consent of such Grantor.</w:t>
      </w:r>
    </w:p>
    <w:p>
      <w:pPr>
        <w:spacing w:after="0" w:line="173"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4.6.2 </w:t>
      </w:r>
      <w:r>
        <w:rPr>
          <w:rFonts w:ascii="Arial" w:cs="Arial" w:eastAsia="Arial" w:hAnsi="Arial"/>
          <w:sz w:val="22"/>
          <w:szCs w:val="22"/>
          <w:u w:val="single" w:color="auto"/>
          <w:color w:val="000000"/>
        </w:rPr>
        <w:t>Exercise of Rights in Pledged Securities</w:t>
      </w:r>
      <w:r>
        <w:rPr>
          <w:rFonts w:ascii="Arial" w:cs="Arial" w:eastAsia="Arial" w:hAnsi="Arial"/>
          <w:sz w:val="22"/>
          <w:szCs w:val="22"/>
          <w:color w:val="000000"/>
        </w:rPr>
        <w:t>. Subject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4.6.4</w:t>
      </w:r>
      <w:r>
        <w:rPr>
          <w:rFonts w:ascii="Arial" w:cs="Arial" w:eastAsia="Arial" w:hAnsi="Arial"/>
          <w:sz w:val="22"/>
          <w:szCs w:val="22"/>
          <w:color w:val="010000"/>
        </w:rPr>
        <w:t xml:space="preserve"> </w:t>
      </w:r>
      <w:r>
        <w:rPr>
          <w:rFonts w:ascii="Arial" w:cs="Arial" w:eastAsia="Arial" w:hAnsi="Arial"/>
          <w:sz w:val="22"/>
          <w:szCs w:val="22"/>
          <w:color w:val="000000"/>
        </w:rPr>
        <w:t>hereof in the case of ULC Shares,</w:t>
      </w:r>
      <w:r>
        <w:rPr>
          <w:rFonts w:ascii="Arial" w:cs="Arial" w:eastAsia="Arial" w:hAnsi="Arial"/>
          <w:sz w:val="22"/>
          <w:szCs w:val="22"/>
          <w:color w:val="010000"/>
        </w:rPr>
        <w:t xml:space="preserve"> </w:t>
      </w:r>
      <w:r>
        <w:rPr>
          <w:rFonts w:ascii="Arial" w:cs="Arial" w:eastAsia="Arial" w:hAnsi="Arial"/>
          <w:sz w:val="22"/>
          <w:szCs w:val="22"/>
          <w:color w:val="000000"/>
        </w:rPr>
        <w:t>each Grantor will permit the Agent or its nominee at any time after the occurrence and during the continuance of an Event of Default, without notice, to exercise or refrain from exercising any and all voting and other consensual rights pertaining to Pledged Collateral owned by such Grantor or any part thereof, and to receive all dividends and interest in respect of such Pledged Collateral.</w:t>
      </w:r>
    </w:p>
    <w:p>
      <w:pPr>
        <w:sectPr>
          <w:pgSz w:w="11900" w:h="16838" w:orient="portrait"/>
          <w:cols w:equalWidth="0" w:num="1">
            <w:col w:w="11240"/>
          </w:cols>
          <w:pgMar w:left="320" w:top="131" w:right="339" w:bottom="0" w:gutter="0" w:footer="0" w:header="0"/>
        </w:sectPr>
      </w:pPr>
    </w:p>
    <w:bookmarkStart w:id="485" w:name="page486"/>
    <w:bookmarkEnd w:id="485"/>
    <w:p>
      <w:pPr>
        <w:spacing w:after="0" w:line="25" w:lineRule="exact"/>
        <w:rPr>
          <w:sz w:val="20"/>
          <w:szCs w:val="20"/>
          <w:color w:val="auto"/>
        </w:rPr>
      </w:pPr>
    </w:p>
    <w:p>
      <w:pPr>
        <w:jc w:val="both"/>
        <w:ind w:left="660" w:firstLine="972"/>
        <w:spacing w:after="0" w:line="306" w:lineRule="auto"/>
        <w:rPr>
          <w:sz w:val="20"/>
          <w:szCs w:val="20"/>
          <w:color w:val="auto"/>
        </w:rPr>
      </w:pPr>
      <w:r>
        <w:rPr>
          <w:rFonts w:ascii="Arial" w:cs="Arial" w:eastAsia="Arial" w:hAnsi="Arial"/>
          <w:sz w:val="19"/>
          <w:szCs w:val="19"/>
          <w:color w:val="010000"/>
        </w:rPr>
        <w:t xml:space="preserve">4.6.3 </w:t>
      </w:r>
      <w:r>
        <w:rPr>
          <w:rFonts w:ascii="Arial" w:cs="Arial" w:eastAsia="Arial" w:hAnsi="Arial"/>
          <w:sz w:val="19"/>
          <w:szCs w:val="19"/>
          <w:u w:val="single" w:color="auto"/>
          <w:color w:val="000000"/>
        </w:rPr>
        <w:t>Transfer Restrictions</w:t>
      </w:r>
      <w:r>
        <w:rPr>
          <w:rFonts w:ascii="Arial" w:cs="Arial" w:eastAsia="Arial" w:hAnsi="Arial"/>
          <w:sz w:val="19"/>
          <w:szCs w:val="19"/>
          <w:color w:val="000000"/>
        </w:rPr>
        <w:t>. If the organizational documents of any Subsidiary (other than a ULC) restrict</w:t>
      </w:r>
      <w:r>
        <w:rPr>
          <w:rFonts w:ascii="Arial" w:cs="Arial" w:eastAsia="Arial" w:hAnsi="Arial"/>
          <w:sz w:val="19"/>
          <w:szCs w:val="19"/>
          <w:color w:val="010000"/>
        </w:rPr>
        <w:t xml:space="preserve"> </w:t>
      </w:r>
      <w:r>
        <w:rPr>
          <w:rFonts w:ascii="Arial" w:cs="Arial" w:eastAsia="Arial" w:hAnsi="Arial"/>
          <w:sz w:val="19"/>
          <w:szCs w:val="19"/>
          <w:color w:val="000000"/>
        </w:rPr>
        <w:t>the transfer of the Securities of such Subsidiary, then such Grantor shall deliver to the Agent a certified copy of a resolution of the directors, shareholders, unitholders or partners of such Subsidiary, as applicable, consenting to the transfer(s) contemplated by this Security Agreement, including any prospective transfer of the Pledged Collateral of such Grantor by the Agent upon a realization on the Liens hereunder. For greater certainty, the Agent shall have no right under any circumstance to vote ULC Shares or receive dividends from any ULC until such time as notice is given to the applicable Grantor and further steps are taken so as to register the Agent as the holder of the applicable ULC Shares.</w:t>
      </w:r>
    </w:p>
    <w:p>
      <w:pPr>
        <w:spacing w:after="0" w:line="156" w:lineRule="exact"/>
        <w:rPr>
          <w:sz w:val="20"/>
          <w:szCs w:val="20"/>
          <w:color w:val="auto"/>
        </w:rPr>
      </w:pPr>
    </w:p>
    <w:p>
      <w:pPr>
        <w:jc w:val="both"/>
        <w:ind w:left="660" w:firstLine="972"/>
        <w:spacing w:after="0" w:line="296" w:lineRule="auto"/>
        <w:rPr>
          <w:sz w:val="20"/>
          <w:szCs w:val="20"/>
          <w:color w:val="auto"/>
        </w:rPr>
      </w:pPr>
      <w:r>
        <w:rPr>
          <w:rFonts w:ascii="Arial" w:cs="Arial" w:eastAsia="Arial" w:hAnsi="Arial"/>
          <w:sz w:val="19"/>
          <w:szCs w:val="19"/>
          <w:color w:val="010000"/>
        </w:rPr>
        <w:t xml:space="preserve">4.6.4 </w:t>
      </w:r>
      <w:r>
        <w:rPr>
          <w:rFonts w:ascii="Arial" w:cs="Arial" w:eastAsia="Arial" w:hAnsi="Arial"/>
          <w:sz w:val="19"/>
          <w:szCs w:val="19"/>
          <w:u w:val="single" w:color="auto"/>
          <w:color w:val="000000"/>
        </w:rPr>
        <w:t>ULC Shares</w:t>
      </w:r>
      <w:r>
        <w:rPr>
          <w:rFonts w:ascii="Arial" w:cs="Arial" w:eastAsia="Arial" w:hAnsi="Arial"/>
          <w:sz w:val="19"/>
          <w:szCs w:val="19"/>
          <w:color w:val="000000"/>
        </w:rPr>
        <w:t>. Each Grantor acknowledges that certain of the Collateral of such Grantor may now or</w:t>
      </w:r>
      <w:r>
        <w:rPr>
          <w:rFonts w:ascii="Arial" w:cs="Arial" w:eastAsia="Arial" w:hAnsi="Arial"/>
          <w:sz w:val="19"/>
          <w:szCs w:val="19"/>
          <w:color w:val="010000"/>
        </w:rPr>
        <w:t xml:space="preserve"> </w:t>
      </w:r>
      <w:r>
        <w:rPr>
          <w:rFonts w:ascii="Arial" w:cs="Arial" w:eastAsia="Arial" w:hAnsi="Arial"/>
          <w:sz w:val="19"/>
          <w:szCs w:val="19"/>
          <w:color w:val="000000"/>
        </w:rPr>
        <w:t>in the future consist of ULC Shares, and that it is the intention of the Agent and each Grantor that neither the Agent nor any other Secured Party should under any circumstances prior to realization thereon be held to be a “member” or a “shareholder”, as applicable, of a ULC for the purposes of any ULC Laws. Therefore, notwithstanding any provision to the contrary contained in this Security Agreement, the LC Credit Agreement or any other Loan Document, where a Grantor is the registered owner of ULC Shares which are Collateral of such Grantor, such Grantor shall remain the sole registered owner of such ULC Shares until such time as such ULC Shares are effectively transferred into the name of the Agent, any other Secured Party, or any other Person on the books and records of the applicable ULC. Accordingly, each Grantor shall be entitled to receive and retain for its own account any dividend on or other distribution, if any, with respect to such ULC Shares (except for any dividend or distribution comprised of Security Certificates pledged of such Grantor, which shall be delivered to the Agent to hold hereunder) and shall have the right to vote such ULC Shares and to control the direction, management and policies of the applicable ULC to the same extent as such Grantor would if such ULC Shares were not pledged to the Agent pursuant hereto. Nothing in this Security Agreement, the LC Credit Agreement or any other Loan Document is intended to, and nothing in this Security Agreement, the LC Credit Agreement or any other Loan Document shall, constitute the Agent, any other Secured Party, or any other Person other than the applicable Grantor, a member or shareholder of a ULC for the purposes of any ULC Laws (whether listed or unlisted, registered or beneficial), until such time as notice is given to such Grantor and further steps are taken pursuant hereto or thereto so as to register the Agent, any other Secured Party, or such other Person, as specified in such notice, as the holder of the ULC Shares. To the extent any provision hereof would have the effect of constituting the Agent or any other Secured Party as a member or a shareholder, as applicable, of any ULC prior to such time, such provision shall be severed herefrom and shall be ineffective with respect to ULC Shares which are Collateral of any Grantor without otherwise invalidating or rendering unenforceable this Security Agreement or invalidating or rendering unenforceable such provision insofar as it relates to Collateral of any Grantor which is not ULC Shares. Except upon the exercise of rights of the Agent to sell, transfer or otherwise dispose of ULC Shares in accordance with this Security Agreement, each Grantor shall not cause or permit, or enable a Subsidiary that is a ULC to cause or permit, the Agent or any other Secured Party to:</w:t>
      </w:r>
    </w:p>
    <w:p>
      <w:pPr>
        <w:spacing w:after="0" w:line="18" w:lineRule="exact"/>
        <w:rPr>
          <w:sz w:val="20"/>
          <w:szCs w:val="20"/>
          <w:color w:val="auto"/>
        </w:rPr>
      </w:pPr>
    </w:p>
    <w:p>
      <w:pPr>
        <w:jc w:val="both"/>
        <w:ind w:left="660" w:hanging="4"/>
        <w:spacing w:after="0" w:line="275" w:lineRule="auto"/>
        <w:tabs>
          <w:tab w:leader="none" w:pos="958" w:val="left"/>
        </w:tabs>
        <w:numPr>
          <w:ilvl w:val="0"/>
          <w:numId w:val="530"/>
        </w:numPr>
        <w:rPr>
          <w:rFonts w:ascii="Arial" w:cs="Arial" w:eastAsia="Arial" w:hAnsi="Arial"/>
          <w:sz w:val="21"/>
          <w:szCs w:val="21"/>
          <w:color w:val="auto"/>
        </w:rPr>
      </w:pPr>
      <w:r>
        <w:rPr>
          <w:rFonts w:ascii="Arial" w:cs="Arial" w:eastAsia="Arial" w:hAnsi="Arial"/>
          <w:sz w:val="21"/>
          <w:szCs w:val="21"/>
          <w:color w:val="auto"/>
        </w:rPr>
        <w:t>be registered as a shareholder or member of such Subsidiary; (b) have any notation entered in their favour in the share register of such Subsidiary; (c) be held out as shareholders or members of such Subsidiary; (d) receive, directly or indirectly, any dividends, property or other distributions from such Subsidiary by reason of the Agent holding a Lien over the ULC Shares; or (e) act as a shareholder of such Subsidiary, or exercise any rights of a shareholder including the right to attend a meeting of shareholders of such Subsidiary or to vote its ULC Shares.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u w:val="single" w:color="auto"/>
          <w:color w:val="auto"/>
        </w:rPr>
        <w:t>Specified Deposit Accounts</w:t>
      </w:r>
      <w:r>
        <w:rPr>
          <w:rFonts w:ascii="Arial" w:cs="Arial" w:eastAsia="Arial" w:hAnsi="Arial"/>
          <w:sz w:val="22"/>
          <w:szCs w:val="22"/>
          <w:color w:val="auto"/>
        </w:rPr>
        <w:t>. Each Grantor will cause each bank or other financial institution in which it maintains a Specified Deposit Account to enter into a Control Agreement with the Agent and the ABL Collateral Agent, in form and substance reasonably satisfactory to the Agent in order to give the Agent Control (subject to the terms of the Intercreditor Agreement) of the Specified Deposit Account within 60 days following the Effective Date or such later date on which it becomes a Grantor hereunder (in each case, or such later date as may be agreed to by the Agent in its sole discretion). In the case of deposits maintained with Lenders, the terms of such Control Agreement shall be subject to the provisions of the LC Credit Agreement regarding setoffs.</w:t>
      </w:r>
    </w:p>
    <w:p>
      <w:pPr>
        <w:spacing w:after="0" w:line="1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u w:val="single" w:color="auto"/>
          <w:color w:val="auto"/>
        </w:rPr>
        <w:t>Letter of Credit Rights</w:t>
      </w:r>
      <w:r>
        <w:rPr>
          <w:rFonts w:ascii="Arial" w:cs="Arial" w:eastAsia="Arial" w:hAnsi="Arial"/>
          <w:sz w:val="22"/>
          <w:szCs w:val="22"/>
          <w:color w:val="auto"/>
        </w:rPr>
        <w:t>. Each Grantor will, upon the Agent’s request, cause each issuer of a letter of credit in excess of $5,000,000 individually or in the aggregate to consent to the assignment of proceeds of such letter of credit in order to give the Agent Control (subject to the terms of the Intercreditor Agreement) of the Letter of Credit Rights to such letter of credit, to the extent possible under applicable law.</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305" w:lineRule="auto"/>
        <w:rPr>
          <w:sz w:val="20"/>
          <w:szCs w:val="20"/>
          <w:color w:val="auto"/>
        </w:rPr>
      </w:pPr>
      <w:r>
        <w:rPr>
          <w:rFonts w:ascii="Arial" w:cs="Arial" w:eastAsia="Arial" w:hAnsi="Arial"/>
          <w:sz w:val="19"/>
          <w:szCs w:val="19"/>
          <w:color w:val="010000"/>
        </w:rPr>
        <w:t xml:space="preserve">4.9.1 </w:t>
      </w:r>
      <w:r>
        <w:rPr>
          <w:rFonts w:ascii="Arial" w:cs="Arial" w:eastAsia="Arial" w:hAnsi="Arial"/>
          <w:sz w:val="19"/>
          <w:szCs w:val="19"/>
          <w:color w:val="000000"/>
        </w:rPr>
        <w:t>If, after the date hereof, any Grantor obtains rights to, including, but not limited to filing and</w:t>
      </w:r>
      <w:r>
        <w:rPr>
          <w:rFonts w:ascii="Arial" w:cs="Arial" w:eastAsia="Arial" w:hAnsi="Arial"/>
          <w:sz w:val="19"/>
          <w:szCs w:val="19"/>
          <w:color w:val="010000"/>
        </w:rPr>
        <w:t xml:space="preserve"> </w:t>
      </w:r>
      <w:r>
        <w:rPr>
          <w:rFonts w:ascii="Arial" w:cs="Arial" w:eastAsia="Arial" w:hAnsi="Arial"/>
          <w:sz w:val="19"/>
          <w:szCs w:val="19"/>
          <w:color w:val="000000"/>
        </w:rPr>
        <w:t xml:space="preserve">acceptance of a statement of use or an amendment to allege use with the United States Patent and Trademark Office or the Canadian Intellectual Property Office, or applies for or seeks registration of, any new Patent, Trademark, Copyright or Industrial Design in addition to the Patents, Trademarks, Copyrights and Industrial Designs described in </w:t>
      </w:r>
      <w:r>
        <w:rPr>
          <w:rFonts w:ascii="Arial" w:cs="Arial" w:eastAsia="Arial" w:hAnsi="Arial"/>
          <w:sz w:val="19"/>
          <w:szCs w:val="19"/>
          <w:u w:val="single" w:color="auto"/>
          <w:color w:val="000000"/>
        </w:rPr>
        <w:t>Exhibit "B"</w:t>
      </w:r>
      <w:r>
        <w:rPr>
          <w:rFonts w:ascii="Arial" w:cs="Arial" w:eastAsia="Arial" w:hAnsi="Arial"/>
          <w:sz w:val="19"/>
          <w:szCs w:val="19"/>
          <w:color w:val="000000"/>
        </w:rPr>
        <w:t>, then to the extent the foregoing constitutes Specified Intellectual Property, such Grantor agrees promptly and within 60 days following the date on which financial statements are required to be delivered pursuant to Section 7.01(a) and/or Section 7.01(b) of the LC Credit Agreement, to execute and deliver to the Agent any supplement to this Security Agreement or any other document reasonably requested by the Agent to evidence such security interest in a form appropriate for</w:t>
      </w:r>
    </w:p>
    <w:p>
      <w:pPr>
        <w:sectPr>
          <w:pgSz w:w="11900" w:h="16863" w:orient="portrait"/>
          <w:cols w:equalWidth="0" w:num="1">
            <w:col w:w="11240"/>
          </w:cols>
          <w:pgMar w:left="320" w:top="131" w:right="339" w:bottom="0" w:gutter="0" w:footer="0" w:header="0"/>
        </w:sectPr>
      </w:pPr>
    </w:p>
    <w:bookmarkStart w:id="486" w:name="page487"/>
    <w:bookmarkEnd w:id="486"/>
    <w:p>
      <w:pPr>
        <w:spacing w:after="0" w:line="24"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 xml:space="preserve">recording in the applicable federal office. In the event the applicable Grantor does not comply with the above deadline, each Grantor also hereby authorizes the Agent to (i) modify this Security Agreement unilaterally by amending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to include any future Patents, Trademarks, Copyrights and/or Industrial Designs constituting Specified Intellectual Property of which such Grantor is required to notify the Agent pursuant hereto and (ii) record, in addition to and not in substitution for this Security Agreement, a duplicate original of this Security Agreement (or other registrable notice) containing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 description of such future registrations and applications for Patents, Trademarks, Copyrights and/or Industrial Designs constituting Specified Intellectual Property.</w:t>
      </w:r>
    </w:p>
    <w:p>
      <w:pPr>
        <w:spacing w:after="0" w:line="156" w:lineRule="exact"/>
        <w:rPr>
          <w:sz w:val="20"/>
          <w:szCs w:val="20"/>
          <w:color w:val="auto"/>
        </w:rPr>
      </w:pPr>
    </w:p>
    <w:p>
      <w:pPr>
        <w:jc w:val="both"/>
        <w:ind w:left="660" w:firstLine="972"/>
        <w:spacing w:after="0" w:line="271" w:lineRule="auto"/>
        <w:rPr>
          <w:sz w:val="20"/>
          <w:szCs w:val="20"/>
          <w:color w:val="auto"/>
        </w:rPr>
      </w:pPr>
      <w:r>
        <w:rPr>
          <w:rFonts w:ascii="Arial" w:cs="Arial" w:eastAsia="Arial" w:hAnsi="Arial"/>
          <w:sz w:val="21"/>
          <w:szCs w:val="21"/>
          <w:color w:val="010000"/>
        </w:rPr>
        <w:t xml:space="preserve">4.9.2 </w:t>
      </w:r>
      <w:r>
        <w:rPr>
          <w:rFonts w:ascii="Arial" w:cs="Arial" w:eastAsia="Arial" w:hAnsi="Arial"/>
          <w:sz w:val="21"/>
          <w:szCs w:val="21"/>
          <w:color w:val="000000"/>
        </w:rPr>
        <w:t>As of the applicable Determination Date, no Grantor has any interest in, or title to, any Intellectual</w:t>
      </w:r>
      <w:r>
        <w:rPr>
          <w:rFonts w:ascii="Arial" w:cs="Arial" w:eastAsia="Arial" w:hAnsi="Arial"/>
          <w:sz w:val="21"/>
          <w:szCs w:val="21"/>
          <w:color w:val="010000"/>
        </w:rPr>
        <w:t xml:space="preserve"> </w:t>
      </w:r>
      <w:r>
        <w:rPr>
          <w:rFonts w:ascii="Arial" w:cs="Arial" w:eastAsia="Arial" w:hAnsi="Arial"/>
          <w:sz w:val="21"/>
          <w:szCs w:val="21"/>
          <w:color w:val="000000"/>
        </w:rPr>
        <w:t xml:space="preserve">Property registration or applications, except as set forth in </w:t>
      </w:r>
      <w:r>
        <w:rPr>
          <w:rFonts w:ascii="Arial" w:cs="Arial" w:eastAsia="Arial" w:hAnsi="Arial"/>
          <w:sz w:val="21"/>
          <w:szCs w:val="21"/>
          <w:u w:val="single" w:color="auto"/>
          <w:color w:val="000000"/>
        </w:rPr>
        <w:t>Exhibit “B”</w:t>
      </w:r>
      <w:r>
        <w:rPr>
          <w:rFonts w:ascii="Arial" w:cs="Arial" w:eastAsia="Arial" w:hAnsi="Arial"/>
          <w:sz w:val="21"/>
          <w:szCs w:val="21"/>
          <w:color w:val="000000"/>
        </w:rPr>
        <w:t xml:space="preserve">. As of the applicable Determination Date, this Security Agreement is effective to create a valid and continuing Lien on each Grantor’s interest in its Intellectual Property and, upon timely filing of the IP Short Form with respect to Copyrights with the United States Copyright Office and filing of the IP Short Form with respect to Patents and the IP Short Form with respect to Trademarks with the United States Patent and Trademark Office, or a Notice of Security Interest with the Canadian Intellectual Property Office, and the filing of appropriate financing statements in the jurisdictions listed in </w:t>
      </w:r>
      <w:r>
        <w:rPr>
          <w:rFonts w:ascii="Arial" w:cs="Arial" w:eastAsia="Arial" w:hAnsi="Arial"/>
          <w:sz w:val="21"/>
          <w:szCs w:val="21"/>
          <w:u w:val="single" w:color="auto"/>
          <w:color w:val="000000"/>
        </w:rPr>
        <w:t>Exhibit “E”</w:t>
      </w:r>
      <w:r>
        <w:rPr>
          <w:rFonts w:ascii="Arial" w:cs="Arial" w:eastAsia="Arial" w:hAnsi="Arial"/>
          <w:sz w:val="21"/>
          <w:szCs w:val="21"/>
          <w:color w:val="000000"/>
        </w:rPr>
        <w:t xml:space="preserve"> hereto, all action necessary or desirable to protect and perfect the security interest in, to and on each Grantor’s interest in Patents, Trademarks, Copyrights or Industrial Designs that are set forth in </w:t>
      </w:r>
      <w:r>
        <w:rPr>
          <w:rFonts w:ascii="Arial" w:cs="Arial" w:eastAsia="Arial" w:hAnsi="Arial"/>
          <w:sz w:val="21"/>
          <w:szCs w:val="21"/>
          <w:u w:val="single" w:color="auto"/>
          <w:color w:val="000000"/>
        </w:rPr>
        <w:t>Exhibit “B”</w:t>
      </w:r>
      <w:r>
        <w:rPr>
          <w:rFonts w:ascii="Arial" w:cs="Arial" w:eastAsia="Arial" w:hAnsi="Arial"/>
          <w:sz w:val="21"/>
          <w:szCs w:val="21"/>
          <w:color w:val="000000"/>
        </w:rPr>
        <w:t xml:space="preserve"> as of the applicable Determination Date shall have been taken and such perfected security interest shall be enforceable as such as against any and all creditors of and purchasers from any Grantor.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Updating of Exhibits to Security Agreement</w:t>
      </w:r>
      <w:r>
        <w:rPr>
          <w:rFonts w:ascii="Arial" w:cs="Arial" w:eastAsia="Arial" w:hAnsi="Arial"/>
          <w:sz w:val="22"/>
          <w:szCs w:val="22"/>
          <w:color w:val="auto"/>
        </w:rPr>
        <w:t>. The Borrowers will provide to the Agent, concurrently with the delivery of each Compliance Certificate required by Section 7.01(e) of the LC Credit Agreement, updated versions of the Exhibits to this Security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there have been no changes to any such Exhibits since the previous updating thereof required hereby, the Borrowers shall indicate that there has been “no change” to the applicable Exhibit(s)). Any reference to any Exhibit herein shall mean such Exhibit after giving effect to any updates thereof by the Borrowers or such Grantor pursuant to this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or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33"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5.1.1 </w:t>
      </w:r>
      <w:r>
        <w:rPr>
          <w:rFonts w:ascii="Arial" w:cs="Arial" w:eastAsia="Arial" w:hAnsi="Arial"/>
          <w:sz w:val="22"/>
          <w:szCs w:val="22"/>
          <w:color w:val="000000"/>
        </w:rPr>
        <w:t>Upon the occurrence and during the continuation of an Event of Default, the Agent may, and at the</w:t>
      </w:r>
      <w:r>
        <w:rPr>
          <w:rFonts w:ascii="Arial" w:cs="Arial" w:eastAsia="Arial" w:hAnsi="Arial"/>
          <w:sz w:val="22"/>
          <w:szCs w:val="22"/>
          <w:color w:val="010000"/>
        </w:rPr>
        <w:t xml:space="preserve"> </w:t>
      </w:r>
      <w:r>
        <w:rPr>
          <w:rFonts w:ascii="Arial" w:cs="Arial" w:eastAsia="Arial" w:hAnsi="Arial"/>
          <w:sz w:val="22"/>
          <w:szCs w:val="22"/>
          <w:color w:val="000000"/>
        </w:rPr>
        <w:t>direction of the Required Lenders shall, subject to the Intercreditor Agreement, exercise any or all of the following rights and remedies:</w:t>
      </w:r>
    </w:p>
    <w:p>
      <w:pPr>
        <w:spacing w:after="0" w:line="179" w:lineRule="exact"/>
        <w:rPr>
          <w:sz w:val="20"/>
          <w:szCs w:val="20"/>
          <w:color w:val="auto"/>
        </w:rPr>
      </w:pPr>
    </w:p>
    <w:p>
      <w:pPr>
        <w:jc w:val="both"/>
        <w:ind w:left="1300" w:hanging="644"/>
        <w:spacing w:after="0" w:line="263" w:lineRule="auto"/>
        <w:tabs>
          <w:tab w:leader="none" w:pos="1300" w:val="left"/>
        </w:tabs>
        <w:numPr>
          <w:ilvl w:val="0"/>
          <w:numId w:val="531"/>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4.6.4</w:t>
      </w:r>
      <w:r>
        <w:rPr>
          <w:rFonts w:ascii="Arial" w:cs="Arial" w:eastAsia="Arial" w:hAnsi="Arial"/>
          <w:sz w:val="18"/>
          <w:szCs w:val="18"/>
          <w:color w:val="auto"/>
        </w:rPr>
        <w:t xml:space="preserve"> hereof in the case of ULC Shares, those rights and remedies provided in this Security Agreement, the LC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not be understood to limit any rights or remedies available to the Agent and the Secured Parties prior to an Event of Default.</w:t>
      </w:r>
    </w:p>
    <w:p>
      <w:pPr>
        <w:spacing w:after="0" w:line="183" w:lineRule="exact"/>
        <w:rPr>
          <w:rFonts w:ascii="Arial" w:cs="Arial" w:eastAsia="Arial" w:hAnsi="Arial"/>
          <w:sz w:val="18"/>
          <w:szCs w:val="18"/>
          <w:color w:val="010000"/>
        </w:rPr>
      </w:pPr>
    </w:p>
    <w:p>
      <w:pPr>
        <w:jc w:val="both"/>
        <w:ind w:left="1300" w:hanging="644"/>
        <w:spacing w:after="0" w:line="263" w:lineRule="auto"/>
        <w:tabs>
          <w:tab w:leader="none" w:pos="1300" w:val="left"/>
        </w:tabs>
        <w:numPr>
          <w:ilvl w:val="0"/>
          <w:numId w:val="531"/>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4.6.4</w:t>
      </w:r>
      <w:r>
        <w:rPr>
          <w:rFonts w:ascii="Arial" w:cs="Arial" w:eastAsia="Arial" w:hAnsi="Arial"/>
          <w:sz w:val="18"/>
          <w:szCs w:val="18"/>
          <w:color w:val="auto"/>
        </w:rPr>
        <w:t xml:space="preserve"> hereof in the case of ULC Shares, those rights and remedies available to a secured party under the PPSA (whether or not the PPSA applies to the affected Collateral) or under any other applicable law when a debtor is in default under a security agreement.</w:t>
      </w:r>
    </w:p>
    <w:p>
      <w:pPr>
        <w:spacing w:after="0" w:line="183"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531"/>
        </w:numPr>
        <w:rPr>
          <w:rFonts w:ascii="Arial" w:cs="Arial" w:eastAsia="Arial" w:hAnsi="Arial"/>
          <w:sz w:val="18"/>
          <w:szCs w:val="18"/>
          <w:color w:val="010000"/>
        </w:rPr>
      </w:pPr>
      <w:r>
        <w:rPr>
          <w:rFonts w:ascii="Arial" w:cs="Arial" w:eastAsia="Arial" w:hAnsi="Arial"/>
          <w:sz w:val="18"/>
          <w:szCs w:val="18"/>
          <w:color w:val="auto"/>
        </w:rPr>
        <w:t>Give notice of sole control or any other instruction under any Control Agreement or other control agreement with any Securities Intermediary and take any action therein with respect to such Collateral.</w:t>
      </w:r>
    </w:p>
    <w:p>
      <w:pPr>
        <w:spacing w:after="0" w:line="170" w:lineRule="exact"/>
        <w:rPr>
          <w:rFonts w:ascii="Arial" w:cs="Arial" w:eastAsia="Arial" w:hAnsi="Arial"/>
          <w:sz w:val="18"/>
          <w:szCs w:val="18"/>
          <w:color w:val="010000"/>
        </w:rPr>
      </w:pPr>
    </w:p>
    <w:p>
      <w:pPr>
        <w:jc w:val="both"/>
        <w:ind w:left="1300" w:hanging="644"/>
        <w:spacing w:after="0" w:line="254" w:lineRule="auto"/>
        <w:tabs>
          <w:tab w:leader="none" w:pos="1300" w:val="left"/>
        </w:tabs>
        <w:numPr>
          <w:ilvl w:val="0"/>
          <w:numId w:val="531"/>
        </w:numPr>
        <w:rPr>
          <w:rFonts w:ascii="Arial" w:cs="Arial" w:eastAsia="Arial" w:hAnsi="Arial"/>
          <w:sz w:val="18"/>
          <w:szCs w:val="18"/>
          <w:color w:val="010000"/>
        </w:rPr>
      </w:pPr>
      <w:r>
        <w:rPr>
          <w:rFonts w:ascii="Arial" w:cs="Arial" w:eastAsia="Arial" w:hAnsi="Arial"/>
          <w:sz w:val="18"/>
          <w:szCs w:val="18"/>
          <w:color w:val="auto"/>
        </w:rPr>
        <w:t xml:space="preserve">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Agent may deem commercially reasonable.</w:t>
      </w:r>
    </w:p>
    <w:p>
      <w:pPr>
        <w:spacing w:after="0" w:line="194" w:lineRule="exact"/>
        <w:rPr>
          <w:rFonts w:ascii="Arial" w:cs="Arial" w:eastAsia="Arial" w:hAnsi="Arial"/>
          <w:sz w:val="18"/>
          <w:szCs w:val="18"/>
          <w:color w:val="010000"/>
        </w:rPr>
      </w:pPr>
    </w:p>
    <w:p>
      <w:pPr>
        <w:jc w:val="both"/>
        <w:ind w:left="1300" w:hanging="644"/>
        <w:spacing w:after="0" w:line="296" w:lineRule="auto"/>
        <w:tabs>
          <w:tab w:leader="none" w:pos="1300" w:val="left"/>
        </w:tabs>
        <w:numPr>
          <w:ilvl w:val="0"/>
          <w:numId w:val="531"/>
        </w:numPr>
        <w:rPr>
          <w:rFonts w:ascii="Arial" w:cs="Arial" w:eastAsia="Arial" w:hAnsi="Arial"/>
          <w:sz w:val="16"/>
          <w:szCs w:val="16"/>
          <w:color w:val="010000"/>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4.6.4</w:t>
      </w:r>
      <w:r>
        <w:rPr>
          <w:rFonts w:ascii="Arial" w:cs="Arial" w:eastAsia="Arial" w:hAnsi="Arial"/>
          <w:sz w:val="16"/>
          <w:szCs w:val="16"/>
          <w:color w:val="auto"/>
        </w:rPr>
        <w:t xml:space="preserve"> hereof in the case of ULC Shares, 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Collateral as though the Agent was the outright owner thereof.</w:t>
      </w:r>
    </w:p>
    <w:p>
      <w:pPr>
        <w:spacing w:after="0" w:line="161" w:lineRule="exact"/>
        <w:rPr>
          <w:rFonts w:ascii="Arial" w:cs="Arial" w:eastAsia="Arial" w:hAnsi="Arial"/>
          <w:sz w:val="16"/>
          <w:szCs w:val="16"/>
          <w:color w:val="010000"/>
        </w:rPr>
      </w:pPr>
    </w:p>
    <w:p>
      <w:pPr>
        <w:jc w:val="both"/>
        <w:ind w:left="1300" w:hanging="644"/>
        <w:spacing w:after="0" w:line="311" w:lineRule="auto"/>
        <w:tabs>
          <w:tab w:leader="none" w:pos="1300" w:val="left"/>
        </w:tabs>
        <w:numPr>
          <w:ilvl w:val="0"/>
          <w:numId w:val="531"/>
        </w:numPr>
        <w:rPr>
          <w:rFonts w:ascii="Arial" w:cs="Arial" w:eastAsia="Arial" w:hAnsi="Arial"/>
          <w:sz w:val="16"/>
          <w:szCs w:val="16"/>
          <w:color w:val="010000"/>
        </w:rPr>
      </w:pPr>
      <w:r>
        <w:rPr>
          <w:rFonts w:ascii="Arial" w:cs="Arial" w:eastAsia="Arial" w:hAnsi="Arial"/>
          <w:sz w:val="16"/>
          <w:szCs w:val="16"/>
          <w:color w:val="auto"/>
        </w:rPr>
        <w:t xml:space="preserve">Appoint by instrument in writing one or more Receivers of any or all Grantors or any or all of the Collateral of any or all Grantors with such rights, powers and authority (including any or all of the rights, powers and authority of the Administrative Agent under this Security Agreement, subject to </w:t>
      </w:r>
      <w:r>
        <w:rPr>
          <w:rFonts w:ascii="Arial" w:cs="Arial" w:eastAsia="Arial" w:hAnsi="Arial"/>
          <w:sz w:val="16"/>
          <w:szCs w:val="16"/>
          <w:u w:val="single" w:color="auto"/>
          <w:color w:val="auto"/>
        </w:rPr>
        <w:t>Section 4.6.4</w:t>
      </w:r>
      <w:r>
        <w:rPr>
          <w:rFonts w:ascii="Arial" w:cs="Arial" w:eastAsia="Arial" w:hAnsi="Arial"/>
          <w:sz w:val="16"/>
          <w:szCs w:val="16"/>
          <w:color w:val="auto"/>
        </w:rPr>
        <w:t xml:space="preserve"> hereof in the case of ULC Shares) as may be provided for in the instrument of appointment or any</w:t>
      </w:r>
    </w:p>
    <w:p>
      <w:pPr>
        <w:sectPr>
          <w:pgSz w:w="11900" w:h="16862" w:orient="portrait"/>
          <w:cols w:equalWidth="0" w:num="1">
            <w:col w:w="11240"/>
          </w:cols>
          <w:pgMar w:left="320" w:top="131" w:right="339" w:bottom="0" w:gutter="0" w:footer="0" w:header="0"/>
        </w:sectPr>
      </w:pPr>
    </w:p>
    <w:bookmarkStart w:id="487" w:name="page488"/>
    <w:bookmarkEnd w:id="487"/>
    <w:p>
      <w:pPr>
        <w:spacing w:after="0" w:line="21"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supplemental instrument, and remove and replace any such Receiver from time to time. To the extent permitted by applicable law, any Receiver appointed by the Agent will (for purposes relating to the responsibility for the Receiver's acts or omissions) be considered to be the agent of any such Grantor and not of the Agent or any of the other Secured Parties.</w:t>
      </w:r>
    </w:p>
    <w:p>
      <w:pPr>
        <w:spacing w:after="0" w:line="184" w:lineRule="exact"/>
        <w:rPr>
          <w:sz w:val="20"/>
          <w:szCs w:val="20"/>
          <w:color w:val="auto"/>
        </w:rPr>
      </w:pPr>
    </w:p>
    <w:p>
      <w:pPr>
        <w:ind w:left="1300" w:hanging="644"/>
        <w:spacing w:after="0" w:line="277" w:lineRule="auto"/>
        <w:tabs>
          <w:tab w:leader="none" w:pos="1300" w:val="left"/>
        </w:tabs>
        <w:numPr>
          <w:ilvl w:val="0"/>
          <w:numId w:val="532"/>
        </w:numPr>
        <w:rPr>
          <w:rFonts w:ascii="Arial" w:cs="Arial" w:eastAsia="Arial" w:hAnsi="Arial"/>
          <w:sz w:val="18"/>
          <w:szCs w:val="18"/>
          <w:color w:val="010000"/>
        </w:rPr>
      </w:pPr>
      <w:r>
        <w:rPr>
          <w:rFonts w:ascii="Arial" w:cs="Arial" w:eastAsia="Arial" w:hAnsi="Arial"/>
          <w:sz w:val="18"/>
          <w:szCs w:val="18"/>
          <w:color w:val="auto"/>
        </w:rPr>
        <w:t>Obtain from any court of competent jurisdiction an order for the appointment of a Receiver of any or all Grantors or of any or all of the Collateral of any or all Grantors.</w:t>
      </w:r>
    </w:p>
    <w:p>
      <w:pPr>
        <w:spacing w:after="0" w:line="177"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5.1.2 </w:t>
      </w:r>
      <w:r>
        <w:rPr>
          <w:rFonts w:ascii="Arial" w:cs="Arial" w:eastAsia="Arial" w:hAnsi="Arial"/>
          <w:sz w:val="22"/>
          <w:szCs w:val="22"/>
          <w:color w:val="000000"/>
        </w:rPr>
        <w:t>The Agent, on behalf of the Secured Parties, shall comply with any applicable provincial, territorial</w:t>
      </w:r>
      <w:r>
        <w:rPr>
          <w:rFonts w:ascii="Arial" w:cs="Arial" w:eastAsia="Arial" w:hAnsi="Arial"/>
          <w:sz w:val="22"/>
          <w:szCs w:val="22"/>
          <w:color w:val="010000"/>
        </w:rPr>
        <w:t xml:space="preserve"> </w:t>
      </w:r>
      <w:r>
        <w:rPr>
          <w:rFonts w:ascii="Arial" w:cs="Arial" w:eastAsia="Arial" w:hAnsi="Arial"/>
          <w:sz w:val="22"/>
          <w:szCs w:val="22"/>
          <w:color w:val="000000"/>
        </w:rPr>
        <w:t>or federal law requirements in connection with a disposition of the Collateral, and such compliance will not be considered to adversely affect the commercial reasonableness of any sale of the Collateral.</w:t>
      </w:r>
    </w:p>
    <w:p>
      <w:pPr>
        <w:spacing w:after="0" w:line="185"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5.1.3 </w:t>
      </w:r>
      <w:r>
        <w:rPr>
          <w:rFonts w:ascii="Arial" w:cs="Arial" w:eastAsia="Arial" w:hAnsi="Arial"/>
          <w:sz w:val="22"/>
          <w:szCs w:val="22"/>
          <w:color w:val="000000"/>
        </w:rPr>
        <w:t>The Agent shall have the right upon any such public sale or sales and, to the extent permitted by</w:t>
      </w:r>
      <w:r>
        <w:rPr>
          <w:rFonts w:ascii="Arial" w:cs="Arial" w:eastAsia="Arial" w:hAnsi="Arial"/>
          <w:sz w:val="22"/>
          <w:szCs w:val="22"/>
          <w:color w:val="010000"/>
        </w:rPr>
        <w:t xml:space="preserve"> </w:t>
      </w:r>
      <w:r>
        <w:rPr>
          <w:rFonts w:ascii="Arial" w:cs="Arial" w:eastAsia="Arial" w:hAnsi="Arial"/>
          <w:sz w:val="22"/>
          <w:szCs w:val="22"/>
          <w:color w:val="000000"/>
        </w:rPr>
        <w:t>law, upon any such private sale or sales, to purchase for the benefit of the Agent and the other Secured Parties, the whole or any part of the Collateral so sold, free of any right of equity redemption, which equity redemption the Grantor hereby expressly releases.</w:t>
      </w:r>
    </w:p>
    <w:p>
      <w:pPr>
        <w:spacing w:after="0" w:line="191" w:lineRule="exact"/>
        <w:rPr>
          <w:sz w:val="20"/>
          <w:szCs w:val="20"/>
          <w:color w:val="auto"/>
        </w:rPr>
      </w:pPr>
    </w:p>
    <w:p>
      <w:pPr>
        <w:jc w:val="both"/>
        <w:ind w:left="660" w:firstLine="972"/>
        <w:spacing w:after="0" w:line="260" w:lineRule="auto"/>
        <w:rPr>
          <w:sz w:val="20"/>
          <w:szCs w:val="20"/>
          <w:color w:val="auto"/>
        </w:rPr>
      </w:pPr>
      <w:r>
        <w:rPr>
          <w:rFonts w:ascii="Arial" w:cs="Arial" w:eastAsia="Arial" w:hAnsi="Arial"/>
          <w:sz w:val="22"/>
          <w:szCs w:val="22"/>
          <w:color w:val="010000"/>
        </w:rPr>
        <w:t xml:space="preserve">5.1.4 </w:t>
      </w:r>
      <w:r>
        <w:rPr>
          <w:rFonts w:ascii="Arial" w:cs="Arial" w:eastAsia="Arial" w:hAnsi="Arial"/>
          <w:sz w:val="22"/>
          <w:szCs w:val="22"/>
          <w:color w:val="000000"/>
        </w:rPr>
        <w:t>Until the Agent is able to effect a sale, lease, or other disposition of Collateral, the Agent shall have</w:t>
      </w:r>
      <w:r>
        <w:rPr>
          <w:rFonts w:ascii="Arial" w:cs="Arial" w:eastAsia="Arial" w:hAnsi="Arial"/>
          <w:sz w:val="22"/>
          <w:szCs w:val="22"/>
          <w:color w:val="010000"/>
        </w:rPr>
        <w:t xml:space="preserve"> </w:t>
      </w:r>
      <w:r>
        <w:rPr>
          <w:rFonts w:ascii="Arial" w:cs="Arial" w:eastAsia="Arial" w:hAnsi="Arial"/>
          <w:sz w:val="22"/>
          <w:szCs w:val="22"/>
          <w:color w:val="000000"/>
        </w:rPr>
        <w:t>the right to hold or use Collateral, or any part thereof, to the extent that it deems appropriate for the purpose of preserving Collateral or its value or for any other purpose deemed appropriate by the Agent. The Agent may, if it so elects, seek the appointment of a receiver or keeper to take possession of Collateral and to enforce any of the Agent’s remedies (for the benefit of the Agent and other Secured Parties), with respect to such appointment without prior notice or hearing as to such appointment.</w:t>
      </w:r>
    </w:p>
    <w:p>
      <w:pPr>
        <w:spacing w:after="0" w:line="192" w:lineRule="exact"/>
        <w:rPr>
          <w:sz w:val="20"/>
          <w:szCs w:val="20"/>
          <w:color w:val="auto"/>
        </w:rPr>
      </w:pPr>
    </w:p>
    <w:p>
      <w:pPr>
        <w:ind w:left="1620"/>
        <w:spacing w:after="0"/>
        <w:tabs>
          <w:tab w:leader="none" w:pos="2660" w:val="left"/>
        </w:tabs>
        <w:rPr>
          <w:sz w:val="20"/>
          <w:szCs w:val="20"/>
          <w:color w:val="auto"/>
        </w:rPr>
      </w:pPr>
      <w:r>
        <w:rPr>
          <w:rFonts w:ascii="Arial" w:cs="Arial" w:eastAsia="Arial" w:hAnsi="Arial"/>
          <w:sz w:val="22"/>
          <w:szCs w:val="22"/>
          <w:color w:val="010000"/>
        </w:rPr>
        <w:t>5.1.5</w:t>
      </w:r>
      <w:r>
        <w:rPr>
          <w:sz w:val="20"/>
          <w:szCs w:val="20"/>
          <w:color w:val="auto"/>
        </w:rPr>
        <w:tab/>
      </w:r>
      <w:r>
        <w:rPr>
          <w:rFonts w:ascii="Arial" w:cs="Arial" w:eastAsia="Arial" w:hAnsi="Arial"/>
          <w:sz w:val="19"/>
          <w:szCs w:val="19"/>
          <w:color w:val="auto"/>
        </w:rPr>
        <w:t>Notwithstanding the foregoing, neither the Agent nor any other Secured Party shall be required to</w:t>
      </w:r>
    </w:p>
    <w:p>
      <w:pPr>
        <w:spacing w:after="0" w:line="21" w:lineRule="exact"/>
        <w:rPr>
          <w:sz w:val="20"/>
          <w:szCs w:val="20"/>
          <w:color w:val="auto"/>
        </w:rPr>
      </w:pPr>
    </w:p>
    <w:p>
      <w:pPr>
        <w:jc w:val="both"/>
        <w:ind w:left="660" w:hanging="4"/>
        <w:spacing w:after="0" w:line="302" w:lineRule="auto"/>
        <w:tabs>
          <w:tab w:leader="none" w:pos="932" w:val="left"/>
        </w:tabs>
        <w:numPr>
          <w:ilvl w:val="0"/>
          <w:numId w:val="533"/>
        </w:numPr>
        <w:rPr>
          <w:rFonts w:ascii="Arial" w:cs="Arial" w:eastAsia="Arial" w:hAnsi="Arial"/>
          <w:sz w:val="19"/>
          <w:szCs w:val="19"/>
          <w:color w:val="auto"/>
        </w:rPr>
      </w:pPr>
      <w:r>
        <w:rPr>
          <w:rFonts w:ascii="Arial" w:cs="Arial" w:eastAsia="Arial" w:hAnsi="Arial"/>
          <w:sz w:val="19"/>
          <w:szCs w:val="19"/>
          <w:color w:val="auto"/>
        </w:rPr>
        <w:t>make any demand 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 To the extent that it lawfully may, each Grantor hereby agrees that it will not invoke any law relating to the marshaling of collateral which might cause delay in or impede the enforcement of Agent's rights and remedies under this Security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162" w:lineRule="exact"/>
        <w:rPr>
          <w:sz w:val="20"/>
          <w:szCs w:val="20"/>
          <w:color w:val="auto"/>
        </w:rPr>
      </w:pPr>
    </w:p>
    <w:p>
      <w:pPr>
        <w:jc w:val="both"/>
        <w:ind w:left="660" w:firstLine="972"/>
        <w:spacing w:after="0" w:line="305" w:lineRule="auto"/>
        <w:rPr>
          <w:sz w:val="20"/>
          <w:szCs w:val="20"/>
          <w:color w:val="auto"/>
        </w:rPr>
      </w:pPr>
      <w:r>
        <w:rPr>
          <w:rFonts w:ascii="Arial" w:cs="Arial" w:eastAsia="Arial" w:hAnsi="Arial"/>
          <w:sz w:val="19"/>
          <w:szCs w:val="19"/>
          <w:color w:val="010000"/>
        </w:rPr>
        <w:t xml:space="preserve">5.1.6 </w:t>
      </w:r>
      <w:r>
        <w:rPr>
          <w:rFonts w:ascii="Arial" w:cs="Arial" w:eastAsia="Arial" w:hAnsi="Arial"/>
          <w:sz w:val="19"/>
          <w:szCs w:val="19"/>
          <w:color w:val="000000"/>
        </w:rPr>
        <w:t>Each Grantor recognizes that the Agent may be unable to effect a public sale of any or all the</w:t>
      </w:r>
      <w:r>
        <w:rPr>
          <w:rFonts w:ascii="Arial" w:cs="Arial" w:eastAsia="Arial" w:hAnsi="Arial"/>
          <w:sz w:val="19"/>
          <w:szCs w:val="19"/>
          <w:color w:val="010000"/>
        </w:rPr>
        <w:t xml:space="preserve"> </w:t>
      </w:r>
      <w:r>
        <w:rPr>
          <w:rFonts w:ascii="Arial" w:cs="Arial" w:eastAsia="Arial" w:hAnsi="Arial"/>
          <w:sz w:val="19"/>
          <w:szCs w:val="19"/>
          <w:color w:val="000000"/>
        </w:rPr>
        <w:t xml:space="preserve">Pledged Collateral and may be compelled to resort to one or more private sales thereof in accordance with </w:t>
      </w:r>
      <w:r>
        <w:rPr>
          <w:rFonts w:ascii="Arial" w:cs="Arial" w:eastAsia="Arial" w:hAnsi="Arial"/>
          <w:sz w:val="19"/>
          <w:szCs w:val="19"/>
          <w:u w:val="single" w:color="auto"/>
          <w:color w:val="000000"/>
        </w:rPr>
        <w:t>Section 5.1.1</w:t>
      </w:r>
      <w:r>
        <w:rPr>
          <w:rFonts w:ascii="Arial" w:cs="Arial" w:eastAsia="Arial" w:hAnsi="Arial"/>
          <w:sz w:val="19"/>
          <w:szCs w:val="19"/>
          <w:color w:val="000000"/>
        </w:rPr>
        <w:t xml:space="preserve"> above. Each Grantor also acknowledges that any private sale may result in prices and other terms less favourable to the seller than if such sale were a public sale and, notwithstanding such circumstances, agrees that any such private sale shall not be deemed to have been made in a commercially unreasonable manner solely by virtue of such sale being private. The Agent shall be under no obligation to delay a sale of any of the Pledged Collateral for the period of time necessary to permit any Grantor or the issuer of the Pledged Collateral to register such securities for public sale under applicable securities laws, even if the applicable Grantor and the issuer would agree to do so.</w:t>
      </w:r>
    </w:p>
    <w:p>
      <w:pPr>
        <w:spacing w:after="0" w:line="15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u w:val="single" w:color="auto"/>
          <w:color w:val="auto"/>
        </w:rPr>
        <w:t>Grantors’ Obligations Upon Default</w:t>
      </w:r>
      <w:r>
        <w:rPr>
          <w:rFonts w:ascii="Arial" w:cs="Arial" w:eastAsia="Arial" w:hAnsi="Arial"/>
          <w:sz w:val="22"/>
          <w:szCs w:val="22"/>
          <w:color w:val="auto"/>
        </w:rPr>
        <w:t>. Upon the written request of the Agent after the occurrence and during the continuation of an Event of Default, subject to the Intercreditor Agreement, each Grantor will:</w:t>
      </w:r>
    </w:p>
    <w:p>
      <w:pPr>
        <w:spacing w:after="0" w:line="174" w:lineRule="exact"/>
        <w:rPr>
          <w:sz w:val="20"/>
          <w:szCs w:val="20"/>
          <w:color w:val="auto"/>
        </w:rPr>
      </w:pPr>
    </w:p>
    <w:p>
      <w:pPr>
        <w:jc w:val="both"/>
        <w:ind w:left="660" w:right="20" w:firstLine="972"/>
        <w:spacing w:after="0" w:line="276" w:lineRule="auto"/>
        <w:rPr>
          <w:sz w:val="20"/>
          <w:szCs w:val="20"/>
          <w:color w:val="auto"/>
        </w:rPr>
      </w:pPr>
      <w:r>
        <w:rPr>
          <w:rFonts w:ascii="Arial" w:cs="Arial" w:eastAsia="Arial" w:hAnsi="Arial"/>
          <w:sz w:val="22"/>
          <w:szCs w:val="22"/>
          <w:color w:val="010000"/>
        </w:rPr>
        <w:t xml:space="preserve">5.2.1 </w:t>
      </w:r>
      <w:r>
        <w:rPr>
          <w:rFonts w:ascii="Arial" w:cs="Arial" w:eastAsia="Arial" w:hAnsi="Arial"/>
          <w:sz w:val="22"/>
          <w:szCs w:val="22"/>
          <w:u w:val="single" w:color="auto"/>
          <w:color w:val="000000"/>
        </w:rPr>
        <w:t>Assembly of Collateral</w:t>
      </w:r>
      <w:r>
        <w:rPr>
          <w:rFonts w:ascii="Arial" w:cs="Arial" w:eastAsia="Arial" w:hAnsi="Arial"/>
          <w:sz w:val="22"/>
          <w:szCs w:val="22"/>
          <w:color w:val="000000"/>
        </w:rPr>
        <w:t>. Assemble and make available to the Agent the Collateral and all books and</w:t>
      </w:r>
      <w:r>
        <w:rPr>
          <w:rFonts w:ascii="Arial" w:cs="Arial" w:eastAsia="Arial" w:hAnsi="Arial"/>
          <w:sz w:val="22"/>
          <w:szCs w:val="22"/>
          <w:color w:val="010000"/>
        </w:rPr>
        <w:t xml:space="preserve"> </w:t>
      </w:r>
      <w:r>
        <w:rPr>
          <w:rFonts w:ascii="Arial" w:cs="Arial" w:eastAsia="Arial" w:hAnsi="Arial"/>
          <w:sz w:val="22"/>
          <w:szCs w:val="22"/>
          <w:color w:val="000000"/>
        </w:rPr>
        <w:t>records relating thereto at any place or places specified in writing by the Agent.</w:t>
      </w:r>
    </w:p>
    <w:p>
      <w:pPr>
        <w:spacing w:after="0" w:line="174"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5.2.2 </w:t>
      </w:r>
      <w:r>
        <w:rPr>
          <w:rFonts w:ascii="Arial" w:cs="Arial" w:eastAsia="Arial" w:hAnsi="Arial"/>
          <w:sz w:val="21"/>
          <w:szCs w:val="21"/>
          <w:u w:val="single" w:color="auto"/>
          <w:color w:val="000000"/>
        </w:rPr>
        <w:t>Secured Party Access</w:t>
      </w:r>
      <w:r>
        <w:rPr>
          <w:rFonts w:ascii="Arial" w:cs="Arial" w:eastAsia="Arial" w:hAnsi="Arial"/>
          <w:sz w:val="21"/>
          <w:szCs w:val="21"/>
          <w:color w:val="000000"/>
        </w:rPr>
        <w:t>. Permit the Agent, by the Agent’s representatives and agents, to enter, occupy</w:t>
      </w:r>
      <w:r>
        <w:rPr>
          <w:rFonts w:ascii="Arial" w:cs="Arial" w:eastAsia="Arial" w:hAnsi="Arial"/>
          <w:sz w:val="21"/>
          <w:szCs w:val="21"/>
          <w:color w:val="010000"/>
        </w:rPr>
        <w:t xml:space="preserve"> </w:t>
      </w:r>
      <w:r>
        <w:rPr>
          <w:rFonts w:ascii="Arial" w:cs="Arial" w:eastAsia="Arial" w:hAnsi="Arial"/>
          <w:sz w:val="21"/>
          <w:szCs w:val="21"/>
          <w:color w:val="000000"/>
        </w:rPr>
        <w:t>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77"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5.2.3 </w:t>
      </w:r>
      <w:r>
        <w:rPr>
          <w:rFonts w:ascii="Arial" w:cs="Arial" w:eastAsia="Arial" w:hAnsi="Arial"/>
          <w:sz w:val="21"/>
          <w:szCs w:val="21"/>
          <w:color w:val="000000"/>
        </w:rPr>
        <w:t>Prepare and file, or cause an issuer of Pledged Collateral to prepare and file, with any applicable</w:t>
      </w:r>
      <w:r>
        <w:rPr>
          <w:rFonts w:ascii="Arial" w:cs="Arial" w:eastAsia="Arial" w:hAnsi="Arial"/>
          <w:sz w:val="21"/>
          <w:szCs w:val="21"/>
          <w:color w:val="010000"/>
        </w:rPr>
        <w:t xml:space="preserve"> </w:t>
      </w:r>
      <w:r>
        <w:rPr>
          <w:rFonts w:ascii="Arial" w:cs="Arial" w:eastAsia="Arial" w:hAnsi="Arial"/>
          <w:sz w:val="21"/>
          <w:szCs w:val="21"/>
          <w:color w:val="000000"/>
        </w:rPr>
        <w:t>securities regulatory authority or other government agency, registration statements, a prospectus and such other documentation in connection with the Pledged Collateral as the Agent may request, all in form and substance reasonably satisfactory to the Agent, and furnish to the Agent, or cause an issuer of Pledged Collateral to furnish to the Agent, any information regarding the Pledged Collateral in such detail as the Agent may specify.</w:t>
      </w:r>
    </w:p>
    <w:p>
      <w:pPr>
        <w:spacing w:after="0" w:line="177" w:lineRule="exact"/>
        <w:rPr>
          <w:sz w:val="20"/>
          <w:szCs w:val="20"/>
          <w:color w:val="auto"/>
        </w:rPr>
      </w:pPr>
    </w:p>
    <w:p>
      <w:pPr>
        <w:jc w:val="both"/>
        <w:ind w:left="660" w:firstLine="972"/>
        <w:spacing w:after="0" w:line="358" w:lineRule="auto"/>
        <w:rPr>
          <w:sz w:val="20"/>
          <w:szCs w:val="20"/>
          <w:color w:val="auto"/>
        </w:rPr>
      </w:pPr>
      <w:r>
        <w:rPr>
          <w:rFonts w:ascii="Arial" w:cs="Arial" w:eastAsia="Arial" w:hAnsi="Arial"/>
          <w:sz w:val="19"/>
          <w:szCs w:val="19"/>
          <w:color w:val="010000"/>
        </w:rPr>
        <w:t xml:space="preserve">5.2.4 </w:t>
      </w:r>
      <w:r>
        <w:rPr>
          <w:rFonts w:ascii="Arial" w:cs="Arial" w:eastAsia="Arial" w:hAnsi="Arial"/>
          <w:sz w:val="19"/>
          <w:szCs w:val="19"/>
          <w:color w:val="000000"/>
        </w:rPr>
        <w:t>Subject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4.6.4</w:t>
      </w:r>
      <w:r>
        <w:rPr>
          <w:rFonts w:ascii="Arial" w:cs="Arial" w:eastAsia="Arial" w:hAnsi="Arial"/>
          <w:sz w:val="19"/>
          <w:szCs w:val="19"/>
          <w:color w:val="010000"/>
        </w:rPr>
        <w:t xml:space="preserve"> </w:t>
      </w:r>
      <w:r>
        <w:rPr>
          <w:rFonts w:ascii="Arial" w:cs="Arial" w:eastAsia="Arial" w:hAnsi="Arial"/>
          <w:sz w:val="19"/>
          <w:szCs w:val="19"/>
          <w:color w:val="000000"/>
        </w:rPr>
        <w:t>hereof in the case of ULC Shares, take, or cause an issuer of Pledged</w:t>
      </w:r>
      <w:r>
        <w:rPr>
          <w:rFonts w:ascii="Arial" w:cs="Arial" w:eastAsia="Arial" w:hAnsi="Arial"/>
          <w:sz w:val="19"/>
          <w:szCs w:val="19"/>
          <w:color w:val="010000"/>
        </w:rPr>
        <w:t xml:space="preserve"> </w:t>
      </w:r>
      <w:r>
        <w:rPr>
          <w:rFonts w:ascii="Arial" w:cs="Arial" w:eastAsia="Arial" w:hAnsi="Arial"/>
          <w:sz w:val="19"/>
          <w:szCs w:val="19"/>
          <w:color w:val="000000"/>
        </w:rPr>
        <w:t>Collateral to take, any and all actions necessary to register or qualify the Pledged Collateral to enable the Agent to</w:t>
      </w:r>
    </w:p>
    <w:p>
      <w:pPr>
        <w:sectPr>
          <w:pgSz w:w="11900" w:h="16860" w:orient="portrait"/>
          <w:cols w:equalWidth="0" w:num="1">
            <w:col w:w="11240"/>
          </w:cols>
          <w:pgMar w:left="320" w:top="125" w:right="339" w:bottom="0" w:gutter="0" w:footer="0" w:header="0"/>
        </w:sectPr>
      </w:pPr>
    </w:p>
    <w:bookmarkStart w:id="488" w:name="page489"/>
    <w:bookmarkEnd w:id="488"/>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consummate a public sale or other disposition of the Pledged Collateral.</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u w:val="single" w:color="auto"/>
          <w:color w:val="auto"/>
        </w:rPr>
        <w:t>License</w:t>
      </w:r>
      <w:r>
        <w:rPr>
          <w:rFonts w:ascii="Arial" w:cs="Arial" w:eastAsia="Arial" w:hAnsi="Arial"/>
          <w:sz w:val="21"/>
          <w:szCs w:val="21"/>
          <w:color w:val="auto"/>
        </w:rPr>
        <w:t>. The Agent is hereby granted a sublicenseable license or other right to use, following the occurrence and during the continuance of an Event of Default and, subject to the Intercreditor Agreement, without charge, each Grantor’s Intellectual Property and to access all media and materials containing same. In addition, each Grantor hereby irrevocably agrees that the Agent may, following the occurrence and during the continuance of an Event of Default, subject to the Intercreditor Agreement, sell any of such Grantor’s Inventory constituting Collateral directly to any person, including without limitation persons who have previously purchased such Grantor’s Inventory from such Grantor and in connection with any such sale or other enforcement of the Agent’s rights under this Security Agreement, may sell such Inventory which bears any trademark owned by or licensed to such Grantor and any such Inventory that is covered by any copyright owned by or licensed to such Grantor and the Agent may (but shall have no obligation to) finish any work in process and affix any Trademark owned by or licensed to such Grantor and sell such Inventory as provided herein.</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Remedies Cumulative</w:t>
      </w:r>
      <w:r>
        <w:rPr>
          <w:rFonts w:ascii="Arial" w:cs="Arial" w:eastAsia="Arial" w:hAnsi="Arial"/>
          <w:sz w:val="22"/>
          <w:szCs w:val="22"/>
          <w:color w:val="000000"/>
        </w:rPr>
        <w:t>. Each right, power, and remedy of Agent or any other Secured Party as provided for in</w:t>
      </w:r>
      <w:r>
        <w:rPr>
          <w:rFonts w:ascii="Arial" w:cs="Arial" w:eastAsia="Arial" w:hAnsi="Arial"/>
          <w:sz w:val="22"/>
          <w:szCs w:val="22"/>
          <w:color w:val="010000"/>
        </w:rPr>
        <w:t xml:space="preserve"> </w:t>
      </w:r>
      <w:r>
        <w:rPr>
          <w:rFonts w:ascii="Arial" w:cs="Arial" w:eastAsia="Arial" w:hAnsi="Arial"/>
          <w:sz w:val="22"/>
          <w:szCs w:val="22"/>
          <w:color w:val="000000"/>
        </w:rPr>
        <w:t>this Security Agreement, the other Loan Documents, any Swap Agreements or any Banking Services Agreements now or hereafter existing at law or in equity or by statute or otherwise shall be cumulative and concurrent and shall be in addition to every other right, power, or remedy provided for in this Security Agreement, the other Loan Documents, any Swap Agreements or any Banking Services Agreements now or hereafter existing at law or in equity or by statute or otherwise, and the exercise or beginning of the exercise by Agent or any other Secured Party of any one or more of such rights, powers, or remedies shall not preclude the simultaneous or later exercise by Agent or such other Secured Parties of any or all such other rights, powers, or remedies.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WAIVERS, AMENDMENTS AND REMEDIES</w:t>
      </w:r>
    </w:p>
    <w:p>
      <w:pPr>
        <w:spacing w:after="0" w:line="23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No delay or omission of the Agent or any Secured Party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the Agent and each Grantor, and then only to the extent in such writing specifically set forth,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addition of any Subsidiary as a Grantor hereunder by execution of a Security Agreement Supplement in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(with such modifications as shall be acceptable to the Agent) shall not require receipt of any consent from or execution of any documentation by any other Grantor party hereto. All rights and remedies contained in this Security Agreement or by law afforded shall be cumulative and all shall be available to the Agent and the Secured Parties until the Secured Obligations have been paid in full.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PROCEEDS; COLLECTION OF RECEIVABLES</w:t>
      </w: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u w:val="single" w:color="auto"/>
          <w:color w:val="auto"/>
        </w:rPr>
        <w:t>Lockboxes</w:t>
      </w:r>
      <w:r>
        <w:rPr>
          <w:rFonts w:ascii="Arial" w:cs="Arial" w:eastAsia="Arial" w:hAnsi="Arial"/>
          <w:sz w:val="19"/>
          <w:szCs w:val="19"/>
          <w:color w:val="auto"/>
        </w:rPr>
        <w:t>. Upon request of the Agent after the occurrence and during the continuation of an Event of Default and subject to the Intercreditor Agreement, each Grantor shall execute and deliver to the Agent irrevocable lockbox agreements in the form provided by or otherwise reasonably acceptable to the Agent, which agreements, if so required by the Agent, shall be accompanied by an acknowledgment by the bank where the lockbox is located of the Lien of the Agent granted hereunder and of irrevocable instructions to wire all amounts collected therein to a special collateral account at the Agent.</w:t>
      </w:r>
    </w:p>
    <w:p>
      <w:pPr>
        <w:spacing w:after="0" w:line="15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u w:val="single" w:color="auto"/>
          <w:color w:val="auto"/>
        </w:rPr>
        <w:t>Collection of Receivables</w:t>
      </w:r>
      <w:r>
        <w:rPr>
          <w:rFonts w:ascii="Arial" w:cs="Arial" w:eastAsia="Arial" w:hAnsi="Arial"/>
          <w:sz w:val="19"/>
          <w:szCs w:val="19"/>
          <w:color w:val="auto"/>
        </w:rPr>
        <w:t xml:space="preserve">. The Agent may at any time after the occurrence and during the continuation of an Event of Default and subject to the Intercreditor Agreement, by giving each Grantor written notice, elect to require that the Receivables be paid directly to the Agent for the benefit of the Secured Parties. In such event, subject to the Intercreditor Agreement, each Grantor shall, and shall permit the Agent to, promptly notify the account debtors or obligors under the Receivables owned by such Grantor of the Agent’s interest therein and direct such account debtors or obligors to make payment of all amounts then or thereafter due under such Receivables directly to the Agent. Upon receipt of any such notice from the Agent, each Grantor shall thereafter during the continuation of any Event of Default and subject to the Intercreditor Agreement hold in trust for the Agent, on behalf of the Secured Parties, all amounts and proceeds received by it with respect to the Receivables and Other Collateral and immediately and at all times thereafter deliver to the Agent all such amounts and proceeds in the same form as so received, whether by cash, check, draft or otherwise, with any necessary endorsements. The Agent shall hold and apply funds so received as provided by the terms of </w:t>
      </w:r>
      <w:r>
        <w:rPr>
          <w:rFonts w:ascii="Arial" w:cs="Arial" w:eastAsia="Arial" w:hAnsi="Arial"/>
          <w:sz w:val="19"/>
          <w:szCs w:val="19"/>
          <w:u w:val="single" w:color="auto"/>
          <w:color w:val="auto"/>
        </w:rPr>
        <w:t>Sections 7.3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hereof.</w:t>
      </w:r>
    </w:p>
    <w:p>
      <w:pPr>
        <w:spacing w:after="0" w:line="16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u w:val="single" w:color="auto"/>
          <w:color w:val="auto"/>
        </w:rPr>
        <w:t>Special Collateral Account</w:t>
      </w:r>
      <w:r>
        <w:rPr>
          <w:rFonts w:ascii="Arial" w:cs="Arial" w:eastAsia="Arial" w:hAnsi="Arial"/>
          <w:sz w:val="19"/>
          <w:szCs w:val="19"/>
          <w:color w:val="auto"/>
        </w:rPr>
        <w:t>. Upon the occurrence and during the continuation of an Event of Default and subject to the Intercreditor Agreement, the Agent may require, by giving the Grantors written notice, that all cash proceeds of the Collateral to</w:t>
      </w:r>
    </w:p>
    <w:p>
      <w:pPr>
        <w:sectPr>
          <w:pgSz w:w="11900" w:h="17021" w:orient="portrait"/>
          <w:cols w:equalWidth="0" w:num="1">
            <w:col w:w="11240"/>
          </w:cols>
          <w:pgMar w:left="320" w:top="131" w:right="339" w:bottom="0" w:gutter="0" w:footer="0" w:header="0"/>
        </w:sectPr>
      </w:pPr>
    </w:p>
    <w:bookmarkStart w:id="489" w:name="page490"/>
    <w:bookmarkEnd w:id="489"/>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be deposited in a special non-interest bearing cash collateral account with the Agent and held there as security for the Secured Obligations. No Grantor shall have any control whatsoever over such cash collateral account. The Agent shall from time to time deposit the collected balances in such cash collateral account into the applicable Grantor’s general operating account with the Agent. Subject to the Intercreditor Agreement, if any Event of Default has occurred and is continuing, the Agent may (and shall, at the direction of the Required Lenders), from time to time, apply the collected balances in such cash collateral account to the payment of the Secured Obligations.</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Application of Proceeds</w:t>
      </w:r>
      <w:r>
        <w:rPr>
          <w:rFonts w:ascii="Arial" w:cs="Arial" w:eastAsia="Arial" w:hAnsi="Arial"/>
          <w:sz w:val="22"/>
          <w:szCs w:val="22"/>
          <w:color w:val="auto"/>
        </w:rPr>
        <w:t>. Subject to the Intercreditor Agreement, the proceeds of the Collateral shall be applied by the Agent to payment of the Secured Obligations of the Grantors, as provided under Sections 4.01 and 9.04 of the LC Credit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PROVISIONS</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u w:val="single" w:color="auto"/>
          <w:color w:val="auto"/>
        </w:rPr>
        <w:t>Notice of Disposition of Collateral; Condition of Collateral</w:t>
      </w:r>
      <w:r>
        <w:rPr>
          <w:rFonts w:ascii="Arial" w:cs="Arial" w:eastAsia="Arial" w:hAnsi="Arial"/>
          <w:sz w:val="19"/>
          <w:szCs w:val="19"/>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at least 10 days prior to (i) the date of any such public sale or (ii) the time after which any such private sale or other disposition may be made. To the maximum extent permitted by applicable law, each Grantor waives all claims, damages, and demands against the Agent or any other Secured Party arising out of the repossession, retention or sale of the Collateral, except such as arise solely out of the gross negligence or willful misconduct of the Agent or such other Secured Party, or its or their agents, employees, officers, nominees or other representatives, as finally determined by a court of competent jurisdiction. To the extent it may lawfully do so, each Grantor absolutely and irrevocably waives and relinquishes the benefit and advantage of, and covenants not to assert against the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6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u w:val="single" w:color="auto"/>
          <w:color w:val="auto"/>
        </w:rPr>
        <w:t>Limitation on Agent’s and other Secured Parties’ Duty with Respect to the Collateral</w:t>
      </w:r>
      <w:r>
        <w:rPr>
          <w:rFonts w:ascii="Arial" w:cs="Arial" w:eastAsia="Arial" w:hAnsi="Arial"/>
          <w:sz w:val="19"/>
          <w:szCs w:val="19"/>
          <w:color w:val="auto"/>
        </w:rPr>
        <w:t>. The Agent shall have no obligation to clean-up or otherwise prepare the Collateral for sale. The Agent and each other Secured Party shall use reasonable care with respect to the Collateral in its possession or under its control (or in the possession or under the care of any agent, employee, officer, nominee or other representative of the Agent or such other Secured Party). Neither the Agent nor any other Secured Party shall have any other duty as to any Collateral in its possession or control or in the possession or control of any agent or nominee of the Agent or such other Secured Party, or any income thereon or as to the preservation of rights against prior parties or any other rights pertaining thereto. To the extent that applicable law imposes duties on the Agent to exercise remedies in a commercially reasonable manner, each Grantor acknowledges and agrees that it is commercially reasonable for the Agent (i) to fail to incur expenses deemed significant by the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w:t>
      </w:r>
    </w:p>
    <w:p>
      <w:pPr>
        <w:spacing w:after="0" w:line="11" w:lineRule="exact"/>
        <w:rPr>
          <w:sz w:val="20"/>
          <w:szCs w:val="20"/>
          <w:color w:val="auto"/>
        </w:rPr>
      </w:pPr>
    </w:p>
    <w:p>
      <w:pPr>
        <w:jc w:val="both"/>
        <w:ind w:firstLine="8"/>
        <w:spacing w:after="0" w:line="296" w:lineRule="auto"/>
        <w:tabs>
          <w:tab w:leader="none" w:pos="375" w:val="left"/>
        </w:tabs>
        <w:numPr>
          <w:ilvl w:val="0"/>
          <w:numId w:val="534"/>
        </w:numPr>
        <w:rPr>
          <w:rFonts w:ascii="Arial" w:cs="Arial" w:eastAsia="Arial" w:hAnsi="Arial"/>
          <w:sz w:val="19"/>
          <w:szCs w:val="19"/>
          <w:color w:val="auto"/>
        </w:rPr>
      </w:pPr>
      <w:r>
        <w:rPr>
          <w:rFonts w:ascii="Arial" w:cs="Arial" w:eastAsia="Arial" w:hAnsi="Arial"/>
          <w:sz w:val="19"/>
          <w:szCs w:val="19"/>
          <w:color w:val="auto"/>
        </w:rPr>
        <w:t>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w:t>
      </w:r>
    </w:p>
    <w:p>
      <w:pPr>
        <w:spacing w:after="0" w:line="2" w:lineRule="exact"/>
        <w:rPr>
          <w:rFonts w:ascii="Arial" w:cs="Arial" w:eastAsia="Arial" w:hAnsi="Arial"/>
          <w:sz w:val="19"/>
          <w:szCs w:val="19"/>
          <w:color w:val="auto"/>
        </w:rPr>
      </w:pPr>
    </w:p>
    <w:p>
      <w:pPr>
        <w:jc w:val="both"/>
        <w:ind w:firstLine="8"/>
        <w:spacing w:after="0" w:line="301" w:lineRule="auto"/>
        <w:tabs>
          <w:tab w:leader="none" w:pos="487" w:val="left"/>
        </w:tabs>
        <w:numPr>
          <w:ilvl w:val="0"/>
          <w:numId w:val="535"/>
        </w:numPr>
        <w:rPr>
          <w:rFonts w:ascii="Arial" w:cs="Arial" w:eastAsia="Arial" w:hAnsi="Arial"/>
          <w:sz w:val="19"/>
          <w:szCs w:val="19"/>
          <w:color w:val="auto"/>
        </w:rPr>
      </w:pPr>
      <w:r>
        <w:rPr>
          <w:rFonts w:ascii="Arial" w:cs="Arial" w:eastAsia="Arial" w:hAnsi="Arial"/>
          <w:sz w:val="19"/>
          <w:szCs w:val="19"/>
          <w:color w:val="auto"/>
        </w:rPr>
        <w:t xml:space="preserve">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Agent against risks of loss, collection or disposition of Collateral or to provide to the Agent a guaranteed return from the collection or disposition of Collateral, or (xii) to the extent deemed appropriate by the Agent, to obtain the services of other brokers, investment bankers, consultants and other professionals to assist the Agent in the collection or disposition of any of the Collateral. Each Grantor acknowledges that the purpose of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is to provide non-exhaustive indications of what actions or omissions by the Agent would be commercially reasonable in the Agent’s exercise of remedies against the Collateral and that other actions or omissions by the Agent shall not be deemed commercially unreasonable solely on account of not being indicated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Without limitation upon the foregoing, nothing contained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be construed to grant any rights to any Grantor or to impose any duties on the Agent that would not have been granted or imposed by this Security Agreement or by applicable law in the absence of this </w:t>
      </w:r>
      <w:r>
        <w:rPr>
          <w:rFonts w:ascii="Arial" w:cs="Arial" w:eastAsia="Arial" w:hAnsi="Arial"/>
          <w:sz w:val="19"/>
          <w:szCs w:val="19"/>
          <w:u w:val="single" w:color="auto"/>
          <w:color w:val="auto"/>
        </w:rPr>
        <w:t>Section 8.2</w:t>
      </w:r>
      <w:r>
        <w:rPr>
          <w:rFonts w:ascii="Arial" w:cs="Arial" w:eastAsia="Arial" w:hAnsi="Arial"/>
          <w:sz w:val="19"/>
          <w:szCs w:val="19"/>
          <w:color w:val="auto"/>
        </w:rPr>
        <w:t>.</w:t>
      </w:r>
    </w:p>
    <w:p>
      <w:pPr>
        <w:sectPr>
          <w:pgSz w:w="11900" w:h="16909" w:orient="portrait"/>
          <w:cols w:equalWidth="0" w:num="1">
            <w:col w:w="11240"/>
          </w:cols>
          <w:pgMar w:left="320" w:top="131" w:right="339" w:bottom="0" w:gutter="0" w:footer="0" w:header="0"/>
        </w:sectPr>
      </w:pPr>
    </w:p>
    <w:bookmarkStart w:id="490" w:name="page491"/>
    <w:bookmarkEnd w:id="490"/>
    <w:p>
      <w:pPr>
        <w:jc w:val="both"/>
        <w:ind w:firstLine="648"/>
        <w:spacing w:after="0" w:line="304" w:lineRule="auto"/>
        <w:rPr>
          <w:sz w:val="20"/>
          <w:szCs w:val="20"/>
          <w:color w:val="auto"/>
        </w:rPr>
      </w:pPr>
      <w:r>
        <w:rPr>
          <w:rFonts w:ascii="Arial" w:cs="Arial" w:eastAsia="Arial" w:hAnsi="Arial"/>
          <w:sz w:val="19"/>
          <w:szCs w:val="19"/>
          <w:u w:val="single" w:color="auto"/>
          <w:color w:val="auto"/>
        </w:rPr>
        <w:t>Compromises and Collection of Collateral</w:t>
      </w:r>
      <w:r>
        <w:rPr>
          <w:rFonts w:ascii="Arial" w:cs="Arial" w:eastAsia="Arial" w:hAnsi="Arial"/>
          <w:sz w:val="19"/>
          <w:szCs w:val="19"/>
          <w:color w:val="auto"/>
        </w:rPr>
        <w:t>. Each Grantor and the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subject to applicable bankruptcy laws, that the Agent may at any time and from time to time, if an Event of Default has occurred and is continuing, and subject to the Intercreditor Agreement, compromise with the obligor on any Receivable, accept in full payment of any Receivable such amount as the Agent in its sole discretion shall determine or abandon any Receivable, and any such action by the Agent shall be commercially reasonable so long as the Agent acts in good faith based on information known to it at the time it takes any such action.</w:t>
      </w:r>
    </w:p>
    <w:p>
      <w:pPr>
        <w:spacing w:after="0" w:line="1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u w:val="single" w:color="auto"/>
          <w:color w:val="auto"/>
        </w:rPr>
        <w:t>Secured Party Performance of Grantor’s Obligations</w:t>
      </w:r>
      <w:r>
        <w:rPr>
          <w:rFonts w:ascii="Arial" w:cs="Arial" w:eastAsia="Arial" w:hAnsi="Arial"/>
          <w:sz w:val="22"/>
          <w:szCs w:val="22"/>
          <w:color w:val="auto"/>
        </w:rPr>
        <w:t xml:space="preserve">. Without having any obligation to do so, the Agent may perform or pay any obligation which any Grantor has agreed to perform or pay in this Security Agreement and fails to so perform or pay and such Grantor shall reimburse the Agent for any reasonable and documented amounts paid by the Agent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8.4</w:t>
      </w:r>
      <w:r>
        <w:rPr>
          <w:rFonts w:ascii="Arial" w:cs="Arial" w:eastAsia="Arial" w:hAnsi="Arial"/>
          <w:sz w:val="22"/>
          <w:szCs w:val="22"/>
          <w:color w:val="auto"/>
        </w:rPr>
        <w:t>. Each Grantor’s obligation to reimburse the Agent pursuant to the preceding sentence shall be a Secured Obligation payable on demand.</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Authorization for Secured Party to Take Certain Action</w:t>
      </w:r>
      <w:r>
        <w:rPr>
          <w:rFonts w:ascii="Arial" w:cs="Arial" w:eastAsia="Arial" w:hAnsi="Arial"/>
          <w:sz w:val="19"/>
          <w:szCs w:val="19"/>
          <w:color w:val="auto"/>
        </w:rPr>
        <w:t>. Each Grantor irrevocably authorizes the Agent at any time and from time to time in the sole discretion of the Agent and appoints the Agent as its attorney in fact (i) to execute on behalf of such Grantor as debtor and to file financing statements necessary or desirable in the Agent’s sole discretion to perfect and to maintain the perfection and priority of the Agent’s security interest in the Collateral, (ii) to indorse and collect any cash proceeds of the Collateral,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Agent in its sole discretion deems necessary or desirable to perfect and to maintain the perfection and priority of the Agent’s security interest in the Collateral, (iv) to contact and enter into one or more agreements with the issuers of Uncertificated Securities which are Collateral owned by such Grantor and which are Securities or with financial intermediaries holding other Investment Property which is Collateral as may be necessary or advisable to give the Agent Control (subject to the Intercreditor Agreement) over such Securities or other Investment Property,</w:t>
      </w:r>
    </w:p>
    <w:p>
      <w:pPr>
        <w:jc w:val="both"/>
        <w:ind w:firstLine="8"/>
        <w:spacing w:after="0" w:line="272" w:lineRule="auto"/>
        <w:tabs>
          <w:tab w:leader="none" w:pos="313" w:val="left"/>
        </w:tabs>
        <w:numPr>
          <w:ilvl w:val="0"/>
          <w:numId w:val="536"/>
        </w:numPr>
        <w:rPr>
          <w:rFonts w:ascii="Arial" w:cs="Arial" w:eastAsia="Arial" w:hAnsi="Arial"/>
          <w:sz w:val="21"/>
          <w:szCs w:val="21"/>
          <w:color w:val="auto"/>
        </w:rPr>
      </w:pPr>
      <w:r>
        <w:rPr>
          <w:rFonts w:ascii="Arial" w:cs="Arial" w:eastAsia="Arial" w:hAnsi="Arial"/>
          <w:sz w:val="21"/>
          <w:szCs w:val="21"/>
          <w:color w:val="auto"/>
        </w:rPr>
        <w:t xml:space="preserve">solely to the extent an Event of Default has occurred and is continuing, to enforce payment of the Instruments, Accounts and Receivables constituting Collateral in the name of the Agent or such Grantor, (vi) solely to the extent an Event of Default has occurred and is continuing, to apply the proceeds of any Collateral received by the Agent to the Secured Obligations as provided in Article VII and (vii) to discharge past due taxes, assessments, charges, fees or Liens on the Collateral (except for such Liens as are specifically permitted hereunder or under any other Loan Document), and each Grantor agrees to reimburse the Agent on demand for any reasonable and documented payment made or any reasonable and documented expense incurred by the Agent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authorization shall not relieve any Grantor of any of its obligations under this Security Agreement or under the LC Credit Agreement.</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u w:val="single" w:color="auto"/>
          <w:color w:val="auto"/>
        </w:rPr>
        <w:t>Specific Performance of Certain Covenants</w:t>
      </w:r>
      <w:r>
        <w:rPr>
          <w:rFonts w:ascii="Arial" w:cs="Arial" w:eastAsia="Arial" w:hAnsi="Arial"/>
          <w:sz w:val="21"/>
          <w:szCs w:val="21"/>
          <w:color w:val="auto"/>
        </w:rPr>
        <w:t xml:space="preserve">. Each Grantor acknowledges and agrees that a breach of any of the covenants contained in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hereof will cause irreparable injury to the Agent and the other Secured Parties, that the Agent and the other Secured Parties have no adequate remedy at law in respect of such breaches and therefore agrees, without limiting the right of the Agent or the other Secured Parties to seek and obtain specific performance of other obligations of the Grantors contained in this Security Agreement, that the covenants of the Grantors contained in the Sections referred to in this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shall be specifically enforceable against the Grantors.</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u w:val="single" w:color="auto"/>
          <w:color w:val="auto"/>
        </w:rPr>
        <w:t>Use and Possession of Certain Premises</w:t>
      </w:r>
      <w:r>
        <w:rPr>
          <w:rFonts w:ascii="Arial" w:cs="Arial" w:eastAsia="Arial" w:hAnsi="Arial"/>
          <w:sz w:val="22"/>
          <w:szCs w:val="22"/>
          <w:color w:val="auto"/>
        </w:rPr>
        <w:t xml:space="preserve">. Upon the occurrence and during the continuation of an Event of Default, subject to the Intercreditor Agreement, the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 subject to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hereof in all respects.</w:t>
      </w:r>
    </w:p>
    <w:p>
      <w:pPr>
        <w:spacing w:after="0" w:line="19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u w:val="single" w:color="auto"/>
          <w:color w:val="auto"/>
        </w:rPr>
        <w:t>Reinstatement</w:t>
      </w:r>
      <w:r>
        <w:rPr>
          <w:rFonts w:ascii="Arial" w:cs="Arial" w:eastAsia="Arial" w:hAnsi="Arial"/>
          <w:sz w:val="19"/>
          <w:szCs w:val="19"/>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“unjust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55"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u w:val="single" w:color="auto"/>
          <w:color w:val="auto"/>
        </w:rPr>
        <w:t>Benefit of Agreement</w:t>
      </w:r>
      <w:r>
        <w:rPr>
          <w:rFonts w:ascii="Arial" w:cs="Arial" w:eastAsia="Arial" w:hAnsi="Arial"/>
          <w:sz w:val="19"/>
          <w:szCs w:val="19"/>
          <w:color w:val="auto"/>
        </w:rPr>
        <w:t xml:space="preserve">. The terms and provisions of this Security Agreement shall be binding upon and inure to the benefit of the Grantors, the Agent and the Secured Parties and their respective successors and assigns (including all persons who become bound as a debtor to this Security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Grantors shall not have the right to assign their rights or delegate</w:t>
      </w:r>
    </w:p>
    <w:p>
      <w:pPr>
        <w:sectPr>
          <w:pgSz w:w="11900" w:h="16838" w:orient="portrait"/>
          <w:cols w:equalWidth="0" w:num="1">
            <w:col w:w="11240"/>
          </w:cols>
          <w:pgMar w:left="320" w:top="131" w:right="339" w:bottom="0" w:gutter="0" w:footer="0" w:header="0"/>
        </w:sectPr>
      </w:pPr>
    </w:p>
    <w:bookmarkStart w:id="491" w:name="page492"/>
    <w:bookmarkEnd w:id="491"/>
    <w:p>
      <w:pPr>
        <w:jc w:val="both"/>
        <w:spacing w:after="0" w:line="262" w:lineRule="auto"/>
        <w:rPr>
          <w:sz w:val="20"/>
          <w:szCs w:val="20"/>
          <w:color w:val="auto"/>
        </w:rPr>
      </w:pPr>
      <w:r>
        <w:rPr>
          <w:rFonts w:ascii="Arial" w:cs="Arial" w:eastAsia="Arial" w:hAnsi="Arial"/>
          <w:sz w:val="22"/>
          <w:szCs w:val="22"/>
          <w:color w:val="auto"/>
        </w:rPr>
        <w:t>their obligations under this Security Agreement or any interest herein, except as permitted under the LC Credit Agreement. No sales of participations, assignments, transfers, or other dispositions of any agreement governing the Secured Obligations or any portion thereof or interest therein shall in any manner impair the Lien granted to the Agent, for the benefit of the Agent and the other Secured Parties, hereunder.</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Survival of Representations</w:t>
      </w:r>
      <w:r>
        <w:rPr>
          <w:rFonts w:ascii="Arial" w:cs="Arial" w:eastAsia="Arial" w:hAnsi="Arial"/>
          <w:sz w:val="22"/>
          <w:szCs w:val="22"/>
          <w:color w:val="auto"/>
        </w:rPr>
        <w:t>. All representations and warranties of the Grantors contained in this Security Agreement shall survive the execution and delivery of this Security Agreement.</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u w:val="single" w:color="auto"/>
          <w:color w:val="auto"/>
        </w:rPr>
        <w:t>Taxes and Expenses</w:t>
      </w:r>
      <w:r>
        <w:rPr>
          <w:rFonts w:ascii="Arial" w:cs="Arial" w:eastAsia="Arial" w:hAnsi="Arial"/>
          <w:sz w:val="21"/>
          <w:szCs w:val="21"/>
          <w:color w:val="auto"/>
        </w:rPr>
        <w:t>. To the extent required by Section 4.02 of the LC Credit Agreement, any Other Taxes payable or ruled payable by a Governmental Authority in respect of this Security Agreement shall be paid by the applicable Grantor. The Grantors shall reimburse the Agent for any and all of its reasonable out-of-pocket expenses (including reasonable external legal, auditors’ and accountants’ fees) if and to the extent the Borrowers are required to reimburse such amounts under Section 11.03 of the LC Credit Agreement. Any and all costs and expenses incurred by the Grantors in the performance of actions required pursuant to the terms hereof shall be borne solely by the Grantors.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title of and section headings in this Security Agreement are for convenience of reference only, and shall not govern the interpretation of any of the terms and provisions of this Security Agreement.</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Security Agreement shall continue in effect (notwithstanding the fact that from time to time there may be no Secured Obligations outstanding) until Payment in Full. Notwithstanding the foregoing, the obligations of any individual Grantor under this Security Agreement shall automatically terminate to the extent provided in and in accordance with Section 11.23 of the LC Credit Agreement.</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Security Agreement and the other Loan Documents constitute the entire contract among the parties relating to the subject matter hereof and supersede any and all previous agreements and understandings, oral or written, relating to the subject matter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Governing Law; Jurisdiction; Waiver of Jury Trial</w:t>
      </w:r>
      <w:r>
        <w:rPr>
          <w:rFonts w:ascii="Arial" w:cs="Arial" w:eastAsia="Arial" w:hAnsi="Arial"/>
          <w:sz w:val="22"/>
          <w:szCs w:val="22"/>
          <w:color w:val="auto"/>
        </w:rPr>
        <w:t>.</w:t>
      </w:r>
    </w:p>
    <w:p>
      <w:pPr>
        <w:spacing w:after="0" w:line="227" w:lineRule="exact"/>
        <w:rPr>
          <w:sz w:val="20"/>
          <w:szCs w:val="20"/>
          <w:color w:val="auto"/>
        </w:rPr>
      </w:pPr>
    </w:p>
    <w:p>
      <w:pPr>
        <w:ind w:left="1620"/>
        <w:spacing w:after="0"/>
        <w:tabs>
          <w:tab w:leader="none" w:pos="2820" w:val="left"/>
        </w:tabs>
        <w:rPr>
          <w:sz w:val="20"/>
          <w:szCs w:val="20"/>
          <w:color w:val="auto"/>
        </w:rPr>
      </w:pPr>
      <w:r>
        <w:rPr>
          <w:rFonts w:ascii="Arial" w:cs="Arial" w:eastAsia="Arial" w:hAnsi="Arial"/>
          <w:sz w:val="22"/>
          <w:szCs w:val="22"/>
          <w:color w:val="010000"/>
        </w:rPr>
        <w:t>8.15.1</w:t>
      </w:r>
      <w:r>
        <w:rPr>
          <w:sz w:val="20"/>
          <w:szCs w:val="20"/>
          <w:color w:val="auto"/>
        </w:rPr>
        <w:tab/>
      </w:r>
      <w:r>
        <w:rPr>
          <w:rFonts w:ascii="Arial" w:cs="Arial" w:eastAsia="Arial" w:hAnsi="Arial"/>
          <w:sz w:val="22"/>
          <w:szCs w:val="22"/>
          <w:b w:val="1"/>
          <w:bCs w:val="1"/>
          <w:color w:val="auto"/>
        </w:rPr>
        <w:t>THIS SECURITY AGREEMENT SHALL BE CONSTRUED IN ACCORDANCE WITH</w:t>
      </w:r>
    </w:p>
    <w:p>
      <w:pPr>
        <w:spacing w:after="0" w:line="27"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22"/>
          <w:szCs w:val="22"/>
          <w:b w:val="1"/>
          <w:bCs w:val="1"/>
          <w:color w:val="auto"/>
        </w:rPr>
        <w:t>AND GOVERNED BY THE LAWS OF THE PROVINCE OF ALBERTA AND THE FEDERAL LAWS OF CANADA APPLICABLE THEREIN.</w:t>
      </w:r>
    </w:p>
    <w:p>
      <w:pPr>
        <w:spacing w:after="0" w:line="178" w:lineRule="exact"/>
        <w:rPr>
          <w:sz w:val="20"/>
          <w:szCs w:val="20"/>
          <w:color w:val="auto"/>
        </w:rPr>
      </w:pPr>
    </w:p>
    <w:p>
      <w:pPr>
        <w:jc w:val="both"/>
        <w:ind w:left="660" w:firstLine="972"/>
        <w:spacing w:after="0" w:line="258" w:lineRule="auto"/>
        <w:rPr>
          <w:sz w:val="20"/>
          <w:szCs w:val="20"/>
          <w:color w:val="auto"/>
        </w:rPr>
      </w:pPr>
      <w:r>
        <w:rPr>
          <w:rFonts w:ascii="Arial" w:cs="Arial" w:eastAsia="Arial" w:hAnsi="Arial"/>
          <w:sz w:val="22"/>
          <w:szCs w:val="22"/>
          <w:color w:val="010000"/>
        </w:rPr>
        <w:t xml:space="preserve">8.15.2 </w:t>
      </w:r>
      <w:r>
        <w:rPr>
          <w:rFonts w:ascii="Arial" w:cs="Arial" w:eastAsia="Arial" w:hAnsi="Arial"/>
          <w:sz w:val="22"/>
          <w:szCs w:val="22"/>
          <w:color w:val="000000"/>
        </w:rPr>
        <w:t>Each Grantor hereby irrevocably and unconditionally submits, for itself and its property, to the</w:t>
      </w:r>
      <w:r>
        <w:rPr>
          <w:rFonts w:ascii="Arial" w:cs="Arial" w:eastAsia="Arial" w:hAnsi="Arial"/>
          <w:sz w:val="22"/>
          <w:szCs w:val="22"/>
          <w:color w:val="010000"/>
        </w:rPr>
        <w:t xml:space="preserve"> </w:t>
      </w:r>
      <w:r>
        <w:rPr>
          <w:rFonts w:ascii="Arial" w:cs="Arial" w:eastAsia="Arial" w:hAnsi="Arial"/>
          <w:sz w:val="22"/>
          <w:szCs w:val="22"/>
          <w:color w:val="000000"/>
        </w:rPr>
        <w:t xml:space="preserve">non-exclusive jurisdiction of the courts of the Province of Alberta in any suit, action or proceeding arising out of or relating to this Security Agreement or any other Loan Document, or for recognition or enforcement of any judgment, and each Grantor hereby irrevocably and unconditionally agrees that all claims in respect of any such action or proceeding may be heard and determined in such court. Each party hereto agrees that a final, non-appealable judgment in any such action or proceeding shall be conclusive and may be enforced in other jurisdictions by suit on the judgment or in any other manner provided by law. Nothing in this Security Agreement or any other Loan Document shall (including this </w:t>
      </w:r>
      <w:r>
        <w:rPr>
          <w:rFonts w:ascii="Arial" w:cs="Arial" w:eastAsia="Arial" w:hAnsi="Arial"/>
          <w:sz w:val="22"/>
          <w:szCs w:val="22"/>
          <w:u w:val="single" w:color="auto"/>
          <w:color w:val="000000"/>
        </w:rPr>
        <w:t>Section 8.15</w:t>
      </w:r>
      <w:r>
        <w:rPr>
          <w:rFonts w:ascii="Arial" w:cs="Arial" w:eastAsia="Arial" w:hAnsi="Arial"/>
          <w:sz w:val="22"/>
          <w:szCs w:val="22"/>
          <w:color w:val="000000"/>
        </w:rPr>
        <w:t>) affect any right that any Secured Party may otherwise have to bring any suit, action or proceeding relating to this Security Agreement or any other Loan Document against any Grantor or its properties in the courts of any jurisdiction.</w:t>
      </w:r>
    </w:p>
    <w:p>
      <w:pPr>
        <w:spacing w:after="0" w:line="197"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8.15.3 </w:t>
      </w:r>
      <w:r>
        <w:rPr>
          <w:rFonts w:ascii="Arial" w:cs="Arial" w:eastAsia="Arial" w:hAnsi="Arial"/>
          <w:sz w:val="21"/>
          <w:szCs w:val="21"/>
          <w:color w:val="000000"/>
        </w:rPr>
        <w:t>Each Grantor hereby irrevocably and unconditionally waives, to the fullest extent it may legally</w:t>
      </w:r>
      <w:r>
        <w:rPr>
          <w:rFonts w:ascii="Arial" w:cs="Arial" w:eastAsia="Arial" w:hAnsi="Arial"/>
          <w:sz w:val="21"/>
          <w:szCs w:val="21"/>
          <w:color w:val="010000"/>
        </w:rPr>
        <w:t xml:space="preserve"> </w:t>
      </w:r>
      <w:r>
        <w:rPr>
          <w:rFonts w:ascii="Arial" w:cs="Arial" w:eastAsia="Arial" w:hAnsi="Arial"/>
          <w:sz w:val="21"/>
          <w:szCs w:val="21"/>
          <w:color w:val="000000"/>
        </w:rPr>
        <w:t xml:space="preserve">and 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21"/>
          <w:szCs w:val="21"/>
          <w:u w:val="single" w:color="auto"/>
          <w:color w:val="000000"/>
        </w:rPr>
        <w:t>Section 8.15.2</w:t>
      </w:r>
      <w:r>
        <w:rPr>
          <w:rFonts w:ascii="Arial" w:cs="Arial" w:eastAsia="Arial" w:hAnsi="Arial"/>
          <w:sz w:val="21"/>
          <w:szCs w:val="21"/>
          <w:color w:val="000000"/>
        </w:rPr>
        <w:t>. Each Grantor hereby irrevocably waives, to the fullest extent permitted by law, the defense of an inconvenient forum to the maintenance of such action or proceeding in any such court.</w:t>
      </w:r>
    </w:p>
    <w:p>
      <w:pPr>
        <w:spacing w:after="0" w:line="177" w:lineRule="exact"/>
        <w:rPr>
          <w:sz w:val="20"/>
          <w:szCs w:val="20"/>
          <w:color w:val="auto"/>
        </w:rPr>
      </w:pPr>
    </w:p>
    <w:p>
      <w:pPr>
        <w:jc w:val="both"/>
        <w:ind w:left="660" w:firstLine="972"/>
        <w:spacing w:after="0" w:line="306" w:lineRule="auto"/>
        <w:rPr>
          <w:sz w:val="20"/>
          <w:szCs w:val="20"/>
          <w:color w:val="auto"/>
        </w:rPr>
      </w:pPr>
      <w:r>
        <w:rPr>
          <w:rFonts w:ascii="Arial" w:cs="Arial" w:eastAsia="Arial" w:hAnsi="Arial"/>
          <w:sz w:val="19"/>
          <w:szCs w:val="19"/>
          <w:color w:val="010000"/>
        </w:rPr>
        <w:t xml:space="preserve">8.15.4 </w:t>
      </w:r>
      <w:r>
        <w:rPr>
          <w:rFonts w:ascii="Arial" w:cs="Arial" w:eastAsia="Arial" w:hAnsi="Arial"/>
          <w:sz w:val="19"/>
          <w:szCs w:val="19"/>
          <w:color w:val="000000"/>
        </w:rPr>
        <w:t>Each party to this Security Agreement irrevocably consents to service of process in the manner</w:t>
      </w:r>
      <w:r>
        <w:rPr>
          <w:rFonts w:ascii="Arial" w:cs="Arial" w:eastAsia="Arial" w:hAnsi="Arial"/>
          <w:sz w:val="19"/>
          <w:szCs w:val="19"/>
          <w:color w:val="010000"/>
        </w:rPr>
        <w:t xml:space="preserve"> </w:t>
      </w:r>
      <w:r>
        <w:rPr>
          <w:rFonts w:ascii="Arial" w:cs="Arial" w:eastAsia="Arial" w:hAnsi="Arial"/>
          <w:sz w:val="19"/>
          <w:szCs w:val="19"/>
          <w:color w:val="000000"/>
        </w:rPr>
        <w:t xml:space="preserve">provided for notices in </w:t>
      </w:r>
      <w:r>
        <w:rPr>
          <w:rFonts w:ascii="Arial" w:cs="Arial" w:eastAsia="Arial" w:hAnsi="Arial"/>
          <w:sz w:val="19"/>
          <w:szCs w:val="19"/>
          <w:u w:val="single" w:color="auto"/>
          <w:color w:val="000000"/>
        </w:rPr>
        <w:t>Article IX</w:t>
      </w:r>
      <w:r>
        <w:rPr>
          <w:rFonts w:ascii="Arial" w:cs="Arial" w:eastAsia="Arial" w:hAnsi="Arial"/>
          <w:sz w:val="19"/>
          <w:szCs w:val="19"/>
          <w:color w:val="000000"/>
        </w:rPr>
        <w:t xml:space="preserve"> of this Security Agreement other than by facsimile. Nothing in this Security Agreement or any other Loan Document will affect the right of any party to this Security Agreement to serve process in any other manner permitted by law. Notwithstanding any other provision of this Security Agreement, each Grantor hereby irrevocably designates CT Corporation System, 28 Liberty Street, New York, New York 10005, as the designee, appointee and agent of such Grantor to receive, for and on behalf of such Grantor, service of process in the State of New York in any suit, action or proceeding arising out of or relating to this Security Agreement or any other Loan Document.</w:t>
      </w:r>
    </w:p>
    <w:p>
      <w:pPr>
        <w:spacing w:after="0" w:line="156" w:lineRule="exact"/>
        <w:rPr>
          <w:sz w:val="20"/>
          <w:szCs w:val="20"/>
          <w:color w:val="auto"/>
        </w:rPr>
      </w:pPr>
    </w:p>
    <w:p>
      <w:pPr>
        <w:jc w:val="both"/>
        <w:ind w:left="660" w:firstLine="972"/>
        <w:spacing w:after="0" w:line="317" w:lineRule="auto"/>
        <w:rPr>
          <w:sz w:val="20"/>
          <w:szCs w:val="20"/>
          <w:color w:val="auto"/>
        </w:rPr>
      </w:pPr>
      <w:r>
        <w:rPr>
          <w:rFonts w:ascii="Arial" w:cs="Arial" w:eastAsia="Arial" w:hAnsi="Arial"/>
          <w:sz w:val="19"/>
          <w:szCs w:val="19"/>
          <w:color w:val="010000"/>
        </w:rPr>
        <w:t xml:space="preserve">8.15.5 </w:t>
      </w:r>
      <w:r>
        <w:rPr>
          <w:rFonts w:ascii="Arial" w:cs="Arial" w:eastAsia="Arial" w:hAnsi="Arial"/>
          <w:sz w:val="19"/>
          <w:szCs w:val="19"/>
          <w:color w:val="000000"/>
        </w:rPr>
        <w:t>Each Grantor agrees that any suit, action or proceeding brought by any Grantor or any of their</w:t>
      </w:r>
      <w:r>
        <w:rPr>
          <w:rFonts w:ascii="Arial" w:cs="Arial" w:eastAsia="Arial" w:hAnsi="Arial"/>
          <w:sz w:val="19"/>
          <w:szCs w:val="19"/>
          <w:color w:val="010000"/>
        </w:rPr>
        <w:t xml:space="preserve"> </w:t>
      </w:r>
      <w:r>
        <w:rPr>
          <w:rFonts w:ascii="Arial" w:cs="Arial" w:eastAsia="Arial" w:hAnsi="Arial"/>
          <w:sz w:val="19"/>
          <w:szCs w:val="19"/>
          <w:color w:val="000000"/>
        </w:rPr>
        <w:t>respective Subsidiaries relating to this Security Agreement or any other Loan Document against the Agent, any other Secured Party or any of their respective Affiliates shall be brought in the United States District Court for the Southern District of New York (or the state courts sitting in the Borough of Manhattan in the event the Southern District of New</w:t>
      </w:r>
    </w:p>
    <w:p>
      <w:pPr>
        <w:sectPr>
          <w:pgSz w:w="11900" w:h="16838" w:orient="portrait"/>
          <w:cols w:equalWidth="0" w:num="1">
            <w:col w:w="11240"/>
          </w:cols>
          <w:pgMar w:left="320" w:top="131" w:right="339" w:bottom="0" w:gutter="0" w:footer="0" w:header="0"/>
        </w:sectPr>
      </w:pPr>
    </w:p>
    <w:bookmarkStart w:id="492" w:name="page493"/>
    <w:bookmarkEnd w:id="492"/>
    <w:p>
      <w:pPr>
        <w:spacing w:after="0" w:line="59"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22"/>
          <w:szCs w:val="22"/>
          <w:color w:val="auto"/>
        </w:rPr>
        <w:t>York lacks subject matter jurisdiction), and any appellate court from any thereof, unless no such court shall accept jurisdiction.</w:t>
      </w:r>
    </w:p>
    <w:p>
      <w:pPr>
        <w:spacing w:after="0" w:line="174"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8.15.6 </w:t>
      </w:r>
      <w:r>
        <w:rPr>
          <w:rFonts w:ascii="Arial" w:cs="Arial" w:eastAsia="Arial" w:hAnsi="Arial"/>
          <w:sz w:val="22"/>
          <w:szCs w:val="22"/>
          <w:color w:val="000000"/>
        </w:rPr>
        <w:t>The Agent hereby irrevocably and unconditionally submits, for itself and its property, to the non-exclusive jurisdiction of the courts of the Province of Alberta in any suit, action or proceeding arising out of or relating to this Security Agreement or any other Loan Document, or for recognition or enforcement of any judgment, and each of the parties hereto hereby irrevocably and unconditionally agrees that all claims in respect of any such action or proceeding may be heard and determined in such court. Each of the parties hereto agrees that a final, non-appealable judgment in any such action or proceeding shall be conclusive and may be enforced in other jurisdictions by suit on the judgment or in any other manner provided by law.</w:t>
      </w:r>
    </w:p>
    <w:p>
      <w:pPr>
        <w:spacing w:after="0" w:line="195"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8.15.7 </w:t>
      </w:r>
      <w:r>
        <w:rPr>
          <w:rFonts w:ascii="Arial" w:cs="Arial" w:eastAsia="Arial" w:hAnsi="Arial"/>
          <w:sz w:val="21"/>
          <w:szCs w:val="21"/>
          <w:color w:val="000000"/>
        </w:rPr>
        <w:t>The Agent hereby irrevocably and unconditionally waives, to the fullest extent it may legally and</w:t>
      </w:r>
      <w:r>
        <w:rPr>
          <w:rFonts w:ascii="Arial" w:cs="Arial" w:eastAsia="Arial" w:hAnsi="Arial"/>
          <w:sz w:val="21"/>
          <w:szCs w:val="21"/>
          <w:color w:val="010000"/>
        </w:rPr>
        <w:t xml:space="preserve"> </w:t>
      </w:r>
      <w:r>
        <w:rPr>
          <w:rFonts w:ascii="Arial" w:cs="Arial" w:eastAsia="Arial" w:hAnsi="Arial"/>
          <w:sz w:val="21"/>
          <w:szCs w:val="21"/>
          <w:color w:val="000000"/>
        </w:rPr>
        <w:t xml:space="preserve">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21"/>
          <w:szCs w:val="21"/>
          <w:u w:val="single" w:color="auto"/>
          <w:color w:val="000000"/>
        </w:rPr>
        <w:t>Section 8.15.2</w:t>
      </w:r>
      <w:r>
        <w:rPr>
          <w:rFonts w:ascii="Arial" w:cs="Arial" w:eastAsia="Arial" w:hAnsi="Arial"/>
          <w:sz w:val="21"/>
          <w:szCs w:val="21"/>
          <w:color w:val="000000"/>
        </w:rPr>
        <w:t>. The Agent hereby irrevocably waives, to the fullest extent permitted by law, the defense of an inconvenient forum to the maintenance of such action or proceeding in any such court.</w:t>
      </w:r>
    </w:p>
    <w:p>
      <w:pPr>
        <w:spacing w:after="0" w:line="177"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8.15.8 </w:t>
      </w:r>
      <w:r>
        <w:rPr>
          <w:rFonts w:ascii="Arial" w:cs="Arial" w:eastAsia="Arial" w:hAnsi="Arial"/>
          <w:sz w:val="22"/>
          <w:szCs w:val="22"/>
          <w:color w:val="000000"/>
        </w:rPr>
        <w:t>To the extent that any Grantor has or hereafter may acquire any immunity from jurisdiction of any</w:t>
      </w:r>
      <w:r>
        <w:rPr>
          <w:rFonts w:ascii="Arial" w:cs="Arial" w:eastAsia="Arial" w:hAnsi="Arial"/>
          <w:sz w:val="22"/>
          <w:szCs w:val="22"/>
          <w:color w:val="010000"/>
        </w:rPr>
        <w:t xml:space="preserve"> </w:t>
      </w:r>
      <w:r>
        <w:rPr>
          <w:rFonts w:ascii="Arial" w:cs="Arial" w:eastAsia="Arial" w:hAnsi="Arial"/>
          <w:sz w:val="22"/>
          <w:szCs w:val="22"/>
          <w:color w:val="000000"/>
        </w:rPr>
        <w:t>court or from set-off or any legal process (whether through service or notice, attachment prior to judgment, attachment in aid of execution, execution or otherwise) with respect to itself or its property, such Grantor hereby irrevocably waives such immunity in respect of its obligations under the Loan Documents.</w:t>
      </w:r>
    </w:p>
    <w:p>
      <w:pPr>
        <w:spacing w:after="0" w:line="191" w:lineRule="exact"/>
        <w:rPr>
          <w:sz w:val="20"/>
          <w:szCs w:val="20"/>
          <w:color w:val="auto"/>
        </w:rPr>
      </w:pPr>
    </w:p>
    <w:p>
      <w:pPr>
        <w:jc w:val="both"/>
        <w:ind w:left="660" w:firstLine="972"/>
        <w:spacing w:after="0" w:line="258" w:lineRule="auto"/>
        <w:rPr>
          <w:sz w:val="20"/>
          <w:szCs w:val="20"/>
          <w:color w:val="auto"/>
        </w:rPr>
      </w:pPr>
      <w:r>
        <w:rPr>
          <w:rFonts w:ascii="Arial" w:cs="Arial" w:eastAsia="Arial" w:hAnsi="Arial"/>
          <w:sz w:val="22"/>
          <w:szCs w:val="22"/>
          <w:color w:val="010000"/>
        </w:rPr>
        <w:t xml:space="preserve">8.15.9 </w:t>
      </w:r>
      <w:r>
        <w:rPr>
          <w:rFonts w:ascii="Arial" w:cs="Arial" w:eastAsia="Arial" w:hAnsi="Arial"/>
          <w:sz w:val="22"/>
          <w:szCs w:val="22"/>
          <w:color w:val="000000"/>
        </w:rPr>
        <w:t>EACH PARTY HERETO HEREBY WAIVES, TO THE FULLEST EXTENT PERMITTED BY</w:t>
      </w:r>
      <w:r>
        <w:rPr>
          <w:rFonts w:ascii="Arial" w:cs="Arial" w:eastAsia="Arial" w:hAnsi="Arial"/>
          <w:sz w:val="22"/>
          <w:szCs w:val="22"/>
          <w:color w:val="010000"/>
        </w:rPr>
        <w:t xml:space="preserve"> </w:t>
      </w:r>
      <w:r>
        <w:rPr>
          <w:rFonts w:ascii="Arial" w:cs="Arial" w:eastAsia="Arial" w:hAnsi="Arial"/>
          <w:sz w:val="22"/>
          <w:szCs w:val="22"/>
          <w:color w:val="000000"/>
        </w:rPr>
        <w:t>APPLICABLE LAW, ANY RIGHT IT MAY HAVE TO A TRIAL BY JURY IN ANY LEGAL PROCEEDING DIRECTLY OR INDIRECTLY ARISING OUT OF OR RELATING TO THIS SECURITY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Indemnity</w:t>
      </w:r>
      <w:r>
        <w:rPr>
          <w:rFonts w:ascii="Arial" w:cs="Arial" w:eastAsia="Arial" w:hAnsi="Arial"/>
          <w:sz w:val="22"/>
          <w:szCs w:val="22"/>
          <w:color w:val="auto"/>
        </w:rPr>
        <w:t xml:space="preserve">. Each Grantor hereby agrees, jointly with the other Grantors and severally, to indemnify the Agent and the Secured Parties in accordance with Section 11.04 of the LC Credit Agreement,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in this Security Agreement that is held to be inoperative, unenforceable, not permissible, or invalid in any jurisdiction shall, as to that jurisdiction, be inoperative, unenforceable, not permissible,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w:t>
      </w:r>
      <w:r>
        <w:rPr>
          <w:rFonts w:ascii="Arial" w:cs="Arial" w:eastAsia="Arial" w:hAnsi="Arial"/>
          <w:sz w:val="19"/>
          <w:szCs w:val="19"/>
          <w:i w:val="1"/>
          <w:iCs w:val="1"/>
          <w:color w:val="auto"/>
        </w:rPr>
        <w:t xml:space="preserve">Electronic Transactions Act </w:t>
      </w:r>
      <w:r>
        <w:rPr>
          <w:rFonts w:ascii="Arial" w:cs="Arial" w:eastAsia="Arial" w:hAnsi="Arial"/>
          <w:sz w:val="19"/>
          <w:szCs w:val="19"/>
          <w:color w:val="auto"/>
        </w:rPr>
        <w:t>(Alberta).</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Notwithstanding anything herein to the contrary, the Lien and security interest granted to the Agent pursuant to or in connection with this Security Agreement, and the exercise of any right or remedy by the Agent hereunder are subject to the provisions of the Intercreditor Agreement. In the event of any conflict between the terms of the Intercreditor Agreement and this Security Agreement, subject to </w:t>
      </w:r>
      <w:r>
        <w:rPr>
          <w:rFonts w:ascii="Arial" w:cs="Arial" w:eastAsia="Arial" w:hAnsi="Arial"/>
          <w:sz w:val="19"/>
          <w:szCs w:val="19"/>
          <w:u w:val="single" w:color="auto"/>
          <w:color w:val="auto"/>
        </w:rPr>
        <w:t>Section 4.6.4</w:t>
      </w:r>
      <w:r>
        <w:rPr>
          <w:rFonts w:ascii="Arial" w:cs="Arial" w:eastAsia="Arial" w:hAnsi="Arial"/>
          <w:sz w:val="19"/>
          <w:szCs w:val="19"/>
          <w:color w:val="auto"/>
        </w:rPr>
        <w:t xml:space="preserve"> hereof and any other limitation on rights of the Agent or other Secured Party with respect to ULC Shares hereunder, the terms of the Intercreditor Agreement shall control. For so long as the Intercreditor Agreement remains in effect, the delivery of any Collateral to the ABL Collateral Agent as required by the Intercreditor Agreement shall satisfy any delivery requirement with respect to such Collateral hereunder.</w:t>
      </w:r>
    </w:p>
    <w:p>
      <w:pPr>
        <w:spacing w:after="0" w:line="1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Loan Document</w:t>
      </w:r>
      <w:r>
        <w:rPr>
          <w:rFonts w:ascii="Arial" w:cs="Arial" w:eastAsia="Arial" w:hAnsi="Arial"/>
          <w:sz w:val="22"/>
          <w:szCs w:val="22"/>
          <w:color w:val="auto"/>
        </w:rPr>
        <w:t>. This Security Agreement constitutes a Loan Document for all purposes under the LC Credit Agreement and all other Loan Documents.</w:t>
      </w:r>
    </w:p>
    <w:p>
      <w:pPr>
        <w:sectPr>
          <w:pgSz w:w="11900" w:h="16897" w:orient="portrait"/>
          <w:cols w:equalWidth="0" w:num="1">
            <w:col w:w="11240"/>
          </w:cols>
          <w:pgMar w:left="320" w:top="131" w:right="339" w:bottom="0" w:gutter="0" w:footer="0" w:header="0"/>
        </w:sectPr>
      </w:pPr>
    </w:p>
    <w:bookmarkStart w:id="493" w:name="page494"/>
    <w:bookmarkEnd w:id="493"/>
    <w:p>
      <w:pPr>
        <w:jc w:val="both"/>
        <w:ind w:firstLine="648"/>
        <w:spacing w:after="0" w:line="308" w:lineRule="auto"/>
        <w:rPr>
          <w:sz w:val="20"/>
          <w:szCs w:val="20"/>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Each Grantor shall, execute and deliver, or cause to be executed and delivered, to the Agent such documents, agreements, instruments, forms and notices and will take or cause to be taken such further actions (including the filing and recording of financing statements and other documents serving notices of assignment and such other actions or deliveries of the type required by Section 5.01 of the LC Credit Agreement, as applicable), which may be required by law or which the Agent may, from time to time, reasonably request to carry out the terms and conditions of this Security Agreement and to ensure perfection and priority of the Liens created or intended to be created hereby, all at the expense of the Grantors.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u w:val="single" w:color="auto"/>
          <w:color w:val="auto"/>
        </w:rPr>
        <w:t>Sending Notices</w:t>
      </w:r>
      <w:r>
        <w:rPr>
          <w:rFonts w:ascii="Arial" w:cs="Arial" w:eastAsia="Arial" w:hAnsi="Arial"/>
          <w:sz w:val="21"/>
          <w:szCs w:val="21"/>
          <w:color w:val="auto"/>
        </w:rPr>
        <w:t>. All notices, requests and other communications to any party hereunder shall be given in the manner prescribed in Section 11.02 of the LC Credit Agreement with respect to the Agent at its notice address therein and, with respect to any Grantor, in the care of Weatherford International, LLC, as provided and at the notice address set forth in the Credit Agreement, or such other address or telecopy number as such party may hereafter specify for such purpose in accordance with the provisions of Section 11.02 of the LC Credit Agreement. Any notice delivered to the Borrowers on behalf of the Grantors shall be deemed to have been delivered to all of the Grantors.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Change in Address for Notices</w:t>
      </w:r>
      <w:r>
        <w:rPr>
          <w:rFonts w:ascii="Arial" w:cs="Arial" w:eastAsia="Arial" w:hAnsi="Arial"/>
          <w:sz w:val="22"/>
          <w:szCs w:val="22"/>
          <w:color w:val="auto"/>
        </w:rPr>
        <w:t>. Each of the Grantors, the Agent and the Lenders may change the address for service of notice upon it by a notice in writing to the other parties.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Pages Follow</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4" w:name="page495"/>
    <w:bookmarkEnd w:id="494"/>
    <w:p>
      <w:pPr>
        <w:ind w:firstLine="648"/>
        <w:spacing w:after="0" w:line="276" w:lineRule="auto"/>
        <w:rPr>
          <w:sz w:val="20"/>
          <w:szCs w:val="20"/>
          <w:color w:val="auto"/>
        </w:rPr>
      </w:pPr>
      <w:r>
        <w:rPr>
          <w:rFonts w:ascii="Arial" w:cs="Arial" w:eastAsia="Arial" w:hAnsi="Arial"/>
          <w:sz w:val="22"/>
          <w:szCs w:val="22"/>
          <w:color w:val="auto"/>
        </w:rPr>
        <w:t>IN WITNESS WHEREOF, each of the Grantors and the Agent have executed this Security Agreement as of the date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GRANTORS:</w:t>
      </w:r>
    </w:p>
    <w:p>
      <w:pPr>
        <w:spacing w:after="0" w:line="293"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WEATHERFORD CANADA LTD.</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WEATHERFORD (NOVA SCOTIA) ULC</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PRECISION ENERGY SERVICES ULC</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PRECISION ENERGY INTERNATIONAL LTD.</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PRECISION ENERGY SERVICES COLOMBIA LTD.</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5" w:name="page496"/>
    <w:bookmarkEnd w:id="495"/>
    <w:p>
      <w:pPr>
        <w:spacing w:after="0"/>
        <w:rPr>
          <w:sz w:val="20"/>
          <w:szCs w:val="20"/>
          <w:color w:val="auto"/>
        </w:rPr>
      </w:pPr>
      <w:r>
        <w:rPr>
          <w:rFonts w:ascii="Arial" w:cs="Arial" w:eastAsia="Arial" w:hAnsi="Arial"/>
          <w:sz w:val="19"/>
          <w:szCs w:val="19"/>
          <w:color w:val="auto"/>
        </w:rPr>
        <w:t>DEUTSCHE BANK TRUST COMPANY AMERICAS, as Agent</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1" w:right="1440" w:bottom="1440" w:gutter="0" w:footer="0" w:header="0"/>
        </w:sectPr>
      </w:pPr>
    </w:p>
    <w:bookmarkStart w:id="496" w:name="page497"/>
    <w:bookmarkEnd w:id="496"/>
    <w:p>
      <w:pPr>
        <w:jc w:val="center"/>
        <w:spacing w:after="0"/>
        <w:rPr>
          <w:sz w:val="20"/>
          <w:szCs w:val="20"/>
          <w:color w:val="auto"/>
        </w:rPr>
      </w:pPr>
      <w:r>
        <w:rPr>
          <w:rFonts w:ascii="Arial" w:cs="Arial" w:eastAsia="Arial" w:hAnsi="Arial"/>
          <w:sz w:val="22"/>
          <w:szCs w:val="22"/>
          <w:color w:val="auto"/>
        </w:rPr>
        <w:t>EXHIBIT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u w:val="single" w:color="auto"/>
          <w:color w:val="auto"/>
        </w:rPr>
        <w:t>Sections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3.4</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4.1.3</w:t>
      </w:r>
      <w:r>
        <w:rPr>
          <w:rFonts w:ascii="Arial" w:cs="Arial" w:eastAsia="Arial" w:hAnsi="Arial"/>
          <w:sz w:val="22"/>
          <w:szCs w:val="22"/>
          <w:color w:val="auto"/>
        </w:rPr>
        <w:t xml:space="preserve"> of Security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Prior names, jurisdiction of formation, place of business (if Grantor has only one place of business), chief executive office (if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Grantor has more than one place of business), mergers and mailing address:</w:t>
      </w:r>
    </w:p>
    <w:p>
      <w:pPr>
        <w:spacing w:after="0" w:line="229" w:lineRule="exact"/>
        <w:rPr>
          <w:sz w:val="20"/>
          <w:szCs w:val="20"/>
          <w:color w:val="auto"/>
        </w:rPr>
      </w:pPr>
    </w:p>
    <w:p>
      <w:pPr>
        <w:ind w:left="720" w:hanging="712"/>
        <w:spacing w:after="0"/>
        <w:tabs>
          <w:tab w:leader="none" w:pos="720" w:val="left"/>
        </w:tabs>
        <w:numPr>
          <w:ilvl w:val="0"/>
          <w:numId w:val="537"/>
        </w:numPr>
        <w:rPr>
          <w:rFonts w:ascii="Arial" w:cs="Arial" w:eastAsia="Arial" w:hAnsi="Arial"/>
          <w:sz w:val="22"/>
          <w:szCs w:val="22"/>
          <w:color w:val="auto"/>
        </w:rPr>
      </w:pPr>
      <w:r>
        <w:rPr>
          <w:rFonts w:ascii="Arial" w:cs="Arial" w:eastAsia="Arial" w:hAnsi="Arial"/>
          <w:sz w:val="22"/>
          <w:szCs w:val="22"/>
          <w:color w:val="auto"/>
        </w:rPr>
        <w:t>No prior names.</w:t>
      </w:r>
    </w:p>
    <w:p>
      <w:pPr>
        <w:spacing w:after="0" w:line="233" w:lineRule="exact"/>
        <w:rPr>
          <w:rFonts w:ascii="Arial" w:cs="Arial" w:eastAsia="Arial" w:hAnsi="Arial"/>
          <w:sz w:val="22"/>
          <w:szCs w:val="22"/>
          <w:color w:val="auto"/>
        </w:rPr>
      </w:pPr>
    </w:p>
    <w:p>
      <w:pPr>
        <w:ind w:right="340" w:firstLine="8"/>
        <w:spacing w:after="0" w:line="358" w:lineRule="auto"/>
        <w:tabs>
          <w:tab w:leader="none" w:pos="702" w:val="left"/>
        </w:tabs>
        <w:numPr>
          <w:ilvl w:val="0"/>
          <w:numId w:val="537"/>
        </w:numPr>
        <w:rPr>
          <w:rFonts w:ascii="Arial" w:cs="Arial" w:eastAsia="Arial" w:hAnsi="Arial"/>
          <w:sz w:val="19"/>
          <w:szCs w:val="19"/>
          <w:color w:val="auto"/>
        </w:rPr>
      </w:pPr>
      <w:r>
        <w:rPr>
          <w:rFonts w:ascii="Arial" w:cs="Arial" w:eastAsia="Arial" w:hAnsi="Arial"/>
          <w:sz w:val="19"/>
          <w:szCs w:val="19"/>
          <w:color w:val="auto"/>
        </w:rPr>
        <w:t>Jurisdiction of Formation: Alberta for each of Weatherford Canada Ltd., Precision Energy Services ULC, Precision Energy International Ltd. and Precision Energy Services Colombia Ltd., and Nova Scotia for Weatherford (Nova Scotia) ULC</w:t>
      </w:r>
    </w:p>
    <w:p>
      <w:pPr>
        <w:spacing w:after="0" w:line="158" w:lineRule="exact"/>
        <w:rPr>
          <w:rFonts w:ascii="Arial" w:cs="Arial" w:eastAsia="Arial" w:hAnsi="Arial"/>
          <w:sz w:val="19"/>
          <w:szCs w:val="19"/>
          <w:color w:val="auto"/>
        </w:rPr>
      </w:pPr>
    </w:p>
    <w:p>
      <w:pPr>
        <w:ind w:left="720" w:hanging="712"/>
        <w:spacing w:after="0"/>
        <w:tabs>
          <w:tab w:leader="none" w:pos="720" w:val="left"/>
        </w:tabs>
        <w:numPr>
          <w:ilvl w:val="0"/>
          <w:numId w:val="537"/>
        </w:numPr>
        <w:rPr>
          <w:rFonts w:ascii="Arial" w:cs="Arial" w:eastAsia="Arial" w:hAnsi="Arial"/>
          <w:sz w:val="22"/>
          <w:szCs w:val="22"/>
          <w:color w:val="auto"/>
        </w:rPr>
      </w:pPr>
      <w:r>
        <w:rPr>
          <w:rFonts w:ascii="Arial" w:cs="Arial" w:eastAsia="Arial" w:hAnsi="Arial"/>
          <w:sz w:val="22"/>
          <w:szCs w:val="22"/>
          <w:color w:val="auto"/>
        </w:rPr>
        <w:t>Chief Executive Office in Canada and mailing address for each of the Grantors:</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333 5th Avenue S.W., Suite 1200</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Calgary, Alberta T2P 3B6</w:t>
      </w:r>
    </w:p>
    <w:p>
      <w:pPr>
        <w:spacing w:after="0" w:line="1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Attention: Legal Department - Canada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Locations of Inventory and Equipment the net book value of which exceeds $10,000,000:</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4680" w:type="dxa"/>
            <w:vAlign w:val="bottom"/>
            <w:tcBorders>
              <w:top w:val="single" w:sz="8" w:color="auto"/>
              <w:left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rPr>
              <w:t>Address</w:t>
            </w:r>
          </w:p>
        </w:tc>
        <w:tc>
          <w:tcPr>
            <w:tcW w:w="244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City</w:t>
            </w:r>
          </w:p>
        </w:tc>
        <w:tc>
          <w:tcPr>
            <w:tcW w:w="160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Province</w:t>
            </w:r>
          </w:p>
        </w:tc>
        <w:tc>
          <w:tcPr>
            <w:tcW w:w="252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Owned or Leased</w:t>
            </w:r>
          </w:p>
        </w:tc>
      </w:tr>
      <w:tr>
        <w:trPr>
          <w:trHeight w:val="243"/>
        </w:trPr>
        <w:tc>
          <w:tcPr>
            <w:tcW w:w="46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2603 - 5th Street</w:t>
            </w:r>
          </w:p>
        </w:tc>
        <w:tc>
          <w:tcPr>
            <w:tcW w:w="2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NISKU</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w:t>
            </w:r>
          </w:p>
        </w:tc>
        <w:tc>
          <w:tcPr>
            <w:tcW w:w="2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Owned</w:t>
            </w:r>
          </w:p>
        </w:tc>
      </w:tr>
      <w:tr>
        <w:trPr>
          <w:trHeight w:val="34"/>
        </w:trPr>
        <w:tc>
          <w:tcPr>
            <w:tcW w:w="46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43"/>
        </w:trPr>
        <w:tc>
          <w:tcPr>
            <w:tcW w:w="4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2801-84th Avenue</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EDMONTON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AB</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Owned</w:t>
            </w:r>
          </w:p>
        </w:tc>
      </w:tr>
      <w:tr>
        <w:trPr>
          <w:trHeight w:val="34"/>
        </w:trPr>
        <w:tc>
          <w:tcPr>
            <w:tcW w:w="46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183"/>
        </w:trPr>
        <w:tc>
          <w:tcPr>
            <w:tcW w:w="46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31" w:right="339" w:bottom="1440" w:gutter="0" w:footer="0" w:header="0"/>
        </w:sectPr>
      </w:pPr>
    </w:p>
    <w:bookmarkStart w:id="497" w:name="page498"/>
    <w:bookmarkEnd w:id="497"/>
    <w:p>
      <w:pPr>
        <w:jc w:val="center"/>
        <w:ind w:right="19"/>
        <w:spacing w:after="0"/>
        <w:rPr>
          <w:sz w:val="20"/>
          <w:szCs w:val="20"/>
          <w:color w:val="auto"/>
        </w:rPr>
      </w:pPr>
      <w:r>
        <w:rPr>
          <w:rFonts w:ascii="Arial" w:cs="Arial" w:eastAsia="Arial" w:hAnsi="Arial"/>
          <w:sz w:val="22"/>
          <w:szCs w:val="22"/>
          <w:color w:val="auto"/>
        </w:rPr>
        <w:t>EXHIBIT “B”</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xml:space="preserve">(See </w:t>
      </w:r>
      <w:r>
        <w:rPr>
          <w:rFonts w:ascii="Arial" w:cs="Arial" w:eastAsia="Arial" w:hAnsi="Arial"/>
          <w:sz w:val="21"/>
          <w:szCs w:val="21"/>
          <w:u w:val="single" w:color="auto"/>
          <w:color w:val="auto"/>
        </w:rPr>
        <w:t>Sections 3.8, 3.11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4.11</w:t>
      </w:r>
      <w:r>
        <w:rPr>
          <w:rFonts w:ascii="Arial" w:cs="Arial" w:eastAsia="Arial" w:hAnsi="Arial"/>
          <w:sz w:val="21"/>
          <w:szCs w:val="21"/>
          <w:color w:val="auto"/>
        </w:rPr>
        <w:t xml:space="preserve"> of Security Agreement)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Serial Number Goods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Please see list of serial number goods attached as Exhibit B-1</w:t>
      </w:r>
    </w:p>
    <w:p>
      <w:pPr>
        <w:spacing w:after="0" w:line="268" w:lineRule="exact"/>
        <w:rPr>
          <w:sz w:val="20"/>
          <w:szCs w:val="20"/>
          <w:color w:val="auto"/>
        </w:rPr>
      </w:pPr>
    </w:p>
    <w:p>
      <w:pPr>
        <w:ind w:left="3280" w:right="2819" w:hanging="471"/>
        <w:spacing w:after="0" w:line="595" w:lineRule="auto"/>
        <w:tabs>
          <w:tab w:leader="none" w:pos="3112" w:val="left"/>
        </w:tabs>
        <w:numPr>
          <w:ilvl w:val="0"/>
          <w:numId w:val="538"/>
        </w:numPr>
        <w:rPr>
          <w:rFonts w:ascii="Arial" w:cs="Arial" w:eastAsia="Arial" w:hAnsi="Arial"/>
          <w:sz w:val="19"/>
          <w:szCs w:val="19"/>
          <w:color w:val="auto"/>
        </w:rPr>
      </w:pPr>
      <w:r>
        <w:rPr>
          <w:rFonts w:ascii="Arial" w:cs="Arial" w:eastAsia="Arial" w:hAnsi="Arial"/>
          <w:sz w:val="19"/>
          <w:szCs w:val="19"/>
          <w:color w:val="auto"/>
        </w:rPr>
        <w:t>Patents, copyrights and trademarks: See attached as 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98" w:name="page499"/>
    <w:bookmarkEnd w:id="498"/>
    <w:p>
      <w:pPr>
        <w:jc w:val="center"/>
        <w:spacing w:after="0"/>
        <w:rPr>
          <w:sz w:val="20"/>
          <w:szCs w:val="20"/>
          <w:color w:val="auto"/>
        </w:rPr>
      </w:pPr>
      <w:r>
        <w:rPr>
          <w:rFonts w:ascii="Arial" w:cs="Arial" w:eastAsia="Arial" w:hAnsi="Arial"/>
          <w:sz w:val="22"/>
          <w:szCs w:val="22"/>
          <w:color w:val="auto"/>
        </w:rPr>
        <w:t>EXHIBIT “C”</w:t>
      </w:r>
    </w:p>
    <w:p>
      <w:pPr>
        <w:sectPr>
          <w:pgSz w:w="11900" w:h="16838" w:orient="portrait"/>
          <w:cols w:equalWidth="0" w:num="1">
            <w:col w:w="9019"/>
          </w:cols>
          <w:pgMar w:left="1440" w:top="131" w:right="1440"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174625</wp:posOffset>
            </wp:positionV>
            <wp:extent cx="71323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499" w:name="page500"/>
    <w:bookmarkEnd w:id="499"/>
    <w:p>
      <w:pPr>
        <w:jc w:val="center"/>
        <w:spacing w:after="0"/>
        <w:rPr>
          <w:sz w:val="20"/>
          <w:szCs w:val="20"/>
          <w:color w:val="auto"/>
        </w:rPr>
      </w:pPr>
      <w:r>
        <w:rPr>
          <w:rFonts w:ascii="Arial" w:cs="Arial" w:eastAsia="Arial" w:hAnsi="Arial"/>
          <w:sz w:val="22"/>
          <w:szCs w:val="22"/>
          <w:color w:val="auto"/>
        </w:rPr>
        <w:t>EXHIBIT “D”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List of Pledged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of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STOCKS: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00" w:type="dxa"/>
            <w:vAlign w:val="bottom"/>
            <w:tcBorders>
              <w:top w:val="single" w:sz="8" w:color="auto"/>
              <w:left w:val="single" w:sz="8" w:color="auto"/>
              <w:right w:val="single" w:sz="8" w:color="auto"/>
            </w:tcBorders>
            <w:shd w:val="clear" w:color="auto" w:fill="F2F2F2"/>
          </w:tcPr>
          <w:p>
            <w:pPr>
              <w:spacing w:after="0"/>
              <w:rPr>
                <w:sz w:val="16"/>
                <w:szCs w:val="16"/>
                <w:color w:val="auto"/>
              </w:rPr>
            </w:pPr>
          </w:p>
        </w:tc>
        <w:tc>
          <w:tcPr>
            <w:tcW w:w="2240" w:type="dxa"/>
            <w:vAlign w:val="bottom"/>
            <w:tcBorders>
              <w:top w:val="single" w:sz="8" w:color="auto"/>
              <w:right w:val="single" w:sz="8" w:color="auto"/>
            </w:tcBorders>
            <w:shd w:val="clear" w:color="auto" w:fill="F2F2F2"/>
          </w:tcPr>
          <w:p>
            <w:pPr>
              <w:spacing w:after="0"/>
              <w:rPr>
                <w:sz w:val="16"/>
                <w:szCs w:val="16"/>
                <w:color w:val="auto"/>
              </w:rPr>
            </w:pPr>
          </w:p>
        </w:tc>
        <w:tc>
          <w:tcPr>
            <w:tcW w:w="1120" w:type="dxa"/>
            <w:vAlign w:val="bottom"/>
            <w:tcBorders>
              <w:top w:val="single" w:sz="8" w:color="auto"/>
              <w:right w:val="single" w:sz="8" w:color="auto"/>
            </w:tcBorders>
            <w:shd w:val="clear" w:color="auto" w:fill="F2F2F2"/>
          </w:tcPr>
          <w:p>
            <w:pPr>
              <w:ind w:left="220"/>
              <w:spacing w:after="0"/>
              <w:rPr>
                <w:sz w:val="20"/>
                <w:szCs w:val="20"/>
                <w:color w:val="auto"/>
              </w:rPr>
            </w:pPr>
            <w:r>
              <w:rPr>
                <w:rFonts w:ascii="Arial" w:cs="Arial" w:eastAsia="Arial" w:hAnsi="Arial"/>
                <w:sz w:val="14"/>
                <w:szCs w:val="14"/>
                <w:b w:val="1"/>
                <w:bCs w:val="1"/>
                <w:color w:val="auto"/>
              </w:rPr>
              <w:t>Certificate</w:t>
            </w:r>
          </w:p>
        </w:tc>
        <w:tc>
          <w:tcPr>
            <w:tcW w:w="1340" w:type="dxa"/>
            <w:vAlign w:val="bottom"/>
            <w:tcBorders>
              <w:top w:val="single" w:sz="8" w:color="auto"/>
              <w:right w:val="single" w:sz="8" w:color="auto"/>
            </w:tcBorders>
            <w:shd w:val="clear" w:color="auto" w:fill="F2F2F2"/>
          </w:tcPr>
          <w:p>
            <w:pPr>
              <w:spacing w:after="0"/>
              <w:rPr>
                <w:sz w:val="16"/>
                <w:szCs w:val="16"/>
                <w:color w:val="auto"/>
              </w:rPr>
            </w:pPr>
          </w:p>
        </w:tc>
        <w:tc>
          <w:tcPr>
            <w:tcW w:w="1600" w:type="dxa"/>
            <w:vAlign w:val="bottom"/>
            <w:tcBorders>
              <w:top w:val="single" w:sz="8" w:color="auto"/>
              <w:right w:val="single" w:sz="8" w:color="auto"/>
            </w:tcBorders>
            <w:shd w:val="clear" w:color="auto" w:fill="F2F2F2"/>
          </w:tcPr>
          <w:p>
            <w:pPr>
              <w:spacing w:after="0"/>
              <w:rPr>
                <w:sz w:val="16"/>
                <w:szCs w:val="16"/>
                <w:color w:val="auto"/>
              </w:rPr>
            </w:pPr>
          </w:p>
        </w:tc>
        <w:tc>
          <w:tcPr>
            <w:tcW w:w="150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4"/>
                <w:szCs w:val="14"/>
                <w:b w:val="1"/>
                <w:bCs w:val="1"/>
                <w:color w:val="auto"/>
              </w:rPr>
              <w:t>Percentage of</w:t>
            </w:r>
          </w:p>
        </w:tc>
        <w:tc>
          <w:tcPr>
            <w:tcW w:w="1240" w:type="dxa"/>
            <w:vAlign w:val="bottom"/>
            <w:tcBorders>
              <w:top w:val="single" w:sz="8" w:color="auto"/>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Borders>
              <w:left w:val="single" w:sz="8" w:color="auto"/>
              <w:bottom w:val="single" w:sz="8" w:color="auto"/>
              <w:right w:val="single" w:sz="8" w:color="auto"/>
            </w:tcBorders>
            <w:shd w:val="clear" w:color="auto" w:fill="F2F2F2"/>
          </w:tcPr>
          <w:p>
            <w:pPr>
              <w:ind w:left="580"/>
              <w:spacing w:after="0"/>
              <w:rPr>
                <w:sz w:val="20"/>
                <w:szCs w:val="20"/>
                <w:color w:val="auto"/>
              </w:rPr>
            </w:pPr>
            <w:r>
              <w:rPr>
                <w:rFonts w:ascii="Arial" w:cs="Arial" w:eastAsia="Arial" w:hAnsi="Arial"/>
                <w:sz w:val="14"/>
                <w:szCs w:val="14"/>
                <w:b w:val="1"/>
                <w:bCs w:val="1"/>
                <w:color w:val="auto"/>
              </w:rPr>
              <w:t>Name of Grantor</w:t>
            </w:r>
          </w:p>
        </w:tc>
        <w:tc>
          <w:tcPr>
            <w:tcW w:w="2240" w:type="dxa"/>
            <w:vAlign w:val="bottom"/>
            <w:tcBorders>
              <w:bottom w:val="single" w:sz="8" w:color="auto"/>
              <w:right w:val="single" w:sz="8" w:color="auto"/>
            </w:tcBorders>
            <w:shd w:val="clear" w:color="auto" w:fill="F2F2F2"/>
          </w:tcPr>
          <w:p>
            <w:pPr>
              <w:ind w:left="920"/>
              <w:spacing w:after="0"/>
              <w:rPr>
                <w:sz w:val="20"/>
                <w:szCs w:val="20"/>
                <w:color w:val="auto"/>
              </w:rPr>
            </w:pPr>
            <w:r>
              <w:rPr>
                <w:rFonts w:ascii="Arial" w:cs="Arial" w:eastAsia="Arial" w:hAnsi="Arial"/>
                <w:sz w:val="14"/>
                <w:szCs w:val="14"/>
                <w:b w:val="1"/>
                <w:bCs w:val="1"/>
                <w:color w:val="auto"/>
              </w:rPr>
              <w:t>Issuer</w:t>
            </w:r>
          </w:p>
        </w:tc>
        <w:tc>
          <w:tcPr>
            <w:tcW w:w="1120" w:type="dxa"/>
            <w:vAlign w:val="bottom"/>
            <w:tcBorders>
              <w:bottom w:val="single" w:sz="8" w:color="auto"/>
              <w:right w:val="single" w:sz="8" w:color="auto"/>
            </w:tcBorders>
            <w:shd w:val="clear" w:color="auto" w:fill="F2F2F2"/>
          </w:tcPr>
          <w:p>
            <w:pPr>
              <w:ind w:left="220"/>
              <w:spacing w:after="0"/>
              <w:rPr>
                <w:sz w:val="20"/>
                <w:szCs w:val="20"/>
                <w:color w:val="auto"/>
              </w:rPr>
            </w:pPr>
            <w:r>
              <w:rPr>
                <w:rFonts w:ascii="Arial" w:cs="Arial" w:eastAsia="Arial" w:hAnsi="Arial"/>
                <w:sz w:val="14"/>
                <w:szCs w:val="14"/>
                <w:b w:val="1"/>
                <w:bCs w:val="1"/>
                <w:color w:val="auto"/>
              </w:rPr>
              <w:t>Number(s)</w:t>
            </w:r>
          </w:p>
        </w:tc>
        <w:tc>
          <w:tcPr>
            <w:tcW w:w="134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4"/>
                <w:szCs w:val="14"/>
                <w:b w:val="1"/>
                <w:bCs w:val="1"/>
                <w:color w:val="auto"/>
                <w:w w:val="99"/>
              </w:rPr>
              <w:t>Number of Shares</w:t>
            </w:r>
          </w:p>
        </w:tc>
        <w:tc>
          <w:tcPr>
            <w:tcW w:w="1600" w:type="dxa"/>
            <w:vAlign w:val="bottom"/>
            <w:tcBorders>
              <w:bottom w:val="single" w:sz="8" w:color="auto"/>
              <w:right w:val="single" w:sz="8" w:color="auto"/>
            </w:tcBorders>
            <w:shd w:val="clear" w:color="auto" w:fill="F2F2F2"/>
          </w:tcPr>
          <w:p>
            <w:pPr>
              <w:ind w:left="360"/>
              <w:spacing w:after="0"/>
              <w:rPr>
                <w:sz w:val="20"/>
                <w:szCs w:val="20"/>
                <w:color w:val="auto"/>
              </w:rPr>
            </w:pPr>
            <w:r>
              <w:rPr>
                <w:rFonts w:ascii="Arial" w:cs="Arial" w:eastAsia="Arial" w:hAnsi="Arial"/>
                <w:sz w:val="14"/>
                <w:szCs w:val="14"/>
                <w:b w:val="1"/>
                <w:bCs w:val="1"/>
                <w:color w:val="auto"/>
              </w:rPr>
              <w:t>Class of Stock</w:t>
            </w:r>
          </w:p>
        </w:tc>
        <w:tc>
          <w:tcPr>
            <w:tcW w:w="150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Outstanding Shares</w:t>
            </w:r>
          </w:p>
        </w:tc>
        <w:tc>
          <w:tcPr>
            <w:tcW w:w="1240" w:type="dxa"/>
            <w:vAlign w:val="bottom"/>
            <w:tcBorders>
              <w:bottom w:val="single" w:sz="8" w:color="auto"/>
              <w:right w:val="single" w:sz="8" w:color="auto"/>
            </w:tcBorders>
            <w:shd w:val="clear" w:color="auto" w:fill="F2F2F2"/>
          </w:tcPr>
          <w:p>
            <w:pPr>
              <w:ind w:left="240"/>
              <w:spacing w:after="0"/>
              <w:rPr>
                <w:sz w:val="20"/>
                <w:szCs w:val="20"/>
                <w:color w:val="auto"/>
              </w:rPr>
            </w:pPr>
            <w:r>
              <w:rPr>
                <w:rFonts w:ascii="Arial" w:cs="Arial" w:eastAsia="Arial" w:hAnsi="Arial"/>
                <w:sz w:val="14"/>
                <w:szCs w:val="14"/>
                <w:b w:val="1"/>
                <w:bCs w:val="1"/>
                <w:color w:val="auto"/>
              </w:rPr>
              <w:t>Certificated</w:t>
            </w: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Weatherford Canada Ltd.</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Precision Energy Services</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C-13</w:t>
            </w:r>
          </w:p>
        </w:tc>
        <w:tc>
          <w:tcPr>
            <w:tcW w:w="1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448,374,124</w:t>
            </w:r>
          </w:p>
        </w:tc>
        <w:tc>
          <w:tcPr>
            <w:tcW w:w="1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Common Shares</w:t>
            </w:r>
          </w:p>
        </w:tc>
        <w:tc>
          <w:tcPr>
            <w:tcW w:w="15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ULC</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C-14</w:t>
            </w:r>
          </w:p>
        </w:tc>
        <w:tc>
          <w:tcPr>
            <w:tcW w:w="1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213,807,963</w:t>
            </w:r>
          </w:p>
        </w:tc>
        <w:tc>
          <w:tcPr>
            <w:tcW w:w="16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Common Shares</w:t>
            </w:r>
          </w:p>
        </w:tc>
        <w:tc>
          <w:tcPr>
            <w:tcW w:w="15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160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C-15</w:t>
            </w:r>
          </w:p>
        </w:tc>
        <w:tc>
          <w:tcPr>
            <w:tcW w:w="1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246,686,606</w:t>
            </w:r>
          </w:p>
        </w:tc>
        <w:tc>
          <w:tcPr>
            <w:tcW w:w="1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w:t>
            </w:r>
          </w:p>
        </w:tc>
        <w:tc>
          <w:tcPr>
            <w:tcW w:w="15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Weatherford Canada Ltd.</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Precision Energy Services</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w:t>
            </w:r>
          </w:p>
        </w:tc>
        <w:tc>
          <w:tcPr>
            <w:tcW w:w="1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100</w:t>
            </w:r>
          </w:p>
        </w:tc>
        <w:tc>
          <w:tcPr>
            <w:tcW w:w="1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Common Shares</w:t>
            </w:r>
          </w:p>
        </w:tc>
        <w:tc>
          <w:tcPr>
            <w:tcW w:w="15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Colombia Ltd.</w:t>
            </w: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Precision Energy Services</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Precision Energy International</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A-4</w:t>
            </w:r>
          </w:p>
        </w:tc>
        <w:tc>
          <w:tcPr>
            <w:tcW w:w="1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1</w:t>
            </w:r>
          </w:p>
        </w:tc>
        <w:tc>
          <w:tcPr>
            <w:tcW w:w="1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Common Share</w:t>
            </w:r>
          </w:p>
        </w:tc>
        <w:tc>
          <w:tcPr>
            <w:tcW w:w="15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ULC</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A-5</w:t>
            </w:r>
          </w:p>
        </w:tc>
        <w:tc>
          <w:tcPr>
            <w:tcW w:w="1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w:t>
            </w:r>
          </w:p>
        </w:tc>
        <w:tc>
          <w:tcPr>
            <w:tcW w:w="16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Common Share</w:t>
            </w:r>
          </w:p>
        </w:tc>
        <w:tc>
          <w:tcPr>
            <w:tcW w:w="15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340" w:type="dxa"/>
            <w:vAlign w:val="bottom"/>
            <w:tcBorders>
              <w:bottom w:val="single" w:sz="8" w:color="auto"/>
              <w:right w:val="single" w:sz="8" w:color="auto"/>
            </w:tcBorders>
            <w:vMerge w:val="continue"/>
          </w:tcPr>
          <w:p>
            <w:pPr>
              <w:spacing w:after="0"/>
              <w:rPr>
                <w:sz w:val="19"/>
                <w:szCs w:val="19"/>
                <w:color w:val="auto"/>
              </w:rPr>
            </w:pPr>
          </w:p>
        </w:tc>
        <w:tc>
          <w:tcPr>
            <w:tcW w:w="1600" w:type="dxa"/>
            <w:vAlign w:val="bottom"/>
            <w:tcBorders>
              <w:bottom w:val="single" w:sz="8" w:color="auto"/>
              <w:right w:val="single" w:sz="8" w:color="auto"/>
            </w:tcBorders>
            <w:vMerge w:val="continue"/>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Weatherford Canada Ltd.</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(Nova Scotia)</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2</w:t>
            </w:r>
          </w:p>
        </w:tc>
        <w:tc>
          <w:tcPr>
            <w:tcW w:w="1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9,980</w:t>
            </w:r>
          </w:p>
        </w:tc>
        <w:tc>
          <w:tcPr>
            <w:tcW w:w="1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Common Shares</w:t>
            </w:r>
          </w:p>
        </w:tc>
        <w:tc>
          <w:tcPr>
            <w:tcW w:w="15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ULC</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w:t>
            </w:r>
          </w:p>
        </w:tc>
        <w:tc>
          <w:tcPr>
            <w:tcW w:w="1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w:t>
            </w:r>
          </w:p>
        </w:tc>
        <w:tc>
          <w:tcPr>
            <w:tcW w:w="16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Common Shares</w:t>
            </w:r>
          </w:p>
        </w:tc>
        <w:tc>
          <w:tcPr>
            <w:tcW w:w="15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160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PA-2</w:t>
            </w:r>
          </w:p>
        </w:tc>
        <w:tc>
          <w:tcPr>
            <w:tcW w:w="1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1,738</w:t>
            </w:r>
          </w:p>
        </w:tc>
        <w:tc>
          <w:tcPr>
            <w:tcW w:w="1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Shares</w:t>
            </w:r>
          </w:p>
        </w:tc>
        <w:tc>
          <w:tcPr>
            <w:tcW w:w="15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Weatherford Canada Ltd.</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Australia</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No. 5</w:t>
            </w:r>
          </w:p>
        </w:tc>
        <w:tc>
          <w:tcPr>
            <w:tcW w:w="1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1</w:t>
            </w:r>
          </w:p>
        </w:tc>
        <w:tc>
          <w:tcPr>
            <w:tcW w:w="1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Ordinary Share</w:t>
            </w:r>
          </w:p>
        </w:tc>
        <w:tc>
          <w:tcPr>
            <w:tcW w:w="15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Holding Pty Limited</w:t>
            </w: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Weatherford Canada Ltd.</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Australia Pty</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No. 15</w:t>
            </w:r>
          </w:p>
        </w:tc>
        <w:tc>
          <w:tcPr>
            <w:tcW w:w="1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1,114,258</w:t>
            </w:r>
          </w:p>
        </w:tc>
        <w:tc>
          <w:tcPr>
            <w:tcW w:w="1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Ordinary Shares</w:t>
            </w:r>
          </w:p>
        </w:tc>
        <w:tc>
          <w:tcPr>
            <w:tcW w:w="15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63.78998832%</w:t>
            </w:r>
          </w:p>
        </w:tc>
        <w:tc>
          <w:tcPr>
            <w:tcW w:w="1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Limited</w:t>
            </w: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Precision Energy Services</w:t>
            </w:r>
          </w:p>
        </w:tc>
        <w:tc>
          <w:tcPr>
            <w:tcW w:w="2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Weatherford International de</w:t>
            </w:r>
          </w:p>
        </w:tc>
        <w:tc>
          <w:tcPr>
            <w:tcW w:w="1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52</w:t>
            </w:r>
          </w:p>
        </w:tc>
        <w:tc>
          <w:tcPr>
            <w:tcW w:w="13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14,912</w:t>
            </w:r>
          </w:p>
        </w:tc>
        <w:tc>
          <w:tcPr>
            <w:tcW w:w="1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Common Shares</w:t>
            </w:r>
          </w:p>
        </w:tc>
        <w:tc>
          <w:tcPr>
            <w:tcW w:w="15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0.00108443%</w:t>
            </w:r>
          </w:p>
        </w:tc>
        <w:tc>
          <w:tcPr>
            <w:tcW w:w="12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ULC</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Argentina S.A.</w:t>
            </w: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500" w:name="page501"/>
    <w:bookmarkEnd w:id="500"/>
    <w:p>
      <w:pPr>
        <w:jc w:val="center"/>
        <w:spacing w:after="0"/>
        <w:rPr>
          <w:sz w:val="20"/>
          <w:szCs w:val="20"/>
          <w:color w:val="auto"/>
        </w:rPr>
      </w:pPr>
      <w:r>
        <w:rPr>
          <w:rFonts w:ascii="Arial" w:cs="Arial" w:eastAsia="Arial" w:hAnsi="Arial"/>
          <w:sz w:val="22"/>
          <w:szCs w:val="22"/>
          <w:color w:val="auto"/>
        </w:rPr>
        <w:t>B. BONDS: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Arial" w:cs="Arial" w:eastAsia="Arial" w:hAnsi="Arial"/>
                <w:sz w:val="18"/>
                <w:szCs w:val="18"/>
                <w:color w:val="auto"/>
              </w:rPr>
              <w:t>Grantor</w:t>
            </w:r>
          </w:p>
        </w:tc>
        <w:tc>
          <w:tcPr>
            <w:tcW w:w="2540" w:type="dxa"/>
            <w:vAlign w:val="bottom"/>
            <w:gridSpan w:val="3"/>
          </w:tcPr>
          <w:p>
            <w:pPr>
              <w:ind w:left="660"/>
              <w:spacing w:after="0"/>
              <w:rPr>
                <w:sz w:val="20"/>
                <w:szCs w:val="20"/>
                <w:color w:val="auto"/>
              </w:rPr>
            </w:pPr>
            <w:r>
              <w:rPr>
                <w:rFonts w:ascii="Arial" w:cs="Arial" w:eastAsia="Arial" w:hAnsi="Arial"/>
                <w:sz w:val="18"/>
                <w:szCs w:val="18"/>
                <w:color w:val="auto"/>
              </w:rPr>
              <w:t>Issuer</w:t>
            </w:r>
          </w:p>
        </w:tc>
        <w:tc>
          <w:tcPr>
            <w:tcW w:w="12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520" w:type="dxa"/>
            <w:vAlign w:val="bottom"/>
            <w:gridSpan w:val="3"/>
          </w:tcPr>
          <w:p>
            <w:pPr>
              <w:ind w:left="640"/>
              <w:spacing w:after="0"/>
              <w:rPr>
                <w:sz w:val="20"/>
                <w:szCs w:val="20"/>
                <w:color w:val="auto"/>
              </w:rPr>
            </w:pPr>
            <w:r>
              <w:rPr>
                <w:rFonts w:ascii="Arial" w:cs="Arial" w:eastAsia="Arial" w:hAnsi="Arial"/>
                <w:sz w:val="18"/>
                <w:szCs w:val="18"/>
                <w:color w:val="auto"/>
              </w:rPr>
              <w:t>Face Amount</w:t>
            </w:r>
          </w:p>
        </w:tc>
        <w:tc>
          <w:tcPr>
            <w:tcW w:w="1860" w:type="dxa"/>
            <w:vAlign w:val="bottom"/>
            <w:gridSpan w:val="2"/>
          </w:tcPr>
          <w:p>
            <w:pPr>
              <w:spacing w:after="0"/>
              <w:rPr>
                <w:sz w:val="20"/>
                <w:szCs w:val="20"/>
                <w:color w:val="auto"/>
              </w:rPr>
            </w:pPr>
            <w:r>
              <w:rPr>
                <w:rFonts w:ascii="Arial" w:cs="Arial" w:eastAsia="Arial" w:hAnsi="Arial"/>
                <w:sz w:val="18"/>
                <w:szCs w:val="18"/>
                <w:color w:val="auto"/>
              </w:rPr>
              <w:t>Coupon Rate</w:t>
            </w:r>
          </w:p>
        </w:tc>
        <w:tc>
          <w:tcPr>
            <w:tcW w:w="620" w:type="dxa"/>
            <w:vAlign w:val="bottom"/>
          </w:tcPr>
          <w:p>
            <w:pPr>
              <w:spacing w:after="0"/>
              <w:rPr>
                <w:sz w:val="20"/>
                <w:szCs w:val="20"/>
                <w:color w:val="auto"/>
              </w:rPr>
            </w:pPr>
            <w:r>
              <w:rPr>
                <w:rFonts w:ascii="Arial" w:cs="Arial" w:eastAsia="Arial" w:hAnsi="Arial"/>
                <w:sz w:val="18"/>
                <w:szCs w:val="18"/>
                <w:color w:val="auto"/>
                <w:w w:val="93"/>
              </w:rPr>
              <w:t>Maturity</w:t>
            </w:r>
          </w:p>
        </w:tc>
      </w:tr>
      <w:tr>
        <w:trPr>
          <w:trHeight w:val="23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 GOVERNMENT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Arial" w:cs="Arial" w:eastAsia="Arial" w:hAnsi="Arial"/>
                <w:sz w:val="18"/>
                <w:szCs w:val="18"/>
                <w:color w:val="auto"/>
              </w:rPr>
              <w:t>Grantor</w:t>
            </w:r>
          </w:p>
        </w:tc>
        <w:tc>
          <w:tcPr>
            <w:tcW w:w="2540" w:type="dxa"/>
            <w:vAlign w:val="bottom"/>
            <w:gridSpan w:val="3"/>
          </w:tcPr>
          <w:p>
            <w:pPr>
              <w:ind w:left="660"/>
              <w:spacing w:after="0"/>
              <w:rPr>
                <w:sz w:val="20"/>
                <w:szCs w:val="20"/>
                <w:color w:val="auto"/>
              </w:rPr>
            </w:pPr>
            <w:r>
              <w:rPr>
                <w:rFonts w:ascii="Arial" w:cs="Arial" w:eastAsia="Arial" w:hAnsi="Arial"/>
                <w:sz w:val="18"/>
                <w:szCs w:val="18"/>
                <w:color w:val="auto"/>
              </w:rPr>
              <w:t>Issuer</w:t>
            </w:r>
          </w:p>
        </w:tc>
        <w:tc>
          <w:tcPr>
            <w:tcW w:w="12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520" w:type="dxa"/>
            <w:vAlign w:val="bottom"/>
            <w:gridSpan w:val="3"/>
          </w:tcPr>
          <w:p>
            <w:pPr>
              <w:ind w:left="640"/>
              <w:spacing w:after="0"/>
              <w:rPr>
                <w:sz w:val="20"/>
                <w:szCs w:val="20"/>
                <w:color w:val="auto"/>
              </w:rPr>
            </w:pPr>
            <w:r>
              <w:rPr>
                <w:rFonts w:ascii="Arial" w:cs="Arial" w:eastAsia="Arial" w:hAnsi="Arial"/>
                <w:sz w:val="18"/>
                <w:szCs w:val="18"/>
                <w:color w:val="auto"/>
              </w:rPr>
              <w:t>Face Amount</w:t>
            </w:r>
          </w:p>
        </w:tc>
        <w:tc>
          <w:tcPr>
            <w:tcW w:w="1860" w:type="dxa"/>
            <w:vAlign w:val="bottom"/>
            <w:gridSpan w:val="2"/>
          </w:tcPr>
          <w:p>
            <w:pPr>
              <w:spacing w:after="0"/>
              <w:rPr>
                <w:sz w:val="20"/>
                <w:szCs w:val="20"/>
                <w:color w:val="auto"/>
              </w:rPr>
            </w:pPr>
            <w:r>
              <w:rPr>
                <w:rFonts w:ascii="Arial" w:cs="Arial" w:eastAsia="Arial" w:hAnsi="Arial"/>
                <w:sz w:val="18"/>
                <w:szCs w:val="18"/>
                <w:color w:val="auto"/>
              </w:rPr>
              <w:t>Coupon Rate</w:t>
            </w:r>
          </w:p>
        </w:tc>
        <w:tc>
          <w:tcPr>
            <w:tcW w:w="620" w:type="dxa"/>
            <w:vAlign w:val="bottom"/>
          </w:tcPr>
          <w:p>
            <w:pPr>
              <w:spacing w:after="0"/>
              <w:rPr>
                <w:sz w:val="20"/>
                <w:szCs w:val="20"/>
                <w:color w:val="auto"/>
              </w:rPr>
            </w:pPr>
            <w:r>
              <w:rPr>
                <w:rFonts w:ascii="Arial" w:cs="Arial" w:eastAsia="Arial" w:hAnsi="Arial"/>
                <w:sz w:val="18"/>
                <w:szCs w:val="18"/>
                <w:color w:val="auto"/>
                <w:w w:val="93"/>
              </w:rPr>
              <w:t>Maturity</w:t>
            </w:r>
          </w:p>
        </w:tc>
      </w:tr>
      <w:tr>
        <w:trPr>
          <w:trHeight w:val="23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 INSTRUMENTS, OTHER SECURITIES OR OTHER INVESTMENT PROPERTY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(CERTIFICATED AND UNCERTIFICATED):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Arial" w:cs="Arial" w:eastAsia="Arial" w:hAnsi="Arial"/>
                <w:sz w:val="18"/>
                <w:szCs w:val="18"/>
                <w:color w:val="auto"/>
              </w:rPr>
              <w:t>Grantor</w:t>
            </w:r>
          </w:p>
        </w:tc>
        <w:tc>
          <w:tcPr>
            <w:tcW w:w="2800" w:type="dxa"/>
            <w:vAlign w:val="bottom"/>
            <w:gridSpan w:val="2"/>
          </w:tcPr>
          <w:p>
            <w:pPr>
              <w:spacing w:after="0"/>
              <w:rPr>
                <w:sz w:val="20"/>
                <w:szCs w:val="20"/>
                <w:color w:val="auto"/>
              </w:rPr>
            </w:pPr>
            <w:r>
              <w:rPr>
                <w:rFonts w:ascii="Arial" w:cs="Arial" w:eastAsia="Arial" w:hAnsi="Arial"/>
                <w:sz w:val="18"/>
                <w:szCs w:val="18"/>
                <w:color w:val="auto"/>
              </w:rPr>
              <w:t>Issuer</w:t>
            </w:r>
          </w:p>
        </w:tc>
        <w:tc>
          <w:tcPr>
            <w:tcW w:w="2820" w:type="dxa"/>
            <w:vAlign w:val="bottom"/>
            <w:gridSpan w:val="2"/>
          </w:tcPr>
          <w:p>
            <w:pPr>
              <w:spacing w:after="0"/>
              <w:rPr>
                <w:sz w:val="20"/>
                <w:szCs w:val="20"/>
                <w:color w:val="auto"/>
              </w:rPr>
            </w:pPr>
            <w:r>
              <w:rPr>
                <w:rFonts w:ascii="Arial" w:cs="Arial" w:eastAsia="Arial" w:hAnsi="Arial"/>
                <w:sz w:val="18"/>
                <w:szCs w:val="18"/>
                <w:color w:val="auto"/>
              </w:rPr>
              <w:t>Description of Collateral</w:t>
            </w:r>
          </w:p>
        </w:tc>
        <w:tc>
          <w:tcPr>
            <w:tcW w:w="2800" w:type="dxa"/>
            <w:vAlign w:val="bottom"/>
            <w:gridSpan w:val="2"/>
          </w:tcPr>
          <w:p>
            <w:pPr>
              <w:spacing w:after="0"/>
              <w:rPr>
                <w:sz w:val="20"/>
                <w:szCs w:val="20"/>
                <w:color w:val="auto"/>
              </w:rPr>
            </w:pPr>
            <w:r>
              <w:rPr>
                <w:rFonts w:ascii="Arial" w:cs="Arial" w:eastAsia="Arial" w:hAnsi="Arial"/>
                <w:sz w:val="18"/>
                <w:szCs w:val="18"/>
                <w:color w:val="auto"/>
              </w:rPr>
              <w:t>Percentage Ownership Interest</w:t>
            </w:r>
          </w:p>
        </w:tc>
      </w:tr>
      <w:tr>
        <w:trPr>
          <w:trHeight w:val="20"/>
        </w:trPr>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Weatherford (Nova Scotia) ULC</w:t>
            </w:r>
          </w:p>
        </w:tc>
        <w:tc>
          <w:tcPr>
            <w:tcW w:w="2800" w:type="dxa"/>
            <w:vAlign w:val="bottom"/>
            <w:gridSpan w:val="2"/>
          </w:tcPr>
          <w:p>
            <w:pPr>
              <w:spacing w:after="0"/>
              <w:rPr>
                <w:sz w:val="20"/>
                <w:szCs w:val="20"/>
                <w:color w:val="auto"/>
              </w:rPr>
            </w:pPr>
            <w:r>
              <w:rPr>
                <w:rFonts w:ascii="Arial" w:cs="Arial" w:eastAsia="Arial" w:hAnsi="Arial"/>
                <w:sz w:val="18"/>
                <w:szCs w:val="18"/>
                <w:color w:val="auto"/>
              </w:rPr>
              <w:t>Weatherford (G.B.) LLP</w:t>
            </w:r>
          </w:p>
        </w:tc>
        <w:tc>
          <w:tcPr>
            <w:tcW w:w="2820" w:type="dxa"/>
            <w:vAlign w:val="bottom"/>
            <w:gridSpan w:val="2"/>
          </w:tcPr>
          <w:p>
            <w:pPr>
              <w:spacing w:after="0"/>
              <w:rPr>
                <w:sz w:val="20"/>
                <w:szCs w:val="20"/>
                <w:color w:val="auto"/>
              </w:rPr>
            </w:pPr>
            <w:r>
              <w:rPr>
                <w:rFonts w:ascii="Arial" w:cs="Arial" w:eastAsia="Arial" w:hAnsi="Arial"/>
                <w:sz w:val="18"/>
                <w:szCs w:val="18"/>
                <w:color w:val="auto"/>
              </w:rPr>
              <w:t>99.9999996 Subscription Units</w:t>
            </w:r>
          </w:p>
        </w:tc>
        <w:tc>
          <w:tcPr>
            <w:tcW w:w="2200" w:type="dxa"/>
            <w:vAlign w:val="bottom"/>
          </w:tcPr>
          <w:p>
            <w:pPr>
              <w:spacing w:after="0"/>
              <w:rPr>
                <w:sz w:val="20"/>
                <w:szCs w:val="20"/>
                <w:color w:val="auto"/>
              </w:rPr>
            </w:pPr>
            <w:r>
              <w:rPr>
                <w:rFonts w:ascii="Arial" w:cs="Arial" w:eastAsia="Arial" w:hAnsi="Arial"/>
                <w:sz w:val="18"/>
                <w:szCs w:val="18"/>
                <w:color w:val="auto"/>
              </w:rPr>
              <w:t>99.9999996%</w:t>
            </w:r>
          </w:p>
        </w:tc>
        <w:tc>
          <w:tcPr>
            <w:tcW w:w="600" w:type="dxa"/>
            <w:vAlign w:val="bottom"/>
          </w:tcPr>
          <w:p>
            <w:pPr>
              <w:spacing w:after="0"/>
              <w:rPr>
                <w:sz w:val="19"/>
                <w:szCs w:val="19"/>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Weatherford Canada Ltd.</w:t>
            </w:r>
          </w:p>
        </w:tc>
        <w:tc>
          <w:tcPr>
            <w:tcW w:w="2800" w:type="dxa"/>
            <w:vAlign w:val="bottom"/>
            <w:gridSpan w:val="2"/>
          </w:tcPr>
          <w:p>
            <w:pPr>
              <w:spacing w:after="0"/>
              <w:rPr>
                <w:sz w:val="20"/>
                <w:szCs w:val="20"/>
                <w:color w:val="auto"/>
              </w:rPr>
            </w:pPr>
            <w:r>
              <w:rPr>
                <w:rFonts w:ascii="Arial" w:cs="Arial" w:eastAsia="Arial" w:hAnsi="Arial"/>
                <w:sz w:val="18"/>
                <w:szCs w:val="18"/>
                <w:color w:val="auto"/>
              </w:rPr>
              <w:t>Weatherford (G.B.) LLP</w:t>
            </w:r>
          </w:p>
        </w:tc>
        <w:tc>
          <w:tcPr>
            <w:tcW w:w="2820" w:type="dxa"/>
            <w:vAlign w:val="bottom"/>
            <w:gridSpan w:val="2"/>
          </w:tcPr>
          <w:p>
            <w:pPr>
              <w:spacing w:after="0"/>
              <w:rPr>
                <w:sz w:val="20"/>
                <w:szCs w:val="20"/>
                <w:color w:val="auto"/>
              </w:rPr>
            </w:pPr>
            <w:r>
              <w:rPr>
                <w:rFonts w:ascii="Arial" w:cs="Arial" w:eastAsia="Arial" w:hAnsi="Arial"/>
                <w:sz w:val="18"/>
                <w:szCs w:val="18"/>
                <w:color w:val="auto"/>
              </w:rPr>
              <w:t>0.0000004 Subscription Units</w:t>
            </w:r>
          </w:p>
        </w:tc>
        <w:tc>
          <w:tcPr>
            <w:tcW w:w="2200" w:type="dxa"/>
            <w:vAlign w:val="bottom"/>
          </w:tcPr>
          <w:p>
            <w:pPr>
              <w:spacing w:after="0"/>
              <w:rPr>
                <w:sz w:val="20"/>
                <w:szCs w:val="20"/>
                <w:color w:val="auto"/>
              </w:rPr>
            </w:pPr>
            <w:r>
              <w:rPr>
                <w:rFonts w:ascii="Arial" w:cs="Arial" w:eastAsia="Arial" w:hAnsi="Arial"/>
                <w:sz w:val="18"/>
                <w:szCs w:val="18"/>
                <w:color w:val="auto"/>
              </w:rPr>
              <w:t>0.0000004%</w:t>
            </w:r>
          </w:p>
        </w:tc>
        <w:tc>
          <w:tcPr>
            <w:tcW w:w="600" w:type="dxa"/>
            <w:vAlign w:val="bottom"/>
          </w:tcPr>
          <w:p>
            <w:pPr>
              <w:spacing w:after="0"/>
              <w:rPr>
                <w:sz w:val="20"/>
                <w:szCs w:val="20"/>
                <w:color w:val="auto"/>
              </w:rPr>
            </w:pPr>
          </w:p>
        </w:tc>
      </w:tr>
      <w:tr>
        <w:trPr>
          <w:trHeight w:val="97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1" w:right="339" w:bottom="1440" w:gutter="0" w:footer="0" w:header="0"/>
        </w:sectPr>
      </w:pPr>
    </w:p>
    <w:bookmarkStart w:id="501" w:name="page502"/>
    <w:bookmarkEnd w:id="501"/>
    <w:p>
      <w:pPr>
        <w:jc w:val="center"/>
        <w:spacing w:after="0"/>
        <w:rPr>
          <w:sz w:val="20"/>
          <w:szCs w:val="20"/>
          <w:color w:val="auto"/>
        </w:rPr>
      </w:pPr>
      <w:r>
        <w:rPr>
          <w:rFonts w:ascii="Arial" w:cs="Arial" w:eastAsia="Arial" w:hAnsi="Arial"/>
          <w:sz w:val="22"/>
          <w:szCs w:val="22"/>
          <w:color w:val="auto"/>
        </w:rPr>
        <w:t>EXHIBIT “E”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of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OFFICES IN WHICH FINANCING STATEMENTS WILL BE FILED</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FOR FILING FINANCING STATEMENT AGAINST</w:t>
            </w:r>
          </w:p>
        </w:tc>
      </w:tr>
      <w:tr>
        <w:trPr>
          <w:trHeight w:val="241"/>
        </w:trPr>
        <w:tc>
          <w:tcPr>
            <w:tcW w:w="5640" w:type="dxa"/>
            <w:vAlign w:val="bottom"/>
            <w:tcBorders>
              <w:left w:val="single" w:sz="8" w:color="auto"/>
              <w:bottom w:val="single" w:sz="8" w:color="auto"/>
              <w:right w:val="single" w:sz="8" w:color="auto"/>
            </w:tcBorders>
          </w:tcPr>
          <w:p>
            <w:pPr>
              <w:ind w:left="2360"/>
              <w:spacing w:after="0"/>
              <w:rPr>
                <w:sz w:val="20"/>
                <w:szCs w:val="20"/>
                <w:color w:val="auto"/>
              </w:rPr>
            </w:pPr>
            <w:r>
              <w:rPr>
                <w:rFonts w:ascii="Arial" w:cs="Arial" w:eastAsia="Arial" w:hAnsi="Arial"/>
                <w:sz w:val="18"/>
                <w:szCs w:val="18"/>
                <w:b w:val="1"/>
                <w:bCs w:val="1"/>
                <w:color w:val="auto"/>
              </w:rPr>
              <w:t>GRANTOR</w:t>
            </w:r>
          </w:p>
        </w:tc>
        <w:tc>
          <w:tcPr>
            <w:tcW w:w="5600" w:type="dxa"/>
            <w:vAlign w:val="bottom"/>
            <w:tcBorders>
              <w:bottom w:val="single" w:sz="8" w:color="auto"/>
              <w:right w:val="single" w:sz="8" w:color="auto"/>
            </w:tcBorders>
          </w:tcPr>
          <w:p>
            <w:pPr>
              <w:ind w:left="2060"/>
              <w:spacing w:after="0"/>
              <w:rPr>
                <w:sz w:val="20"/>
                <w:szCs w:val="20"/>
                <w:color w:val="auto"/>
              </w:rPr>
            </w:pPr>
            <w:r>
              <w:rPr>
                <w:rFonts w:ascii="Arial" w:cs="Arial" w:eastAsia="Arial" w:hAnsi="Arial"/>
                <w:sz w:val="18"/>
                <w:szCs w:val="18"/>
                <w:b w:val="1"/>
                <w:bCs w:val="1"/>
                <w:color w:val="auto"/>
              </w:rPr>
              <w:t>SUCH GRANTOR</w:t>
            </w:r>
          </w:p>
        </w:tc>
      </w:tr>
      <w:tr>
        <w:trPr>
          <w:trHeight w:val="202"/>
        </w:trPr>
        <w:tc>
          <w:tcPr>
            <w:tcW w:w="56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Weatherford Canada Ltd.</w:t>
            </w:r>
          </w:p>
        </w:tc>
        <w:tc>
          <w:tcPr>
            <w:tcW w:w="5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Alberta, Nova Scotia, Saskatchewan, Ontario, Newfoundland and Labrador,</w:t>
            </w:r>
          </w:p>
        </w:tc>
      </w:tr>
      <w:tr>
        <w:trPr>
          <w:trHeight w:val="237"/>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British Columbia, Manitoba</w:t>
            </w:r>
          </w:p>
        </w:tc>
      </w:tr>
      <w:tr>
        <w:trPr>
          <w:trHeight w:val="202"/>
        </w:trPr>
        <w:tc>
          <w:tcPr>
            <w:tcW w:w="56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Precision Energy Services ULC</w:t>
            </w:r>
          </w:p>
        </w:tc>
        <w:tc>
          <w:tcPr>
            <w:tcW w:w="5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Alberta, Nova Scotia, Saskatchewan, Ontario, Newfoundland and Labrador,</w:t>
            </w:r>
          </w:p>
        </w:tc>
      </w:tr>
      <w:tr>
        <w:trPr>
          <w:trHeight w:val="237"/>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British Columbia, Manitoba</w:t>
            </w:r>
          </w:p>
        </w:tc>
      </w:tr>
      <w:tr>
        <w:trPr>
          <w:trHeight w:val="202"/>
        </w:trPr>
        <w:tc>
          <w:tcPr>
            <w:tcW w:w="56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Precision Energy International Ltd.</w:t>
            </w:r>
          </w:p>
        </w:tc>
        <w:tc>
          <w:tcPr>
            <w:tcW w:w="5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Alberta, Nova Scotia, Saskatchewan, Ontario, Newfoundland and Labrador,</w:t>
            </w:r>
          </w:p>
        </w:tc>
      </w:tr>
      <w:tr>
        <w:trPr>
          <w:trHeight w:val="237"/>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British Columbia, Manitoba</w:t>
            </w:r>
          </w:p>
        </w:tc>
      </w:tr>
      <w:tr>
        <w:trPr>
          <w:trHeight w:val="202"/>
        </w:trPr>
        <w:tc>
          <w:tcPr>
            <w:tcW w:w="56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Precision Energy Services Colombia Ltd.</w:t>
            </w:r>
          </w:p>
        </w:tc>
        <w:tc>
          <w:tcPr>
            <w:tcW w:w="5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Alberta, Nova Scotia, Saskatchewan, Ontario, Newfoundland and Labrador,</w:t>
            </w:r>
          </w:p>
        </w:tc>
      </w:tr>
      <w:tr>
        <w:trPr>
          <w:trHeight w:val="237"/>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British Columbia, Manitoba</w:t>
            </w:r>
          </w:p>
        </w:tc>
      </w:tr>
      <w:tr>
        <w:trPr>
          <w:trHeight w:val="202"/>
        </w:trPr>
        <w:tc>
          <w:tcPr>
            <w:tcW w:w="56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Weatherford (Nova Scotia) ULC</w:t>
            </w:r>
          </w:p>
        </w:tc>
        <w:tc>
          <w:tcPr>
            <w:tcW w:w="56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Alberta, Nova Scotia, Saskatchewan, Ontario, Newfoundland and Labrador,</w:t>
            </w:r>
          </w:p>
        </w:tc>
      </w:tr>
      <w:tr>
        <w:trPr>
          <w:trHeight w:val="237"/>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British Columbia, Manitoba</w:t>
            </w:r>
          </w:p>
        </w:tc>
      </w:tr>
      <w:tr>
        <w:trPr>
          <w:trHeight w:val="493"/>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502" w:name="page503"/>
    <w:bookmarkEnd w:id="502"/>
    <w:p>
      <w:pPr>
        <w:jc w:val="center"/>
        <w:ind w:right="19"/>
        <w:spacing w:after="0"/>
        <w:rPr>
          <w:sz w:val="20"/>
          <w:szCs w:val="20"/>
          <w:color w:val="auto"/>
        </w:rPr>
      </w:pPr>
      <w:r>
        <w:rPr>
          <w:rFonts w:ascii="Arial" w:cs="Arial" w:eastAsia="Arial" w:hAnsi="Arial"/>
          <w:sz w:val="22"/>
          <w:szCs w:val="22"/>
          <w:color w:val="auto"/>
        </w:rPr>
        <w:t>Exhibit “F”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789305</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03" w:name="page504"/>
    <w:bookmarkEnd w:id="503"/>
    <w:p>
      <w:pPr>
        <w:jc w:val="center"/>
        <w:spacing w:after="0"/>
        <w:rPr>
          <w:sz w:val="20"/>
          <w:szCs w:val="20"/>
          <w:color w:val="auto"/>
        </w:rPr>
      </w:pPr>
      <w:r>
        <w:rPr>
          <w:rFonts w:ascii="Arial" w:cs="Arial" w:eastAsia="Arial" w:hAnsi="Arial"/>
          <w:sz w:val="22"/>
          <w:szCs w:val="22"/>
          <w:color w:val="auto"/>
        </w:rPr>
        <w:t>EXHIBIT “G”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of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ORGANIZATION NUMBER; JURISDICTION OF INCORPORATION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00" w:type="dxa"/>
            <w:vAlign w:val="bottom"/>
            <w:tcBorders>
              <w:top w:val="single" w:sz="8" w:color="auto"/>
              <w:left w:val="single" w:sz="8" w:color="auto"/>
            </w:tcBorders>
          </w:tcPr>
          <w:p>
            <w:pPr>
              <w:spacing w:after="0"/>
              <w:rPr>
                <w:sz w:val="19"/>
                <w:szCs w:val="19"/>
                <w:color w:val="auto"/>
              </w:rPr>
            </w:pPr>
          </w:p>
        </w:tc>
        <w:tc>
          <w:tcPr>
            <w:tcW w:w="2520" w:type="dxa"/>
            <w:vAlign w:val="bottom"/>
            <w:tcBorders>
              <w:top w:val="single" w:sz="8" w:color="auto"/>
              <w:right w:val="single" w:sz="8" w:color="auto"/>
            </w:tcBorders>
          </w:tcPr>
          <w:p>
            <w:pPr>
              <w:spacing w:after="0"/>
              <w:rPr>
                <w:sz w:val="19"/>
                <w:szCs w:val="19"/>
                <w:color w:val="auto"/>
              </w:rPr>
            </w:pPr>
          </w:p>
        </w:tc>
        <w:tc>
          <w:tcPr>
            <w:tcW w:w="2800" w:type="dxa"/>
            <w:vAlign w:val="bottom"/>
            <w:tcBorders>
              <w:top w:val="single" w:sz="8" w:color="auto"/>
              <w:right w:val="single" w:sz="8" w:color="auto"/>
            </w:tcBorders>
          </w:tcPr>
          <w:p>
            <w:pPr>
              <w:spacing w:after="0"/>
              <w:rPr>
                <w:sz w:val="19"/>
                <w:szCs w:val="19"/>
                <w:color w:val="auto"/>
              </w:rPr>
            </w:pPr>
          </w:p>
        </w:tc>
        <w:tc>
          <w:tcPr>
            <w:tcW w:w="28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w w:val="98"/>
              </w:rPr>
              <w:t>Jurisdiction of Organization or</w:t>
            </w:r>
          </w:p>
        </w:tc>
        <w:tc>
          <w:tcPr>
            <w:tcW w:w="2800" w:type="dxa"/>
            <w:vAlign w:val="bottom"/>
            <w:tcBorders>
              <w:top w:val="single" w:sz="8" w:color="auto"/>
              <w:right w:val="single" w:sz="8" w:color="auto"/>
            </w:tcBorders>
          </w:tcPr>
          <w:p>
            <w:pPr>
              <w:spacing w:after="0"/>
              <w:rPr>
                <w:sz w:val="19"/>
                <w:szCs w:val="19"/>
                <w:color w:val="auto"/>
              </w:rPr>
            </w:pPr>
          </w:p>
        </w:tc>
      </w:tr>
      <w:tr>
        <w:trPr>
          <w:trHeight w:val="241"/>
        </w:trPr>
        <w:tc>
          <w:tcPr>
            <w:tcW w:w="300" w:type="dxa"/>
            <w:vAlign w:val="bottom"/>
            <w:tcBorders>
              <w:left w:val="single" w:sz="8" w:color="auto"/>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GRANTOR</w:t>
            </w:r>
          </w:p>
        </w:tc>
        <w:tc>
          <w:tcPr>
            <w:tcW w:w="2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Type of Organization</w:t>
            </w:r>
          </w:p>
        </w:tc>
        <w:tc>
          <w:tcPr>
            <w:tcW w:w="28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Incorporation</w:t>
            </w:r>
          </w:p>
        </w:tc>
        <w:tc>
          <w:tcPr>
            <w:tcW w:w="28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Organization Number</w:t>
            </w:r>
          </w:p>
        </w:tc>
      </w:tr>
      <w:tr>
        <w:trPr>
          <w:trHeight w:val="223"/>
        </w:trPr>
        <w:tc>
          <w:tcPr>
            <w:tcW w:w="300" w:type="dxa"/>
            <w:vAlign w:val="bottom"/>
            <w:tcBorders>
              <w:left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5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Weatherford Canada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Alberta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2010240824</w:t>
            </w:r>
          </w:p>
        </w:tc>
      </w:tr>
      <w:tr>
        <w:trPr>
          <w:trHeight w:val="202"/>
        </w:trPr>
        <w:tc>
          <w:tcPr>
            <w:tcW w:w="300" w:type="dxa"/>
            <w:vAlign w:val="bottom"/>
            <w:tcBorders>
              <w:lef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w:t>
            </w:r>
          </w:p>
        </w:tc>
        <w:tc>
          <w:tcPr>
            <w:tcW w:w="252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Weatherford (Nova Scotia)</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Unlimited liability company</w:t>
            </w:r>
          </w:p>
        </w:tc>
        <w:tc>
          <w:tcPr>
            <w:tcW w:w="28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Nova Scotia</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3090913</w:t>
            </w: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ULC</w:t>
            </w:r>
          </w:p>
        </w:tc>
        <w:tc>
          <w:tcPr>
            <w:tcW w:w="28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2"/>
        </w:trPr>
        <w:tc>
          <w:tcPr>
            <w:tcW w:w="300" w:type="dxa"/>
            <w:vAlign w:val="bottom"/>
            <w:tcBorders>
              <w:lef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3.</w:t>
            </w:r>
          </w:p>
        </w:tc>
        <w:tc>
          <w:tcPr>
            <w:tcW w:w="252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Precision Energy Services</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Unlimited liability corporation</w:t>
            </w:r>
          </w:p>
        </w:tc>
        <w:tc>
          <w:tcPr>
            <w:tcW w:w="28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Alberta</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2011901994</w:t>
            </w: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ULC</w:t>
            </w:r>
          </w:p>
        </w:tc>
        <w:tc>
          <w:tcPr>
            <w:tcW w:w="28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2"/>
        </w:trPr>
        <w:tc>
          <w:tcPr>
            <w:tcW w:w="300" w:type="dxa"/>
            <w:vAlign w:val="bottom"/>
            <w:tcBorders>
              <w:lef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4.</w:t>
            </w:r>
          </w:p>
        </w:tc>
        <w:tc>
          <w:tcPr>
            <w:tcW w:w="252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Precision Energy</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Corporation</w:t>
            </w:r>
          </w:p>
        </w:tc>
        <w:tc>
          <w:tcPr>
            <w:tcW w:w="28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Alberta</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2011256845</w:t>
            </w: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International Ltd.</w:t>
            </w:r>
          </w:p>
        </w:tc>
        <w:tc>
          <w:tcPr>
            <w:tcW w:w="28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2"/>
        </w:trPr>
        <w:tc>
          <w:tcPr>
            <w:tcW w:w="300" w:type="dxa"/>
            <w:vAlign w:val="bottom"/>
            <w:tcBorders>
              <w:lef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5.</w:t>
            </w:r>
          </w:p>
        </w:tc>
        <w:tc>
          <w:tcPr>
            <w:tcW w:w="252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Precision Energy Services</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Corporation</w:t>
            </w:r>
          </w:p>
        </w:tc>
        <w:tc>
          <w:tcPr>
            <w:tcW w:w="28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Alberta</w:t>
            </w:r>
          </w:p>
        </w:tc>
        <w:tc>
          <w:tcPr>
            <w:tcW w:w="2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206760704</w:t>
            </w: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Colombia Ltd.</w:t>
            </w:r>
          </w:p>
        </w:tc>
        <w:tc>
          <w:tcPr>
            <w:tcW w:w="28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493"/>
        </w:trPr>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504" w:name="page505"/>
    <w:bookmarkEnd w:id="504"/>
    <w:p>
      <w:pPr>
        <w:jc w:val="center"/>
        <w:ind w:right="-1060"/>
        <w:spacing w:after="0"/>
        <w:rPr>
          <w:sz w:val="20"/>
          <w:szCs w:val="20"/>
          <w:color w:val="auto"/>
        </w:rPr>
      </w:pPr>
      <w:r>
        <w:rPr>
          <w:rFonts w:ascii="Arial" w:cs="Arial" w:eastAsia="Arial" w:hAnsi="Arial"/>
          <w:sz w:val="22"/>
          <w:szCs w:val="22"/>
          <w:color w:val="auto"/>
        </w:rPr>
        <w:t>EXHIBIT “H”</w:t>
      </w:r>
    </w:p>
    <w:p>
      <w:pPr>
        <w:spacing w:after="0" w:line="21"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of Security Agreement)</w:t>
      </w:r>
    </w:p>
    <w:p>
      <w:pPr>
        <w:spacing w:after="0" w:line="229"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SPECIFIED DEPOSIT ACCOUNTS</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[Redacted.]</w:t>
      </w:r>
    </w:p>
    <w:p>
      <w:pPr>
        <w:spacing w:after="0" w:line="23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SECURITIES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153035</wp:posOffset>
            </wp:positionV>
            <wp:extent cx="7132320" cy="3257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Name of Grantor</w:t>
            </w:r>
          </w:p>
        </w:tc>
        <w:tc>
          <w:tcPr>
            <w:tcW w:w="3680" w:type="dxa"/>
            <w:vAlign w:val="bottom"/>
          </w:tcPr>
          <w:p>
            <w:pPr>
              <w:ind w:left="940"/>
              <w:spacing w:after="0"/>
              <w:rPr>
                <w:sz w:val="20"/>
                <w:szCs w:val="20"/>
                <w:color w:val="auto"/>
              </w:rPr>
            </w:pPr>
            <w:r>
              <w:rPr>
                <w:rFonts w:ascii="Arial" w:cs="Arial" w:eastAsia="Arial" w:hAnsi="Arial"/>
                <w:sz w:val="18"/>
                <w:szCs w:val="18"/>
                <w:b w:val="1"/>
                <w:bCs w:val="1"/>
                <w:color w:val="auto"/>
              </w:rPr>
              <w:t>Name of Institution</w:t>
            </w:r>
          </w:p>
        </w:tc>
        <w:tc>
          <w:tcPr>
            <w:tcW w:w="2580" w:type="dxa"/>
            <w:vAlign w:val="bottom"/>
          </w:tcPr>
          <w:p>
            <w:pPr>
              <w:ind w:left="1260"/>
              <w:spacing w:after="0"/>
              <w:rPr>
                <w:sz w:val="20"/>
                <w:szCs w:val="20"/>
                <w:color w:val="auto"/>
              </w:rPr>
            </w:pPr>
            <w:r>
              <w:rPr>
                <w:rFonts w:ascii="Arial" w:cs="Arial" w:eastAsia="Arial" w:hAnsi="Arial"/>
                <w:sz w:val="18"/>
                <w:szCs w:val="18"/>
                <w:b w:val="1"/>
                <w:bCs w:val="1"/>
                <w:color w:val="auto"/>
                <w:w w:val="89"/>
              </w:rPr>
              <w:t>Account Number</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340360</wp:posOffset>
            </wp:positionV>
            <wp:extent cx="71323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131" w:right="1440" w:bottom="1440" w:gutter="0" w:footer="0" w:header="0"/>
        </w:sectPr>
      </w:pPr>
    </w:p>
    <w:bookmarkStart w:id="505" w:name="page506"/>
    <w:bookmarkEnd w:id="505"/>
    <w:tbl>
      <w:tblPr>
        <w:tblLayout w:type="fixed"/>
        <w:tblInd w:w="660" w:type="dxa"/>
        <w:tblCellMar>
          <w:top w:w="0" w:type="dxa"/>
          <w:left w:w="0" w:type="dxa"/>
          <w:bottom w:w="0" w:type="dxa"/>
          <w:right w:w="0" w:type="dxa"/>
        </w:tblCellMar>
      </w:tblPr>
      <w:tr>
        <w:trPr>
          <w:trHeight w:val="270"/>
        </w:trPr>
        <w:tc>
          <w:tcPr>
            <w:tcW w:w="2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920" w:type="dxa"/>
            <w:vAlign w:val="bottom"/>
            <w:gridSpan w:val="2"/>
          </w:tcPr>
          <w:p>
            <w:pPr>
              <w:jc w:val="center"/>
              <w:ind w:right="4300"/>
              <w:spacing w:after="0"/>
              <w:rPr>
                <w:sz w:val="20"/>
                <w:szCs w:val="20"/>
                <w:color w:val="auto"/>
              </w:rPr>
            </w:pPr>
            <w:r>
              <w:rPr>
                <w:rFonts w:ascii="Arial" w:cs="Arial" w:eastAsia="Arial" w:hAnsi="Arial"/>
                <w:sz w:val="22"/>
                <w:szCs w:val="22"/>
                <w:color w:val="auto"/>
              </w:rPr>
              <w:t>EXHIBIT “I”</w:t>
            </w:r>
          </w:p>
        </w:tc>
      </w:tr>
      <w:tr>
        <w:trPr>
          <w:trHeight w:val="224"/>
        </w:trPr>
        <w:tc>
          <w:tcPr>
            <w:tcW w:w="2400" w:type="dxa"/>
            <w:vAlign w:val="bottom"/>
          </w:tcPr>
          <w:p>
            <w:pPr>
              <w:spacing w:after="0"/>
              <w:rPr>
                <w:sz w:val="19"/>
                <w:szCs w:val="19"/>
                <w:color w:val="auto"/>
              </w:rPr>
            </w:pPr>
          </w:p>
        </w:tc>
        <w:tc>
          <w:tcPr>
            <w:tcW w:w="8180" w:type="dxa"/>
            <w:vAlign w:val="bottom"/>
            <w:gridSpan w:val="3"/>
          </w:tcPr>
          <w:p>
            <w:pPr>
              <w:jc w:val="center"/>
              <w:ind w:right="3040"/>
              <w:spacing w:after="0" w:line="224" w:lineRule="exact"/>
              <w:rPr>
                <w:sz w:val="20"/>
                <w:szCs w:val="20"/>
                <w:color w:val="auto"/>
              </w:rPr>
            </w:pPr>
            <w:r>
              <w:rPr>
                <w:rFonts w:ascii="Arial" w:cs="Arial" w:eastAsia="Arial" w:hAnsi="Arial"/>
                <w:sz w:val="22"/>
                <w:szCs w:val="22"/>
                <w:color w:val="auto"/>
                <w:w w:val="88"/>
              </w:rPr>
              <w:t>(See Section 4.4 of Security Agreement)</w:t>
            </w:r>
          </w:p>
        </w:tc>
      </w:tr>
      <w:tr>
        <w:trPr>
          <w:trHeight w:val="20"/>
        </w:trPr>
        <w:tc>
          <w:tcPr>
            <w:tcW w:w="2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517"/>
        </w:trPr>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20" w:type="dxa"/>
            <w:vAlign w:val="bottom"/>
            <w:gridSpan w:val="2"/>
          </w:tcPr>
          <w:p>
            <w:pPr>
              <w:jc w:val="center"/>
              <w:ind w:right="4320"/>
              <w:spacing w:after="0"/>
              <w:rPr>
                <w:sz w:val="20"/>
                <w:szCs w:val="20"/>
                <w:color w:val="auto"/>
              </w:rPr>
            </w:pPr>
            <w:r>
              <w:rPr>
                <w:rFonts w:ascii="Arial" w:cs="Arial" w:eastAsia="Arial" w:hAnsi="Arial"/>
                <w:sz w:val="22"/>
                <w:szCs w:val="22"/>
                <w:color w:val="auto"/>
                <w:w w:val="98"/>
              </w:rPr>
              <w:t>AMENDMENT</w:t>
            </w:r>
          </w:p>
        </w:tc>
      </w:tr>
      <w:tr>
        <w:trPr>
          <w:trHeight w:val="486"/>
        </w:trPr>
        <w:tc>
          <w:tcPr>
            <w:tcW w:w="2400" w:type="dxa"/>
            <w:vAlign w:val="bottom"/>
          </w:tcPr>
          <w:p>
            <w:pPr>
              <w:spacing w:after="0"/>
              <w:rPr>
                <w:sz w:val="20"/>
                <w:szCs w:val="20"/>
                <w:color w:val="auto"/>
              </w:rPr>
            </w:pPr>
            <w:r>
              <w:rPr>
                <w:rFonts w:ascii="Arial" w:cs="Arial" w:eastAsia="Arial" w:hAnsi="Arial"/>
                <w:sz w:val="22"/>
                <w:szCs w:val="22"/>
                <w:color w:val="auto"/>
              </w:rPr>
              <w:t>This Amendment, dated</w:t>
            </w:r>
          </w:p>
        </w:tc>
        <w:tc>
          <w:tcPr>
            <w:tcW w:w="8180" w:type="dxa"/>
            <w:vAlign w:val="bottom"/>
            <w:gridSpan w:val="3"/>
          </w:tcPr>
          <w:p>
            <w:pPr>
              <w:ind w:left="300"/>
              <w:spacing w:after="0"/>
              <w:rPr>
                <w:sz w:val="20"/>
                <w:szCs w:val="20"/>
                <w:color w:val="auto"/>
              </w:rPr>
            </w:pPr>
            <w:r>
              <w:rPr>
                <w:rFonts w:ascii="Arial" w:cs="Arial" w:eastAsia="Arial" w:hAnsi="Arial"/>
                <w:sz w:val="22"/>
                <w:szCs w:val="22"/>
                <w:color w:val="auto"/>
                <w:w w:val="90"/>
              </w:rPr>
              <w:t>, 20____ is delivered pursuant to Section 4.4 of the Security Agreement referred to below.</w:t>
            </w:r>
          </w:p>
        </w:tc>
      </w:tr>
    </w:tbl>
    <w:p>
      <w:pPr>
        <w:jc w:val="both"/>
        <w:spacing w:after="0" w:line="258" w:lineRule="auto"/>
        <w:rPr>
          <w:sz w:val="20"/>
          <w:szCs w:val="20"/>
          <w:color w:val="auto"/>
        </w:rPr>
      </w:pPr>
      <w:r>
        <w:rPr>
          <w:rFonts w:ascii="Arial" w:cs="Arial" w:eastAsia="Arial" w:hAnsi="Arial"/>
          <w:sz w:val="22"/>
          <w:szCs w:val="22"/>
          <w:color w:val="auto"/>
        </w:rPr>
        <w:t>All defined terms herein shall have the meanings ascribed thereto or incorporated by reference in the Security Agreement. The undersigned hereby certifies that the representations and warranties in Article III of the Security Agreement are and continue to be true and correct. The undersigned further agrees that this Amendment may be attached to that certain Canadian Security Agreement, dated December 13, 2019, between the undersigned, as the Grantors, and Deutsche Bank Trust Company Americas, as the Agent, (the “</w:t>
      </w:r>
      <w:r>
        <w:rPr>
          <w:rFonts w:ascii="Arial" w:cs="Arial" w:eastAsia="Arial" w:hAnsi="Arial"/>
          <w:sz w:val="22"/>
          <w:szCs w:val="22"/>
          <w:b w:val="1"/>
          <w:bCs w:val="1"/>
          <w:i w:val="1"/>
          <w:iCs w:val="1"/>
          <w:color w:val="auto"/>
        </w:rPr>
        <w:t>Security Agreement</w:t>
      </w:r>
      <w:r>
        <w:rPr>
          <w:rFonts w:ascii="Arial" w:cs="Arial" w:eastAsia="Arial" w:hAnsi="Arial"/>
          <w:sz w:val="22"/>
          <w:szCs w:val="22"/>
          <w:color w:val="auto"/>
        </w:rPr>
        <w:t xml:space="preserve">”) and that the Collateral listed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to this Amendment shall be and become a part of the Collateral referred to in said Security Agreement and shall secure all Secured Obligations referred to in said Security Agreement.</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6" w:name="page507"/>
    <w:bookmarkEnd w:id="506"/>
    <w:p>
      <w:pPr>
        <w:jc w:val="center"/>
        <w:ind w:right="-139"/>
        <w:spacing w:after="0"/>
        <w:rPr>
          <w:sz w:val="20"/>
          <w:szCs w:val="20"/>
          <w:color w:val="auto"/>
        </w:rPr>
      </w:pPr>
      <w:r>
        <w:rPr>
          <w:rFonts w:ascii="Arial" w:cs="Arial" w:eastAsia="Arial" w:hAnsi="Arial"/>
          <w:sz w:val="21"/>
          <w:szCs w:val="21"/>
          <w:color w:val="auto"/>
        </w:rPr>
        <w:t>SCHEDULE I TO AMENDMENT</w:t>
      </w: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153035</wp:posOffset>
            </wp:positionV>
            <wp:extent cx="7132320" cy="6172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ectPr>
          <w:pgSz w:w="11900" w:h="16838" w:orient="portrait"/>
          <w:cols w:equalWidth="0" w:num="1">
            <w:col w:w="11020"/>
          </w:cols>
          <w:pgMar w:left="360" w:top="401" w:right="51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Name of Grantor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Certificate Number(s)</w:t>
      </w:r>
      <w:r>
        <w:rPr>
          <w:sz w:val="20"/>
          <w:szCs w:val="20"/>
          <w:color w:val="auto"/>
        </w:rPr>
        <w:tab/>
      </w:r>
      <w:r>
        <w:rPr>
          <w:rFonts w:ascii="Arial" w:cs="Arial" w:eastAsia="Arial" w:hAnsi="Arial"/>
          <w:sz w:val="16"/>
          <w:szCs w:val="16"/>
          <w:b w:val="1"/>
          <w:bCs w:val="1"/>
          <w:color w:val="auto"/>
        </w:rPr>
        <w:t>Number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of Stock</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Percentage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Outstanding Shares</w:t>
      </w:r>
    </w:p>
    <w:p>
      <w:pPr>
        <w:spacing w:after="0" w:line="216" w:lineRule="exact"/>
        <w:rPr>
          <w:sz w:val="20"/>
          <w:szCs w:val="20"/>
          <w:color w:val="auto"/>
        </w:rPr>
      </w:pPr>
    </w:p>
    <w:p>
      <w:pPr>
        <w:sectPr>
          <w:pgSz w:w="11900" w:h="16838" w:orient="portrait"/>
          <w:cols w:equalWidth="0" w:num="5">
            <w:col w:w="1840" w:space="720"/>
            <w:col w:w="540" w:space="720"/>
            <w:col w:w="3400" w:space="640"/>
            <w:col w:w="1080" w:space="560"/>
            <w:col w:w="1520"/>
          </w:cols>
          <w:pgMar w:left="360" w:top="40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174625</wp:posOffset>
            </wp:positionV>
            <wp:extent cx="7132320" cy="4800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020"/>
          </w:cols>
          <w:pgMar w:left="360" w:top="401" w:right="519" w:bottom="1440" w:gutter="0" w:footer="0" w:header="0"/>
          <w:type w:val="continuous"/>
        </w:sect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Name of Grantor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Face Amount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Coupon Rate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Maturity</w:t>
      </w:r>
    </w:p>
    <w:p>
      <w:pPr>
        <w:spacing w:after="0" w:line="200" w:lineRule="exact"/>
        <w:rPr>
          <w:sz w:val="20"/>
          <w:szCs w:val="20"/>
          <w:color w:val="auto"/>
        </w:rPr>
      </w:pPr>
    </w:p>
    <w:p>
      <w:pPr>
        <w:sectPr>
          <w:pgSz w:w="11900" w:h="16838" w:orient="portrait"/>
          <w:cols w:equalWidth="0" w:num="6">
            <w:col w:w="1840" w:space="720"/>
            <w:col w:w="1060" w:space="720"/>
            <w:col w:w="960" w:space="720"/>
            <w:col w:w="1140" w:space="720"/>
            <w:col w:w="1300" w:space="720"/>
            <w:col w:w="1120"/>
          </w:cols>
          <w:pgMar w:left="360" w:top="40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174625</wp:posOffset>
            </wp:positionV>
            <wp:extent cx="7132320" cy="4800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020"/>
          </w:cols>
          <w:pgMar w:left="360" w:top="401" w:right="519" w:bottom="1440" w:gutter="0" w:footer="0" w:header="0"/>
          <w:type w:val="continuous"/>
        </w:sect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Name of Grantor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Face Amount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Coupon Rate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Maturity</w:t>
      </w:r>
    </w:p>
    <w:p>
      <w:pPr>
        <w:spacing w:after="0" w:line="200" w:lineRule="exact"/>
        <w:rPr>
          <w:sz w:val="20"/>
          <w:szCs w:val="20"/>
          <w:color w:val="auto"/>
        </w:rPr>
      </w:pPr>
    </w:p>
    <w:p>
      <w:pPr>
        <w:sectPr>
          <w:pgSz w:w="11900" w:h="16838" w:orient="portrait"/>
          <w:cols w:equalWidth="0" w:num="7">
            <w:col w:w="1680" w:space="720"/>
            <w:col w:w="760" w:space="720"/>
            <w:col w:w="960" w:space="720"/>
            <w:col w:w="500" w:space="720"/>
            <w:col w:w="1040" w:space="540"/>
            <w:col w:w="1000" w:space="700"/>
            <w:col w:w="960"/>
          </w:cols>
          <w:pgMar w:left="360" w:top="40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OTHER SECURITIES OR OTHER INVESTMENT PROPERTY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(CERTIFICATED AND UNCERTIFICATED)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150495</wp:posOffset>
            </wp:positionV>
            <wp:extent cx="7132320" cy="4800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020"/>
          </w:cols>
          <w:pgMar w:left="360" w:top="401" w:right="519" w:bottom="1440" w:gutter="0" w:footer="0" w:header="0"/>
          <w:type w:val="continuous"/>
        </w:sectPr>
      </w:pPr>
    </w:p>
    <w:p>
      <w:pPr>
        <w:spacing w:after="0" w:line="24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Name of Grantor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Collateral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Percentage Ownership Interest</w:t>
      </w:r>
    </w:p>
    <w:p>
      <w:pPr>
        <w:spacing w:after="0" w:line="200" w:lineRule="exact"/>
        <w:rPr>
          <w:sz w:val="20"/>
          <w:szCs w:val="20"/>
          <w:color w:val="auto"/>
        </w:rPr>
      </w:pPr>
    </w:p>
    <w:p>
      <w:pPr>
        <w:sectPr>
          <w:pgSz w:w="11900" w:h="16838" w:orient="portrait"/>
          <w:cols w:equalWidth="0" w:num="4">
            <w:col w:w="3240" w:space="720"/>
            <w:col w:w="1360" w:space="720"/>
            <w:col w:w="1900" w:space="660"/>
            <w:col w:w="2420"/>
          </w:cols>
          <w:pgMar w:left="360" w:top="40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Add description of custody accounts or arrangements with securities intermediary, if applicable</w:t>
      </w:r>
      <w:r>
        <w:rPr>
          <w:rFonts w:ascii="Arial" w:cs="Arial" w:eastAsia="Arial" w:hAnsi="Arial"/>
          <w:sz w:val="19"/>
          <w:szCs w:val="19"/>
          <w:b w:val="1"/>
          <w:bCs w:val="1"/>
          <w:color w:val="auto"/>
        </w:rPr>
        <w:t>]</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SERIAL NUMBER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187325</wp:posOffset>
            </wp:positionV>
            <wp:extent cx="7132320" cy="3257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ectPr>
          <w:pgSz w:w="11900" w:h="16838" w:orient="portrait"/>
          <w:cols w:equalWidth="0" w:num="1">
            <w:col w:w="11020"/>
          </w:cols>
          <w:pgMar w:left="360" w:top="401" w:right="51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Grantor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511810</wp:posOffset>
            </wp:positionV>
            <wp:extent cx="71323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Serial Number</w:t>
      </w:r>
    </w:p>
    <w:p>
      <w:pPr>
        <w:sectPr>
          <w:pgSz w:w="11900" w:h="16838" w:orient="portrait"/>
          <w:cols w:equalWidth="0" w:num="3">
            <w:col w:w="3000" w:space="720"/>
            <w:col w:w="3020" w:space="720"/>
            <w:col w:w="3560"/>
          </w:cols>
          <w:pgMar w:left="360" w:top="401" w:right="519" w:bottom="1440" w:gutter="0" w:footer="0" w:header="0"/>
          <w:type w:val="continuous"/>
        </w:sectPr>
      </w:pPr>
    </w:p>
    <w:bookmarkStart w:id="507" w:name="page508"/>
    <w:bookmarkEnd w:id="507"/>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“J”</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Definition of “Patent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CONFIRMATORY GRANT IN U.S. PATENTS</w:t>
      </w:r>
    </w:p>
    <w:p>
      <w:pPr>
        <w:spacing w:after="0" w:line="233" w:lineRule="exact"/>
        <w:rPr>
          <w:sz w:val="20"/>
          <w:szCs w:val="20"/>
          <w:color w:val="auto"/>
        </w:rPr>
      </w:pPr>
    </w:p>
    <w:p>
      <w:pPr>
        <w:jc w:val="both"/>
        <w:ind w:right="60"/>
        <w:spacing w:after="0" w:line="299" w:lineRule="auto"/>
        <w:rPr>
          <w:sz w:val="20"/>
          <w:szCs w:val="20"/>
          <w:color w:val="auto"/>
        </w:rPr>
      </w:pPr>
      <w:r>
        <w:rPr>
          <w:rFonts w:ascii="Arial" w:cs="Arial" w:eastAsia="Arial" w:hAnsi="Arial"/>
          <w:sz w:val="19"/>
          <w:szCs w:val="19"/>
          <w:color w:val="auto"/>
        </w:rPr>
        <w:t>THIS CONFIRMATORY GRANT OF SECURITY INTEREST IN UNITED STATES PATENTS (the “</w:t>
      </w:r>
      <w:r>
        <w:rPr>
          <w:rFonts w:ascii="Arial" w:cs="Arial" w:eastAsia="Arial" w:hAnsi="Arial"/>
          <w:sz w:val="19"/>
          <w:szCs w:val="19"/>
          <w:u w:val="single" w:color="auto"/>
          <w:color w:val="auto"/>
        </w:rPr>
        <w:t>Confirmatory Grant</w:t>
      </w:r>
      <w:r>
        <w:rPr>
          <w:rFonts w:ascii="Arial" w:cs="Arial" w:eastAsia="Arial" w:hAnsi="Arial"/>
          <w:sz w:val="19"/>
          <w:szCs w:val="19"/>
          <w:color w:val="auto"/>
        </w:rPr>
        <w:t>”) is made effective as of [____], 20__ by and from the entities listed on the signature pages hereto (each such entity, together with</w:t>
      </w:r>
    </w:p>
    <w:p>
      <w:pPr>
        <w:jc w:val="both"/>
        <w:ind w:right="60"/>
        <w:spacing w:after="0" w:line="261" w:lineRule="auto"/>
        <w:rPr>
          <w:sz w:val="20"/>
          <w:szCs w:val="20"/>
          <w:color w:val="auto"/>
        </w:rPr>
      </w:pPr>
      <w:r>
        <w:rPr>
          <w:rFonts w:ascii="Arial" w:cs="Arial" w:eastAsia="Arial" w:hAnsi="Arial"/>
          <w:sz w:val="22"/>
          <w:szCs w:val="22"/>
          <w:color w:val="auto"/>
        </w:rPr>
        <w:t>any other entities that become party to this Confirmatory Grant, being individually referred to herein as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Grantors</w:t>
      </w:r>
      <w:r>
        <w:rPr>
          <w:rFonts w:ascii="Arial" w:cs="Arial" w:eastAsia="Arial" w:hAnsi="Arial"/>
          <w:sz w:val="22"/>
          <w:szCs w:val="22"/>
          <w:color w:val="auto"/>
        </w:rPr>
        <w:t>”), to and in favor of Deutsche Bank Trust Company Americas in its capacity as administrative agent (the “</w:t>
      </w:r>
      <w:r>
        <w:rPr>
          <w:rFonts w:ascii="Arial" w:cs="Arial" w:eastAsia="Arial" w:hAnsi="Arial"/>
          <w:sz w:val="22"/>
          <w:szCs w:val="22"/>
          <w:u w:val="single" w:color="auto"/>
          <w:color w:val="auto"/>
        </w:rPr>
        <w:t>Grantee</w:t>
      </w:r>
      <w:r>
        <w:rPr>
          <w:rFonts w:ascii="Arial" w:cs="Arial" w:eastAsia="Arial" w:hAnsi="Arial"/>
          <w:sz w:val="22"/>
          <w:szCs w:val="22"/>
          <w:color w:val="auto"/>
        </w:rPr>
        <w:t>”) for itself and on behalf and for the benefit of the other Secured Parties (as defined in the Credit Agreement referenced below).</w:t>
      </w:r>
    </w:p>
    <w:p>
      <w:pPr>
        <w:spacing w:after="0" w:line="191" w:lineRule="exact"/>
        <w:rPr>
          <w:sz w:val="20"/>
          <w:szCs w:val="20"/>
          <w:color w:val="auto"/>
        </w:rPr>
      </w:pPr>
    </w:p>
    <w:p>
      <w:pPr>
        <w:jc w:val="both"/>
        <w:ind w:right="200" w:firstLine="1296"/>
        <w:spacing w:after="0" w:line="260" w:lineRule="auto"/>
        <w:rPr>
          <w:sz w:val="20"/>
          <w:szCs w:val="20"/>
          <w:color w:val="auto"/>
        </w:rPr>
      </w:pPr>
      <w:r>
        <w:rPr>
          <w:rFonts w:ascii="Arial" w:cs="Arial" w:eastAsia="Arial" w:hAnsi="Arial"/>
          <w:sz w:val="22"/>
          <w:szCs w:val="22"/>
          <w:color w:val="auto"/>
        </w:rPr>
        <w:t>WHEREAS, WEATHERFORD INTERNATIONAL PLC, an Irish public limited company (“</w:t>
      </w:r>
      <w:r>
        <w:rPr>
          <w:rFonts w:ascii="Arial" w:cs="Arial" w:eastAsia="Arial" w:hAnsi="Arial"/>
          <w:sz w:val="22"/>
          <w:szCs w:val="22"/>
          <w:u w:val="single" w:color="auto"/>
          <w:color w:val="auto"/>
        </w:rPr>
        <w:t>WIL-Ireland</w:t>
      </w:r>
      <w:r>
        <w:rPr>
          <w:rFonts w:ascii="Arial" w:cs="Arial" w:eastAsia="Arial" w:hAnsi="Arial"/>
          <w:sz w:val="22"/>
          <w:szCs w:val="22"/>
          <w:color w:val="auto"/>
        </w:rPr>
        <w:t>”),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92" w:lineRule="exact"/>
        <w:rPr>
          <w:sz w:val="20"/>
          <w:szCs w:val="20"/>
          <w:color w:val="auto"/>
        </w:rPr>
      </w:pPr>
    </w:p>
    <w:p>
      <w:pPr>
        <w:jc w:val="both"/>
        <w:ind w:right="200" w:firstLine="1296"/>
        <w:spacing w:after="0" w:line="266" w:lineRule="auto"/>
        <w:rPr>
          <w:sz w:val="20"/>
          <w:szCs w:val="20"/>
          <w:color w:val="auto"/>
        </w:rPr>
      </w:pPr>
      <w:r>
        <w:rPr>
          <w:rFonts w:ascii="Arial" w:cs="Arial" w:eastAsia="Arial" w:hAnsi="Arial"/>
          <w:sz w:val="22"/>
          <w:szCs w:val="22"/>
          <w:color w:val="auto"/>
        </w:rPr>
        <w:t>WHEREAS, the Grantors and the other grantors from time to time party thereto have entered into the Canadian Security Agreement dated as of December 13, 2019 (as the same may be further amended, restated, supplemented or otherwise modified from time to time,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w:t>
      </w:r>
    </w:p>
    <w:p>
      <w:pPr>
        <w:spacing w:after="0" w:line="185" w:lineRule="exact"/>
        <w:rPr>
          <w:sz w:val="20"/>
          <w:szCs w:val="20"/>
          <w:color w:val="auto"/>
        </w:rPr>
      </w:pPr>
    </w:p>
    <w:p>
      <w:pPr>
        <w:jc w:val="both"/>
        <w:ind w:right="200" w:firstLine="1296"/>
        <w:spacing w:after="0" w:line="266" w:lineRule="auto"/>
        <w:rPr>
          <w:sz w:val="20"/>
          <w:szCs w:val="20"/>
          <w:color w:val="auto"/>
        </w:rPr>
      </w:pPr>
      <w:r>
        <w:rPr>
          <w:rFonts w:ascii="Arial" w:cs="Arial" w:eastAsia="Arial" w:hAnsi="Arial"/>
          <w:sz w:val="22"/>
          <w:szCs w:val="22"/>
          <w:color w:val="auto"/>
        </w:rPr>
        <w:t xml:space="preserve">WHEREAS, the Grantors own certain Patents (as defined in the Security Agreement), including without limitation the Patents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Patents are issued or pending with the United States Patent and Trademark Office.</w:t>
      </w:r>
    </w:p>
    <w:p>
      <w:pPr>
        <w:spacing w:after="0" w:line="185" w:lineRule="exact"/>
        <w:rPr>
          <w:sz w:val="20"/>
          <w:szCs w:val="20"/>
          <w:color w:val="auto"/>
        </w:rPr>
      </w:pPr>
    </w:p>
    <w:p>
      <w:pPr>
        <w:jc w:val="both"/>
        <w:ind w:right="200" w:firstLine="1296"/>
        <w:spacing w:after="0" w:line="311" w:lineRule="auto"/>
        <w:rPr>
          <w:sz w:val="20"/>
          <w:szCs w:val="20"/>
          <w:color w:val="auto"/>
        </w:rPr>
      </w:pPr>
      <w:r>
        <w:rPr>
          <w:rFonts w:ascii="Arial" w:cs="Arial" w:eastAsia="Arial" w:hAnsi="Arial"/>
          <w:sz w:val="19"/>
          <w:szCs w:val="19"/>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44" w:lineRule="exact"/>
        <w:rPr>
          <w:sz w:val="20"/>
          <w:szCs w:val="20"/>
          <w:color w:val="auto"/>
        </w:rPr>
      </w:pPr>
    </w:p>
    <w:p>
      <w:pPr>
        <w:jc w:val="both"/>
        <w:ind w:right="200" w:firstLine="1296"/>
        <w:spacing w:after="0" w:line="364" w:lineRule="auto"/>
        <w:rPr>
          <w:sz w:val="20"/>
          <w:szCs w:val="20"/>
          <w:color w:val="auto"/>
        </w:rPr>
      </w:pPr>
      <w:r>
        <w:rPr>
          <w:rFonts w:ascii="Arial" w:cs="Arial" w:eastAsia="Arial" w:hAnsi="Arial"/>
          <w:sz w:val="19"/>
          <w:szCs w:val="19"/>
          <w:color w:val="auto"/>
        </w:rPr>
        <w:t>NOW</w:t>
      </w:r>
      <w:r>
        <w:rPr>
          <w:rFonts w:ascii="Arial" w:cs="Arial" w:eastAsia="Arial" w:hAnsi="Arial"/>
          <w:sz w:val="19"/>
          <w:szCs w:val="19"/>
          <w:b w:val="1"/>
          <w:bCs w:val="1"/>
          <w:color w:val="auto"/>
        </w:rPr>
        <w:t>,</w:t>
      </w:r>
      <w:r>
        <w:rPr>
          <w:rFonts w:ascii="Arial" w:cs="Arial" w:eastAsia="Arial" w:hAnsi="Arial"/>
          <w:sz w:val="19"/>
          <w:szCs w:val="19"/>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99" w:lineRule="exact"/>
        <w:rPr>
          <w:sz w:val="20"/>
          <w:szCs w:val="20"/>
          <w:color w:val="auto"/>
        </w:rPr>
      </w:pPr>
    </w:p>
    <w:p>
      <w:pPr>
        <w:ind w:right="200" w:firstLine="721"/>
        <w:spacing w:after="0" w:line="276" w:lineRule="auto"/>
        <w:tabs>
          <w:tab w:leader="none" w:pos="1527" w:val="left"/>
        </w:tabs>
        <w:numPr>
          <w:ilvl w:val="0"/>
          <w:numId w:val="539"/>
        </w:numPr>
        <w:rPr>
          <w:rFonts w:ascii="Arial" w:cs="Arial" w:eastAsia="Arial" w:hAnsi="Arial"/>
          <w:sz w:val="22"/>
          <w:szCs w:val="22"/>
          <w:u w:val="single" w:color="auto"/>
          <w:color w:val="2C2C2C"/>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defined herein shall have the respective meanings given to them in the Credit Agreement.</w:t>
      </w:r>
    </w:p>
    <w:p>
      <w:pPr>
        <w:spacing w:after="0" w:line="174" w:lineRule="exact"/>
        <w:rPr>
          <w:rFonts w:ascii="Arial" w:cs="Arial" w:eastAsia="Arial" w:hAnsi="Arial"/>
          <w:sz w:val="22"/>
          <w:szCs w:val="22"/>
          <w:u w:val="single" w:color="auto"/>
          <w:color w:val="2C2C2C"/>
        </w:rPr>
      </w:pPr>
    </w:p>
    <w:p>
      <w:pPr>
        <w:ind w:left="1440" w:hanging="719"/>
        <w:spacing w:after="0"/>
        <w:tabs>
          <w:tab w:leader="none" w:pos="1440" w:val="left"/>
        </w:tabs>
        <w:numPr>
          <w:ilvl w:val="0"/>
          <w:numId w:val="539"/>
        </w:numPr>
        <w:rPr>
          <w:rFonts w:ascii="Arial" w:cs="Arial" w:eastAsia="Arial" w:hAnsi="Arial"/>
          <w:sz w:val="22"/>
          <w:szCs w:val="22"/>
          <w:u w:val="single" w:color="auto"/>
          <w:color w:val="2C2C2C"/>
        </w:rPr>
      </w:pPr>
      <w:r>
        <w:rPr>
          <w:rFonts w:ascii="Arial" w:cs="Arial" w:eastAsia="Arial" w:hAnsi="Arial"/>
          <w:sz w:val="22"/>
          <w:szCs w:val="22"/>
          <w:u w:val="single" w:color="auto"/>
          <w:color w:val="auto"/>
        </w:rPr>
        <w:t>The Security Interest.</w:t>
      </w:r>
    </w:p>
    <w:p>
      <w:pPr>
        <w:spacing w:after="0" w:line="233" w:lineRule="exact"/>
        <w:rPr>
          <w:rFonts w:ascii="Arial" w:cs="Arial" w:eastAsia="Arial" w:hAnsi="Arial"/>
          <w:sz w:val="22"/>
          <w:szCs w:val="22"/>
          <w:u w:val="single" w:color="auto"/>
          <w:color w:val="2C2C2C"/>
        </w:rPr>
      </w:pPr>
    </w:p>
    <w:p>
      <w:pPr>
        <w:jc w:val="both"/>
        <w:ind w:right="200" w:firstLine="1304"/>
        <w:spacing w:after="0" w:line="306" w:lineRule="auto"/>
        <w:tabs>
          <w:tab w:leader="none" w:pos="2184" w:val="left"/>
        </w:tabs>
        <w:numPr>
          <w:ilvl w:val="3"/>
          <w:numId w:val="539"/>
        </w:numPr>
        <w:rPr>
          <w:rFonts w:ascii="Arial" w:cs="Arial" w:eastAsia="Arial" w:hAnsi="Arial"/>
          <w:sz w:val="19"/>
          <w:szCs w:val="19"/>
          <w:color w:val="auto"/>
        </w:rPr>
      </w:pPr>
      <w:r>
        <w:rPr>
          <w:rFonts w:ascii="Arial" w:cs="Arial" w:eastAsia="Arial" w:hAnsi="Arial"/>
          <w:sz w:val="19"/>
          <w:szCs w:val="19"/>
          <w:color w:val="auto"/>
        </w:rPr>
        <w:t xml:space="preserve">This Confirmatory Grant is made to secure the satisfactory performance and payment of the Secured Obligations. Upon Payment in Full, the Grantee shall promptly execute, acknowledge, and deliver to the Grantors all reasonably requested instruments in writing or otherwise, releasing the security interest in the Patents acquired under this Confirmatory Grant. Notwithstanding the foregoing, the security interest in the Patents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9"/>
          <w:szCs w:val="19"/>
          <w:u w:val="single" w:color="auto"/>
          <w:color w:val="auto"/>
        </w:rPr>
        <w:t>Section 11.01(e)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11.23</w:t>
      </w:r>
      <w:r>
        <w:rPr>
          <w:rFonts w:ascii="Arial" w:cs="Arial" w:eastAsia="Arial" w:hAnsi="Arial"/>
          <w:sz w:val="19"/>
          <w:szCs w:val="19"/>
          <w:color w:val="auto"/>
        </w:rPr>
        <w:t xml:space="preserve"> of the Credit Agreement.</w:t>
      </w:r>
    </w:p>
    <w:p>
      <w:pPr>
        <w:spacing w:after="0" w:line="156" w:lineRule="exact"/>
        <w:rPr>
          <w:rFonts w:ascii="Arial" w:cs="Arial" w:eastAsia="Arial" w:hAnsi="Arial"/>
          <w:sz w:val="19"/>
          <w:szCs w:val="19"/>
          <w:color w:val="auto"/>
        </w:rPr>
      </w:pPr>
    </w:p>
    <w:p>
      <w:pPr>
        <w:jc w:val="both"/>
        <w:ind w:left="140" w:firstLine="1294"/>
        <w:spacing w:after="0" w:line="311" w:lineRule="auto"/>
        <w:tabs>
          <w:tab w:leader="none" w:pos="2295" w:val="left"/>
        </w:tabs>
        <w:numPr>
          <w:ilvl w:val="4"/>
          <w:numId w:val="539"/>
        </w:numPr>
        <w:rPr>
          <w:rFonts w:ascii="Arial" w:cs="Arial" w:eastAsia="Arial" w:hAnsi="Arial"/>
          <w:sz w:val="19"/>
          <w:szCs w:val="19"/>
          <w:color w:val="auto"/>
        </w:rPr>
      </w:pPr>
      <w:r>
        <w:rPr>
          <w:rFonts w:ascii="Arial" w:cs="Arial" w:eastAsia="Arial" w:hAnsi="Arial"/>
          <w:sz w:val="19"/>
          <w:szCs w:val="19"/>
          <w:color w:val="auto"/>
        </w:rPr>
        <w:t xml:space="preserve">Each Grantor hereby pledges, assigns and grants to the Grantee, on behalf of and for the benefit of the Secured Parties, a security interest in (1) all of such Grantor’s right, title and interest in and to the Patents now owned or hereafter acquired by such Grantor, including without limitation the Patents listed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A hereto, together with (2) all proceeds and products of the Patents, and (3) all causes of action arising prior to or after the date hereof for infringement or other violation of the Patents or unfair competition regarding the same (collectively, the “</w:t>
      </w:r>
      <w:r>
        <w:rPr>
          <w:rFonts w:ascii="Arial" w:cs="Arial" w:eastAsia="Arial" w:hAnsi="Arial"/>
          <w:sz w:val="19"/>
          <w:szCs w:val="19"/>
          <w:u w:val="single" w:color="auto"/>
          <w:color w:val="auto"/>
        </w:rPr>
        <w:t>Patent Collateral</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left="180" w:firstLine="557"/>
        <w:spacing w:after="0" w:line="262" w:lineRule="auto"/>
        <w:tabs>
          <w:tab w:leader="none" w:pos="1534" w:val="left"/>
        </w:tabs>
        <w:numPr>
          <w:ilvl w:val="1"/>
          <w:numId w:val="539"/>
        </w:numPr>
        <w:rPr>
          <w:rFonts w:ascii="Arial" w:cs="Arial" w:eastAsia="Arial" w:hAnsi="Arial"/>
          <w:sz w:val="22"/>
          <w:szCs w:val="22"/>
          <w:u w:val="single" w:color="auto"/>
          <w:color w:val="2A2A2A"/>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191" w:lineRule="exact"/>
        <w:rPr>
          <w:rFonts w:ascii="Arial" w:cs="Arial" w:eastAsia="Arial" w:hAnsi="Arial"/>
          <w:sz w:val="22"/>
          <w:szCs w:val="22"/>
          <w:u w:val="single" w:color="auto"/>
          <w:color w:val="2A2A2A"/>
        </w:rPr>
      </w:pPr>
    </w:p>
    <w:p>
      <w:pPr>
        <w:jc w:val="both"/>
        <w:ind w:left="140" w:right="60" w:firstLine="646"/>
        <w:spacing w:after="0" w:line="358" w:lineRule="auto"/>
        <w:tabs>
          <w:tab w:leader="none" w:pos="1656" w:val="left"/>
        </w:tabs>
        <w:numPr>
          <w:ilvl w:val="2"/>
          <w:numId w:val="539"/>
        </w:numPr>
        <w:rPr>
          <w:rFonts w:ascii="Arial" w:cs="Arial" w:eastAsia="Arial" w:hAnsi="Arial"/>
          <w:sz w:val="19"/>
          <w:szCs w:val="19"/>
          <w:u w:val="single" w:color="auto"/>
          <w:color w:val="2A2A2A"/>
        </w:rPr>
      </w:pPr>
      <w:r>
        <w:rPr>
          <w:rFonts w:ascii="Arial" w:cs="Arial" w:eastAsia="Arial" w:hAnsi="Arial"/>
          <w:sz w:val="19"/>
          <w:szCs w:val="19"/>
          <w:u w:val="single" w:color="auto"/>
          <w:color w:val="auto"/>
        </w:rPr>
        <w:t>Further Actions</w:t>
      </w:r>
      <w:r>
        <w:rPr>
          <w:rFonts w:ascii="Arial" w:cs="Arial" w:eastAsia="Arial" w:hAnsi="Arial"/>
          <w:sz w:val="19"/>
          <w:szCs w:val="19"/>
          <w:color w:val="auto"/>
        </w:rPr>
        <w:t>. The Grantors authorize and request that the Commissioner for Patents of the United States Patent and Trademark Office and any other applicable government officer record this Confirmatory Grant. The Grantors shall</w:t>
      </w:r>
    </w:p>
    <w:p>
      <w:pPr>
        <w:sectPr>
          <w:pgSz w:w="11900" w:h="16968" w:orient="portrait"/>
          <w:cols w:equalWidth="0" w:num="1">
            <w:col w:w="11240"/>
          </w:cols>
          <w:pgMar w:left="320" w:top="617" w:right="339" w:bottom="0" w:gutter="0" w:footer="0" w:header="0"/>
        </w:sectPr>
      </w:pPr>
    </w:p>
    <w:bookmarkStart w:id="508" w:name="page509"/>
    <w:bookmarkEnd w:id="508"/>
    <w:p>
      <w:pPr>
        <w:ind w:left="140" w:right="80"/>
        <w:spacing w:after="0" w:line="276" w:lineRule="auto"/>
        <w:rPr>
          <w:sz w:val="20"/>
          <w:szCs w:val="20"/>
          <w:color w:val="auto"/>
        </w:rPr>
      </w:pPr>
      <w:r>
        <w:rPr>
          <w:rFonts w:ascii="Arial" w:cs="Arial" w:eastAsia="Arial" w:hAnsi="Arial"/>
          <w:sz w:val="22"/>
          <w:szCs w:val="22"/>
          <w:color w:val="auto"/>
        </w:rPr>
        <w:t>take any further actions, including executing any further documentation, necessary to record, perfect or effectuate this Confirmatory Grant and the Grantee’s security interest in the Patent Collateral.</w:t>
      </w:r>
    </w:p>
    <w:p>
      <w:pPr>
        <w:spacing w:after="0" w:line="174" w:lineRule="exact"/>
        <w:rPr>
          <w:sz w:val="20"/>
          <w:szCs w:val="20"/>
          <w:color w:val="auto"/>
        </w:rPr>
      </w:pPr>
    </w:p>
    <w:p>
      <w:pPr>
        <w:jc w:val="both"/>
        <w:ind w:left="140" w:right="60" w:firstLine="646"/>
        <w:spacing w:after="0" w:line="311" w:lineRule="auto"/>
        <w:tabs>
          <w:tab w:leader="none" w:pos="1737" w:val="left"/>
        </w:tabs>
        <w:numPr>
          <w:ilvl w:val="0"/>
          <w:numId w:val="540"/>
        </w:numPr>
        <w:rPr>
          <w:rFonts w:ascii="Arial" w:cs="Arial" w:eastAsia="Arial" w:hAnsi="Arial"/>
          <w:sz w:val="19"/>
          <w:szCs w:val="19"/>
          <w:u w:val="single" w:color="auto"/>
          <w:color w:val="2A2A2A"/>
        </w:rPr>
      </w:pPr>
      <w:r>
        <w:rPr>
          <w:rFonts w:ascii="Arial" w:cs="Arial" w:eastAsia="Arial" w:hAnsi="Arial"/>
          <w:sz w:val="19"/>
          <w:szCs w:val="19"/>
          <w:u w:val="single" w:color="auto"/>
          <w:color w:val="auto"/>
        </w:rPr>
        <w:t>Authorization to Supplement</w:t>
      </w:r>
      <w:r>
        <w:rPr>
          <w:rFonts w:ascii="Arial" w:cs="Arial" w:eastAsia="Arial" w:hAnsi="Arial"/>
          <w:sz w:val="19"/>
          <w:szCs w:val="19"/>
          <w:color w:val="auto"/>
        </w:rPr>
        <w:t xml:space="preserve">. If any Grantor shall obtain rights to any new Patents, the provisions of this Confirmatory Grant shall automatically apply thereto. Such Grantor hereby authorizes the Grantee, in consultation with such Grantor, to modify this Confirmatory Grant by amending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solely to include any such new Patents of such Grantor. Notwithstanding the foregoing, no failure to so modify this Confirmatory Grant or amend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in any way affect, invalidate or detract from the Grantee's continuing security interest in all Patent Collateral, whether or not listed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50" w:lineRule="exact"/>
        <w:rPr>
          <w:rFonts w:ascii="Arial" w:cs="Arial" w:eastAsia="Arial" w:hAnsi="Arial"/>
          <w:sz w:val="19"/>
          <w:szCs w:val="19"/>
          <w:u w:val="single" w:color="auto"/>
          <w:color w:val="2A2A2A"/>
        </w:rPr>
      </w:pPr>
    </w:p>
    <w:p>
      <w:pPr>
        <w:ind w:left="140" w:right="80" w:firstLine="646"/>
        <w:spacing w:after="0" w:line="276" w:lineRule="auto"/>
        <w:tabs>
          <w:tab w:leader="none" w:pos="1535" w:val="left"/>
        </w:tabs>
        <w:numPr>
          <w:ilvl w:val="0"/>
          <w:numId w:val="540"/>
        </w:numPr>
        <w:rPr>
          <w:rFonts w:ascii="Arial" w:cs="Arial" w:eastAsia="Arial" w:hAnsi="Arial"/>
          <w:sz w:val="22"/>
          <w:szCs w:val="22"/>
          <w:u w:val="single" w:color="auto"/>
          <w:color w:val="2A2A2A"/>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Confirmatory Grant and the rights and obligations of the parties hereto shall be governed by, and construed and interpreted in accordance with, the internal laws of the State of New York.</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IN WITNESS WHEREOF, the parties hereto have executed this Confirmatory Grant of Security Interest in United States Patents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[GRANTOR]</w:t>
      </w:r>
    </w:p>
    <w:p>
      <w:pPr>
        <w:spacing w:after="0" w:line="200" w:lineRule="exact"/>
        <w:rPr>
          <w:sz w:val="20"/>
          <w:szCs w:val="20"/>
          <w:color w:val="auto"/>
        </w:rPr>
      </w:pPr>
    </w:p>
    <w:p>
      <w:pPr>
        <w:spacing w:after="0" w:line="35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-17780</wp:posOffset>
            </wp:positionV>
            <wp:extent cx="192024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9" w:name="page510"/>
    <w:bookmarkEnd w:id="509"/>
    <w:p>
      <w:pPr>
        <w:jc w:val="center"/>
        <w:ind w:left="2000" w:right="2019"/>
        <w:spacing w:after="0" w:line="272" w:lineRule="auto"/>
        <w:rPr>
          <w:sz w:val="20"/>
          <w:szCs w:val="20"/>
          <w:color w:val="auto"/>
        </w:rPr>
      </w:pPr>
      <w:r>
        <w:rPr>
          <w:rFonts w:ascii="Arial" w:cs="Arial" w:eastAsia="Arial" w:hAnsi="Arial"/>
          <w:sz w:val="22"/>
          <w:szCs w:val="22"/>
          <w:color w:val="auto"/>
        </w:rPr>
        <w:t>CONFIRMATORY GRANT OF SECURITY INTEREST IN UNITED STATES PATENTS Exhibit A – SCHEDULE OF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1962150</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510" w:name="page511"/>
    <w:bookmarkEnd w:id="510"/>
    <w:p>
      <w:pPr>
        <w:jc w:val="center"/>
        <w:spacing w:after="0"/>
        <w:rPr>
          <w:sz w:val="20"/>
          <w:szCs w:val="20"/>
          <w:color w:val="auto"/>
        </w:rPr>
      </w:pPr>
      <w:r>
        <w:rPr>
          <w:rFonts w:ascii="Arial" w:cs="Arial" w:eastAsia="Arial" w:hAnsi="Arial"/>
          <w:sz w:val="22"/>
          <w:szCs w:val="22"/>
          <w:color w:val="auto"/>
        </w:rPr>
        <w:t>Exhibit “K”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Definition of “Trademark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CONFIRMATORY GRANT IN U.S. TRADEMARKS</w:t>
      </w:r>
    </w:p>
    <w:p>
      <w:pPr>
        <w:spacing w:after="0" w:line="233"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THIS CONFIRMATORY GRANT OF SECURITY INTEREST IN UNITED STATES TRADEMARKS (the “</w:t>
      </w:r>
      <w:r>
        <w:rPr>
          <w:rFonts w:ascii="Arial" w:cs="Arial" w:eastAsia="Arial" w:hAnsi="Arial"/>
          <w:sz w:val="19"/>
          <w:szCs w:val="19"/>
          <w:u w:val="single" w:color="auto"/>
          <w:color w:val="auto"/>
        </w:rPr>
        <w:t>Confirmatory</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w:t>
      </w:r>
      <w:r>
        <w:rPr>
          <w:rFonts w:ascii="Arial" w:cs="Arial" w:eastAsia="Arial" w:hAnsi="Arial"/>
          <w:sz w:val="19"/>
          <w:szCs w:val="19"/>
          <w:color w:val="auto"/>
        </w:rPr>
        <w:t>”) is made effective as of [____], 20__ by and from the entities listed on the signature pages hereto (each such entity,</w:t>
      </w:r>
    </w:p>
    <w:p>
      <w:pPr>
        <w:jc w:val="both"/>
        <w:spacing w:after="0" w:line="261" w:lineRule="auto"/>
        <w:rPr>
          <w:sz w:val="20"/>
          <w:szCs w:val="20"/>
          <w:color w:val="auto"/>
        </w:rPr>
      </w:pPr>
      <w:r>
        <w:rPr>
          <w:rFonts w:ascii="Arial" w:cs="Arial" w:eastAsia="Arial" w:hAnsi="Arial"/>
          <w:sz w:val="22"/>
          <w:szCs w:val="22"/>
          <w:color w:val="auto"/>
        </w:rPr>
        <w:t>together with any other entities that become party to this Confirmatory Grant, being individually referred to herein as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Grantors</w:t>
      </w:r>
      <w:r>
        <w:rPr>
          <w:rFonts w:ascii="Arial" w:cs="Arial" w:eastAsia="Arial" w:hAnsi="Arial"/>
          <w:sz w:val="22"/>
          <w:szCs w:val="22"/>
          <w:color w:val="auto"/>
        </w:rPr>
        <w:t>”), to and in favor of Deutsche Bank Trust Company Americas in its capacity as administrative agent (the “</w:t>
      </w:r>
      <w:r>
        <w:rPr>
          <w:rFonts w:ascii="Arial" w:cs="Arial" w:eastAsia="Arial" w:hAnsi="Arial"/>
          <w:sz w:val="22"/>
          <w:szCs w:val="22"/>
          <w:u w:val="single" w:color="auto"/>
          <w:color w:val="auto"/>
        </w:rPr>
        <w:t>Grantee</w:t>
      </w:r>
      <w:r>
        <w:rPr>
          <w:rFonts w:ascii="Arial" w:cs="Arial" w:eastAsia="Arial" w:hAnsi="Arial"/>
          <w:sz w:val="22"/>
          <w:szCs w:val="22"/>
          <w:color w:val="auto"/>
        </w:rPr>
        <w:t>”) for itself and on behalf and for the benefit of the other Secured Parties (as defined in the Credit Agreement referenced below).</w:t>
      </w:r>
    </w:p>
    <w:p>
      <w:pPr>
        <w:spacing w:after="0" w:line="191" w:lineRule="exact"/>
        <w:rPr>
          <w:sz w:val="20"/>
          <w:szCs w:val="20"/>
          <w:color w:val="auto"/>
        </w:rPr>
      </w:pPr>
    </w:p>
    <w:p>
      <w:pPr>
        <w:jc w:val="both"/>
        <w:ind w:left="140" w:right="140" w:firstLine="1296"/>
        <w:spacing w:after="0" w:line="260" w:lineRule="auto"/>
        <w:rPr>
          <w:sz w:val="20"/>
          <w:szCs w:val="20"/>
          <w:color w:val="auto"/>
        </w:rPr>
      </w:pPr>
      <w:r>
        <w:rPr>
          <w:rFonts w:ascii="Arial" w:cs="Arial" w:eastAsia="Arial" w:hAnsi="Arial"/>
          <w:sz w:val="22"/>
          <w:szCs w:val="22"/>
          <w:color w:val="auto"/>
        </w:rPr>
        <w:t>WHEREAS, WEATHERFORD INTERNATIONAL PLC, an Irish public limited company (“</w:t>
      </w:r>
      <w:r>
        <w:rPr>
          <w:rFonts w:ascii="Arial" w:cs="Arial" w:eastAsia="Arial" w:hAnsi="Arial"/>
          <w:sz w:val="22"/>
          <w:szCs w:val="22"/>
          <w:u w:val="single" w:color="auto"/>
          <w:color w:val="auto"/>
        </w:rPr>
        <w:t>WIL-Ireland</w:t>
      </w:r>
      <w:r>
        <w:rPr>
          <w:rFonts w:ascii="Arial" w:cs="Arial" w:eastAsia="Arial" w:hAnsi="Arial"/>
          <w:sz w:val="22"/>
          <w:szCs w:val="22"/>
          <w:color w:val="auto"/>
        </w:rPr>
        <w:t>”),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92" w:lineRule="exact"/>
        <w:rPr>
          <w:sz w:val="20"/>
          <w:szCs w:val="20"/>
          <w:color w:val="auto"/>
        </w:rPr>
      </w:pPr>
    </w:p>
    <w:p>
      <w:pPr>
        <w:jc w:val="both"/>
        <w:ind w:left="140" w:right="140" w:firstLine="1296"/>
        <w:spacing w:after="0" w:line="266" w:lineRule="auto"/>
        <w:rPr>
          <w:sz w:val="20"/>
          <w:szCs w:val="20"/>
          <w:color w:val="auto"/>
        </w:rPr>
      </w:pPr>
      <w:r>
        <w:rPr>
          <w:rFonts w:ascii="Arial" w:cs="Arial" w:eastAsia="Arial" w:hAnsi="Arial"/>
          <w:sz w:val="22"/>
          <w:szCs w:val="22"/>
          <w:color w:val="auto"/>
        </w:rPr>
        <w:t>WHEREAS, the Grantors and the other grantors from time to time party thereto have entered into the Canadian Security Agreement dated as of December 13, 2019 (as the same may be amended, restated, supplemented or otherwise modified from time to time,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w:t>
      </w:r>
    </w:p>
    <w:p>
      <w:pPr>
        <w:spacing w:after="0" w:line="185" w:lineRule="exact"/>
        <w:rPr>
          <w:sz w:val="20"/>
          <w:szCs w:val="20"/>
          <w:color w:val="auto"/>
        </w:rPr>
      </w:pPr>
    </w:p>
    <w:p>
      <w:pPr>
        <w:jc w:val="both"/>
        <w:ind w:left="140" w:right="140" w:firstLine="1296"/>
        <w:spacing w:after="0" w:line="266" w:lineRule="auto"/>
        <w:rPr>
          <w:sz w:val="20"/>
          <w:szCs w:val="20"/>
          <w:color w:val="auto"/>
        </w:rPr>
      </w:pPr>
      <w:r>
        <w:rPr>
          <w:rFonts w:ascii="Arial" w:cs="Arial" w:eastAsia="Arial" w:hAnsi="Arial"/>
          <w:sz w:val="22"/>
          <w:szCs w:val="22"/>
          <w:color w:val="auto"/>
        </w:rPr>
        <w:t xml:space="preserve">WHEREAS, the Grantors own certain Trademarks (as defined in the Security Agreement), including without limitation the Trademarks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Trademarks are pending or registered with the United States Patent and Trademark Office.</w:t>
      </w:r>
    </w:p>
    <w:p>
      <w:pPr>
        <w:spacing w:after="0" w:line="185" w:lineRule="exact"/>
        <w:rPr>
          <w:sz w:val="20"/>
          <w:szCs w:val="20"/>
          <w:color w:val="auto"/>
        </w:rPr>
      </w:pPr>
    </w:p>
    <w:p>
      <w:pPr>
        <w:jc w:val="both"/>
        <w:ind w:left="140" w:right="140" w:firstLine="1296"/>
        <w:spacing w:after="0" w:line="311" w:lineRule="auto"/>
        <w:rPr>
          <w:sz w:val="20"/>
          <w:szCs w:val="20"/>
          <w:color w:val="auto"/>
        </w:rPr>
      </w:pPr>
      <w:r>
        <w:rPr>
          <w:rFonts w:ascii="Arial" w:cs="Arial" w:eastAsia="Arial" w:hAnsi="Arial"/>
          <w:sz w:val="19"/>
          <w:szCs w:val="19"/>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44" w:lineRule="exact"/>
        <w:rPr>
          <w:sz w:val="20"/>
          <w:szCs w:val="20"/>
          <w:color w:val="auto"/>
        </w:rPr>
      </w:pPr>
    </w:p>
    <w:p>
      <w:pPr>
        <w:jc w:val="both"/>
        <w:ind w:left="140" w:right="140" w:firstLine="1296"/>
        <w:spacing w:after="0" w:line="364" w:lineRule="auto"/>
        <w:rPr>
          <w:sz w:val="20"/>
          <w:szCs w:val="20"/>
          <w:color w:val="auto"/>
        </w:rPr>
      </w:pPr>
      <w:r>
        <w:rPr>
          <w:rFonts w:ascii="Arial" w:cs="Arial" w:eastAsia="Arial" w:hAnsi="Arial"/>
          <w:sz w:val="19"/>
          <w:szCs w:val="19"/>
          <w:color w:val="auto"/>
        </w:rPr>
        <w:t>NOW</w:t>
      </w:r>
      <w:r>
        <w:rPr>
          <w:rFonts w:ascii="Arial" w:cs="Arial" w:eastAsia="Arial" w:hAnsi="Arial"/>
          <w:sz w:val="19"/>
          <w:szCs w:val="19"/>
          <w:b w:val="1"/>
          <w:bCs w:val="1"/>
          <w:color w:val="auto"/>
        </w:rPr>
        <w:t>,</w:t>
      </w:r>
      <w:r>
        <w:rPr>
          <w:rFonts w:ascii="Arial" w:cs="Arial" w:eastAsia="Arial" w:hAnsi="Arial"/>
          <w:sz w:val="19"/>
          <w:szCs w:val="19"/>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99" w:lineRule="exact"/>
        <w:rPr>
          <w:sz w:val="20"/>
          <w:szCs w:val="20"/>
          <w:color w:val="auto"/>
        </w:rPr>
      </w:pPr>
    </w:p>
    <w:p>
      <w:pPr>
        <w:ind w:left="140" w:right="140" w:firstLine="646"/>
        <w:spacing w:after="0" w:line="276" w:lineRule="auto"/>
        <w:tabs>
          <w:tab w:leader="none" w:pos="1602" w:val="left"/>
        </w:tabs>
        <w:numPr>
          <w:ilvl w:val="1"/>
          <w:numId w:val="541"/>
        </w:numPr>
        <w:rPr>
          <w:rFonts w:ascii="Arial" w:cs="Arial" w:eastAsia="Arial" w:hAnsi="Arial"/>
          <w:sz w:val="22"/>
          <w:szCs w:val="22"/>
          <w:u w:val="single" w:color="auto"/>
          <w:color w:val="2C2C2C"/>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defined herein shall have the respective meanings given to them in the Credit Agreement.</w:t>
      </w:r>
    </w:p>
    <w:p>
      <w:pPr>
        <w:spacing w:after="0" w:line="174" w:lineRule="exact"/>
        <w:rPr>
          <w:rFonts w:ascii="Arial" w:cs="Arial" w:eastAsia="Arial" w:hAnsi="Arial"/>
          <w:sz w:val="22"/>
          <w:szCs w:val="22"/>
          <w:u w:val="single" w:color="auto"/>
          <w:color w:val="2C2C2C"/>
        </w:rPr>
      </w:pPr>
    </w:p>
    <w:p>
      <w:pPr>
        <w:ind w:left="1500" w:hanging="714"/>
        <w:spacing w:after="0"/>
        <w:tabs>
          <w:tab w:leader="none" w:pos="1500" w:val="left"/>
        </w:tabs>
        <w:numPr>
          <w:ilvl w:val="1"/>
          <w:numId w:val="541"/>
        </w:numPr>
        <w:rPr>
          <w:rFonts w:ascii="Arial" w:cs="Arial" w:eastAsia="Arial" w:hAnsi="Arial"/>
          <w:sz w:val="22"/>
          <w:szCs w:val="22"/>
          <w:u w:val="single" w:color="auto"/>
          <w:color w:val="2C2C2C"/>
        </w:rPr>
      </w:pPr>
      <w:r>
        <w:rPr>
          <w:rFonts w:ascii="Arial" w:cs="Arial" w:eastAsia="Arial" w:hAnsi="Arial"/>
          <w:sz w:val="22"/>
          <w:szCs w:val="22"/>
          <w:u w:val="single" w:color="auto"/>
          <w:color w:val="auto"/>
        </w:rPr>
        <w:t>The Security Interest.</w:t>
      </w:r>
    </w:p>
    <w:p>
      <w:pPr>
        <w:spacing w:after="0" w:line="233" w:lineRule="exact"/>
        <w:rPr>
          <w:rFonts w:ascii="Arial" w:cs="Arial" w:eastAsia="Arial" w:hAnsi="Arial"/>
          <w:sz w:val="22"/>
          <w:szCs w:val="22"/>
          <w:u w:val="single" w:color="auto"/>
          <w:color w:val="2C2C2C"/>
        </w:rPr>
      </w:pPr>
    </w:p>
    <w:p>
      <w:pPr>
        <w:jc w:val="both"/>
        <w:ind w:left="140" w:right="120" w:firstLine="1294"/>
        <w:spacing w:after="0" w:line="306" w:lineRule="auto"/>
        <w:tabs>
          <w:tab w:leader="none" w:pos="2499" w:val="left"/>
        </w:tabs>
        <w:numPr>
          <w:ilvl w:val="2"/>
          <w:numId w:val="541"/>
        </w:numPr>
        <w:rPr>
          <w:rFonts w:ascii="Arial" w:cs="Arial" w:eastAsia="Arial" w:hAnsi="Arial"/>
          <w:sz w:val="19"/>
          <w:szCs w:val="19"/>
          <w:color w:val="auto"/>
        </w:rPr>
      </w:pPr>
      <w:r>
        <w:rPr>
          <w:rFonts w:ascii="Arial" w:cs="Arial" w:eastAsia="Arial" w:hAnsi="Arial"/>
          <w:sz w:val="19"/>
          <w:szCs w:val="19"/>
          <w:color w:val="auto"/>
        </w:rPr>
        <w:t xml:space="preserve">This Confirmatory Grant is made to secure the satisfactory performance and payment of all the Secured Obligations. Upon Payment in Full, the Grantee shall promptly execute, acknowledge, and deliver to the Grantors all reasonably requested instruments in writing or otherwise, releasing the security interest in the Trademarks acquired under this Confirmatory Grant. Notwithstanding the foregoing, the security interest in the Trademarks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9"/>
          <w:szCs w:val="19"/>
          <w:u w:val="single" w:color="auto"/>
          <w:color w:val="auto"/>
        </w:rPr>
        <w:t>Section 11.01(e)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11.23</w:t>
      </w:r>
      <w:r>
        <w:rPr>
          <w:rFonts w:ascii="Arial" w:cs="Arial" w:eastAsia="Arial" w:hAnsi="Arial"/>
          <w:sz w:val="19"/>
          <w:szCs w:val="19"/>
          <w:color w:val="auto"/>
        </w:rPr>
        <w:t xml:space="preserve"> of the Credit Agreement.</w:t>
      </w:r>
    </w:p>
    <w:p>
      <w:pPr>
        <w:spacing w:after="0" w:line="156" w:lineRule="exact"/>
        <w:rPr>
          <w:rFonts w:ascii="Arial" w:cs="Arial" w:eastAsia="Arial" w:hAnsi="Arial"/>
          <w:sz w:val="19"/>
          <w:szCs w:val="19"/>
          <w:color w:val="auto"/>
        </w:rPr>
      </w:pPr>
    </w:p>
    <w:p>
      <w:pPr>
        <w:jc w:val="both"/>
        <w:ind w:left="200" w:right="80" w:firstLine="1233"/>
        <w:spacing w:after="0" w:line="260" w:lineRule="auto"/>
        <w:tabs>
          <w:tab w:leader="none" w:pos="2263" w:val="left"/>
        </w:tabs>
        <w:numPr>
          <w:ilvl w:val="2"/>
          <w:numId w:val="541"/>
        </w:numPr>
        <w:rPr>
          <w:rFonts w:ascii="Arial" w:cs="Arial" w:eastAsia="Arial" w:hAnsi="Arial"/>
          <w:sz w:val="22"/>
          <w:szCs w:val="22"/>
          <w:color w:val="auto"/>
        </w:rPr>
      </w:pPr>
      <w:r>
        <w:rPr>
          <w:rFonts w:ascii="Arial" w:cs="Arial" w:eastAsia="Arial" w:hAnsi="Arial"/>
          <w:sz w:val="22"/>
          <w:szCs w:val="22"/>
          <w:color w:val="auto"/>
        </w:rPr>
        <w:t xml:space="preserve">Each Grantor hereby pledges, assigns and grants to the Grantee, on behalf of and for the benefit of the Secured Parties, a security interest in (1) all of such Grantor’s right, title and interest in and to the Trademarks now owned or hereafter acquired by such Grantor, including without limitation the Trademarks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together with (2) all proceeds and products of the Trademarks, (3) the goodwill associated with such Trademarks, and (4) all causes of action arising prior to or after the date hereof for infringement or other violation of the Trademarks or unfair competition regarding the same (collectively, the “</w:t>
      </w:r>
      <w:r>
        <w:rPr>
          <w:rFonts w:ascii="Arial" w:cs="Arial" w:eastAsia="Arial" w:hAnsi="Arial"/>
          <w:sz w:val="22"/>
          <w:szCs w:val="22"/>
          <w:u w:val="single" w:color="auto"/>
          <w:color w:val="auto"/>
        </w:rPr>
        <w:t>Trademark Collateral</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left="180" w:right="60" w:firstLine="557"/>
        <w:spacing w:after="0" w:line="262" w:lineRule="auto"/>
        <w:tabs>
          <w:tab w:leader="none" w:pos="1507" w:val="left"/>
        </w:tabs>
        <w:numPr>
          <w:ilvl w:val="0"/>
          <w:numId w:val="54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191" w:lineRule="exact"/>
        <w:rPr>
          <w:rFonts w:ascii="Arial" w:cs="Arial" w:eastAsia="Arial" w:hAnsi="Arial"/>
          <w:sz w:val="22"/>
          <w:szCs w:val="22"/>
          <w:u w:val="single" w:color="auto"/>
          <w:color w:val="auto"/>
        </w:rPr>
      </w:pPr>
    </w:p>
    <w:p>
      <w:pPr>
        <w:jc w:val="both"/>
        <w:ind w:left="200" w:right="60" w:firstLine="585"/>
        <w:spacing w:after="0" w:line="358" w:lineRule="auto"/>
        <w:tabs>
          <w:tab w:leader="none" w:pos="1733" w:val="left"/>
        </w:tabs>
        <w:numPr>
          <w:ilvl w:val="1"/>
          <w:numId w:val="54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Further Actions</w:t>
      </w:r>
      <w:r>
        <w:rPr>
          <w:rFonts w:ascii="Arial" w:cs="Arial" w:eastAsia="Arial" w:hAnsi="Arial"/>
          <w:sz w:val="19"/>
          <w:szCs w:val="19"/>
          <w:color w:val="auto"/>
        </w:rPr>
        <w:t>. The Grantors authorize and request that the Commissioner for Trademarks of the United States Patent and Trademark Office and any other applicable government officer record this Confirmatory Grant. The Grantors</w:t>
      </w:r>
    </w:p>
    <w:p>
      <w:pPr>
        <w:sectPr>
          <w:pgSz w:w="11900" w:h="16838" w:orient="portrait"/>
          <w:cols w:equalWidth="0" w:num="1">
            <w:col w:w="11240"/>
          </w:cols>
          <w:pgMar w:left="320" w:top="131" w:right="339" w:bottom="0" w:gutter="0" w:footer="0" w:header="0"/>
        </w:sectPr>
      </w:pPr>
    </w:p>
    <w:bookmarkStart w:id="511" w:name="page512"/>
    <w:bookmarkEnd w:id="511"/>
    <w:p>
      <w:pPr>
        <w:ind w:left="200" w:right="80"/>
        <w:spacing w:after="0" w:line="276" w:lineRule="auto"/>
        <w:rPr>
          <w:sz w:val="20"/>
          <w:szCs w:val="20"/>
          <w:color w:val="auto"/>
        </w:rPr>
      </w:pPr>
      <w:r>
        <w:rPr>
          <w:rFonts w:ascii="Arial" w:cs="Arial" w:eastAsia="Arial" w:hAnsi="Arial"/>
          <w:sz w:val="22"/>
          <w:szCs w:val="22"/>
          <w:color w:val="auto"/>
        </w:rPr>
        <w:t>shall take any further actions, including executing any further documentation, necessary to record, perfect or effectuate this Confirmatory Grant and the Grantee’s security interest in the Trademark Collateral.</w:t>
      </w:r>
    </w:p>
    <w:p>
      <w:pPr>
        <w:spacing w:after="0" w:line="174" w:lineRule="exact"/>
        <w:rPr>
          <w:sz w:val="20"/>
          <w:szCs w:val="20"/>
          <w:color w:val="auto"/>
        </w:rPr>
      </w:pPr>
    </w:p>
    <w:p>
      <w:pPr>
        <w:jc w:val="both"/>
        <w:ind w:left="200" w:right="60" w:firstLine="585"/>
        <w:spacing w:after="0" w:line="260" w:lineRule="auto"/>
        <w:tabs>
          <w:tab w:leader="none" w:pos="1557" w:val="left"/>
        </w:tabs>
        <w:numPr>
          <w:ilvl w:val="0"/>
          <w:numId w:val="5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Authorization to Supplement</w:t>
      </w:r>
      <w:r>
        <w:rPr>
          <w:rFonts w:ascii="Arial" w:cs="Arial" w:eastAsia="Arial" w:hAnsi="Arial"/>
          <w:sz w:val="22"/>
          <w:szCs w:val="22"/>
          <w:color w:val="auto"/>
        </w:rPr>
        <w:t xml:space="preserve">. If any Grantor shall obtain rights to any new Trademarks, the provisions of this Confirmatory Grant shall automatically apply thereto. Such Grantor hereby authorizes the Grantee, in consultation with such Grantor, to modify this Confirmatory Grant by amending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solely to include any such new Trademarks of such Grantor. Notwithstanding the foregoing, no failure to so modify this Confirmatory Grant or amend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in any way affect, invalidate or detract from the Grantee's continuing security interest in all Trademark Collateral, whether or not listed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91" w:lineRule="exact"/>
        <w:rPr>
          <w:rFonts w:ascii="Arial" w:cs="Arial" w:eastAsia="Arial" w:hAnsi="Arial"/>
          <w:sz w:val="22"/>
          <w:szCs w:val="22"/>
          <w:u w:val="single" w:color="auto"/>
          <w:color w:val="auto"/>
        </w:rPr>
      </w:pPr>
    </w:p>
    <w:p>
      <w:pPr>
        <w:ind w:left="200" w:right="80" w:firstLine="585"/>
        <w:spacing w:after="0" w:line="276" w:lineRule="auto"/>
        <w:tabs>
          <w:tab w:leader="none" w:pos="1530" w:val="left"/>
        </w:tabs>
        <w:numPr>
          <w:ilvl w:val="0"/>
          <w:numId w:val="5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Confirmatory Grant and the rights and obligations of the parties hereto shall be governed by, and construed and interpreted in accordance with, the internal laws of the State of New York.</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IN WITNESS WHEREOF, the parties hereto have executed this Confirmatory Grant of Security Interest in United States Trademarks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[GRANTOR]</w:t>
      </w:r>
    </w:p>
    <w:p>
      <w:pPr>
        <w:spacing w:after="0" w:line="200" w:lineRule="exact"/>
        <w:rPr>
          <w:sz w:val="20"/>
          <w:szCs w:val="20"/>
          <w:color w:val="auto"/>
        </w:rPr>
      </w:pPr>
    </w:p>
    <w:p>
      <w:pPr>
        <w:spacing w:after="0" w:line="35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-17780</wp:posOffset>
            </wp:positionV>
            <wp:extent cx="192024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2" w:name="page513"/>
    <w:bookmarkEnd w:id="512"/>
    <w:p>
      <w:pPr>
        <w:jc w:val="center"/>
        <w:ind w:left="2000" w:right="2019"/>
        <w:spacing w:after="0" w:line="272" w:lineRule="auto"/>
        <w:rPr>
          <w:sz w:val="20"/>
          <w:szCs w:val="20"/>
          <w:color w:val="auto"/>
        </w:rPr>
      </w:pPr>
      <w:r>
        <w:rPr>
          <w:rFonts w:ascii="Arial" w:cs="Arial" w:eastAsia="Arial" w:hAnsi="Arial"/>
          <w:sz w:val="22"/>
          <w:szCs w:val="22"/>
          <w:color w:val="auto"/>
        </w:rPr>
        <w:t>CONFIRMATORY GRANT OF SECURITY INTEREST IN UNITED STATES TRADEMARKS Exhibit A – SCHEDULE OF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1962150</wp:posOffset>
            </wp:positionV>
            <wp:extent cx="71323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513" w:name="page514"/>
    <w:bookmarkEnd w:id="513"/>
    <w:p>
      <w:pPr>
        <w:jc w:val="center"/>
        <w:spacing w:after="0"/>
        <w:rPr>
          <w:sz w:val="20"/>
          <w:szCs w:val="20"/>
          <w:color w:val="auto"/>
        </w:rPr>
      </w:pPr>
      <w:r>
        <w:rPr>
          <w:rFonts w:ascii="Arial" w:cs="Arial" w:eastAsia="Arial" w:hAnsi="Arial"/>
          <w:sz w:val="22"/>
          <w:szCs w:val="22"/>
          <w:color w:val="auto"/>
        </w:rPr>
        <w:t>Exhibit “L”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ACKNOWLEDGEMENT PARTY ACKNOWLEDGEMENT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acknowledges receipt of the foregoing Canadian Security Agreement dated as of ___________, 2019</w:t>
      </w:r>
    </w:p>
    <w:p>
      <w:pPr>
        <w:spacing w:after="0" w:line="56"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Security Agreement</w:t>
      </w:r>
      <w:r>
        <w:rPr>
          <w:rFonts w:ascii="Arial" w:cs="Arial" w:eastAsia="Arial" w:hAnsi="Arial"/>
          <w:sz w:val="19"/>
          <w:szCs w:val="19"/>
          <w:color w:val="auto"/>
        </w:rPr>
        <w:t>”), executed by and among WEATHERFORD CANADA LTD., WEATHERFORD (NOVA SCOTIA) ULC., PRECISION ENERGY SERVICES ULC, PRECISION ENERGY INTERNATIONAL LTD., PRECISION ENERGY SERVICES COLOMBIA LTD., the other Grantors party thereto and DEUTSCHE BANK TRUST COMPANY AMERICAS, as Agent. All capitalized terms used but not defined herein shall have the meanings assigned thereto in the Security Agreement.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undersigned (i) to the extent not a ULC, has registered the pledge of, and grant of security interest in and control over, the Pledged Collateral, including its equity interests, to Agent in its books and records and (ii) agrees and acknowledges that the Pledged Collateral, including its equity interest, shall not be represented by a certificate.</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undersigned shall promptly comply with the instructions of the Agent with respect to the transfer or other disposition of the Pledged Collateral, including its equity interests, without further consent or action of any Grantor including, without limitation, instructions to pay and remit to Agent all distributions and other amounts payable to any Grantor (upon redemption, termination and dissolution of the undersigned or otherwise), and to transfer to, and register the Pledged Collateral, including its equity interests, in the name of, Agent or its nominee.</w:t>
      </w:r>
    </w:p>
    <w:p>
      <w:pPr>
        <w:spacing w:after="0" w:line="190" w:lineRule="exact"/>
        <w:rPr>
          <w:sz w:val="20"/>
          <w:szCs w:val="20"/>
          <w:color w:val="auto"/>
        </w:rPr>
      </w:pPr>
    </w:p>
    <w:p>
      <w:pPr>
        <w:ind w:right="460"/>
        <w:spacing w:after="0" w:line="266" w:lineRule="auto"/>
        <w:rPr>
          <w:sz w:val="20"/>
          <w:szCs w:val="20"/>
          <w:color w:val="auto"/>
        </w:rPr>
      </w:pPr>
      <w:r>
        <w:rPr>
          <w:rFonts w:ascii="Arial" w:cs="Arial" w:eastAsia="Arial" w:hAnsi="Arial"/>
          <w:sz w:val="22"/>
          <w:szCs w:val="22"/>
          <w:color w:val="auto"/>
        </w:rPr>
        <w:t>THIS ACKNOWLEDGEMENT PARTY ACKNOWLEDGEMENT SHALL BE CONSTRUED IN ACCORDANCE WITH AND GOVERNED BY THE LAW OF THE PROVINCE OF ALBERTA AND THE FEDERAL LAWS OF CANADA APPLICABLE THEREIN.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Dated this ___________,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[ACKNOWLEDGMENT PARTY]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4" w:name="page515"/>
    <w:bookmarkEnd w:id="514"/>
    <w:p>
      <w:pPr>
        <w:jc w:val="center"/>
        <w:spacing w:after="0"/>
        <w:rPr>
          <w:sz w:val="20"/>
          <w:szCs w:val="20"/>
          <w:color w:val="auto"/>
        </w:rPr>
      </w:pPr>
      <w:r>
        <w:rPr>
          <w:rFonts w:ascii="Arial" w:cs="Arial" w:eastAsia="Arial" w:hAnsi="Arial"/>
          <w:sz w:val="22"/>
          <w:szCs w:val="22"/>
          <w:u w:val="single" w:color="auto"/>
          <w:color w:val="auto"/>
        </w:rPr>
        <w:t>ANNEX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SECURITY AGREEMENT SUPPLEMENT</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1"/>
          <w:szCs w:val="21"/>
          <w:color w:val="auto"/>
        </w:rPr>
        <w:t>Reference is hereby made to the Canadian Security Agreement (as amended, restated, supplemented or otherwise modified from time to time,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December 13, 2019, made by the signatories party thereto or that become parties thereto by executing a Security Agreement Supplement (each, a “</w:t>
      </w:r>
      <w:r>
        <w:rPr>
          <w:rFonts w:ascii="Arial" w:cs="Arial" w:eastAsia="Arial" w:hAnsi="Arial"/>
          <w:sz w:val="21"/>
          <w:szCs w:val="21"/>
          <w:b w:val="1"/>
          <w:bCs w:val="1"/>
          <w:i w:val="1"/>
          <w:iCs w:val="1"/>
          <w:color w:val="auto"/>
        </w:rPr>
        <w:t>Grantor</w:t>
      </w:r>
      <w:r>
        <w:rPr>
          <w:rFonts w:ascii="Arial" w:cs="Arial" w:eastAsia="Arial" w:hAnsi="Arial"/>
          <w:sz w:val="21"/>
          <w:szCs w:val="21"/>
          <w:color w:val="auto"/>
        </w:rPr>
        <w:t>” and, collectively, the “</w:t>
      </w:r>
      <w:r>
        <w:rPr>
          <w:rFonts w:ascii="Arial" w:cs="Arial" w:eastAsia="Arial" w:hAnsi="Arial"/>
          <w:sz w:val="21"/>
          <w:szCs w:val="21"/>
          <w:b w:val="1"/>
          <w:bCs w:val="1"/>
          <w:i w:val="1"/>
          <w:iCs w:val="1"/>
          <w:color w:val="auto"/>
        </w:rPr>
        <w:t>Grantors</w:t>
      </w:r>
      <w:r>
        <w:rPr>
          <w:rFonts w:ascii="Arial" w:cs="Arial" w:eastAsia="Arial" w:hAnsi="Arial"/>
          <w:sz w:val="21"/>
          <w:szCs w:val="21"/>
          <w:color w:val="auto"/>
        </w:rPr>
        <w:t>”) in favour of Deutsche Bank Trust Company Americas (in such capacity,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Capitalized terms used herein and not defined herein shall have the meanings given to them in the Agreement.</w:t>
      </w:r>
    </w:p>
    <w:p>
      <w:pPr>
        <w:spacing w:after="0" w:line="171"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2"/>
          <w:szCs w:val="22"/>
          <w:color w:val="auto"/>
        </w:rPr>
        <w:t xml:space="preserve">By its execution below, the undersigned, </w:t>
      </w:r>
      <w:r>
        <w:rPr>
          <w:rFonts w:ascii="Arial" w:cs="Arial" w:eastAsia="Arial" w:hAnsi="Arial"/>
          <w:sz w:val="22"/>
          <w:szCs w:val="22"/>
          <w:b w:val="1"/>
          <w:bCs w:val="1"/>
          <w:color w:val="auto"/>
        </w:rPr>
        <w:t>[</w:t>
      </w:r>
      <w:r>
        <w:rPr>
          <w:rFonts w:ascii="Arial" w:cs="Arial" w:eastAsia="Arial" w:hAnsi="Arial"/>
          <w:sz w:val="22"/>
          <w:szCs w:val="22"/>
          <w:color w:val="auto"/>
        </w:rPr>
        <w:t>NAME OF NEW GRANTOR</w:t>
      </w:r>
      <w:r>
        <w:rPr>
          <w:rFonts w:ascii="Arial" w:cs="Arial" w:eastAsia="Arial" w:hAnsi="Arial"/>
          <w:sz w:val="22"/>
          <w:szCs w:val="22"/>
          <w:b w:val="1"/>
          <w:bCs w:val="1"/>
          <w:color w:val="auto"/>
        </w:rPr>
        <w:t>]</w:t>
      </w:r>
      <w:r>
        <w:rPr>
          <w:rFonts w:ascii="Arial" w:cs="Arial" w:eastAsia="Arial" w:hAnsi="Arial"/>
          <w:sz w:val="22"/>
          <w:szCs w:val="22"/>
          <w:color w:val="auto"/>
        </w:rPr>
        <w:t>, a [</w:t>
      </w:r>
      <w:r>
        <w:rPr>
          <w:sz w:val="20"/>
          <w:szCs w:val="20"/>
          <w:color w:val="auto"/>
        </w:rPr>
        <w:tab/>
      </w:r>
      <w:r>
        <w:rPr>
          <w:rFonts w:ascii="Arial" w:cs="Arial" w:eastAsia="Arial" w:hAnsi="Arial"/>
          <w:sz w:val="21"/>
          <w:szCs w:val="21"/>
          <w:color w:val="auto"/>
        </w:rPr>
        <w:t>].</w:t>
      </w:r>
    </w:p>
    <w:p>
      <w:pPr>
        <w:spacing w:after="0" w:line="233"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corporation/limited liability company/limited partnership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New Grantor</w:t>
      </w:r>
      <w:r>
        <w:rPr>
          <w:rFonts w:ascii="Arial" w:cs="Arial" w:eastAsia="Arial" w:hAnsi="Arial"/>
          <w:sz w:val="19"/>
          <w:szCs w:val="19"/>
          <w:color w:val="auto"/>
        </w:rPr>
        <w:t>”) agrees to become, and does</w:t>
      </w:r>
      <w:r>
        <w:rPr>
          <w:rFonts w:ascii="Arial" w:cs="Arial" w:eastAsia="Arial" w:hAnsi="Arial"/>
          <w:sz w:val="19"/>
          <w:szCs w:val="19"/>
          <w:b w:val="1"/>
          <w:bCs w:val="1"/>
          <w:color w:val="auto"/>
        </w:rPr>
        <w:t xml:space="preserve"> </w:t>
      </w:r>
      <w:r>
        <w:rPr>
          <w:rFonts w:ascii="Arial" w:cs="Arial" w:eastAsia="Arial" w:hAnsi="Arial"/>
          <w:sz w:val="19"/>
          <w:szCs w:val="19"/>
          <w:color w:val="auto"/>
        </w:rPr>
        <w:t>hereby become, a Grantor under the Agreement and agrees to be bound by the Agreement as if originally a party thereto. The New Grantor hereby collaterally assigns and pledges to the Agent for the benefit of the Secured Parties, and grants to the Agent for the benefit of the Secured Parties, a security interest in all of the New Grantor’s right, title and interest in and to the Collateral, whether now owned or hereafter acquired, to secure the prompt and complete payment and performance of the Secured Obligations. For the avoidance of doubt, the grant of a security interest herein shall not be deemed to be an assignment of intellectual property rights or ULC Shares owned by the New Grantor (other than the collateral assignment pursuant hereto).</w:t>
      </w:r>
    </w:p>
    <w:p>
      <w:pPr>
        <w:spacing w:after="0" w:line="15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By its execution below, the undersigned represents and warrants as to itself that all of the representations and warranties contained in the Agreement are true and correct in all material respects as of the date hereof. The New Grantor represents and warrants that the supplements to the Exhibits to the Agreement attached hereto are true and correct in all material respects and that such supplements set forth all information required to be scheduled under the Agreement with respect to the New Grantor. The New Grantor shall take all steps necessary and required under the Agreement to perfect, in favor of the Agent, a security interest in and lien against the New Grantor’s Collateral.</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22"/>
          <w:szCs w:val="22"/>
          <w:b w:val="1"/>
          <w:bCs w:val="1"/>
          <w:color w:val="auto"/>
        </w:rPr>
        <w:t>THIS AGREEMENT SHALL BE CONSTRUED IN ACCORDANCE WITH AND GOVERNED BY THE LAW OF THE PROVINCE OF ALBERTA AND THE FEDERAL LAWS OF CANADA APPLICABLE THEREIN.</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New Grantor has executed and delivered this Security Agreement Supplement as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tcPr>
          <w:p>
            <w:pPr>
              <w:spacing w:after="0"/>
              <w:rPr>
                <w:sz w:val="20"/>
                <w:szCs w:val="20"/>
                <w:color w:val="auto"/>
              </w:rPr>
            </w:pPr>
            <w:r>
              <w:rPr>
                <w:rFonts w:ascii="Arial" w:cs="Arial" w:eastAsia="Arial" w:hAnsi="Arial"/>
                <w:sz w:val="22"/>
                <w:szCs w:val="22"/>
                <w:color w:val="auto"/>
                <w:w w:val="94"/>
              </w:rPr>
              <w:t>of this _______________  day of</w:t>
            </w:r>
          </w:p>
        </w:tc>
        <w:tc>
          <w:tcPr>
            <w:tcW w:w="8200" w:type="dxa"/>
            <w:vAlign w:val="bottom"/>
            <w:gridSpan w:val="2"/>
          </w:tcPr>
          <w:p>
            <w:pPr>
              <w:jc w:val="right"/>
              <w:ind w:right="7072"/>
              <w:spacing w:after="0"/>
              <w:rPr>
                <w:sz w:val="20"/>
                <w:szCs w:val="20"/>
                <w:color w:val="auto"/>
              </w:rPr>
            </w:pPr>
            <w:r>
              <w:rPr>
                <w:rFonts w:ascii="Arial" w:cs="Arial" w:eastAsia="Arial" w:hAnsi="Arial"/>
                <w:sz w:val="22"/>
                <w:szCs w:val="22"/>
                <w:color w:val="auto"/>
              </w:rPr>
              <w:t>, 20__.</w:t>
            </w:r>
          </w:p>
        </w:tc>
      </w:tr>
      <w:tr>
        <w:trPr>
          <w:trHeight w:val="517"/>
        </w:trPr>
        <w:tc>
          <w:tcPr>
            <w:tcW w:w="30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760" w:type="dxa"/>
            <w:vAlign w:val="bottom"/>
          </w:tcPr>
          <w:p>
            <w:pPr>
              <w:ind w:left="42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NAME OF NEW GRANTOR</w:t>
            </w:r>
            <w:r>
              <w:rPr>
                <w:rFonts w:ascii="Arial" w:cs="Arial" w:eastAsia="Arial" w:hAnsi="Arial"/>
                <w:sz w:val="22"/>
                <w:szCs w:val="22"/>
                <w:b w:val="1"/>
                <w:bCs w:val="1"/>
                <w:color w:val="auto"/>
              </w:rPr>
              <w:t>]</w:t>
            </w:r>
          </w:p>
        </w:tc>
      </w:tr>
      <w:tr>
        <w:trPr>
          <w:trHeight w:val="536"/>
        </w:trPr>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60" w:type="dxa"/>
            <w:vAlign w:val="bottom"/>
          </w:tcPr>
          <w:p>
            <w:pPr>
              <w:ind w:left="420"/>
              <w:spacing w:after="0"/>
              <w:rPr>
                <w:sz w:val="20"/>
                <w:szCs w:val="20"/>
                <w:color w:val="auto"/>
              </w:rPr>
            </w:pPr>
            <w:r>
              <w:rPr>
                <w:rFonts w:ascii="Arial" w:cs="Arial" w:eastAsia="Arial" w:hAnsi="Arial"/>
                <w:sz w:val="22"/>
                <w:szCs w:val="22"/>
                <w:color w:val="auto"/>
              </w:rPr>
              <w:t>By:_____________________________________</w:t>
            </w:r>
          </w:p>
        </w:tc>
      </w:tr>
      <w:tr>
        <w:trPr>
          <w:trHeight w:val="274"/>
        </w:trPr>
        <w:tc>
          <w:tcPr>
            <w:tcW w:w="3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760" w:type="dxa"/>
            <w:vAlign w:val="bottom"/>
          </w:tcPr>
          <w:p>
            <w:pPr>
              <w:ind w:left="420"/>
              <w:spacing w:after="0"/>
              <w:rPr>
                <w:sz w:val="20"/>
                <w:szCs w:val="20"/>
                <w:color w:val="auto"/>
              </w:rPr>
            </w:pPr>
            <w:r>
              <w:rPr>
                <w:rFonts w:ascii="Arial" w:cs="Arial" w:eastAsia="Arial" w:hAnsi="Arial"/>
                <w:sz w:val="22"/>
                <w:szCs w:val="22"/>
                <w:color w:val="auto"/>
              </w:rPr>
              <w:t>Title:</w:t>
            </w:r>
          </w:p>
        </w:tc>
      </w:tr>
      <w:tr>
        <w:trPr>
          <w:trHeight w:val="496"/>
        </w:trPr>
        <w:tc>
          <w:tcPr>
            <w:tcW w:w="3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515" w:name="page516"/>
    <w:bookmarkEnd w:id="515"/>
    <w:p>
      <w:pPr>
        <w:jc w:val="right"/>
        <w:spacing w:after="0"/>
        <w:rPr>
          <w:sz w:val="20"/>
          <w:szCs w:val="20"/>
          <w:color w:val="auto"/>
        </w:rPr>
      </w:pPr>
      <w:r>
        <w:rPr>
          <w:rFonts w:ascii="Arial" w:cs="Arial" w:eastAsia="Arial" w:hAnsi="Arial"/>
          <w:sz w:val="22"/>
          <w:szCs w:val="22"/>
          <w:b w:val="1"/>
          <w:bCs w:val="1"/>
          <w:u w:val="single" w:color="auto"/>
          <w:color w:val="auto"/>
        </w:rPr>
        <w:t>EXHIBIT J</w:t>
      </w:r>
    </w:p>
    <w:p>
      <w:pPr>
        <w:spacing w:after="0" w:line="233"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FORM OF IP SHORT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516" w:name="page517"/>
    <w:bookmarkEnd w:id="516"/>
    <w:p>
      <w:pPr>
        <w:jc w:val="center"/>
        <w:spacing w:after="0"/>
        <w:rPr>
          <w:sz w:val="20"/>
          <w:szCs w:val="20"/>
          <w:color w:val="auto"/>
        </w:rPr>
      </w:pPr>
      <w:r>
        <w:rPr>
          <w:rFonts w:ascii="Arial" w:cs="Arial" w:eastAsia="Arial" w:hAnsi="Arial"/>
          <w:sz w:val="22"/>
          <w:szCs w:val="22"/>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CONFIRMATORY GRANT OF SECURITY INTEREST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UNITED STATES PATENTS</w:t>
      </w:r>
    </w:p>
    <w:p>
      <w:pPr>
        <w:spacing w:after="0" w:line="242" w:lineRule="exact"/>
        <w:rPr>
          <w:sz w:val="20"/>
          <w:szCs w:val="20"/>
          <w:color w:val="auto"/>
        </w:rPr>
      </w:pPr>
    </w:p>
    <w:p>
      <w:pPr>
        <w:jc w:val="both"/>
        <w:ind w:right="60"/>
        <w:spacing w:after="0" w:line="299" w:lineRule="auto"/>
        <w:rPr>
          <w:sz w:val="20"/>
          <w:szCs w:val="20"/>
          <w:color w:val="auto"/>
        </w:rPr>
      </w:pPr>
      <w:r>
        <w:rPr>
          <w:rFonts w:ascii="Arial" w:cs="Arial" w:eastAsia="Arial" w:hAnsi="Arial"/>
          <w:sz w:val="19"/>
          <w:szCs w:val="19"/>
          <w:color w:val="auto"/>
        </w:rPr>
        <w:t>THIS CONFIRMATORY GRANT OF SECURITY INTEREST IN UNITED STATES PATENTS (the “</w:t>
      </w:r>
      <w:r>
        <w:rPr>
          <w:rFonts w:ascii="Arial" w:cs="Arial" w:eastAsia="Arial" w:hAnsi="Arial"/>
          <w:sz w:val="19"/>
          <w:szCs w:val="19"/>
          <w:u w:val="single" w:color="auto"/>
          <w:color w:val="auto"/>
        </w:rPr>
        <w:t>Confirmatory Grant</w:t>
      </w:r>
      <w:r>
        <w:rPr>
          <w:rFonts w:ascii="Arial" w:cs="Arial" w:eastAsia="Arial" w:hAnsi="Arial"/>
          <w:sz w:val="19"/>
          <w:szCs w:val="19"/>
          <w:color w:val="auto"/>
        </w:rPr>
        <w:t>”) is made effective as of [____], 20__ by and from the entities listed on the signature pages hereto (each such entity, together with</w:t>
      </w:r>
    </w:p>
    <w:p>
      <w:pPr>
        <w:jc w:val="both"/>
        <w:ind w:right="60"/>
        <w:spacing w:after="0" w:line="261" w:lineRule="auto"/>
        <w:rPr>
          <w:sz w:val="20"/>
          <w:szCs w:val="20"/>
          <w:color w:val="auto"/>
        </w:rPr>
      </w:pPr>
      <w:r>
        <w:rPr>
          <w:rFonts w:ascii="Arial" w:cs="Arial" w:eastAsia="Arial" w:hAnsi="Arial"/>
          <w:sz w:val="22"/>
          <w:szCs w:val="22"/>
          <w:color w:val="auto"/>
        </w:rPr>
        <w:t>any other entities that become party to this Confirmatory Grant, being individually referred to herein as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Grantors</w:t>
      </w:r>
      <w:r>
        <w:rPr>
          <w:rFonts w:ascii="Arial" w:cs="Arial" w:eastAsia="Arial" w:hAnsi="Arial"/>
          <w:sz w:val="22"/>
          <w:szCs w:val="22"/>
          <w:color w:val="auto"/>
        </w:rPr>
        <w:t>”), to and in favor of Deutsche Bank Trust Company Americas in its capacity as administrative agent (the “</w:t>
      </w:r>
      <w:r>
        <w:rPr>
          <w:rFonts w:ascii="Arial" w:cs="Arial" w:eastAsia="Arial" w:hAnsi="Arial"/>
          <w:sz w:val="22"/>
          <w:szCs w:val="22"/>
          <w:u w:val="single" w:color="auto"/>
          <w:color w:val="auto"/>
        </w:rPr>
        <w:t>Grantee</w:t>
      </w:r>
      <w:r>
        <w:rPr>
          <w:rFonts w:ascii="Arial" w:cs="Arial" w:eastAsia="Arial" w:hAnsi="Arial"/>
          <w:sz w:val="22"/>
          <w:szCs w:val="22"/>
          <w:color w:val="auto"/>
        </w:rPr>
        <w:t>”) for itself and on behalf and for the benefit of the other Secured Parties (as defined in the Credit Agreement referenced below).</w:t>
      </w:r>
    </w:p>
    <w:p>
      <w:pPr>
        <w:spacing w:after="0" w:line="178" w:lineRule="exact"/>
        <w:rPr>
          <w:sz w:val="20"/>
          <w:szCs w:val="20"/>
          <w:color w:val="auto"/>
        </w:rPr>
      </w:pPr>
    </w:p>
    <w:p>
      <w:pPr>
        <w:jc w:val="both"/>
        <w:ind w:right="200" w:firstLine="1296"/>
        <w:spacing w:after="0" w:line="260" w:lineRule="auto"/>
        <w:rPr>
          <w:sz w:val="20"/>
          <w:szCs w:val="20"/>
          <w:color w:val="auto"/>
        </w:rPr>
      </w:pPr>
      <w:r>
        <w:rPr>
          <w:rFonts w:ascii="Arial" w:cs="Arial" w:eastAsia="Arial" w:hAnsi="Arial"/>
          <w:sz w:val="22"/>
          <w:szCs w:val="22"/>
          <w:color w:val="auto"/>
        </w:rPr>
        <w:t>WHEREAS, WEATHERFORD INTERNATIONAL PLC, an Irish public limited company (“</w:t>
      </w:r>
      <w:r>
        <w:rPr>
          <w:rFonts w:ascii="Arial" w:cs="Arial" w:eastAsia="Arial" w:hAnsi="Arial"/>
          <w:sz w:val="22"/>
          <w:szCs w:val="22"/>
          <w:u w:val="single" w:color="auto"/>
          <w:color w:val="auto"/>
        </w:rPr>
        <w:t>WIL-Ireland</w:t>
      </w:r>
      <w:r>
        <w:rPr>
          <w:rFonts w:ascii="Arial" w:cs="Arial" w:eastAsia="Arial" w:hAnsi="Arial"/>
          <w:sz w:val="22"/>
          <w:szCs w:val="22"/>
          <w:color w:val="auto"/>
        </w:rPr>
        <w:t>”),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92" w:lineRule="exact"/>
        <w:rPr>
          <w:sz w:val="20"/>
          <w:szCs w:val="20"/>
          <w:color w:val="auto"/>
        </w:rPr>
      </w:pPr>
    </w:p>
    <w:p>
      <w:pPr>
        <w:jc w:val="both"/>
        <w:ind w:right="200" w:firstLine="1296"/>
        <w:spacing w:after="0" w:line="266" w:lineRule="auto"/>
        <w:rPr>
          <w:sz w:val="20"/>
          <w:szCs w:val="20"/>
          <w:color w:val="auto"/>
        </w:rPr>
      </w:pPr>
      <w:r>
        <w:rPr>
          <w:rFonts w:ascii="Arial" w:cs="Arial" w:eastAsia="Arial" w:hAnsi="Arial"/>
          <w:sz w:val="22"/>
          <w:szCs w:val="22"/>
          <w:color w:val="auto"/>
        </w:rPr>
        <w:t>WHEREAS, the Grantors and the other grantors from time to time party thereto have entered into the U.S. Security Agreement dated as of December 13, 2019 (as the same may be further amended, restated, supplemented or otherwise modified from time to time,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w:t>
      </w:r>
    </w:p>
    <w:p>
      <w:pPr>
        <w:spacing w:after="0" w:line="171" w:lineRule="exact"/>
        <w:rPr>
          <w:sz w:val="20"/>
          <w:szCs w:val="20"/>
          <w:color w:val="auto"/>
        </w:rPr>
      </w:pPr>
    </w:p>
    <w:p>
      <w:pPr>
        <w:jc w:val="both"/>
        <w:ind w:right="200" w:firstLine="1296"/>
        <w:spacing w:after="0" w:line="266" w:lineRule="auto"/>
        <w:rPr>
          <w:sz w:val="20"/>
          <w:szCs w:val="20"/>
          <w:color w:val="auto"/>
        </w:rPr>
      </w:pPr>
      <w:r>
        <w:rPr>
          <w:rFonts w:ascii="Arial" w:cs="Arial" w:eastAsia="Arial" w:hAnsi="Arial"/>
          <w:sz w:val="22"/>
          <w:szCs w:val="22"/>
          <w:color w:val="auto"/>
        </w:rPr>
        <w:t xml:space="preserve">WHEREAS, the Grantors own certain Patents (as defined in the Security Agreement), including without limitation the Patents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Patents are issued or pending with the United States Patent and Trademark Office.</w:t>
      </w:r>
    </w:p>
    <w:p>
      <w:pPr>
        <w:spacing w:after="0" w:line="185" w:lineRule="exact"/>
        <w:rPr>
          <w:sz w:val="20"/>
          <w:szCs w:val="20"/>
          <w:color w:val="auto"/>
        </w:rPr>
      </w:pPr>
    </w:p>
    <w:p>
      <w:pPr>
        <w:jc w:val="both"/>
        <w:ind w:right="200" w:firstLine="1296"/>
        <w:spacing w:after="0" w:line="311" w:lineRule="auto"/>
        <w:rPr>
          <w:sz w:val="20"/>
          <w:szCs w:val="20"/>
          <w:color w:val="auto"/>
        </w:rPr>
      </w:pPr>
      <w:r>
        <w:rPr>
          <w:rFonts w:ascii="Arial" w:cs="Arial" w:eastAsia="Arial" w:hAnsi="Arial"/>
          <w:sz w:val="19"/>
          <w:szCs w:val="19"/>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58" w:lineRule="exact"/>
        <w:rPr>
          <w:sz w:val="20"/>
          <w:szCs w:val="20"/>
          <w:color w:val="auto"/>
        </w:rPr>
      </w:pPr>
    </w:p>
    <w:p>
      <w:pPr>
        <w:jc w:val="both"/>
        <w:ind w:right="200" w:firstLine="1296"/>
        <w:spacing w:after="0" w:line="364" w:lineRule="auto"/>
        <w:rPr>
          <w:sz w:val="20"/>
          <w:szCs w:val="20"/>
          <w:color w:val="auto"/>
        </w:rPr>
      </w:pPr>
      <w:r>
        <w:rPr>
          <w:rFonts w:ascii="Arial" w:cs="Arial" w:eastAsia="Arial" w:hAnsi="Arial"/>
          <w:sz w:val="19"/>
          <w:szCs w:val="19"/>
          <w:color w:val="auto"/>
        </w:rPr>
        <w:t>NOW</w:t>
      </w:r>
      <w:r>
        <w:rPr>
          <w:rFonts w:ascii="Arial" w:cs="Arial" w:eastAsia="Arial" w:hAnsi="Arial"/>
          <w:sz w:val="19"/>
          <w:szCs w:val="19"/>
          <w:b w:val="1"/>
          <w:bCs w:val="1"/>
          <w:color w:val="auto"/>
        </w:rPr>
        <w:t>,</w:t>
      </w:r>
      <w:r>
        <w:rPr>
          <w:rFonts w:ascii="Arial" w:cs="Arial" w:eastAsia="Arial" w:hAnsi="Arial"/>
          <w:sz w:val="19"/>
          <w:szCs w:val="19"/>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113" w:lineRule="exact"/>
        <w:rPr>
          <w:sz w:val="20"/>
          <w:szCs w:val="20"/>
          <w:color w:val="auto"/>
        </w:rPr>
      </w:pPr>
    </w:p>
    <w:p>
      <w:pPr>
        <w:jc w:val="both"/>
        <w:ind w:right="200" w:firstLine="713"/>
        <w:spacing w:after="0" w:line="276" w:lineRule="auto"/>
        <w:rPr>
          <w:sz w:val="20"/>
          <w:szCs w:val="20"/>
          <w:color w:val="auto"/>
        </w:rPr>
      </w:pPr>
      <w:r>
        <w:rPr>
          <w:rFonts w:ascii="Arial" w:cs="Arial" w:eastAsia="Arial" w:hAnsi="Arial"/>
          <w:sz w:val="22"/>
          <w:szCs w:val="22"/>
          <w:color w:val="auto"/>
        </w:rPr>
        <w:t>ARTICLE I</w:t>
      </w: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defined herein shall have the respective meanings given to them in the Credit Agreement.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ARTICLE II</w:t>
      </w:r>
      <w:r>
        <w:rPr>
          <w:rFonts w:ascii="Arial" w:cs="Arial" w:eastAsia="Arial" w:hAnsi="Arial"/>
          <w:sz w:val="22"/>
          <w:szCs w:val="22"/>
          <w:u w:val="single" w:color="auto"/>
          <w:color w:val="auto"/>
        </w:rPr>
        <w:t>The Security Interest.</w:t>
      </w:r>
    </w:p>
    <w:p>
      <w:pPr>
        <w:spacing w:after="0" w:line="260" w:lineRule="exact"/>
        <w:rPr>
          <w:sz w:val="20"/>
          <w:szCs w:val="20"/>
          <w:color w:val="auto"/>
        </w:rPr>
      </w:pPr>
    </w:p>
    <w:p>
      <w:pPr>
        <w:jc w:val="both"/>
        <w:ind w:right="200" w:firstLine="1304"/>
        <w:spacing w:after="0" w:line="306" w:lineRule="auto"/>
        <w:tabs>
          <w:tab w:leader="none" w:pos="2184" w:val="left"/>
        </w:tabs>
        <w:numPr>
          <w:ilvl w:val="2"/>
          <w:numId w:val="544"/>
        </w:numPr>
        <w:rPr>
          <w:rFonts w:ascii="Arial" w:cs="Arial" w:eastAsia="Arial" w:hAnsi="Arial"/>
          <w:sz w:val="19"/>
          <w:szCs w:val="19"/>
          <w:color w:val="auto"/>
        </w:rPr>
      </w:pPr>
      <w:r>
        <w:rPr>
          <w:rFonts w:ascii="Arial" w:cs="Arial" w:eastAsia="Arial" w:hAnsi="Arial"/>
          <w:sz w:val="19"/>
          <w:szCs w:val="19"/>
          <w:color w:val="auto"/>
        </w:rPr>
        <w:t xml:space="preserve">This Confirmatory Grant is made to secure the satisfactory performance and payment of the Secured Obligations. Upon Payment in Full, the Grantee shall promptly execute, acknowledge, and deliver to the Grantors all reasonably requested instruments in writing or otherwise, releasing the security interest in the Patents acquired under this Confirmatory Grant. Notwithstanding the foregoing, the security interest in the Patents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9"/>
          <w:szCs w:val="19"/>
          <w:u w:val="single" w:color="auto"/>
          <w:color w:val="auto"/>
        </w:rPr>
        <w:t>Section 11.01(e)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11.23</w:t>
      </w:r>
      <w:r>
        <w:rPr>
          <w:rFonts w:ascii="Arial" w:cs="Arial" w:eastAsia="Arial" w:hAnsi="Arial"/>
          <w:sz w:val="19"/>
          <w:szCs w:val="19"/>
          <w:color w:val="auto"/>
        </w:rPr>
        <w:t xml:space="preserve"> of the Credit Agreement.</w:t>
      </w:r>
    </w:p>
    <w:p>
      <w:pPr>
        <w:spacing w:after="0" w:line="210" w:lineRule="exact"/>
        <w:rPr>
          <w:rFonts w:ascii="Arial" w:cs="Arial" w:eastAsia="Arial" w:hAnsi="Arial"/>
          <w:sz w:val="19"/>
          <w:szCs w:val="19"/>
          <w:color w:val="auto"/>
        </w:rPr>
      </w:pPr>
    </w:p>
    <w:p>
      <w:pPr>
        <w:jc w:val="both"/>
        <w:ind w:left="140" w:firstLine="1294"/>
        <w:spacing w:after="0" w:line="311" w:lineRule="auto"/>
        <w:tabs>
          <w:tab w:leader="none" w:pos="2295" w:val="left"/>
        </w:tabs>
        <w:numPr>
          <w:ilvl w:val="3"/>
          <w:numId w:val="544"/>
        </w:numPr>
        <w:rPr>
          <w:rFonts w:ascii="Arial" w:cs="Arial" w:eastAsia="Arial" w:hAnsi="Arial"/>
          <w:sz w:val="19"/>
          <w:szCs w:val="19"/>
          <w:color w:val="auto"/>
        </w:rPr>
      </w:pPr>
      <w:r>
        <w:rPr>
          <w:rFonts w:ascii="Arial" w:cs="Arial" w:eastAsia="Arial" w:hAnsi="Arial"/>
          <w:sz w:val="19"/>
          <w:szCs w:val="19"/>
          <w:color w:val="auto"/>
        </w:rPr>
        <w:t xml:space="preserve">Each Grantor hereby pledges, assigns and grants to the Grantee, on behalf of and for the benefit of the Secured Parties, a security interest in (1) all of such Grantor’s right, title and interest in and to the Patents now owned or hereafter acquired by such Grantor, including without limitation the Patents listed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A hereto, together with (2) all proceeds and products of the Patents, and (3) all causes of action arising prior to or after the date hereof for infringement or other violation of the Patents or unfair competition regarding the same (collectively, the “</w:t>
      </w:r>
      <w:r>
        <w:rPr>
          <w:rFonts w:ascii="Arial" w:cs="Arial" w:eastAsia="Arial" w:hAnsi="Arial"/>
          <w:sz w:val="19"/>
          <w:szCs w:val="19"/>
          <w:u w:val="single" w:color="auto"/>
          <w:color w:val="auto"/>
        </w:rPr>
        <w:t>Patent Collateral</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180" w:firstLine="557"/>
        <w:spacing w:after="0" w:line="262" w:lineRule="auto"/>
        <w:tabs>
          <w:tab w:leader="none" w:pos="1567" w:val="left"/>
        </w:tabs>
        <w:numPr>
          <w:ilvl w:val="0"/>
          <w:numId w:val="54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204" w:lineRule="exact"/>
        <w:rPr>
          <w:rFonts w:ascii="Arial" w:cs="Arial" w:eastAsia="Arial" w:hAnsi="Arial"/>
          <w:sz w:val="22"/>
          <w:szCs w:val="22"/>
          <w:color w:val="auto"/>
        </w:rPr>
      </w:pPr>
    </w:p>
    <w:p>
      <w:pPr>
        <w:jc w:val="both"/>
        <w:ind w:left="140" w:right="60" w:firstLine="646"/>
        <w:spacing w:after="0" w:line="358" w:lineRule="auto"/>
        <w:tabs>
          <w:tab w:leader="none" w:pos="1701" w:val="left"/>
        </w:tabs>
        <w:numPr>
          <w:ilvl w:val="1"/>
          <w:numId w:val="545"/>
        </w:numPr>
        <w:rPr>
          <w:rFonts w:ascii="Arial" w:cs="Arial" w:eastAsia="Arial" w:hAnsi="Arial"/>
          <w:sz w:val="19"/>
          <w:szCs w:val="19"/>
          <w:color w:val="auto"/>
        </w:rPr>
      </w:pPr>
      <w:r>
        <w:rPr>
          <w:rFonts w:ascii="Arial" w:cs="Arial" w:eastAsia="Arial" w:hAnsi="Arial"/>
          <w:sz w:val="19"/>
          <w:szCs w:val="19"/>
          <w:u w:val="single" w:color="auto"/>
          <w:color w:val="auto"/>
        </w:rPr>
        <w:t>Further Actions</w:t>
      </w:r>
      <w:r>
        <w:rPr>
          <w:rFonts w:ascii="Arial" w:cs="Arial" w:eastAsia="Arial" w:hAnsi="Arial"/>
          <w:sz w:val="19"/>
          <w:szCs w:val="19"/>
          <w:color w:val="auto"/>
        </w:rPr>
        <w:t>. The Grantors authorize and request that the Commissioner for Patents of the United States Patent and Trademark Office and any other applicable government officer record this Confirmatory Grant. The Grantors shall</w:t>
      </w:r>
    </w:p>
    <w:p>
      <w:pPr>
        <w:sectPr>
          <w:pgSz w:w="11900" w:h="16838" w:orient="portrait"/>
          <w:cols w:equalWidth="0" w:num="1">
            <w:col w:w="11240"/>
          </w:cols>
          <w:pgMar w:left="320" w:top="395" w:right="339" w:bottom="0" w:gutter="0" w:footer="0" w:header="0"/>
        </w:sectPr>
      </w:pPr>
    </w:p>
    <w:bookmarkStart w:id="517" w:name="page518"/>
    <w:bookmarkEnd w:id="517"/>
    <w:p>
      <w:pPr>
        <w:ind w:right="20"/>
        <w:spacing w:after="0" w:line="276" w:lineRule="auto"/>
        <w:rPr>
          <w:sz w:val="20"/>
          <w:szCs w:val="20"/>
          <w:color w:val="auto"/>
        </w:rPr>
      </w:pPr>
      <w:r>
        <w:rPr>
          <w:rFonts w:ascii="Arial" w:cs="Arial" w:eastAsia="Arial" w:hAnsi="Arial"/>
          <w:sz w:val="22"/>
          <w:szCs w:val="22"/>
          <w:color w:val="auto"/>
        </w:rPr>
        <w:t>take any further actions, including executing any further documentation, necessary to record, perfect or effectuate this Confirmatory Grant and the Grantee’s security interest in the Patent Collateral.</w:t>
      </w:r>
    </w:p>
    <w:p>
      <w:pPr>
        <w:spacing w:after="0" w:line="188" w:lineRule="exact"/>
        <w:rPr>
          <w:sz w:val="20"/>
          <w:szCs w:val="20"/>
          <w:color w:val="auto"/>
        </w:rPr>
      </w:pPr>
    </w:p>
    <w:p>
      <w:pPr>
        <w:jc w:val="both"/>
        <w:ind w:firstLine="646"/>
        <w:spacing w:after="0" w:line="311" w:lineRule="auto"/>
        <w:tabs>
          <w:tab w:leader="none" w:pos="1630" w:val="left"/>
        </w:tabs>
        <w:numPr>
          <w:ilvl w:val="0"/>
          <w:numId w:val="546"/>
        </w:numPr>
        <w:rPr>
          <w:rFonts w:ascii="Arial" w:cs="Arial" w:eastAsia="Arial" w:hAnsi="Arial"/>
          <w:sz w:val="19"/>
          <w:szCs w:val="19"/>
          <w:color w:val="auto"/>
        </w:rPr>
      </w:pPr>
      <w:r>
        <w:rPr>
          <w:rFonts w:ascii="Arial" w:cs="Arial" w:eastAsia="Arial" w:hAnsi="Arial"/>
          <w:sz w:val="19"/>
          <w:szCs w:val="19"/>
          <w:u w:val="single" w:color="auto"/>
          <w:color w:val="auto"/>
        </w:rPr>
        <w:t>Authorization to Supplement</w:t>
      </w:r>
      <w:r>
        <w:rPr>
          <w:rFonts w:ascii="Arial" w:cs="Arial" w:eastAsia="Arial" w:hAnsi="Arial"/>
          <w:sz w:val="19"/>
          <w:szCs w:val="19"/>
          <w:color w:val="auto"/>
        </w:rPr>
        <w:t xml:space="preserve">. If any Grantor shall obtain rights to any new Patents, the provisions of this Confirmatory Grant shall automatically apply thereto. Such Grantor hereby authorizes the Grantee, in consultation with such Grantor, to modify this Confirmatory Grant by amending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solely to include any such new Patents of such Grantor. Notwithstanding the foregoing, no failure to so modify this Confirmatory Grant or amend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in any way affect, invalidate or detract from the Grantee's continuing security interest in all Patent Collateral, whether or not listed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right="20" w:firstLine="646"/>
        <w:spacing w:after="0" w:line="276" w:lineRule="auto"/>
        <w:tabs>
          <w:tab w:leader="none" w:pos="1440" w:val="left"/>
        </w:tabs>
        <w:numPr>
          <w:ilvl w:val="0"/>
          <w:numId w:val="54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Confirmatory Grant and the rights and obligations of the parties hereto shall be governed by, and construed and interpreted in accordance with, the internal laws of the State of New York.</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127000</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60" w:top="131" w:right="399" w:bottom="1440" w:gutter="0" w:footer="0" w:header="0"/>
        </w:sectPr>
      </w:pPr>
    </w:p>
    <w:bookmarkStart w:id="518" w:name="page519"/>
    <w:bookmarkEnd w:id="518"/>
    <w:p>
      <w:pPr>
        <w:ind w:firstLine="648"/>
        <w:spacing w:after="0" w:line="276" w:lineRule="auto"/>
        <w:rPr>
          <w:sz w:val="20"/>
          <w:szCs w:val="20"/>
          <w:color w:val="auto"/>
        </w:rPr>
      </w:pPr>
      <w:r>
        <w:rPr>
          <w:rFonts w:ascii="Arial" w:cs="Arial" w:eastAsia="Arial" w:hAnsi="Arial"/>
          <w:sz w:val="22"/>
          <w:szCs w:val="22"/>
          <w:color w:val="auto"/>
        </w:rPr>
        <w:t>IN WITNESS WHEREOF, the parties hereto have executed this Confirmatory Grant of Security Interest in United States Patents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[GRANTOR]</w:t>
      </w:r>
    </w:p>
    <w:p>
      <w:pPr>
        <w:spacing w:after="0" w:line="200" w:lineRule="exact"/>
        <w:rPr>
          <w:sz w:val="20"/>
          <w:szCs w:val="20"/>
          <w:color w:val="auto"/>
        </w:rPr>
      </w:pPr>
    </w:p>
    <w:p>
      <w:pPr>
        <w:spacing w:after="0" w:line="35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-17780</wp:posOffset>
            </wp:positionV>
            <wp:extent cx="192024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1358900</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19" w:name="page520"/>
    <w:bookmarkEnd w:id="519"/>
    <w:p>
      <w:pPr>
        <w:jc w:val="center"/>
        <w:ind w:left="2000" w:right="2019"/>
        <w:spacing w:after="0" w:line="272" w:lineRule="auto"/>
        <w:rPr>
          <w:sz w:val="20"/>
          <w:szCs w:val="20"/>
          <w:color w:val="auto"/>
        </w:rPr>
      </w:pPr>
      <w:r>
        <w:rPr>
          <w:rFonts w:ascii="Arial" w:cs="Arial" w:eastAsia="Arial" w:hAnsi="Arial"/>
          <w:sz w:val="22"/>
          <w:szCs w:val="22"/>
          <w:color w:val="auto"/>
        </w:rPr>
        <w:t>CONFIRMATORY GRANT OF SECURITY INTEREST IN UNITED STATES PATENTS Exhibit A – SCHEDULE OF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718820</wp:posOffset>
            </wp:positionV>
            <wp:extent cx="71323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520" w:name="page521"/>
    <w:bookmarkEnd w:id="520"/>
    <w:p>
      <w:pPr>
        <w:jc w:val="center"/>
        <w:spacing w:after="0"/>
        <w:rPr>
          <w:sz w:val="20"/>
          <w:szCs w:val="20"/>
          <w:color w:val="auto"/>
        </w:rPr>
      </w:pPr>
      <w:r>
        <w:rPr>
          <w:rFonts w:ascii="Arial" w:cs="Arial" w:eastAsia="Arial" w:hAnsi="Arial"/>
          <w:sz w:val="22"/>
          <w:szCs w:val="22"/>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CONFIRMATORY GRANT OF SECURITY INTEREST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UNITED STATES TRADEMARKS</w:t>
      </w:r>
    </w:p>
    <w:p>
      <w:pPr>
        <w:spacing w:after="0" w:line="242"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THIS CONFIRMATORY GRANT OF SECURITY INTEREST IN UNITED STATES TRADEMARKS (the “</w:t>
      </w:r>
      <w:r>
        <w:rPr>
          <w:rFonts w:ascii="Arial" w:cs="Arial" w:eastAsia="Arial" w:hAnsi="Arial"/>
          <w:sz w:val="19"/>
          <w:szCs w:val="19"/>
          <w:u w:val="single" w:color="auto"/>
          <w:color w:val="auto"/>
        </w:rPr>
        <w:t>Confirmatory</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w:t>
      </w:r>
      <w:r>
        <w:rPr>
          <w:rFonts w:ascii="Arial" w:cs="Arial" w:eastAsia="Arial" w:hAnsi="Arial"/>
          <w:sz w:val="19"/>
          <w:szCs w:val="19"/>
          <w:color w:val="auto"/>
        </w:rPr>
        <w:t>”) is made effective as of [____], 20__ by and from the entities listed on the signature pages hereto (each such entity,</w:t>
      </w:r>
    </w:p>
    <w:p>
      <w:pPr>
        <w:jc w:val="both"/>
        <w:spacing w:after="0" w:line="261" w:lineRule="auto"/>
        <w:rPr>
          <w:sz w:val="20"/>
          <w:szCs w:val="20"/>
          <w:color w:val="auto"/>
        </w:rPr>
      </w:pPr>
      <w:r>
        <w:rPr>
          <w:rFonts w:ascii="Arial" w:cs="Arial" w:eastAsia="Arial" w:hAnsi="Arial"/>
          <w:sz w:val="22"/>
          <w:szCs w:val="22"/>
          <w:color w:val="auto"/>
        </w:rPr>
        <w:t>together with any other entities that become party to this Confirmatory Grant, being individually referred to herein as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Grantors</w:t>
      </w:r>
      <w:r>
        <w:rPr>
          <w:rFonts w:ascii="Arial" w:cs="Arial" w:eastAsia="Arial" w:hAnsi="Arial"/>
          <w:sz w:val="22"/>
          <w:szCs w:val="22"/>
          <w:color w:val="auto"/>
        </w:rPr>
        <w:t>”), to and in favor of Deutsche Bank Trust Company Americas in its capacity as administrative agent (the “</w:t>
      </w:r>
      <w:r>
        <w:rPr>
          <w:rFonts w:ascii="Arial" w:cs="Arial" w:eastAsia="Arial" w:hAnsi="Arial"/>
          <w:sz w:val="22"/>
          <w:szCs w:val="22"/>
          <w:u w:val="single" w:color="auto"/>
          <w:color w:val="auto"/>
        </w:rPr>
        <w:t>Grantee</w:t>
      </w:r>
      <w:r>
        <w:rPr>
          <w:rFonts w:ascii="Arial" w:cs="Arial" w:eastAsia="Arial" w:hAnsi="Arial"/>
          <w:sz w:val="22"/>
          <w:szCs w:val="22"/>
          <w:color w:val="auto"/>
        </w:rPr>
        <w:t>”) for itself and on behalf and for the benefit of the other Secured Parties (as defined in the Credit Agreement referenced below).</w:t>
      </w:r>
    </w:p>
    <w:p>
      <w:pPr>
        <w:spacing w:after="0" w:line="178" w:lineRule="exact"/>
        <w:rPr>
          <w:sz w:val="20"/>
          <w:szCs w:val="20"/>
          <w:color w:val="auto"/>
        </w:rPr>
      </w:pPr>
    </w:p>
    <w:p>
      <w:pPr>
        <w:jc w:val="both"/>
        <w:ind w:left="140" w:right="140" w:firstLine="1296"/>
        <w:spacing w:after="0" w:line="260" w:lineRule="auto"/>
        <w:rPr>
          <w:sz w:val="20"/>
          <w:szCs w:val="20"/>
          <w:color w:val="auto"/>
        </w:rPr>
      </w:pPr>
      <w:r>
        <w:rPr>
          <w:rFonts w:ascii="Arial" w:cs="Arial" w:eastAsia="Arial" w:hAnsi="Arial"/>
          <w:sz w:val="22"/>
          <w:szCs w:val="22"/>
          <w:color w:val="auto"/>
        </w:rPr>
        <w:t>WHEREAS, WEATHERFORD INTERNATIONAL PLC, an Irish public limited company (“</w:t>
      </w:r>
      <w:r>
        <w:rPr>
          <w:rFonts w:ascii="Arial" w:cs="Arial" w:eastAsia="Arial" w:hAnsi="Arial"/>
          <w:sz w:val="22"/>
          <w:szCs w:val="22"/>
          <w:u w:val="single" w:color="auto"/>
          <w:color w:val="auto"/>
        </w:rPr>
        <w:t>WIL-Ireland</w:t>
      </w:r>
      <w:r>
        <w:rPr>
          <w:rFonts w:ascii="Arial" w:cs="Arial" w:eastAsia="Arial" w:hAnsi="Arial"/>
          <w:sz w:val="22"/>
          <w:szCs w:val="22"/>
          <w:color w:val="auto"/>
        </w:rPr>
        <w:t>”),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232" w:lineRule="exact"/>
        <w:rPr>
          <w:sz w:val="20"/>
          <w:szCs w:val="20"/>
          <w:color w:val="auto"/>
        </w:rPr>
      </w:pPr>
    </w:p>
    <w:p>
      <w:pPr>
        <w:jc w:val="both"/>
        <w:ind w:left="140" w:right="140" w:firstLine="1296"/>
        <w:spacing w:after="0" w:line="266" w:lineRule="auto"/>
        <w:rPr>
          <w:sz w:val="20"/>
          <w:szCs w:val="20"/>
          <w:color w:val="auto"/>
        </w:rPr>
      </w:pPr>
      <w:r>
        <w:rPr>
          <w:rFonts w:ascii="Arial" w:cs="Arial" w:eastAsia="Arial" w:hAnsi="Arial"/>
          <w:sz w:val="22"/>
          <w:szCs w:val="22"/>
          <w:color w:val="auto"/>
        </w:rPr>
        <w:t>WHEREAS, the Grantors and the other grantors from time to time party thereto have entered into the U.S. Security Agreement dated as of December 13, 2019 (as the same may be amended, restated, supplemented or otherwise modified from time to time,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w:t>
      </w:r>
    </w:p>
    <w:p>
      <w:pPr>
        <w:spacing w:after="0" w:line="239" w:lineRule="exact"/>
        <w:rPr>
          <w:sz w:val="20"/>
          <w:szCs w:val="20"/>
          <w:color w:val="auto"/>
        </w:rPr>
      </w:pPr>
    </w:p>
    <w:p>
      <w:pPr>
        <w:jc w:val="both"/>
        <w:ind w:left="140" w:right="140" w:firstLine="1296"/>
        <w:spacing w:after="0" w:line="266" w:lineRule="auto"/>
        <w:rPr>
          <w:sz w:val="20"/>
          <w:szCs w:val="20"/>
          <w:color w:val="auto"/>
        </w:rPr>
      </w:pPr>
      <w:r>
        <w:rPr>
          <w:rFonts w:ascii="Arial" w:cs="Arial" w:eastAsia="Arial" w:hAnsi="Arial"/>
          <w:sz w:val="22"/>
          <w:szCs w:val="22"/>
          <w:color w:val="auto"/>
        </w:rPr>
        <w:t xml:space="preserve">WHEREAS, the Grantors own certain Trademarks (as defined in the Security Agreement), including without limitation the Trademarks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Trademarks are pending or registered with the United States Patent and Trademark Office.</w:t>
      </w:r>
    </w:p>
    <w:p>
      <w:pPr>
        <w:spacing w:after="0" w:line="198" w:lineRule="exact"/>
        <w:rPr>
          <w:sz w:val="20"/>
          <w:szCs w:val="20"/>
          <w:color w:val="auto"/>
        </w:rPr>
      </w:pPr>
    </w:p>
    <w:p>
      <w:pPr>
        <w:jc w:val="both"/>
        <w:ind w:left="140" w:right="140" w:firstLine="1296"/>
        <w:spacing w:after="0" w:line="311" w:lineRule="auto"/>
        <w:rPr>
          <w:sz w:val="20"/>
          <w:szCs w:val="20"/>
          <w:color w:val="auto"/>
        </w:rPr>
      </w:pPr>
      <w:r>
        <w:rPr>
          <w:rFonts w:ascii="Arial" w:cs="Arial" w:eastAsia="Arial" w:hAnsi="Arial"/>
          <w:sz w:val="19"/>
          <w:szCs w:val="19"/>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58" w:lineRule="exact"/>
        <w:rPr>
          <w:sz w:val="20"/>
          <w:szCs w:val="20"/>
          <w:color w:val="auto"/>
        </w:rPr>
      </w:pPr>
    </w:p>
    <w:p>
      <w:pPr>
        <w:jc w:val="both"/>
        <w:ind w:left="140" w:right="140" w:firstLine="1296"/>
        <w:spacing w:after="0" w:line="364" w:lineRule="auto"/>
        <w:rPr>
          <w:sz w:val="20"/>
          <w:szCs w:val="20"/>
          <w:color w:val="auto"/>
        </w:rPr>
      </w:pPr>
      <w:r>
        <w:rPr>
          <w:rFonts w:ascii="Arial" w:cs="Arial" w:eastAsia="Arial" w:hAnsi="Arial"/>
          <w:sz w:val="19"/>
          <w:szCs w:val="19"/>
          <w:color w:val="auto"/>
        </w:rPr>
        <w:t>NOW</w:t>
      </w:r>
      <w:r>
        <w:rPr>
          <w:rFonts w:ascii="Arial" w:cs="Arial" w:eastAsia="Arial" w:hAnsi="Arial"/>
          <w:sz w:val="19"/>
          <w:szCs w:val="19"/>
          <w:b w:val="1"/>
          <w:bCs w:val="1"/>
          <w:color w:val="auto"/>
        </w:rPr>
        <w:t>,</w:t>
      </w:r>
      <w:r>
        <w:rPr>
          <w:rFonts w:ascii="Arial" w:cs="Arial" w:eastAsia="Arial" w:hAnsi="Arial"/>
          <w:sz w:val="19"/>
          <w:szCs w:val="19"/>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113" w:lineRule="exact"/>
        <w:rPr>
          <w:sz w:val="20"/>
          <w:szCs w:val="20"/>
          <w:color w:val="auto"/>
        </w:rPr>
      </w:pPr>
    </w:p>
    <w:p>
      <w:pPr>
        <w:ind w:left="140" w:right="140" w:firstLine="646"/>
        <w:spacing w:after="0" w:line="276" w:lineRule="auto"/>
        <w:tabs>
          <w:tab w:leader="none" w:pos="1635" w:val="left"/>
        </w:tabs>
        <w:numPr>
          <w:ilvl w:val="0"/>
          <w:numId w:val="54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defined herein shall have the respective meanings given to them in the Credit Agreement.</w:t>
      </w:r>
    </w:p>
    <w:p>
      <w:pPr>
        <w:spacing w:after="0" w:line="201" w:lineRule="exact"/>
        <w:rPr>
          <w:rFonts w:ascii="Arial" w:cs="Arial" w:eastAsia="Arial" w:hAnsi="Arial"/>
          <w:sz w:val="22"/>
          <w:szCs w:val="22"/>
          <w:color w:val="auto"/>
        </w:rPr>
      </w:pPr>
    </w:p>
    <w:p>
      <w:pPr>
        <w:ind w:left="1580" w:hanging="794"/>
        <w:spacing w:after="0"/>
        <w:tabs>
          <w:tab w:leader="none" w:pos="1580" w:val="left"/>
        </w:tabs>
        <w:numPr>
          <w:ilvl w:val="0"/>
          <w:numId w:val="547"/>
        </w:numPr>
        <w:rPr>
          <w:rFonts w:ascii="Arial" w:cs="Arial" w:eastAsia="Arial" w:hAnsi="Arial"/>
          <w:sz w:val="22"/>
          <w:szCs w:val="22"/>
          <w:color w:val="auto"/>
        </w:rPr>
      </w:pPr>
      <w:r>
        <w:rPr>
          <w:rFonts w:ascii="Arial" w:cs="Arial" w:eastAsia="Arial" w:hAnsi="Arial"/>
          <w:sz w:val="22"/>
          <w:szCs w:val="22"/>
          <w:u w:val="single" w:color="auto"/>
          <w:color w:val="auto"/>
        </w:rPr>
        <w:t>The Security Interest.</w:t>
      </w:r>
    </w:p>
    <w:p>
      <w:pPr>
        <w:spacing w:after="0" w:line="246" w:lineRule="exact"/>
        <w:rPr>
          <w:rFonts w:ascii="Arial" w:cs="Arial" w:eastAsia="Arial" w:hAnsi="Arial"/>
          <w:sz w:val="22"/>
          <w:szCs w:val="22"/>
          <w:color w:val="auto"/>
        </w:rPr>
      </w:pPr>
    </w:p>
    <w:p>
      <w:pPr>
        <w:jc w:val="both"/>
        <w:ind w:left="140" w:right="120" w:firstLine="1294"/>
        <w:spacing w:after="0" w:line="306" w:lineRule="auto"/>
        <w:tabs>
          <w:tab w:leader="none" w:pos="2499" w:val="left"/>
        </w:tabs>
        <w:numPr>
          <w:ilvl w:val="2"/>
          <w:numId w:val="547"/>
        </w:numPr>
        <w:rPr>
          <w:rFonts w:ascii="Arial" w:cs="Arial" w:eastAsia="Arial" w:hAnsi="Arial"/>
          <w:sz w:val="19"/>
          <w:szCs w:val="19"/>
          <w:color w:val="auto"/>
        </w:rPr>
      </w:pPr>
      <w:r>
        <w:rPr>
          <w:rFonts w:ascii="Arial" w:cs="Arial" w:eastAsia="Arial" w:hAnsi="Arial"/>
          <w:sz w:val="19"/>
          <w:szCs w:val="19"/>
          <w:color w:val="auto"/>
        </w:rPr>
        <w:t xml:space="preserve">This Confirmatory Grant is made to secure the satisfactory performance and payment of all the Secured Obligations. Upon Payment in Full, the Grantee shall promptly execute, acknowledge, and deliver to the Grantors all reasonably requested instruments in writing or otherwise, releasing the security interest in the Trademarks acquired under this Confirmatory Grant. Notwithstanding the foregoing, the security interest in the Trademarks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9"/>
          <w:szCs w:val="19"/>
          <w:u w:val="single" w:color="auto"/>
          <w:color w:val="auto"/>
        </w:rPr>
        <w:t>Section 11.01(e)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11.23</w:t>
      </w:r>
      <w:r>
        <w:rPr>
          <w:rFonts w:ascii="Arial" w:cs="Arial" w:eastAsia="Arial" w:hAnsi="Arial"/>
          <w:sz w:val="19"/>
          <w:szCs w:val="19"/>
          <w:color w:val="auto"/>
        </w:rPr>
        <w:t xml:space="preserve"> of the Credit Agreement.</w:t>
      </w:r>
    </w:p>
    <w:p>
      <w:pPr>
        <w:spacing w:after="0" w:line="169" w:lineRule="exact"/>
        <w:rPr>
          <w:rFonts w:ascii="Arial" w:cs="Arial" w:eastAsia="Arial" w:hAnsi="Arial"/>
          <w:sz w:val="19"/>
          <w:szCs w:val="19"/>
          <w:color w:val="auto"/>
        </w:rPr>
      </w:pPr>
    </w:p>
    <w:p>
      <w:pPr>
        <w:jc w:val="both"/>
        <w:ind w:left="200" w:right="80" w:firstLine="1233"/>
        <w:spacing w:after="0" w:line="260" w:lineRule="auto"/>
        <w:tabs>
          <w:tab w:leader="none" w:pos="2263" w:val="left"/>
        </w:tabs>
        <w:numPr>
          <w:ilvl w:val="2"/>
          <w:numId w:val="547"/>
        </w:numPr>
        <w:rPr>
          <w:rFonts w:ascii="Arial" w:cs="Arial" w:eastAsia="Arial" w:hAnsi="Arial"/>
          <w:sz w:val="22"/>
          <w:szCs w:val="22"/>
          <w:color w:val="auto"/>
        </w:rPr>
      </w:pPr>
      <w:r>
        <w:rPr>
          <w:rFonts w:ascii="Arial" w:cs="Arial" w:eastAsia="Arial" w:hAnsi="Arial"/>
          <w:sz w:val="22"/>
          <w:szCs w:val="22"/>
          <w:color w:val="auto"/>
        </w:rPr>
        <w:t xml:space="preserve">Each Grantor hereby pledges, assigns and grants to the Grantee, on behalf of and for the benefit of the Secured Parties, a security interest in (1) all of such Grantor’s right, title and interest in and to the Trademarks now owned or hereafter acquired by such Grantor, including without limitation the Trademarks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together with (2) all proceeds and products of the Trademarks, (3) the goodwill associated with such Trademarks, and (4) all causes of action arising prior to or after the date hereof for infringement or other violation of the Trademarks or unfair competition regarding the same (collectively, the “</w:t>
      </w:r>
      <w:r>
        <w:rPr>
          <w:rFonts w:ascii="Arial" w:cs="Arial" w:eastAsia="Arial" w:hAnsi="Arial"/>
          <w:sz w:val="22"/>
          <w:szCs w:val="22"/>
          <w:u w:val="single" w:color="auto"/>
          <w:color w:val="auto"/>
        </w:rPr>
        <w:t>Trademark Collateral</w:t>
      </w:r>
      <w:r>
        <w:rPr>
          <w:rFonts w:ascii="Arial" w:cs="Arial" w:eastAsia="Arial" w:hAnsi="Arial"/>
          <w:sz w:val="22"/>
          <w:szCs w:val="22"/>
          <w:color w:val="auto"/>
        </w:rPr>
        <w:t>”).</w:t>
      </w:r>
    </w:p>
    <w:p>
      <w:pPr>
        <w:spacing w:after="0" w:line="245" w:lineRule="exact"/>
        <w:rPr>
          <w:rFonts w:ascii="Arial" w:cs="Arial" w:eastAsia="Arial" w:hAnsi="Arial"/>
          <w:sz w:val="22"/>
          <w:szCs w:val="22"/>
          <w:color w:val="auto"/>
        </w:rPr>
      </w:pPr>
    </w:p>
    <w:p>
      <w:pPr>
        <w:jc w:val="both"/>
        <w:ind w:left="180" w:right="80" w:firstLine="768"/>
        <w:spacing w:after="0" w:line="262" w:lineRule="auto"/>
        <w:tabs>
          <w:tab w:leader="none" w:pos="1893" w:val="left"/>
        </w:tabs>
        <w:numPr>
          <w:ilvl w:val="1"/>
          <w:numId w:val="54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ectPr>
          <w:pgSz w:w="11900" w:h="16838" w:orient="portrait"/>
          <w:cols w:equalWidth="0" w:num="1">
            <w:col w:w="11240"/>
          </w:cols>
          <w:pgMar w:left="320" w:top="395" w:right="339" w:bottom="269" w:gutter="0" w:footer="0" w:header="0"/>
        </w:sectPr>
      </w:pPr>
    </w:p>
    <w:bookmarkStart w:id="521" w:name="page522"/>
    <w:bookmarkEnd w:id="521"/>
    <w:p>
      <w:pPr>
        <w:jc w:val="both"/>
        <w:ind w:firstLine="585"/>
        <w:spacing w:after="0" w:line="279" w:lineRule="auto"/>
        <w:tabs>
          <w:tab w:leader="none" w:pos="1565" w:val="left"/>
        </w:tabs>
        <w:numPr>
          <w:ilvl w:val="0"/>
          <w:numId w:val="548"/>
        </w:numPr>
        <w:rPr>
          <w:rFonts w:ascii="Arial" w:cs="Arial" w:eastAsia="Arial" w:hAnsi="Arial"/>
          <w:sz w:val="21"/>
          <w:szCs w:val="21"/>
          <w:color w:val="auto"/>
        </w:rPr>
      </w:pPr>
      <w:r>
        <w:rPr>
          <w:rFonts w:ascii="Arial" w:cs="Arial" w:eastAsia="Arial" w:hAnsi="Arial"/>
          <w:sz w:val="21"/>
          <w:szCs w:val="21"/>
          <w:u w:val="single" w:color="auto"/>
          <w:color w:val="auto"/>
        </w:rPr>
        <w:t>Further Actions</w:t>
      </w:r>
      <w:r>
        <w:rPr>
          <w:rFonts w:ascii="Arial" w:cs="Arial" w:eastAsia="Arial" w:hAnsi="Arial"/>
          <w:sz w:val="21"/>
          <w:szCs w:val="21"/>
          <w:color w:val="auto"/>
        </w:rPr>
        <w:t>. The Grantors authorize and request that the Commissioner for Trademarks of the United States Patent and Trademark Office and any other applicable government officer record this Confirmatory Grant. The Grantors shall take any further actions, including executing any further documentation, necessary to record, perfect or effectuate this Confirmatory Grant and the Grantee’s security interest in the Trademark Collateral.</w:t>
      </w:r>
    </w:p>
    <w:p>
      <w:pPr>
        <w:spacing w:after="0" w:line="213" w:lineRule="exact"/>
        <w:rPr>
          <w:rFonts w:ascii="Arial" w:cs="Arial" w:eastAsia="Arial" w:hAnsi="Arial"/>
          <w:sz w:val="21"/>
          <w:szCs w:val="21"/>
          <w:color w:val="auto"/>
        </w:rPr>
      </w:pPr>
    </w:p>
    <w:p>
      <w:pPr>
        <w:jc w:val="both"/>
        <w:ind w:firstLine="585"/>
        <w:spacing w:after="0" w:line="260" w:lineRule="auto"/>
        <w:tabs>
          <w:tab w:leader="none" w:pos="1402" w:val="left"/>
        </w:tabs>
        <w:numPr>
          <w:ilvl w:val="0"/>
          <w:numId w:val="548"/>
        </w:numPr>
        <w:rPr>
          <w:rFonts w:ascii="Arial" w:cs="Arial" w:eastAsia="Arial" w:hAnsi="Arial"/>
          <w:sz w:val="22"/>
          <w:szCs w:val="22"/>
          <w:color w:val="auto"/>
        </w:rPr>
      </w:pPr>
      <w:r>
        <w:rPr>
          <w:rFonts w:ascii="Arial" w:cs="Arial" w:eastAsia="Arial" w:hAnsi="Arial"/>
          <w:sz w:val="22"/>
          <w:szCs w:val="22"/>
          <w:u w:val="single" w:color="auto"/>
          <w:color w:val="auto"/>
        </w:rPr>
        <w:t>Authorization to Supplement</w:t>
      </w:r>
      <w:r>
        <w:rPr>
          <w:rFonts w:ascii="Arial" w:cs="Arial" w:eastAsia="Arial" w:hAnsi="Arial"/>
          <w:sz w:val="22"/>
          <w:szCs w:val="22"/>
          <w:color w:val="auto"/>
        </w:rPr>
        <w:t xml:space="preserve">. If any Grantor shall obtain rights to any new Trademarks, the provisions of this Confirmatory Grant shall automatically apply thereto. Such Grantor hereby authorizes the Grantee, in consultation with such Grantor, to modify this Confirmatory Grant by amending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solely to include any such new Trademarks of such Grantor. Notwithstanding the foregoing, no failure to so modify this Confirmatory Grant or amend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in any way affect, invalidate or detract from the Grantee's continuing security interest in all Trademark Collateral, whether or not listed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ind w:firstLine="585"/>
        <w:spacing w:after="0" w:line="276" w:lineRule="auto"/>
        <w:tabs>
          <w:tab w:leader="none" w:pos="1363" w:val="left"/>
        </w:tabs>
        <w:numPr>
          <w:ilvl w:val="0"/>
          <w:numId w:val="54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Confirmatory Grant and the rights and obligations of the parties hereto shall be governed by, and construed and interpreted in accordance with, the internal laws of the State of New York.</w:t>
      </w:r>
    </w:p>
    <w:p>
      <w:pPr>
        <w:spacing w:after="0" w:line="350"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538480</wp:posOffset>
            </wp:positionV>
            <wp:extent cx="71323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20" w:top="131" w:right="399" w:bottom="1440" w:gutter="0" w:footer="0" w:header="0"/>
        </w:sectPr>
      </w:pPr>
    </w:p>
    <w:bookmarkStart w:id="522" w:name="page523"/>
    <w:bookmarkEnd w:id="522"/>
    <w:p>
      <w:pPr>
        <w:ind w:firstLine="648"/>
        <w:spacing w:after="0" w:line="276" w:lineRule="auto"/>
        <w:rPr>
          <w:sz w:val="20"/>
          <w:szCs w:val="20"/>
          <w:color w:val="auto"/>
        </w:rPr>
      </w:pPr>
      <w:r>
        <w:rPr>
          <w:rFonts w:ascii="Arial" w:cs="Arial" w:eastAsia="Arial" w:hAnsi="Arial"/>
          <w:sz w:val="22"/>
          <w:szCs w:val="22"/>
          <w:color w:val="auto"/>
        </w:rPr>
        <w:t>IN WITNESS WHEREOF, the parties hereto have executed this Confirmatory Grant of Security Interest in United States Trademarks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[GRANTOR]</w:t>
      </w:r>
    </w:p>
    <w:p>
      <w:pPr>
        <w:spacing w:after="0" w:line="200" w:lineRule="exact"/>
        <w:rPr>
          <w:sz w:val="20"/>
          <w:szCs w:val="20"/>
          <w:color w:val="auto"/>
        </w:rPr>
      </w:pPr>
    </w:p>
    <w:p>
      <w:pPr>
        <w:spacing w:after="0" w:line="35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981710</wp:posOffset>
            </wp:positionV>
            <wp:extent cx="71323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3" w:name="page524"/>
    <w:bookmarkEnd w:id="523"/>
    <w:p>
      <w:pPr>
        <w:jc w:val="center"/>
        <w:ind w:left="2000" w:right="2019"/>
        <w:spacing w:after="0" w:line="266" w:lineRule="auto"/>
        <w:rPr>
          <w:sz w:val="20"/>
          <w:szCs w:val="20"/>
          <w:color w:val="auto"/>
        </w:rPr>
      </w:pPr>
      <w:r>
        <w:rPr>
          <w:rFonts w:ascii="Arial" w:cs="Arial" w:eastAsia="Arial" w:hAnsi="Arial"/>
          <w:sz w:val="22"/>
          <w:szCs w:val="22"/>
          <w:color w:val="auto"/>
        </w:rPr>
        <w:t>CONFIRMATORY GRANT OF SECURITY INTEREST IN UNITED STATES TRADEMARKS Exhibit A – SCHEDULE OF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593725</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15" w:right="1440" w:bottom="1440" w:gutter="0" w:footer="0" w:header="0"/>
        </w:sectPr>
      </w:pPr>
    </w:p>
    <w:bookmarkStart w:id="524" w:name="page525"/>
    <w:bookmarkEnd w:id="524"/>
    <w:p>
      <w:pPr>
        <w:jc w:val="right"/>
        <w:spacing w:after="0"/>
        <w:rPr>
          <w:sz w:val="20"/>
          <w:szCs w:val="20"/>
          <w:color w:val="auto"/>
        </w:rPr>
      </w:pPr>
      <w:r>
        <w:rPr>
          <w:rFonts w:ascii="Arial" w:cs="Arial" w:eastAsia="Arial" w:hAnsi="Arial"/>
          <w:sz w:val="22"/>
          <w:szCs w:val="22"/>
          <w:b w:val="1"/>
          <w:bCs w:val="1"/>
          <w:u w:val="single" w:color="auto"/>
          <w:color w:val="auto"/>
        </w:rPr>
        <w:t>EXHIBIT K</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b w:val="1"/>
          <w:bCs w:val="1"/>
          <w:u w:val="single" w:color="auto"/>
          <w:color w:val="auto"/>
        </w:rPr>
        <w:t>FORMS OF ENGLISH SECURITY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525" w:name="page526"/>
    <w:bookmarkEnd w:id="525"/>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DATED _________________,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U.K.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29" w:lineRule="exact"/>
        <w:rPr>
          <w:sz w:val="20"/>
          <w:szCs w:val="20"/>
          <w:color w:val="auto"/>
        </w:rPr>
      </w:pPr>
    </w:p>
    <w:p>
      <w:pPr>
        <w:jc w:val="center"/>
        <w:spacing w:after="0" w:line="221" w:lineRule="exact"/>
        <w:rPr>
          <w:sz w:val="20"/>
          <w:szCs w:val="20"/>
          <w:color w:val="auto"/>
        </w:rPr>
      </w:pPr>
      <w:r>
        <w:rPr>
          <w:rFonts w:ascii="MS PGothic" w:cs="MS PGothic" w:eastAsia="MS PGothic" w:hAnsi="MS PGothic"/>
          <w:sz w:val="22"/>
          <w:szCs w:val="22"/>
          <w:color w:val="auto"/>
        </w:rPr>
        <w:t>‑ and ‑</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TRUST COMPANY AMERICAS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DEED OF CHARGE AND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0"/>
        <w:spacing w:after="0" w:line="276" w:lineRule="auto"/>
        <w:rPr>
          <w:sz w:val="20"/>
          <w:szCs w:val="20"/>
          <w:color w:val="auto"/>
        </w:rPr>
      </w:pPr>
      <w:r>
        <w:rPr>
          <w:rFonts w:ascii="Arial" w:cs="Arial" w:eastAsia="Arial" w:hAnsi="Arial"/>
          <w:sz w:val="22"/>
          <w:szCs w:val="22"/>
          <w:i w:val="1"/>
          <w:iCs w:val="1"/>
          <w:color w:val="auto"/>
        </w:rPr>
        <w:t>This Deed of Charge and Assignment is entered into subject to the terms of the Intercreditor Agreement dated on or about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1067435</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424180</wp:posOffset>
            </wp:positionV>
            <wp:extent cx="1200150" cy="50546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00150" cy="5054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6" w:name="page527"/>
    <w:bookmarkEnd w:id="526"/>
    <w:tbl>
      <w:tblPr>
        <w:tblLayout w:type="fixed"/>
        <w:tblInd w:w="0" w:type="dxa"/>
        <w:tblCellMar>
          <w:top w:w="0" w:type="dxa"/>
          <w:left w:w="0" w:type="dxa"/>
          <w:bottom w:w="0" w:type="dxa"/>
          <w:right w:w="0" w:type="dxa"/>
        </w:tblCellMar>
      </w:tblPr>
      <w:tr>
        <w:trPr>
          <w:trHeight w:val="280"/>
        </w:trPr>
        <w:tc>
          <w:tcPr>
            <w:tcW w:w="560" w:type="dxa"/>
            <w:vAlign w:val="bottom"/>
          </w:tcPr>
          <w:p>
            <w:pPr>
              <w:spacing w:after="0"/>
              <w:rPr>
                <w:sz w:val="24"/>
                <w:szCs w:val="24"/>
                <w:color w:val="auto"/>
              </w:rPr>
            </w:pPr>
          </w:p>
        </w:tc>
        <w:tc>
          <w:tcPr>
            <w:tcW w:w="8820" w:type="dxa"/>
            <w:vAlign w:val="bottom"/>
          </w:tcPr>
          <w:p>
            <w:pPr>
              <w:ind w:left="3900"/>
              <w:spacing w:after="0"/>
              <w:rPr>
                <w:sz w:val="20"/>
                <w:szCs w:val="20"/>
                <w:color w:val="auto"/>
              </w:rPr>
            </w:pPr>
            <w:r>
              <w:rPr>
                <w:rFonts w:ascii="Arial" w:cs="Arial" w:eastAsia="Arial" w:hAnsi="Arial"/>
                <w:sz w:val="22"/>
                <w:szCs w:val="22"/>
                <w:b w:val="1"/>
                <w:bCs w:val="1"/>
                <w:color w:val="auto"/>
              </w:rPr>
              <w:t>TABLE OF CONTENTS</w:t>
            </w:r>
          </w:p>
        </w:tc>
        <w:tc>
          <w:tcPr>
            <w:tcW w:w="1860" w:type="dxa"/>
            <w:vAlign w:val="bottom"/>
          </w:tcPr>
          <w:p>
            <w:pPr>
              <w:spacing w:after="0"/>
              <w:rPr>
                <w:sz w:val="24"/>
                <w:szCs w:val="24"/>
                <w:color w:val="auto"/>
              </w:rPr>
            </w:pPr>
          </w:p>
        </w:tc>
      </w:tr>
      <w:tr>
        <w:trPr>
          <w:trHeight w:val="705"/>
        </w:trPr>
        <w:tc>
          <w:tcPr>
            <w:tcW w:w="560" w:type="dxa"/>
            <w:vAlign w:val="bottom"/>
          </w:tcPr>
          <w:p>
            <w:pPr>
              <w:spacing w:after="0"/>
              <w:rPr>
                <w:sz w:val="20"/>
                <w:szCs w:val="20"/>
                <w:color w:val="auto"/>
              </w:rPr>
            </w:pPr>
            <w:r>
              <w:rPr>
                <w:rFonts w:ascii="Arial" w:cs="Arial" w:eastAsia="Arial" w:hAnsi="Arial"/>
                <w:sz w:val="18"/>
                <w:szCs w:val="18"/>
                <w:b w:val="1"/>
                <w:bCs w:val="1"/>
                <w:color w:val="auto"/>
                <w:w w:val="91"/>
              </w:rPr>
              <w:t>Clause</w:t>
            </w:r>
          </w:p>
        </w:tc>
        <w:tc>
          <w:tcPr>
            <w:tcW w:w="8820" w:type="dxa"/>
            <w:vAlign w:val="bottom"/>
          </w:tcPr>
          <w:p>
            <w:pPr>
              <w:spacing w:after="0"/>
              <w:rPr>
                <w:sz w:val="24"/>
                <w:szCs w:val="24"/>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rPr>
              <w:t>Page No.</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1.</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DEFINITIONS AND INTERPRETATION</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w:t>
            </w:r>
          </w:p>
        </w:tc>
        <w:tc>
          <w:tcPr>
            <w:tcW w:w="8820" w:type="dxa"/>
            <w:vAlign w:val="bottom"/>
          </w:tcPr>
          <w:p>
            <w:pPr>
              <w:ind w:left="20"/>
              <w:spacing w:after="0"/>
              <w:rPr>
                <w:sz w:val="20"/>
                <w:szCs w:val="20"/>
                <w:color w:val="auto"/>
              </w:rPr>
            </w:pPr>
            <w:r>
              <w:rPr>
                <w:rFonts w:ascii="Arial" w:cs="Arial" w:eastAsia="Arial" w:hAnsi="Arial"/>
                <w:sz w:val="18"/>
                <w:szCs w:val="18"/>
                <w:color w:val="auto"/>
              </w:rPr>
              <w:t>TRUST</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3.</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INTERCREDITOR AGREEMENT</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w:t>
            </w:r>
          </w:p>
        </w:tc>
        <w:tc>
          <w:tcPr>
            <w:tcW w:w="8820" w:type="dxa"/>
            <w:vAlign w:val="bottom"/>
          </w:tcPr>
          <w:p>
            <w:pPr>
              <w:ind w:left="20"/>
              <w:spacing w:after="0"/>
              <w:rPr>
                <w:sz w:val="20"/>
                <w:szCs w:val="20"/>
                <w:color w:val="auto"/>
              </w:rPr>
            </w:pPr>
            <w:r>
              <w:rPr>
                <w:rFonts w:ascii="Arial" w:cs="Arial" w:eastAsia="Arial" w:hAnsi="Arial"/>
                <w:sz w:val="18"/>
                <w:szCs w:val="18"/>
                <w:color w:val="auto"/>
              </w:rPr>
              <w:t>ABL DEED OF CHARGE AND ASSIGNMENT</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5.</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COVENANT TO PAY</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w:t>
            </w:r>
          </w:p>
        </w:tc>
        <w:tc>
          <w:tcPr>
            <w:tcW w:w="8820" w:type="dxa"/>
            <w:vAlign w:val="bottom"/>
          </w:tcPr>
          <w:p>
            <w:pPr>
              <w:ind w:left="20"/>
              <w:spacing w:after="0"/>
              <w:rPr>
                <w:sz w:val="20"/>
                <w:szCs w:val="20"/>
                <w:color w:val="auto"/>
              </w:rPr>
            </w:pPr>
            <w:r>
              <w:rPr>
                <w:rFonts w:ascii="Arial" w:cs="Arial" w:eastAsia="Arial" w:hAnsi="Arial"/>
                <w:sz w:val="18"/>
                <w:szCs w:val="18"/>
                <w:color w:val="auto"/>
              </w:rPr>
              <w:t>SECURITY</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7.</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REDEMPTION OF SECURITY</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w:t>
            </w:r>
          </w:p>
        </w:tc>
        <w:tc>
          <w:tcPr>
            <w:tcW w:w="882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9.</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COVENANTS RELATING TO ASSETS – PERFECTION, RESTRICTIONS ON DEALINGS, PROTECTION</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8820" w:type="dxa"/>
            <w:vAlign w:val="bottom"/>
          </w:tcPr>
          <w:p>
            <w:pPr>
              <w:ind w:left="20"/>
              <w:spacing w:after="0"/>
              <w:rPr>
                <w:sz w:val="20"/>
                <w:szCs w:val="20"/>
                <w:color w:val="auto"/>
              </w:rPr>
            </w:pPr>
            <w:r>
              <w:rPr>
                <w:rFonts w:ascii="Arial" w:cs="Arial" w:eastAsia="Arial" w:hAnsi="Arial"/>
                <w:sz w:val="18"/>
                <w:szCs w:val="18"/>
                <w:color w:val="auto"/>
              </w:rPr>
              <w:t>GENERAL COVENANTS</w:t>
            </w:r>
          </w:p>
        </w:tc>
        <w:tc>
          <w:tcPr>
            <w:tcW w:w="1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11.</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CRYSTALLISATION OF FLOATING CHARGE</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8820" w:type="dxa"/>
            <w:vAlign w:val="bottom"/>
          </w:tcPr>
          <w:p>
            <w:pPr>
              <w:ind w:left="20"/>
              <w:spacing w:after="0"/>
              <w:rPr>
                <w:sz w:val="20"/>
                <w:szCs w:val="20"/>
                <w:color w:val="auto"/>
              </w:rPr>
            </w:pPr>
            <w:r>
              <w:rPr>
                <w:rFonts w:ascii="Arial" w:cs="Arial" w:eastAsia="Arial" w:hAnsi="Arial"/>
                <w:sz w:val="18"/>
                <w:szCs w:val="18"/>
                <w:color w:val="auto"/>
              </w:rPr>
              <w:t>ENFORCEMENT</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13.</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CONTINUING SECURITY, OTHER SECURITY ETC.</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14.</w:t>
            </w:r>
          </w:p>
        </w:tc>
        <w:tc>
          <w:tcPr>
            <w:tcW w:w="8820" w:type="dxa"/>
            <w:vAlign w:val="bottom"/>
          </w:tcPr>
          <w:p>
            <w:pPr>
              <w:ind w:left="20"/>
              <w:spacing w:after="0"/>
              <w:rPr>
                <w:sz w:val="20"/>
                <w:szCs w:val="20"/>
                <w:color w:val="auto"/>
              </w:rPr>
            </w:pPr>
            <w:r>
              <w:rPr>
                <w:rFonts w:ascii="Arial" w:cs="Arial" w:eastAsia="Arial" w:hAnsi="Arial"/>
                <w:sz w:val="18"/>
                <w:szCs w:val="18"/>
                <w:color w:val="auto"/>
              </w:rPr>
              <w:t>FURTHER ASSURANCES, POWER OF ATTORNEY, ETC.</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15.</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THE COLLATERAL AGENT'S RIGHTS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16.</w:t>
            </w:r>
          </w:p>
        </w:tc>
        <w:tc>
          <w:tcPr>
            <w:tcW w:w="8820" w:type="dxa"/>
            <w:vAlign w:val="bottom"/>
          </w:tcPr>
          <w:p>
            <w:pPr>
              <w:ind w:left="20"/>
              <w:spacing w:after="0"/>
              <w:rPr>
                <w:sz w:val="20"/>
                <w:szCs w:val="20"/>
                <w:color w:val="auto"/>
              </w:rPr>
            </w:pPr>
            <w:r>
              <w:rPr>
                <w:rFonts w:ascii="Arial" w:cs="Arial" w:eastAsia="Arial" w:hAnsi="Arial"/>
                <w:sz w:val="18"/>
                <w:szCs w:val="18"/>
                <w:color w:val="auto"/>
              </w:rPr>
              <w:t>APPOINTMENT OF ADMINISTRATOR</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17.</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RECEIVER</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18.</w:t>
            </w:r>
          </w:p>
        </w:tc>
        <w:tc>
          <w:tcPr>
            <w:tcW w:w="8820" w:type="dxa"/>
            <w:vAlign w:val="bottom"/>
          </w:tcPr>
          <w:p>
            <w:pPr>
              <w:ind w:left="20"/>
              <w:spacing w:after="0"/>
              <w:rPr>
                <w:sz w:val="20"/>
                <w:szCs w:val="20"/>
                <w:color w:val="auto"/>
              </w:rPr>
            </w:pPr>
            <w:r>
              <w:rPr>
                <w:rFonts w:ascii="Arial" w:cs="Arial" w:eastAsia="Arial" w:hAnsi="Arial"/>
                <w:sz w:val="18"/>
                <w:szCs w:val="18"/>
                <w:color w:val="auto"/>
              </w:rPr>
              <w:t>APPLICATION OF MONEYS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19.</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PROTECTION OF THIRD PARTIES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20.</w:t>
            </w:r>
          </w:p>
        </w:tc>
        <w:tc>
          <w:tcPr>
            <w:tcW w:w="8820" w:type="dxa"/>
            <w:vAlign w:val="bottom"/>
          </w:tcPr>
          <w:p>
            <w:pPr>
              <w:ind w:left="20"/>
              <w:spacing w:after="0"/>
              <w:rPr>
                <w:sz w:val="20"/>
                <w:szCs w:val="20"/>
                <w:color w:val="auto"/>
              </w:rPr>
            </w:pPr>
            <w:r>
              <w:rPr>
                <w:rFonts w:ascii="Arial" w:cs="Arial" w:eastAsia="Arial" w:hAnsi="Arial"/>
                <w:sz w:val="18"/>
                <w:szCs w:val="18"/>
                <w:color w:val="auto"/>
              </w:rPr>
              <w:t>PROTECTION OF COLLATERAL AGENT AND RECEIVER</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21.</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COSTS, EXPENSES AND INDEMNITY</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22.</w:t>
            </w:r>
          </w:p>
        </w:tc>
        <w:tc>
          <w:tcPr>
            <w:tcW w:w="8820" w:type="dxa"/>
            <w:vAlign w:val="bottom"/>
          </w:tcPr>
          <w:p>
            <w:pPr>
              <w:ind w:left="20"/>
              <w:spacing w:after="0"/>
              <w:rPr>
                <w:sz w:val="20"/>
                <w:szCs w:val="20"/>
                <w:color w:val="auto"/>
              </w:rPr>
            </w:pPr>
            <w:r>
              <w:rPr>
                <w:rFonts w:ascii="Arial" w:cs="Arial" w:eastAsia="Arial" w:hAnsi="Arial"/>
                <w:sz w:val="18"/>
                <w:szCs w:val="18"/>
                <w:color w:val="auto"/>
              </w:rPr>
              <w:t>CONSENTS, VARIATIONS, WAIVERS AND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23.</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PARTIAL INVALIDITY</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24.</w:t>
            </w:r>
          </w:p>
        </w:tc>
        <w:tc>
          <w:tcPr>
            <w:tcW w:w="882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25.</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THIRD PARTIES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26.</w:t>
            </w:r>
          </w:p>
        </w:tc>
        <w:tc>
          <w:tcPr>
            <w:tcW w:w="8820" w:type="dxa"/>
            <w:vAlign w:val="bottom"/>
          </w:tcPr>
          <w:p>
            <w:pPr>
              <w:ind w:left="20"/>
              <w:spacing w:after="0"/>
              <w:rPr>
                <w:sz w:val="20"/>
                <w:szCs w:val="20"/>
                <w:color w:val="auto"/>
              </w:rPr>
            </w:pPr>
            <w:r>
              <w:rPr>
                <w:rFonts w:ascii="Arial" w:cs="Arial" w:eastAsia="Arial" w:hAnsi="Arial"/>
                <w:sz w:val="18"/>
                <w:szCs w:val="18"/>
                <w:color w:val="auto"/>
              </w:rPr>
              <w:t>DETERMINATIONS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27.</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ASSIGNMENT</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8820" w:type="dxa"/>
            <w:vAlign w:val="bottom"/>
          </w:tcPr>
          <w:p>
            <w:pPr>
              <w:ind w:left="2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60" w:type="dxa"/>
            <w:vAlign w:val="bottom"/>
            <w:shd w:val="clear" w:color="auto" w:fill="C6F4F9"/>
          </w:tcPr>
          <w:p>
            <w:pPr>
              <w:spacing w:after="0"/>
              <w:rPr>
                <w:sz w:val="20"/>
                <w:szCs w:val="20"/>
                <w:color w:val="auto"/>
              </w:rPr>
            </w:pPr>
            <w:r>
              <w:rPr>
                <w:rFonts w:ascii="Arial" w:cs="Arial" w:eastAsia="Arial" w:hAnsi="Arial"/>
                <w:sz w:val="18"/>
                <w:szCs w:val="18"/>
                <w:color w:val="auto"/>
              </w:rPr>
              <w:t>29.</w:t>
            </w:r>
          </w:p>
        </w:tc>
        <w:tc>
          <w:tcPr>
            <w:tcW w:w="8820" w:type="dxa"/>
            <w:vAlign w:val="bottom"/>
            <w:shd w:val="clear" w:color="auto" w:fill="C6F4F9"/>
          </w:tcPr>
          <w:p>
            <w:pPr>
              <w:ind w:left="20"/>
              <w:spacing w:after="0"/>
              <w:rPr>
                <w:sz w:val="20"/>
                <w:szCs w:val="20"/>
                <w:color w:val="auto"/>
              </w:rPr>
            </w:pPr>
            <w:r>
              <w:rPr>
                <w:rFonts w:ascii="Arial" w:cs="Arial" w:eastAsia="Arial" w:hAnsi="Arial"/>
                <w:sz w:val="18"/>
                <w:szCs w:val="18"/>
                <w:color w:val="auto"/>
              </w:rPr>
              <w:t>GOVERNING LAW AND JURISDICTION</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SCHEDULE 1 BANK ACCOUNTS</w:t>
            </w: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3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PART 1 – GENERAL BANK ACCOUNTS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PART 2 – COLLECTION BANK ACCOUNT</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3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2 ASSIGNED AGREEMENTS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SCHEDULE 3 INSURANCE POLICIES</w:t>
            </w:r>
          </w:p>
        </w:tc>
        <w:tc>
          <w:tcPr>
            <w:tcW w:w="1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3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4 FORM OF NOTICE OF CHARGE OF BANK ACCOUNTS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PART 1 – FORM OF NOTICE OF CHARGE FOR GENERAL BANK ACCOUNTS</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3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PART 2 – FORM OF NOTICE OF CHARGE FOR COLLECTION BANK ACCOUNTS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SCHEDULE 5 FORM OF NOTICE OF CHARGE OF ASSIGNED AGREEMENTS</w:t>
            </w:r>
          </w:p>
        </w:tc>
        <w:tc>
          <w:tcPr>
            <w:tcW w:w="1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3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6 FORM OF NOTICE OF CHARGE OF INSURANCE POLICIES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52</w:t>
            </w:r>
          </w:p>
        </w:tc>
      </w:tr>
      <w:tr>
        <w:trPr>
          <w:trHeight w:val="493"/>
        </w:trPr>
        <w:tc>
          <w:tcPr>
            <w:tcW w:w="56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27" w:name="page528"/>
    <w:bookmarkEnd w:id="527"/>
    <w:p>
      <w:pPr>
        <w:spacing w:after="0"/>
        <w:rPr>
          <w:sz w:val="20"/>
          <w:szCs w:val="20"/>
          <w:color w:val="auto"/>
        </w:rPr>
      </w:pPr>
      <w:r>
        <w:rPr>
          <w:rFonts w:ascii="Arial" w:cs="Arial" w:eastAsia="Arial" w:hAnsi="Arial"/>
          <w:sz w:val="22"/>
          <w:szCs w:val="22"/>
          <w:b w:val="1"/>
          <w:bCs w:val="1"/>
          <w:color w:val="auto"/>
        </w:rPr>
        <w:t xml:space="preserve">THIS DEED OF CHARGE AND ASSIGNMENT </w:t>
      </w:r>
      <w:r>
        <w:rPr>
          <w:rFonts w:ascii="Arial" w:cs="Arial" w:eastAsia="Arial" w:hAnsi="Arial"/>
          <w:sz w:val="22"/>
          <w:szCs w:val="22"/>
          <w:color w:val="auto"/>
        </w:rPr>
        <w:t>is made on ______________,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9" w:lineRule="exact"/>
        <w:rPr>
          <w:sz w:val="20"/>
          <w:szCs w:val="20"/>
          <w:color w:val="auto"/>
        </w:rPr>
      </w:pPr>
    </w:p>
    <w:p>
      <w:pPr>
        <w:ind w:left="660" w:hanging="652"/>
        <w:spacing w:after="0" w:line="282" w:lineRule="auto"/>
        <w:tabs>
          <w:tab w:leader="none" w:pos="660" w:val="left"/>
        </w:tabs>
        <w:numPr>
          <w:ilvl w:val="0"/>
          <w:numId w:val="549"/>
        </w:numPr>
        <w:rPr>
          <w:rFonts w:ascii="Arial" w:cs="Arial" w:eastAsia="Arial" w:hAnsi="Arial"/>
          <w:sz w:val="18"/>
          <w:szCs w:val="18"/>
          <w:color w:val="auto"/>
        </w:rPr>
      </w:pPr>
      <w:r>
        <w:rPr>
          <w:rFonts w:ascii="Arial" w:cs="Arial" w:eastAsia="Arial" w:hAnsi="Arial"/>
          <w:sz w:val="18"/>
          <w:szCs w:val="18"/>
          <w:b w:val="1"/>
          <w:bCs w:val="1"/>
          <w:color w:val="auto"/>
        </w:rPr>
        <w:t>WEATHERFORD U.K. LIMITED</w:t>
      </w:r>
      <w:r>
        <w:rPr>
          <w:rFonts w:ascii="Arial" w:cs="Arial" w:eastAsia="Arial" w:hAnsi="Arial"/>
          <w:sz w:val="18"/>
          <w:szCs w:val="18"/>
          <w:color w:val="auto"/>
        </w:rPr>
        <w:t>, a limited company incorporated in England and Wales under registered number 00862925,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Gotham Road, East Leake, Loughborough, Leicestershire LE12 6JX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549"/>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color w:val="auto"/>
        </w:rPr>
        <w:t>(the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left="660" w:hanging="652"/>
        <w:spacing w:after="0"/>
        <w:tabs>
          <w:tab w:leader="none" w:pos="66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Under the Loan Agreement (as defined below) the Lenders have granted to the Borrowers a letter of credit line facility (the "</w:t>
      </w:r>
      <w:r>
        <w:rPr>
          <w:rFonts w:ascii="Arial" w:cs="Arial" w:eastAsia="Arial" w:hAnsi="Arial"/>
          <w:sz w:val="17"/>
          <w:szCs w:val="17"/>
          <w:b w:val="1"/>
          <w:bCs w:val="1"/>
          <w:i w:val="1"/>
          <w:iCs w:val="1"/>
          <w:color w:val="auto"/>
        </w:rPr>
        <w:t>Facility</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Company, have guaranteed the obligations of the Borrowers under the Loan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It is a requirement under the Loan Agreement that obligations of the Company under the Guarantee are secured by this Deed.</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Company has agreed to mortgage, assign and charge by way of security all of its right, title, interest and benefit in, to and under its assets, rights, revenues and undertaking (except any Excluded Assets) in favour of the Collateral Agent as security for the Secured Obligations, subject to and in accordance with the terms and conditions of this Deed (each as defined below).</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Company's board of directors has concluded after due consideration of all relevant circumstances that entering into this Deed is in the best interests of and for the benefit of the Company for the purposes of its business.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AND THIS DEED PROVIDES </w:t>
      </w:r>
      <w:r>
        <w:rPr>
          <w:rFonts w:ascii="Arial" w:cs="Arial" w:eastAsia="Arial" w:hAnsi="Arial"/>
          <w:sz w:val="22"/>
          <w:szCs w:val="22"/>
          <w:color w:val="auto"/>
        </w:rPr>
        <w:t>as follows:</w:t>
      </w:r>
    </w:p>
    <w:p>
      <w:pPr>
        <w:spacing w:after="0" w:line="229" w:lineRule="exact"/>
        <w:rPr>
          <w:sz w:val="20"/>
          <w:szCs w:val="20"/>
          <w:color w:val="auto"/>
        </w:rPr>
      </w:pPr>
    </w:p>
    <w:p>
      <w:pPr>
        <w:ind w:left="660" w:hanging="652"/>
        <w:spacing w:after="0"/>
        <w:tabs>
          <w:tab w:leader="none" w:pos="660" w:val="left"/>
        </w:tabs>
        <w:numPr>
          <w:ilvl w:val="0"/>
          <w:numId w:val="551"/>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Capitalised words and phrases used but not defined in this Deed shall have the meanings set out in the Loan Agreement and the following words and expressions have the meanings set out below:</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Deed of Charge</w:t>
            </w:r>
          </w:p>
        </w:tc>
        <w:tc>
          <w:tcPr>
            <w:tcW w:w="4420" w:type="dxa"/>
            <w:vAlign w:val="bottom"/>
          </w:tcPr>
          <w:p>
            <w:pPr>
              <w:ind w:left="720"/>
              <w:spacing w:after="0"/>
              <w:rPr>
                <w:sz w:val="20"/>
                <w:szCs w:val="20"/>
                <w:color w:val="auto"/>
              </w:rPr>
            </w:pPr>
            <w:r>
              <w:rPr>
                <w:rFonts w:ascii="Arial" w:cs="Arial" w:eastAsia="Arial" w:hAnsi="Arial"/>
                <w:sz w:val="18"/>
                <w:szCs w:val="18"/>
                <w:color w:val="auto"/>
                <w:w w:val="91"/>
              </w:rPr>
              <w:t>means a deed of charge and assignment dated on</w:t>
            </w:r>
          </w:p>
        </w:tc>
        <w:tc>
          <w:tcPr>
            <w:tcW w:w="3640" w:type="dxa"/>
            <w:vAlign w:val="bottom"/>
          </w:tcPr>
          <w:p>
            <w:pPr>
              <w:spacing w:after="0"/>
              <w:rPr>
                <w:sz w:val="18"/>
                <w:szCs w:val="18"/>
                <w:color w:val="auto"/>
              </w:rPr>
            </w:pPr>
          </w:p>
        </w:tc>
      </w:tr>
      <w:tr>
        <w:trPr>
          <w:trHeight w:val="220"/>
        </w:trPr>
        <w:tc>
          <w:tcPr>
            <w:tcW w:w="2520" w:type="dxa"/>
            <w:vAlign w:val="bottom"/>
          </w:tcPr>
          <w:p>
            <w:pPr>
              <w:spacing w:after="0"/>
              <w:rPr>
                <w:sz w:val="20"/>
                <w:szCs w:val="20"/>
                <w:color w:val="auto"/>
              </w:rPr>
            </w:pPr>
            <w:r>
              <w:rPr>
                <w:rFonts w:ascii="Arial" w:cs="Arial" w:eastAsia="Arial" w:hAnsi="Arial"/>
                <w:sz w:val="18"/>
                <w:szCs w:val="18"/>
                <w:b w:val="1"/>
                <w:bCs w:val="1"/>
                <w:color w:val="auto"/>
              </w:rPr>
              <w:t>and Assignment</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4"/>
              </w:rPr>
              <w:t>or about the date hereof between, amongst others, the Company and Wells Fargo Bank, National</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0"/>
              </w:rPr>
              <w:t>Association as collateral agent, granted pursuant to an asset based loan credit agreement dated on or</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0"/>
              </w:rPr>
              <w:t>about the date of this Deed between, amongst others, Weatherford International Ltd. and Weatherford</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rPr>
              <w:t>International, LLC as borrowers, the lenders party thereto, and Wells Fargo Bank, National</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Association as collateral agent;</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means any person or persons for the time being acting as administrator of the Company pursuant to</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the provisions of the Insolvency Act;</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88"/>
              </w:rPr>
              <w:t>means property, assets, rights, revenues, income, uncalled capital, licences, business and undertakings</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1"/>
              </w:rPr>
              <w:t>and any interest therein, in each case whatsoever and wheresoever situated, present and future (but</w:t>
            </w:r>
          </w:p>
        </w:tc>
      </w:tr>
      <w:tr>
        <w:trPr>
          <w:trHeight w:val="230"/>
        </w:trPr>
        <w:tc>
          <w:tcPr>
            <w:tcW w:w="2520" w:type="dxa"/>
            <w:vAlign w:val="bottom"/>
          </w:tcPr>
          <w:p>
            <w:pPr>
              <w:spacing w:after="0"/>
              <w:rPr>
                <w:sz w:val="20"/>
                <w:szCs w:val="20"/>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rPr>
              <w:t>shall exclude, for the avoidance of doubt, the Excluded Assets);</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Assets</w:t>
            </w:r>
            <w:r>
              <w:rPr>
                <w:rFonts w:ascii="Arial" w:cs="Arial" w:eastAsia="Arial" w:hAnsi="Arial"/>
                <w:sz w:val="18"/>
                <w:szCs w:val="18"/>
                <w:color w:val="auto"/>
              </w:rPr>
              <w:t>"</w:t>
            </w:r>
          </w:p>
        </w:tc>
        <w:tc>
          <w:tcPr>
            <w:tcW w:w="4420" w:type="dxa"/>
            <w:vAlign w:val="bottom"/>
          </w:tcPr>
          <w:p>
            <w:pPr>
              <w:ind w:left="720"/>
              <w:spacing w:after="0"/>
              <w:rPr>
                <w:sz w:val="20"/>
                <w:szCs w:val="20"/>
                <w:color w:val="auto"/>
              </w:rPr>
            </w:pPr>
            <w:r>
              <w:rPr>
                <w:rFonts w:ascii="Arial" w:cs="Arial" w:eastAsia="Arial" w:hAnsi="Arial"/>
                <w:sz w:val="18"/>
                <w:szCs w:val="18"/>
                <w:color w:val="auto"/>
              </w:rPr>
              <w:t>has the meaning set out in Clause 0 (</w:t>
            </w:r>
            <w:r>
              <w:rPr>
                <w:rFonts w:ascii="Arial" w:cs="Arial" w:eastAsia="Arial" w:hAnsi="Arial"/>
                <w:sz w:val="18"/>
                <w:szCs w:val="18"/>
                <w:i w:val="1"/>
                <w:iCs w:val="1"/>
                <w:color w:val="auto"/>
              </w:rPr>
              <w:t>6.4</w:t>
            </w: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Agreements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5"/>
              </w:rPr>
              <w:t>means each agreement specified in Schedule 2 (</w:t>
            </w:r>
            <w:r>
              <w:rPr>
                <w:rFonts w:ascii="Arial" w:cs="Arial" w:eastAsia="Arial" w:hAnsi="Arial"/>
                <w:sz w:val="18"/>
                <w:szCs w:val="18"/>
                <w:i w:val="1"/>
                <w:iCs w:val="1"/>
                <w:color w:val="auto"/>
                <w:w w:val="95"/>
              </w:rPr>
              <w:t>Assigned Agreements</w:t>
            </w:r>
            <w:r>
              <w:rPr>
                <w:rFonts w:ascii="Arial" w:cs="Arial" w:eastAsia="Arial" w:hAnsi="Arial"/>
                <w:sz w:val="18"/>
                <w:szCs w:val="18"/>
                <w:color w:val="auto"/>
                <w:w w:val="95"/>
              </w:rPr>
              <w:t>) together with each other</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0"/>
              </w:rPr>
              <w:t>agreement supplementing or amending or novating or replacing the same designated as an Assigned</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Agreement;</w:t>
            </w:r>
          </w:p>
        </w:tc>
        <w:tc>
          <w:tcPr>
            <w:tcW w:w="3640" w:type="dxa"/>
            <w:vAlign w:val="bottom"/>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Accounts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rPr>
              <w:t>means the General Bank Accounts and the Collection Bank Accounts;</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Debts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1"/>
              </w:rPr>
              <w:t>means all book and other debts (including rents) and other moneys, liabilities and monetary claims of</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3"/>
              </w:rPr>
              <w:t>any nature whatsoever now or hereafter due, owing or payable to the Company (including moneys,</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5"/>
              </w:rPr>
              <w:t>liabilities and claims deriving from or in relation to any Investments, any contract or agreement to</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which the Company is party, or any other Assets or rights of the Company, and including the benefit</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6"/>
              </w:rPr>
              <w:t>of any judgment or order to pay money and any amounts due or owing from any government or</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3"/>
              </w:rPr>
              <w:t>governmental agency including in respect of Taxes) and all other rights of the Company to receive</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3"/>
              </w:rPr>
              <w:t>money (but excluding all moneys now or hereafter standing to the credit of any account held by the</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Company with any bank) and any proceeds thereof; and the benefit of (including the proceeds of all</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0"/>
              </w:rPr>
              <w:t>claims under) all rights, Security Interests, securities, guarantees, indemnities, negotiable instruments,</w:t>
            </w:r>
          </w:p>
        </w:tc>
      </w:tr>
      <w:tr>
        <w:trPr>
          <w:trHeight w:val="212"/>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6"/>
              </w:rPr>
              <w:t>letters of credit and Insurances of any nature whatsoever now or hereafter owned or held by the</w:t>
            </w:r>
          </w:p>
        </w:tc>
      </w:tr>
      <w:tr>
        <w:trPr>
          <w:trHeight w:val="220"/>
        </w:trPr>
        <w:tc>
          <w:tcPr>
            <w:tcW w:w="2520" w:type="dxa"/>
            <w:vAlign w:val="bottom"/>
          </w:tcPr>
          <w:p>
            <w:pPr>
              <w:spacing w:after="0"/>
              <w:rPr>
                <w:sz w:val="19"/>
                <w:szCs w:val="19"/>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4"/>
              </w:rPr>
              <w:t>Company in relation to any of the foregoing (but "</w:t>
            </w:r>
            <w:r>
              <w:rPr>
                <w:rFonts w:ascii="Arial" w:cs="Arial" w:eastAsia="Arial" w:hAnsi="Arial"/>
                <w:sz w:val="18"/>
                <w:szCs w:val="18"/>
                <w:b w:val="1"/>
                <w:bCs w:val="1"/>
                <w:color w:val="auto"/>
                <w:w w:val="94"/>
              </w:rPr>
              <w:t>Book Debts</w:t>
            </w:r>
            <w:r>
              <w:rPr>
                <w:rFonts w:ascii="Arial" w:cs="Arial" w:eastAsia="Arial" w:hAnsi="Arial"/>
                <w:sz w:val="18"/>
                <w:szCs w:val="18"/>
                <w:color w:val="auto"/>
                <w:w w:val="94"/>
              </w:rPr>
              <w:t>" shall exclude, for the avoidance of</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doubt, the Excluded Assets);</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means any day (other than a Saturday or Sunday) on which banks are open for business in London</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and New York City;</w:t>
            </w:r>
          </w:p>
        </w:tc>
        <w:tc>
          <w:tcPr>
            <w:tcW w:w="3640" w:type="dxa"/>
            <w:vAlign w:val="bottom"/>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6"/>
              </w:rPr>
              <w:t>means cash within the meaning of Financial Collateral Arrangements (No. 2) Regulations 2003;</w:t>
            </w:r>
          </w:p>
        </w:tc>
      </w:tr>
    </w:tbl>
    <w:p>
      <w:pPr>
        <w:sectPr>
          <w:pgSz w:w="11900" w:h="16838" w:orient="portrait"/>
          <w:cols w:equalWidth="0" w:num="1">
            <w:col w:w="11240"/>
          </w:cols>
          <w:pgMar w:left="320" w:top="125" w:right="339" w:bottom="0" w:gutter="0" w:footer="0" w:header="0"/>
        </w:sectPr>
      </w:pPr>
    </w:p>
    <w:bookmarkStart w:id="528" w:name="page529"/>
    <w:bookmarkEnd w:id="528"/>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Centre of Main Interests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Assets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Collection Account Banks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Collection Account Notice</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Collection Bank Accounts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Claims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collateral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instrument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Assets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left="4"/>
        <w:spacing w:after="0" w:line="277" w:lineRule="auto"/>
        <w:rPr>
          <w:sz w:val="20"/>
          <w:szCs w:val="20"/>
          <w:color w:val="auto"/>
        </w:rPr>
      </w:pPr>
      <w:r>
        <w:rPr>
          <w:rFonts w:ascii="Arial" w:cs="Arial" w:eastAsia="Arial" w:hAnsi="Arial"/>
          <w:sz w:val="18"/>
          <w:szCs w:val="18"/>
          <w:color w:val="auto"/>
        </w:rPr>
        <w:t>means, in relation to a person, its centre of main interests within the meaning of the EC Regulation on Insolvency Proceedings 2000;</w:t>
      </w:r>
    </w:p>
    <w:p>
      <w:pPr>
        <w:spacing w:after="0" w:line="170"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means all Assets from time to time subject or expressed or intended to be subject to the Charges (whether fixed or floating) under or pursuant to this Deed, and "</w:t>
      </w:r>
      <w:r>
        <w:rPr>
          <w:rFonts w:ascii="Arial" w:cs="Arial" w:eastAsia="Arial" w:hAnsi="Arial"/>
          <w:sz w:val="18"/>
          <w:szCs w:val="18"/>
          <w:b w:val="1"/>
          <w:bCs w:val="1"/>
          <w:color w:val="auto"/>
        </w:rPr>
        <w:t>Charged Assets</w:t>
      </w:r>
      <w:r>
        <w:rPr>
          <w:rFonts w:ascii="Arial" w:cs="Arial" w:eastAsia="Arial" w:hAnsi="Arial"/>
          <w:sz w:val="18"/>
          <w:szCs w:val="18"/>
          <w:color w:val="auto"/>
        </w:rPr>
        <w:t>" includes any part of any of them and any right, title, interest or benefit therein or in respect thereof (but shall exclude, for the avoidance of doubt, the Excluded Assets);</w:t>
      </w:r>
    </w:p>
    <w:p>
      <w:pPr>
        <w:spacing w:after="0" w:line="187"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means any or all of the Security Interests created or expressed to be created, or which may now or hereafter be created or expressed to be created, by or pursuant to this Deed, including any further Security Interests created pursuant to Clause 0 (14.</w:t>
      </w:r>
      <w:r>
        <w:rPr>
          <w:rFonts w:ascii="Arial" w:cs="Arial" w:eastAsia="Arial" w:hAnsi="Arial"/>
          <w:sz w:val="18"/>
          <w:szCs w:val="18"/>
          <w:i w:val="1"/>
          <w:iCs w:val="1"/>
          <w:color w:val="auto"/>
        </w:rPr>
        <w:t>Further Assurances, Power of Attorney,</w:t>
      </w:r>
      <w:r>
        <w:rPr>
          <w:rFonts w:ascii="Arial" w:cs="Arial" w:eastAsia="Arial" w:hAnsi="Arial"/>
          <w:sz w:val="18"/>
          <w:szCs w:val="18"/>
          <w:color w:val="auto"/>
        </w:rPr>
        <w:t xml:space="preserve"> </w:t>
      </w:r>
      <w:r>
        <w:rPr>
          <w:rFonts w:ascii="Arial" w:cs="Arial" w:eastAsia="Arial" w:hAnsi="Arial"/>
          <w:sz w:val="18"/>
          <w:szCs w:val="18"/>
          <w:b w:val="1"/>
          <w:bCs w:val="1"/>
          <w:color w:val="auto"/>
        </w:rPr>
        <w:t>ETC.</w:t>
      </w:r>
      <w:r>
        <w:rPr>
          <w:rFonts w:ascii="Arial" w:cs="Arial" w:eastAsia="Arial" w:hAnsi="Arial"/>
          <w:sz w:val="18"/>
          <w:szCs w:val="18"/>
          <w:color w:val="auto"/>
        </w:rPr>
        <w:t>) or Clause 0 (</w:t>
      </w:r>
      <w:r>
        <w:rPr>
          <w:rFonts w:ascii="Arial" w:cs="Arial" w:eastAsia="Arial" w:hAnsi="Arial"/>
          <w:sz w:val="18"/>
          <w:szCs w:val="18"/>
          <w:i w:val="1"/>
          <w:iCs w:val="1"/>
          <w:color w:val="auto"/>
        </w:rPr>
        <w:t>6.9Excluded</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8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means the account banks listed in Part 2 of Schedule 1 (</w:t>
      </w:r>
      <w:r>
        <w:rPr>
          <w:rFonts w:ascii="Arial" w:cs="Arial" w:eastAsia="Arial" w:hAnsi="Arial"/>
          <w:sz w:val="18"/>
          <w:szCs w:val="18"/>
          <w:i w:val="1"/>
          <w:iCs w:val="1"/>
          <w:color w:val="auto"/>
        </w:rPr>
        <w:t>Collection Bank Account</w:t>
      </w:r>
      <w:r>
        <w:rPr>
          <w:rFonts w:ascii="Arial" w:cs="Arial" w:eastAsia="Arial" w:hAnsi="Arial"/>
          <w:sz w:val="18"/>
          <w:szCs w:val="18"/>
          <w:color w:val="auto"/>
        </w:rPr>
        <w:t>) under the column "</w:t>
      </w:r>
      <w:r>
        <w:rPr>
          <w:rFonts w:ascii="Arial" w:cs="Arial" w:eastAsia="Arial" w:hAnsi="Arial"/>
          <w:sz w:val="18"/>
          <w:szCs w:val="18"/>
          <w:i w:val="1"/>
          <w:iCs w:val="1"/>
          <w:color w:val="auto"/>
        </w:rPr>
        <w:t>Account Bank</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a notice in the form set out in Part 2 of Schedule 4 (</w:t>
      </w:r>
      <w:r>
        <w:rPr>
          <w:rFonts w:ascii="Arial" w:cs="Arial" w:eastAsia="Arial" w:hAnsi="Arial"/>
          <w:sz w:val="18"/>
          <w:szCs w:val="18"/>
          <w:i w:val="1"/>
          <w:iCs w:val="1"/>
          <w:color w:val="auto"/>
        </w:rPr>
        <w:t>Form of Notice of Charge for Collection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Bank Accounts </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means the accounts listed in Part 2 of Schedule 1 (</w:t>
      </w:r>
      <w:r>
        <w:rPr>
          <w:rFonts w:ascii="Arial" w:cs="Arial" w:eastAsia="Arial" w:hAnsi="Arial"/>
          <w:sz w:val="18"/>
          <w:szCs w:val="18"/>
          <w:i w:val="1"/>
          <w:iCs w:val="1"/>
          <w:color w:val="auto"/>
        </w:rPr>
        <w:t>Collection Bank Account</w:t>
      </w:r>
      <w:r>
        <w:rPr>
          <w:rFonts w:ascii="Arial" w:cs="Arial" w:eastAsia="Arial" w:hAnsi="Arial"/>
          <w:sz w:val="18"/>
          <w:szCs w:val="18"/>
          <w:color w:val="auto"/>
        </w:rPr>
        <w:t>) held by the Company with the bank or banks specified in Part 2 of Schedule 1 (</w:t>
      </w:r>
      <w:r>
        <w:rPr>
          <w:rFonts w:ascii="Arial" w:cs="Arial" w:eastAsia="Arial" w:hAnsi="Arial"/>
          <w:sz w:val="18"/>
          <w:szCs w:val="18"/>
          <w:i w:val="1"/>
          <w:iCs w:val="1"/>
          <w:color w:val="auto"/>
        </w:rPr>
        <w:t>Collection Bank Account</w:t>
      </w:r>
      <w:r>
        <w:rPr>
          <w:rFonts w:ascii="Arial" w:cs="Arial" w:eastAsia="Arial" w:hAnsi="Arial"/>
          <w:sz w:val="18"/>
          <w:szCs w:val="18"/>
          <w:color w:val="auto"/>
        </w:rPr>
        <w:t>) and any other bank account maintained by the Company with any financial institution as the Collateral Agent may from time to time designate in writing as a Collection Bank Account, including in each case any redesignation or renewal thereof and all balances now or hereafter standing to the credit of any such account including all interest from time to time thereon, the debt represented thereby and all rights in relation thereto (but "</w:t>
      </w:r>
      <w:r>
        <w:rPr>
          <w:rFonts w:ascii="Arial" w:cs="Arial" w:eastAsia="Arial" w:hAnsi="Arial"/>
          <w:sz w:val="18"/>
          <w:szCs w:val="18"/>
          <w:b w:val="1"/>
          <w:bCs w:val="1"/>
          <w:color w:val="auto"/>
        </w:rPr>
        <w:t>Collection Bank Accounts</w:t>
      </w:r>
      <w:r>
        <w:rPr>
          <w:rFonts w:ascii="Arial" w:cs="Arial" w:eastAsia="Arial" w:hAnsi="Arial"/>
          <w:sz w:val="18"/>
          <w:szCs w:val="18"/>
          <w:color w:val="auto"/>
        </w:rPr>
        <w:t>" shall exclude, for the avoidance of doubt, the Excluded Assets);</w:t>
      </w:r>
    </w:p>
    <w:p>
      <w:pPr>
        <w:spacing w:after="0" w:line="192"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credit claims within the meaning of the Financial Collateral Arrangements (No 2) Regulations 2003;</w:t>
      </w:r>
    </w:p>
    <w:p>
      <w:pPr>
        <w:spacing w:after="0" w:line="170"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means a delegate or subdelegate appointed pursuant to Clause 0 (</w:t>
      </w:r>
      <w:r>
        <w:rPr>
          <w:rFonts w:ascii="Arial" w:cs="Arial" w:eastAsia="Arial" w:hAnsi="Arial"/>
          <w:sz w:val="18"/>
          <w:szCs w:val="18"/>
          <w:i w:val="1"/>
          <w:iCs w:val="1"/>
          <w:color w:val="auto"/>
        </w:rPr>
        <w:t>15.The Collateral Agent's</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any disputes which may arise out of or in connection with this Deed (including regarding its existence, validity or termination);</w:t>
      </w:r>
    </w:p>
    <w:p>
      <w:pPr>
        <w:spacing w:after="0" w:line="166" w:lineRule="exact"/>
        <w:rPr>
          <w:sz w:val="20"/>
          <w:szCs w:val="20"/>
          <w:color w:val="auto"/>
        </w:rPr>
      </w:pPr>
    </w:p>
    <w:p>
      <w:pPr>
        <w:ind w:left="4"/>
        <w:spacing w:after="0"/>
        <w:tabs>
          <w:tab w:leader="none" w:pos="3864" w:val="left"/>
        </w:tabs>
        <w:rPr>
          <w:sz w:val="20"/>
          <w:szCs w:val="20"/>
          <w:color w:val="auto"/>
        </w:rPr>
      </w:pPr>
      <w:r>
        <w:rPr>
          <w:rFonts w:ascii="Arial" w:cs="Arial" w:eastAsia="Arial" w:hAnsi="Arial"/>
          <w:sz w:val="18"/>
          <w:szCs w:val="18"/>
          <w:color w:val="auto"/>
        </w:rPr>
        <w:t>has the meaning set out in Clause 0 (</w:t>
      </w:r>
      <w:r>
        <w:rPr>
          <w:rFonts w:ascii="Arial" w:cs="Arial" w:eastAsia="Arial" w:hAnsi="Arial"/>
          <w:sz w:val="18"/>
          <w:szCs w:val="18"/>
          <w:i w:val="1"/>
          <w:iCs w:val="1"/>
          <w:color w:val="auto"/>
        </w:rPr>
        <w:t>12.</w:t>
      </w:r>
      <w:r>
        <w:rPr>
          <w:sz w:val="20"/>
          <w:szCs w:val="20"/>
          <w:color w:val="auto"/>
        </w:rPr>
        <w:tab/>
      </w:r>
      <w:r>
        <w:rPr>
          <w:rFonts w:ascii="Arial" w:cs="Arial" w:eastAsia="Arial" w:hAnsi="Arial"/>
          <w:sz w:val="18"/>
          <w:szCs w:val="18"/>
          <w:b w:val="1"/>
          <w:bCs w:val="1"/>
          <w:color w:val="auto"/>
        </w:rPr>
        <w:t>ENFORCEMENT</w:t>
      </w:r>
      <w:r>
        <w:rPr>
          <w:rFonts w:ascii="Arial" w:cs="Arial" w:eastAsia="Arial" w:hAnsi="Arial"/>
          <w:sz w:val="18"/>
          <w:szCs w:val="18"/>
          <w:color w:val="auto"/>
        </w:rPr>
        <w:t>);</w:t>
      </w:r>
    </w:p>
    <w:p>
      <w:pPr>
        <w:spacing w:after="0" w:line="229" w:lineRule="exact"/>
        <w:rPr>
          <w:sz w:val="20"/>
          <w:szCs w:val="20"/>
          <w:color w:val="auto"/>
        </w:rPr>
      </w:pPr>
    </w:p>
    <w:p>
      <w:pPr>
        <w:jc w:val="both"/>
        <w:ind w:left="4"/>
        <w:spacing w:after="0" w:line="272" w:lineRule="auto"/>
        <w:rPr>
          <w:sz w:val="20"/>
          <w:szCs w:val="20"/>
          <w:color w:val="auto"/>
        </w:rPr>
      </w:pPr>
      <w:r>
        <w:rPr>
          <w:rFonts w:ascii="Arial" w:cs="Arial" w:eastAsia="Arial" w:hAnsi="Arial"/>
          <w:sz w:val="17"/>
          <w:szCs w:val="17"/>
          <w:color w:val="auto"/>
        </w:rPr>
        <w:t>means plant, machinery, equipment (including office equipment), vehicles, computers and other chattels of any kind (but excluding any from time to time which are part of the Company's stock in trade or work in progress) now or hereafter owned by the Company or in its possession and all proceeds of sale or other disposal thereof, all moneys paid or payable in respect thereof, rights under any agreement, Security Interest or guarantee in relation thereto and all other rights in relation thereto, and "</w:t>
      </w:r>
      <w:r>
        <w:rPr>
          <w:rFonts w:ascii="Arial" w:cs="Arial" w:eastAsia="Arial" w:hAnsi="Arial"/>
          <w:sz w:val="17"/>
          <w:szCs w:val="17"/>
          <w:b w:val="1"/>
          <w:bCs w:val="1"/>
          <w:color w:val="auto"/>
        </w:rPr>
        <w:t>Equipment</w:t>
      </w:r>
      <w:r>
        <w:rPr>
          <w:rFonts w:ascii="Arial" w:cs="Arial" w:eastAsia="Arial" w:hAnsi="Arial"/>
          <w:sz w:val="17"/>
          <w:szCs w:val="17"/>
          <w:color w:val="auto"/>
        </w:rPr>
        <w:t>" includes any part of any of them (but "</w:t>
      </w:r>
      <w:r>
        <w:rPr>
          <w:rFonts w:ascii="Arial" w:cs="Arial" w:eastAsia="Arial" w:hAnsi="Arial"/>
          <w:sz w:val="17"/>
          <w:szCs w:val="17"/>
          <w:b w:val="1"/>
          <w:bCs w:val="1"/>
          <w:color w:val="auto"/>
        </w:rPr>
        <w:t>Equipment</w:t>
      </w:r>
      <w:r>
        <w:rPr>
          <w:rFonts w:ascii="Arial" w:cs="Arial" w:eastAsia="Arial" w:hAnsi="Arial"/>
          <w:sz w:val="17"/>
          <w:szCs w:val="17"/>
          <w:color w:val="auto"/>
        </w:rPr>
        <w:t>" shall exclude, for the avoidance of doubt, the Excluded Assets);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means:</w:t>
      </w:r>
    </w:p>
    <w:p>
      <w:pPr>
        <w:spacing w:after="0" w:line="221" w:lineRule="exact"/>
        <w:rPr>
          <w:sz w:val="20"/>
          <w:szCs w:val="20"/>
          <w:color w:val="auto"/>
        </w:rPr>
      </w:pPr>
    </w:p>
    <w:p>
      <w:pPr>
        <w:ind w:left="644" w:hanging="644"/>
        <w:spacing w:after="0"/>
        <w:tabs>
          <w:tab w:leader="none" w:pos="64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Excluded Assets</w:t>
      </w:r>
      <w:r>
        <w:rPr>
          <w:rFonts w:ascii="Arial" w:cs="Arial" w:eastAsia="Arial" w:hAnsi="Arial"/>
          <w:sz w:val="18"/>
          <w:szCs w:val="18"/>
          <w:color w:val="auto"/>
        </w:rPr>
        <w:t>" as defined in the Loan Agreement;</w:t>
      </w:r>
    </w:p>
    <w:p>
      <w:pPr>
        <w:spacing w:after="0" w:line="22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£17,956, together with accrued interest thereon, deposited with Ashville (Tewkesbury) Limited pursuant to a Rent Deposit Deed dated 3 January 2007;</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amount, together with accrued interest thereon, deposited with Tewkesbury Investments Limited pursuant to a Rent Deposit Deed dated 11 January 2011;</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all present and future rights, title, benefit and interest in and to each account and related deposit charged in favour of Barclays Bank Plc pursuant to a Fixed Charge over Accounts Deed dated 7 August 2019,</w:t>
      </w:r>
    </w:p>
    <w:p>
      <w:pPr>
        <w:spacing w:after="0" w:line="190" w:lineRule="exact"/>
        <w:rPr>
          <w:sz w:val="20"/>
          <w:szCs w:val="20"/>
          <w:color w:val="auto"/>
        </w:rPr>
      </w:pPr>
    </w:p>
    <w:p>
      <w:pPr>
        <w:jc w:val="both"/>
        <w:ind w:left="4"/>
        <w:spacing w:after="0" w:line="279" w:lineRule="auto"/>
        <w:rPr>
          <w:sz w:val="20"/>
          <w:szCs w:val="20"/>
          <w:color w:val="auto"/>
        </w:rPr>
      </w:pPr>
      <w:r>
        <w:rPr>
          <w:rFonts w:ascii="Arial" w:cs="Arial" w:eastAsia="Arial" w:hAnsi="Arial"/>
          <w:sz w:val="21"/>
          <w:szCs w:val="21"/>
          <w:color w:val="auto"/>
        </w:rPr>
        <w:t>but only while, in the case of (b), (c) and (d) above, such Assets remain subject to the relevant Security Interest specified above and so that upon the release or discharge of any such Security Interest the relevant Assets shall forthwith become subject to the Charges and form part of the Charged Assets;</w:t>
      </w:r>
    </w:p>
    <w:p>
      <w:pPr>
        <w:spacing w:after="0" w:line="167"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financial collateral within the meaning of the Financial Collateral Arrangements (No. 2) Regulations 2003, as amended;</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a financial instrument within the meaning of the Financial Collateral Arrangements (No. 2) Regulations 2003;</w:t>
      </w:r>
    </w:p>
    <w:p>
      <w:pPr>
        <w:spacing w:after="0" w:line="170" w:lineRule="exact"/>
        <w:rPr>
          <w:sz w:val="20"/>
          <w:szCs w:val="20"/>
          <w:color w:val="auto"/>
        </w:rPr>
      </w:pPr>
    </w:p>
    <w:p>
      <w:pPr>
        <w:jc w:val="both"/>
        <w:ind w:left="4"/>
        <w:spacing w:after="0" w:line="308" w:lineRule="auto"/>
        <w:rPr>
          <w:sz w:val="20"/>
          <w:szCs w:val="20"/>
          <w:color w:val="auto"/>
        </w:rPr>
      </w:pPr>
      <w:r>
        <w:rPr>
          <w:rFonts w:ascii="Arial" w:cs="Arial" w:eastAsia="Arial" w:hAnsi="Arial"/>
          <w:sz w:val="17"/>
          <w:szCs w:val="17"/>
          <w:color w:val="auto"/>
        </w:rPr>
        <w:t>means any part or parts of the Charged Assets effectively charged by way of fixed Security Interests or effectively mortgaged or assigned by way of fixed Security Interests under this Deed;</w:t>
      </w:r>
    </w:p>
    <w:p>
      <w:pPr>
        <w:sectPr>
          <w:pgSz w:w="11900" w:h="16838" w:orient="portrait"/>
          <w:cols w:equalWidth="0" w:num="2">
            <w:col w:w="2516" w:space="720"/>
            <w:col w:w="7344"/>
          </w:cols>
          <w:pgMar w:left="980" w:top="121" w:right="339" w:bottom="0" w:gutter="0" w:footer="0" w:header="0"/>
        </w:sectPr>
      </w:pPr>
    </w:p>
    <w:bookmarkStart w:id="529" w:name="page530"/>
    <w:bookmarkEnd w:id="529"/>
    <w:tbl>
      <w:tblPr>
        <w:tblLayout w:type="fixed"/>
        <w:tblInd w:w="0" w:type="dxa"/>
        <w:tblCellMar>
          <w:top w:w="0" w:type="dxa"/>
          <w:left w:w="0" w:type="dxa"/>
          <w:bottom w:w="0" w:type="dxa"/>
          <w:right w:w="0" w:type="dxa"/>
        </w:tblCellMar>
      </w:tblPr>
      <w:tr>
        <w:trPr>
          <w:trHeight w:val="220"/>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Fixtures</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8"/>
              </w:rPr>
              <w:t>means fixtures, fittings and fixed plant, machinery and equipment (including trade fixtures and</w:t>
            </w:r>
          </w:p>
        </w:tc>
      </w:tr>
      <w:tr>
        <w:trPr>
          <w:trHeight w:val="230"/>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fittings);</w:t>
            </w:r>
          </w:p>
        </w:tc>
      </w:tr>
      <w:tr>
        <w:trPr>
          <w:trHeight w:val="414"/>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 Assets</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3"/>
              </w:rPr>
              <w:t>means any part or parts of the Charged Assets subject to the floating charge contained in Clause 0</w:t>
            </w:r>
          </w:p>
        </w:tc>
      </w:tr>
      <w:tr>
        <w:trPr>
          <w:trHeight w:val="234"/>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6.5Floating</w:t>
            </w:r>
            <w:r>
              <w:rPr>
                <w:rFonts w:ascii="Arial" w:cs="Arial" w:eastAsia="Arial" w:hAnsi="Arial"/>
                <w:sz w:val="18"/>
                <w:szCs w:val="18"/>
                <w:color w:val="auto"/>
              </w:rPr>
              <w:t xml:space="preserve"> </w:t>
            </w:r>
            <w:r>
              <w:rPr>
                <w:rFonts w:ascii="Arial" w:cs="Arial" w:eastAsia="Arial" w:hAnsi="Arial"/>
                <w:sz w:val="18"/>
                <w:szCs w:val="18"/>
                <w:b w:val="1"/>
                <w:bCs w:val="1"/>
                <w:color w:val="auto"/>
              </w:rPr>
              <w:t>Charge</w:t>
            </w:r>
            <w:r>
              <w:rPr>
                <w:rFonts w:ascii="Arial" w:cs="Arial" w:eastAsia="Arial" w:hAnsi="Arial"/>
                <w:sz w:val="18"/>
                <w:szCs w:val="18"/>
                <w:color w:val="auto"/>
              </w:rPr>
              <w:t>);</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Account Banks</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2"/>
              </w:rPr>
              <w:t xml:space="preserve">means the account banks listed in Part 1 of Schedule 1 (General </w:t>
            </w:r>
            <w:r>
              <w:rPr>
                <w:rFonts w:ascii="Arial" w:cs="Arial" w:eastAsia="Arial" w:hAnsi="Arial"/>
                <w:sz w:val="18"/>
                <w:szCs w:val="18"/>
                <w:i w:val="1"/>
                <w:iCs w:val="1"/>
                <w:color w:val="auto"/>
                <w:w w:val="92"/>
              </w:rPr>
              <w:t>Bank Accounts</w:t>
            </w:r>
            <w:r>
              <w:rPr>
                <w:rFonts w:ascii="Arial" w:cs="Arial" w:eastAsia="Arial" w:hAnsi="Arial"/>
                <w:sz w:val="18"/>
                <w:szCs w:val="18"/>
                <w:color w:val="auto"/>
                <w:w w:val="92"/>
              </w:rPr>
              <w:t>) under the heading</w:t>
            </w:r>
          </w:p>
        </w:tc>
      </w:tr>
      <w:tr>
        <w:trPr>
          <w:trHeight w:val="230"/>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Bank</w:t>
            </w:r>
            <w:r>
              <w:rPr>
                <w:rFonts w:ascii="Arial" w:cs="Arial" w:eastAsia="Arial" w:hAnsi="Arial"/>
                <w:sz w:val="18"/>
                <w:szCs w:val="18"/>
                <w:color w:val="auto"/>
              </w:rPr>
              <w:t>";</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Bank Accounts</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89"/>
              </w:rPr>
              <w:t xml:space="preserve">means the accounts listed in Part 1 of Schedule 1 (General </w:t>
            </w:r>
            <w:r>
              <w:rPr>
                <w:rFonts w:ascii="Arial" w:cs="Arial" w:eastAsia="Arial" w:hAnsi="Arial"/>
                <w:sz w:val="18"/>
                <w:szCs w:val="18"/>
                <w:i w:val="1"/>
                <w:iCs w:val="1"/>
                <w:color w:val="auto"/>
                <w:w w:val="89"/>
              </w:rPr>
              <w:t>Bank Accounts</w:t>
            </w:r>
            <w:r>
              <w:rPr>
                <w:rFonts w:ascii="Arial" w:cs="Arial" w:eastAsia="Arial" w:hAnsi="Arial"/>
                <w:sz w:val="18"/>
                <w:szCs w:val="18"/>
                <w:color w:val="auto"/>
                <w:w w:val="89"/>
              </w:rPr>
              <w:t>) held by the Company with</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4"/>
              </w:rPr>
              <w:t xml:space="preserve">the bank or banks specified in Part 1 of Schedule 1 (General </w:t>
            </w:r>
            <w:r>
              <w:rPr>
                <w:rFonts w:ascii="Arial" w:cs="Arial" w:eastAsia="Arial" w:hAnsi="Arial"/>
                <w:sz w:val="18"/>
                <w:szCs w:val="18"/>
                <w:i w:val="1"/>
                <w:iCs w:val="1"/>
                <w:color w:val="auto"/>
                <w:w w:val="94"/>
              </w:rPr>
              <w:t>Bank Accounts</w:t>
            </w:r>
            <w:r>
              <w:rPr>
                <w:rFonts w:ascii="Arial" w:cs="Arial" w:eastAsia="Arial" w:hAnsi="Arial"/>
                <w:sz w:val="18"/>
                <w:szCs w:val="18"/>
                <w:color w:val="auto"/>
                <w:w w:val="94"/>
              </w:rPr>
              <w:t>) and any other bank</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3"/>
              </w:rPr>
              <w:t>account maintained by the Company with any financial institution as the Collateral Agent may from</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time to time designate in writing as a General Bank Account, including in each case any</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1"/>
              </w:rPr>
              <w:t>redesignation or renewal thereof and all balances now or hereafter standing to the credit of any such</w:t>
            </w:r>
          </w:p>
        </w:tc>
      </w:tr>
      <w:tr>
        <w:trPr>
          <w:trHeight w:val="212"/>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1"/>
              </w:rPr>
              <w:t>account including all interest from time to time thereon, the debt represented thereby and all rights in</w:t>
            </w:r>
          </w:p>
        </w:tc>
      </w:tr>
      <w:tr>
        <w:trPr>
          <w:trHeight w:val="220"/>
        </w:trPr>
        <w:tc>
          <w:tcPr>
            <w:tcW w:w="2760" w:type="dxa"/>
            <w:vAlign w:val="bottom"/>
          </w:tcPr>
          <w:p>
            <w:pPr>
              <w:spacing w:after="0"/>
              <w:rPr>
                <w:sz w:val="19"/>
                <w:szCs w:val="19"/>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9"/>
              </w:rPr>
              <w:t>relation thereto (but "</w:t>
            </w:r>
            <w:r>
              <w:rPr>
                <w:rFonts w:ascii="Arial" w:cs="Arial" w:eastAsia="Arial" w:hAnsi="Arial"/>
                <w:sz w:val="18"/>
                <w:szCs w:val="18"/>
                <w:b w:val="1"/>
                <w:bCs w:val="1"/>
                <w:color w:val="auto"/>
                <w:w w:val="99"/>
              </w:rPr>
              <w:t>General Bank Accounts</w:t>
            </w:r>
            <w:r>
              <w:rPr>
                <w:rFonts w:ascii="Arial" w:cs="Arial" w:eastAsia="Arial" w:hAnsi="Arial"/>
                <w:sz w:val="18"/>
                <w:szCs w:val="18"/>
                <w:color w:val="auto"/>
                <w:w w:val="99"/>
              </w:rPr>
              <w:t>" shall exclude, for the avoidance of doubt, the</w:t>
            </w:r>
          </w:p>
        </w:tc>
      </w:tr>
      <w:tr>
        <w:trPr>
          <w:trHeight w:val="230"/>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Excluded Assets);</w:t>
            </w:r>
          </w:p>
        </w:tc>
      </w:tr>
      <w:tr>
        <w:trPr>
          <w:trHeight w:val="418"/>
        </w:trPr>
        <w:tc>
          <w:tcPr>
            <w:tcW w:w="27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5"/>
              </w:rPr>
              <w:t>means an Affiliate Guaranty dated on or about the date of this Deed between, among others, the</w:t>
            </w:r>
          </w:p>
        </w:tc>
      </w:tr>
      <w:tr>
        <w:trPr>
          <w:trHeight w:val="230"/>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Parent and the Collateral Agent ;</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means a holding company within the meaning of section 1159 of the Companies Act 2006;</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Act</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means the Insolvency Act 1986;</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in relation to any person, means:</w:t>
            </w:r>
          </w:p>
        </w:tc>
      </w:tr>
      <w:tr>
        <w:trPr>
          <w:trHeight w:val="418"/>
        </w:trPr>
        <w:tc>
          <w:tcPr>
            <w:tcW w:w="276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rPr>
              <w:t>(a)</w:t>
            </w:r>
          </w:p>
        </w:tc>
        <w:tc>
          <w:tcPr>
            <w:tcW w:w="6880" w:type="dxa"/>
            <w:vAlign w:val="bottom"/>
          </w:tcPr>
          <w:p>
            <w:pPr>
              <w:ind w:left="180"/>
              <w:spacing w:after="0"/>
              <w:rPr>
                <w:sz w:val="20"/>
                <w:szCs w:val="20"/>
                <w:color w:val="auto"/>
              </w:rPr>
            </w:pPr>
            <w:r>
              <w:rPr>
                <w:rFonts w:ascii="Arial" w:cs="Arial" w:eastAsia="Arial" w:hAnsi="Arial"/>
                <w:sz w:val="18"/>
                <w:szCs w:val="18"/>
                <w:color w:val="auto"/>
                <w:w w:val="92"/>
              </w:rPr>
              <w:t>such person is unable or admits inability to pay its debts as they fall due, suspends making</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7"/>
              </w:rPr>
              <w:t>payments on any of its debts or, by reason of actual or anticipated financial difficulties,</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1"/>
              </w:rPr>
              <w:t>commences negotiations with one or more of its creditors with a view to rescheduling any of</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1"/>
              </w:rPr>
              <w:t>its indebtedness (including any composition, assignment or arrangement with any creditor of</w:t>
            </w:r>
          </w:p>
        </w:tc>
      </w:tr>
      <w:tr>
        <w:trPr>
          <w:trHeight w:val="230"/>
        </w:trPr>
        <w:tc>
          <w:tcPr>
            <w:tcW w:w="2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such person);</w:t>
            </w:r>
          </w:p>
        </w:tc>
      </w:tr>
      <w:tr>
        <w:trPr>
          <w:trHeight w:val="418"/>
        </w:trPr>
        <w:tc>
          <w:tcPr>
            <w:tcW w:w="276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rPr>
              <w:t>(b)</w:t>
            </w:r>
          </w:p>
        </w:tc>
        <w:tc>
          <w:tcPr>
            <w:tcW w:w="6880" w:type="dxa"/>
            <w:vAlign w:val="bottom"/>
          </w:tcPr>
          <w:p>
            <w:pPr>
              <w:ind w:left="180"/>
              <w:spacing w:after="0"/>
              <w:rPr>
                <w:sz w:val="20"/>
                <w:szCs w:val="20"/>
                <w:color w:val="auto"/>
              </w:rPr>
            </w:pPr>
            <w:r>
              <w:rPr>
                <w:rFonts w:ascii="Arial" w:cs="Arial" w:eastAsia="Arial" w:hAnsi="Arial"/>
                <w:sz w:val="18"/>
                <w:szCs w:val="18"/>
                <w:color w:val="auto"/>
                <w:w w:val="95"/>
              </w:rPr>
              <w:t>any resolution is passed or order made for the winding up, dissolution, administration or</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4"/>
              </w:rPr>
              <w:t>reorganisation of that person, a moratorium is declared in relation to any indebtedness of</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0"/>
              </w:rPr>
              <w:t>that person or an administrator is appointed to that person (other than a solvent liquidation or</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6"/>
              </w:rPr>
              <w:t>reorganisation of such person on terms previously approved in writing by the Collateral</w:t>
            </w:r>
          </w:p>
        </w:tc>
      </w:tr>
      <w:tr>
        <w:trPr>
          <w:trHeight w:val="230"/>
        </w:trPr>
        <w:tc>
          <w:tcPr>
            <w:tcW w:w="2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Agent);</w:t>
            </w:r>
          </w:p>
        </w:tc>
      </w:tr>
      <w:tr>
        <w:trPr>
          <w:trHeight w:val="418"/>
        </w:trPr>
        <w:tc>
          <w:tcPr>
            <w:tcW w:w="276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rPr>
              <w:t>(c)</w:t>
            </w:r>
          </w:p>
        </w:tc>
        <w:tc>
          <w:tcPr>
            <w:tcW w:w="6880" w:type="dxa"/>
            <w:vAlign w:val="bottom"/>
          </w:tcPr>
          <w:p>
            <w:pPr>
              <w:ind w:left="180"/>
              <w:spacing w:after="0"/>
              <w:rPr>
                <w:sz w:val="20"/>
                <w:szCs w:val="20"/>
                <w:color w:val="auto"/>
              </w:rPr>
            </w:pPr>
            <w:r>
              <w:rPr>
                <w:rFonts w:ascii="Arial" w:cs="Arial" w:eastAsia="Arial" w:hAnsi="Arial"/>
                <w:sz w:val="18"/>
                <w:szCs w:val="18"/>
                <w:color w:val="auto"/>
                <w:w w:val="92"/>
              </w:rPr>
              <w:t>the appointment of any liquidator (other than a solvent liquidation or reorganisation of such</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5"/>
              </w:rPr>
              <w:t>person  on  terms  previously  approved  in  writing  by  the  Collateral  Agent),  receiver,</w:t>
            </w:r>
          </w:p>
        </w:tc>
      </w:t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9"/>
              </w:rPr>
              <w:t>administrator, administrative receiver, compulsory manager or other similar officer in</w:t>
            </w:r>
          </w:p>
        </w:tc>
      </w:tr>
      <w:tr>
        <w:trPr>
          <w:trHeight w:val="230"/>
        </w:trPr>
        <w:tc>
          <w:tcPr>
            <w:tcW w:w="2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respect of that person or any of its assets; or</w:t>
            </w:r>
          </w:p>
        </w:tc>
      </w:tr>
      <w:tr>
        <w:trPr>
          <w:trHeight w:val="432"/>
        </w:trPr>
        <w:tc>
          <w:tcPr>
            <w:tcW w:w="276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rPr>
              <w:t>(d)</w:t>
            </w:r>
          </w:p>
        </w:tc>
        <w:tc>
          <w:tcPr>
            <w:tcW w:w="6880" w:type="dxa"/>
            <w:vAlign w:val="bottom"/>
          </w:tcPr>
          <w:p>
            <w:pPr>
              <w:ind w:left="180"/>
              <w:spacing w:after="0"/>
              <w:rPr>
                <w:sz w:val="20"/>
                <w:szCs w:val="20"/>
                <w:color w:val="auto"/>
              </w:rPr>
            </w:pPr>
            <w:r>
              <w:rPr>
                <w:rFonts w:ascii="Arial" w:cs="Arial" w:eastAsia="Arial" w:hAnsi="Arial"/>
                <w:sz w:val="18"/>
                <w:szCs w:val="18"/>
                <w:color w:val="auto"/>
                <w:w w:val="98"/>
              </w:rPr>
              <w:t>in respect of any person, any analogous procedure or step is taken in any jurisdiction.</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Rules</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means the Insolvency Rules 2016;</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means contracts or policies of insurance or indemnity of any kind (including life insurance or</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0"/>
              </w:rPr>
              <w:t>assurance) now or hereafter taken out by or on behalf of the Company or (to the extent of its interest)</w:t>
            </w:r>
          </w:p>
        </w:tc>
      </w:tr>
      <w:tr>
        <w:trPr>
          <w:trHeight w:val="212"/>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0"/>
              </w:rPr>
              <w:t>in which the Company has any interest, and all rights in relation thereto, proceeds thereof, claims and</w:t>
            </w:r>
          </w:p>
        </w:tc>
      </w:tr>
      <w:tr>
        <w:trPr>
          <w:trHeight w:val="220"/>
        </w:trPr>
        <w:tc>
          <w:tcPr>
            <w:tcW w:w="2760" w:type="dxa"/>
            <w:vAlign w:val="bottom"/>
          </w:tcPr>
          <w:p>
            <w:pPr>
              <w:spacing w:after="0"/>
              <w:rPr>
                <w:sz w:val="19"/>
                <w:szCs w:val="19"/>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0"/>
              </w:rPr>
              <w:t>returns of premium in respect thereof (but "</w:t>
            </w:r>
            <w:r>
              <w:rPr>
                <w:rFonts w:ascii="Arial" w:cs="Arial" w:eastAsia="Arial" w:hAnsi="Arial"/>
                <w:sz w:val="18"/>
                <w:szCs w:val="18"/>
                <w:b w:val="1"/>
                <w:bCs w:val="1"/>
                <w:color w:val="auto"/>
                <w:w w:val="90"/>
              </w:rPr>
              <w:t>Insurances</w:t>
            </w:r>
            <w:r>
              <w:rPr>
                <w:rFonts w:ascii="Arial" w:cs="Arial" w:eastAsia="Arial" w:hAnsi="Arial"/>
                <w:sz w:val="18"/>
                <w:szCs w:val="18"/>
                <w:color w:val="auto"/>
                <w:w w:val="90"/>
              </w:rPr>
              <w:t>" shall exclude, for the avoidance of doubt, the</w:t>
            </w:r>
          </w:p>
        </w:tc>
      </w:tr>
      <w:tr>
        <w:trPr>
          <w:trHeight w:val="230"/>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Excluded Assets);</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4"/>
              </w:rPr>
              <w:t>means the intercreditor agreement, dated on or about the date of this Deed, among the Collateral</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5"/>
              </w:rPr>
              <w:t>Agent,  Wells  Fargo  Bank,  National  Association,  the  Parent,  Weatherford  International  Ltd.,</w:t>
            </w:r>
          </w:p>
        </w:tc>
      </w:tr>
      <w:tr>
        <w:trPr>
          <w:trHeight w:val="230"/>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rPr>
              <w:t>Weatherford International LLC, and the other grantors of the Parent named therein;</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w:t>
            </w:r>
          </w:p>
        </w:tc>
        <w:tc>
          <w:tcPr>
            <w:tcW w:w="7820" w:type="dxa"/>
            <w:vAlign w:val="bottom"/>
            <w:gridSpan w:val="2"/>
          </w:tcPr>
          <w:p>
            <w:pPr>
              <w:ind w:left="480"/>
              <w:spacing w:after="0" w:line="207" w:lineRule="exact"/>
              <w:rPr>
                <w:sz w:val="20"/>
                <w:szCs w:val="20"/>
                <w:color w:val="auto"/>
              </w:rPr>
            </w:pPr>
            <w:r>
              <w:rPr>
                <w:rFonts w:ascii="Arial" w:cs="Arial" w:eastAsia="Arial" w:hAnsi="Arial"/>
                <w:sz w:val="18"/>
                <w:szCs w:val="18"/>
                <w:color w:val="auto"/>
                <w:w w:val="90"/>
              </w:rPr>
              <w:t>means patents, registered designs, copyrights, inventions, semi</w:t>
            </w:r>
            <w:r>
              <w:rPr>
                <w:rFonts w:ascii="MS PGothic" w:cs="MS PGothic" w:eastAsia="MS PGothic" w:hAnsi="MS PGothic"/>
                <w:sz w:val="18"/>
                <w:szCs w:val="18"/>
                <w:color w:val="auto"/>
                <w:w w:val="90"/>
              </w:rPr>
              <w:t>‑</w:t>
            </w:r>
            <w:r>
              <w:rPr>
                <w:rFonts w:ascii="Arial" w:cs="Arial" w:eastAsia="Arial" w:hAnsi="Arial"/>
                <w:sz w:val="18"/>
                <w:szCs w:val="18"/>
                <w:color w:val="auto"/>
                <w:w w:val="90"/>
              </w:rPr>
              <w:t>conductor topography rights, rights in</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3"/>
              </w:rPr>
              <w:t>designs, rights in trade marks and service marks, business names and trade names, get up, logos,</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line="207" w:lineRule="exact"/>
              <w:rPr>
                <w:sz w:val="20"/>
                <w:szCs w:val="20"/>
                <w:color w:val="auto"/>
              </w:rPr>
            </w:pPr>
            <w:r>
              <w:rPr>
                <w:rFonts w:ascii="Arial" w:cs="Arial" w:eastAsia="Arial" w:hAnsi="Arial"/>
                <w:sz w:val="18"/>
                <w:szCs w:val="18"/>
                <w:color w:val="auto"/>
                <w:w w:val="93"/>
              </w:rPr>
              <w:t>domain names, moral rights, rights in confidential information, rights in know</w:t>
            </w:r>
            <w:r>
              <w:rPr>
                <w:rFonts w:ascii="MS PGothic" w:cs="MS PGothic" w:eastAsia="MS PGothic" w:hAnsi="MS PGothic"/>
                <w:sz w:val="18"/>
                <w:szCs w:val="18"/>
                <w:color w:val="auto"/>
                <w:w w:val="93"/>
              </w:rPr>
              <w:t>‑</w:t>
            </w:r>
            <w:r>
              <w:rPr>
                <w:rFonts w:ascii="Arial" w:cs="Arial" w:eastAsia="Arial" w:hAnsi="Arial"/>
                <w:sz w:val="18"/>
                <w:szCs w:val="18"/>
                <w:color w:val="auto"/>
                <w:w w:val="93"/>
              </w:rPr>
              <w:t>how, database rights,</w:t>
            </w:r>
          </w:p>
        </w:tc>
      </w:tr>
      <w:tr>
        <w:trPr>
          <w:trHeight w:val="216"/>
        </w:trPr>
        <w:tc>
          <w:tcPr>
            <w:tcW w:w="2760" w:type="dxa"/>
            <w:vAlign w:val="bottom"/>
          </w:tcPr>
          <w:p>
            <w:pPr>
              <w:spacing w:after="0"/>
              <w:rPr>
                <w:sz w:val="18"/>
                <w:szCs w:val="18"/>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w w:val="99"/>
              </w:rPr>
              <w:t>rights</w:t>
            </w:r>
          </w:p>
        </w:tc>
        <w:tc>
          <w:tcPr>
            <w:tcW w:w="6880" w:type="dxa"/>
            <w:vAlign w:val="bottom"/>
          </w:tcPr>
          <w:p>
            <w:pPr>
              <w:ind w:left="60"/>
              <w:spacing w:after="0"/>
              <w:rPr>
                <w:sz w:val="20"/>
                <w:szCs w:val="20"/>
                <w:color w:val="auto"/>
              </w:rPr>
            </w:pPr>
            <w:r>
              <w:rPr>
                <w:rFonts w:ascii="Arial" w:cs="Arial" w:eastAsia="Arial" w:hAnsi="Arial"/>
                <w:sz w:val="18"/>
                <w:szCs w:val="18"/>
                <w:color w:val="auto"/>
                <w:w w:val="96"/>
              </w:rPr>
              <w:t>protecting  goodwill,  or  reputation  and  any  interests  (including  by  way  of  licence  or</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line="207" w:lineRule="exact"/>
              <w:rPr>
                <w:sz w:val="20"/>
                <w:szCs w:val="20"/>
                <w:color w:val="auto"/>
              </w:rPr>
            </w:pPr>
            <w:r>
              <w:rPr>
                <w:rFonts w:ascii="Arial" w:cs="Arial" w:eastAsia="Arial" w:hAnsi="Arial"/>
                <w:sz w:val="18"/>
                <w:szCs w:val="18"/>
                <w:color w:val="auto"/>
              </w:rPr>
              <w:t>sub</w:t>
            </w:r>
            <w:r>
              <w:rPr>
                <w:rFonts w:ascii="MS PGothic" w:cs="MS PGothic" w:eastAsia="MS PGothic" w:hAnsi="MS PGothic"/>
                <w:sz w:val="18"/>
                <w:szCs w:val="18"/>
                <w:color w:val="auto"/>
              </w:rPr>
              <w:t>‑</w:t>
            </w:r>
            <w:r>
              <w:rPr>
                <w:rFonts w:ascii="Arial" w:cs="Arial" w:eastAsia="Arial" w:hAnsi="Arial"/>
                <w:sz w:val="18"/>
                <w:szCs w:val="18"/>
                <w:color w:val="auto"/>
              </w:rPr>
              <w:t>licence) in any of the foregoing, and any other intellectual property rights and interests</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5"/>
              </w:rPr>
              <w:t>whatsoever now or hereafter owned by the Company or in which it has any interest, in each case</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1"/>
              </w:rPr>
              <w:t>whether registered or not and including all applications, rights to apply for and rights to use the same</w:t>
            </w:r>
          </w:p>
        </w:tc>
      </w:tr>
      <w:tr>
        <w:trPr>
          <w:trHeight w:val="212"/>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2"/>
              </w:rPr>
              <w:t>and all fees, royalties and other rights of every kind relating to or deriving from any of the same (but</w:t>
            </w:r>
          </w:p>
        </w:tc>
      </w:tr>
      <w:tr>
        <w:trPr>
          <w:trHeight w:val="234"/>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Intellectual Property Rights</w:t>
            </w:r>
            <w:r>
              <w:rPr>
                <w:rFonts w:ascii="Arial" w:cs="Arial" w:eastAsia="Arial" w:hAnsi="Arial"/>
                <w:sz w:val="18"/>
                <w:szCs w:val="18"/>
                <w:color w:val="auto"/>
                <w:w w:val="96"/>
              </w:rPr>
              <w:t>" shall exclude, for the avoidance of doubt, the Excluded Assets);</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w:t>
            </w: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2"/>
              </w:rPr>
              <w:t>means shares, stocks, bonds, notes, certificates of deposit, debenture stocks, loan stocks and other</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4"/>
              </w:rPr>
              <w:t>securities or investments of any kind and all rights relating to any of the foregoing (including rights</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6"/>
              </w:rPr>
              <w:t>relating to any of the same which are deposited with, registered in the name of or credited to an</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3"/>
              </w:rPr>
              <w:t>account with any clearing system or house, depositary, custodian, nominee, controller, investment</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0"/>
              </w:rPr>
              <w:t>manager or other similar person or their nominee, in each case whether or not on a fungible basis and</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2"/>
              </w:rPr>
              <w:t>including all rights against such person); warrants, options or other rights to subscribe for, purchase,</w:t>
            </w:r>
          </w:p>
        </w:tc>
      </w:tr>
      <w:tr>
        <w:trPr>
          <w:trHeight w:val="216"/>
        </w:trPr>
        <w:tc>
          <w:tcPr>
            <w:tcW w:w="2760" w:type="dxa"/>
            <w:vAlign w:val="bottom"/>
          </w:tcPr>
          <w:p>
            <w:pPr>
              <w:spacing w:after="0"/>
              <w:rPr>
                <w:sz w:val="18"/>
                <w:szCs w:val="18"/>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3"/>
              </w:rPr>
              <w:t>call for delivery of, redeem, convert other securities or investments into or otherwise to acquire any</w:t>
            </w:r>
          </w:p>
        </w:tc>
      </w:tr>
      <w:tr>
        <w:trPr>
          <w:trHeight w:val="230"/>
        </w:trPr>
        <w:tc>
          <w:tcPr>
            <w:tcW w:w="2760" w:type="dxa"/>
            <w:vAlign w:val="bottom"/>
          </w:tcPr>
          <w:p>
            <w:pPr>
              <w:spacing w:after="0"/>
              <w:rPr>
                <w:sz w:val="20"/>
                <w:szCs w:val="20"/>
                <w:color w:val="auto"/>
              </w:rPr>
            </w:pPr>
          </w:p>
        </w:tc>
        <w:tc>
          <w:tcPr>
            <w:tcW w:w="7820" w:type="dxa"/>
            <w:vAlign w:val="bottom"/>
            <w:gridSpan w:val="2"/>
          </w:tcPr>
          <w:p>
            <w:pPr>
              <w:ind w:left="480"/>
              <w:spacing w:after="0"/>
              <w:rPr>
                <w:sz w:val="20"/>
                <w:szCs w:val="20"/>
                <w:color w:val="auto"/>
              </w:rPr>
            </w:pPr>
            <w:r>
              <w:rPr>
                <w:rFonts w:ascii="Arial" w:cs="Arial" w:eastAsia="Arial" w:hAnsi="Arial"/>
                <w:sz w:val="18"/>
                <w:szCs w:val="18"/>
                <w:color w:val="auto"/>
                <w:w w:val="98"/>
              </w:rPr>
              <w:t>of the foregoing; and units in a unit trust scheme (as defined in section 237(1) of the Financial</w:t>
            </w:r>
          </w:p>
        </w:tc>
      </w:tr>
    </w:tbl>
    <w:p>
      <w:pPr>
        <w:sectPr>
          <w:pgSz w:w="11900" w:h="16838" w:orient="portrait"/>
          <w:cols w:equalWidth="0" w:num="1">
            <w:col w:w="10580"/>
          </w:cols>
          <w:pgMar w:left="980" w:top="121" w:right="339" w:bottom="0" w:gutter="0" w:footer="0" w:header="0"/>
        </w:sectPr>
      </w:pPr>
    </w:p>
    <w:bookmarkStart w:id="530" w:name="page531"/>
    <w:bookmarkEnd w:id="530"/>
    <w:p>
      <w:pPr>
        <w:jc w:val="both"/>
        <w:ind w:left="3240"/>
        <w:spacing w:after="0" w:line="279" w:lineRule="auto"/>
        <w:rPr>
          <w:sz w:val="20"/>
          <w:szCs w:val="20"/>
          <w:color w:val="auto"/>
        </w:rPr>
      </w:pPr>
      <w:r>
        <w:rPr>
          <w:rFonts w:ascii="Arial" w:cs="Arial" w:eastAsia="Arial" w:hAnsi="Arial"/>
          <w:sz w:val="17"/>
          <w:szCs w:val="17"/>
          <w:color w:val="auto"/>
        </w:rPr>
        <w:t>Services and Markets Act 2000); together in each case with all rights in respect thereof and all dividends, interest, cash or other distributions, accretions or Investments in respect of or deriving from any of the foregoing, and "</w:t>
      </w:r>
      <w:r>
        <w:rPr>
          <w:rFonts w:ascii="Arial" w:cs="Arial" w:eastAsia="Arial" w:hAnsi="Arial"/>
          <w:sz w:val="17"/>
          <w:szCs w:val="17"/>
          <w:b w:val="1"/>
          <w:bCs w:val="1"/>
          <w:color w:val="auto"/>
        </w:rPr>
        <w:t>Investments</w:t>
      </w:r>
      <w:r>
        <w:rPr>
          <w:rFonts w:ascii="Arial" w:cs="Arial" w:eastAsia="Arial" w:hAnsi="Arial"/>
          <w:sz w:val="17"/>
          <w:szCs w:val="17"/>
          <w:color w:val="auto"/>
        </w:rPr>
        <w:t>" means any of the foregoing including any part of them (but "</w:t>
      </w:r>
      <w:r>
        <w:rPr>
          <w:rFonts w:ascii="Arial" w:cs="Arial" w:eastAsia="Arial" w:hAnsi="Arial"/>
          <w:sz w:val="17"/>
          <w:szCs w:val="17"/>
          <w:b w:val="1"/>
          <w:bCs w:val="1"/>
          <w:color w:val="auto"/>
        </w:rPr>
        <w:t>Investments</w:t>
      </w:r>
      <w:r>
        <w:rPr>
          <w:rFonts w:ascii="Arial" w:cs="Arial" w:eastAsia="Arial" w:hAnsi="Arial"/>
          <w:sz w:val="17"/>
          <w:szCs w:val="17"/>
          <w:color w:val="auto"/>
        </w:rPr>
        <w:t>" shall exclude, for the avoidance of doubt, the Excluded Assets);</w:t>
      </w:r>
    </w:p>
    <w:p>
      <w:pPr>
        <w:sectPr>
          <w:pgSz w:w="11900" w:h="16838" w:orient="portrait"/>
          <w:cols w:equalWidth="0" w:num="1">
            <w:col w:w="10580"/>
          </w:cols>
          <w:pgMar w:left="980" w:top="125" w:right="339" w:bottom="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 of Property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means the Law of Property Act 1925;</w:t>
      </w:r>
    </w:p>
    <w:p>
      <w:pPr>
        <w:spacing w:after="0" w:line="200"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Legally Mortgaged Property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means any Real Property which may in future be legally mortgaged or charged by the Company to the Collateral Agent by or pursuant to this Deed, and "</w:t>
      </w:r>
      <w:r>
        <w:rPr>
          <w:rFonts w:ascii="Arial" w:cs="Arial" w:eastAsia="Arial" w:hAnsi="Arial"/>
          <w:sz w:val="18"/>
          <w:szCs w:val="18"/>
          <w:b w:val="1"/>
          <w:bCs w:val="1"/>
          <w:color w:val="auto"/>
        </w:rPr>
        <w:t>Legally Mortgaged Property</w:t>
      </w:r>
      <w:r>
        <w:rPr>
          <w:rFonts w:ascii="Arial" w:cs="Arial" w:eastAsia="Arial" w:hAnsi="Arial"/>
          <w:sz w:val="18"/>
          <w:szCs w:val="18"/>
          <w:color w:val="auto"/>
        </w:rPr>
        <w:t>" includes any part of any such Real Property;</w:t>
      </w:r>
    </w:p>
    <w:p>
      <w:pPr>
        <w:spacing w:after="0" w:line="180"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letter of credit facility agreement, between, among others, the Parent, the Collateral Agent and the Lenders, dated on or about the date of this Deed;</w:t>
      </w:r>
    </w:p>
    <w:p>
      <w:pPr>
        <w:spacing w:after="0" w:line="166"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any liability, damages, claim, cost, loss, penalty, expense, demand (or actions in respect thereof) including, legal, accounting or other charges, fees, costs, disbursements and expenses in connection therewith;</w:t>
      </w:r>
    </w:p>
    <w:p>
      <w:pPr>
        <w:spacing w:after="0" w:line="180"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Real Property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Real Property located in the United States of America, Canada or the United Kingdom owned by the Company with a net book value in excess of US$10,000,000 and that is not an Excluded Asset;</w:t>
      </w:r>
    </w:p>
    <w:p>
      <w:pPr>
        <w:spacing w:after="0" w:line="180"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Investments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Investments from time to time subject or expressed to be subject to the Charges, and "</w:t>
      </w:r>
      <w:r>
        <w:rPr>
          <w:rFonts w:ascii="Arial" w:cs="Arial" w:eastAsia="Arial" w:hAnsi="Arial"/>
          <w:sz w:val="18"/>
          <w:szCs w:val="18"/>
          <w:b w:val="1"/>
          <w:bCs w:val="1"/>
          <w:color w:val="auto"/>
        </w:rPr>
        <w:t>Mortgaged Investments</w:t>
      </w:r>
      <w:r>
        <w:rPr>
          <w:rFonts w:ascii="Arial" w:cs="Arial" w:eastAsia="Arial" w:hAnsi="Arial"/>
          <w:sz w:val="18"/>
          <w:szCs w:val="18"/>
          <w:color w:val="auto"/>
        </w:rPr>
        <w:t>" includes any part of any of them;</w:t>
      </w:r>
    </w:p>
    <w:p>
      <w:pPr>
        <w:spacing w:after="0" w:line="166"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Weatherford International Public Limited Company, a public limited company incorporated in the Republic of Ireland, with registered number 540406 whose registered office address is 70 Sir John Rogerson's Quay, Dublin 2;</w:t>
      </w:r>
    </w:p>
    <w:p>
      <w:pPr>
        <w:spacing w:after="0" w:line="180"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in Full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means the Commitments have expired or been terminated and the principal of and interest on each Loan and all fees payable hereunder and all other amounts payable under the Loan Documents (other than contingent indemnification obligations as to which no claim has been received by the Company) shall have been paid in full in cash;</w:t>
      </w:r>
    </w:p>
    <w:p>
      <w:pPr>
        <w:spacing w:after="0" w:line="183"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Proceedings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any proceedings, suits or actions arising out of or in connection with any Disputes or otherwise arising out of or in connection with this Deed (including regarding its existence, validity or termination);</w:t>
      </w:r>
    </w:p>
    <w:p>
      <w:pPr>
        <w:spacing w:after="0" w:line="180"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means freehold property in England and Wales and any other land or buildings anywhere in the world, any estate or interest therein and any reference to "</w:t>
      </w:r>
      <w:r>
        <w:rPr>
          <w:rFonts w:ascii="Arial" w:cs="Arial" w:eastAsia="Arial" w:hAnsi="Arial"/>
          <w:sz w:val="18"/>
          <w:szCs w:val="18"/>
          <w:b w:val="1"/>
          <w:bCs w:val="1"/>
          <w:color w:val="auto"/>
        </w:rPr>
        <w:t>Real Property</w:t>
      </w:r>
      <w:r>
        <w:rPr>
          <w:rFonts w:ascii="Arial" w:cs="Arial" w:eastAsia="Arial" w:hAnsi="Arial"/>
          <w:sz w:val="18"/>
          <w:szCs w:val="18"/>
          <w:color w:val="auto"/>
        </w:rPr>
        <w:t>" includes a reference to all rights from time to time attached or appurtenant thereto and all buildings and Fixtures from time to time therein or thereon;</w:t>
      </w:r>
    </w:p>
    <w:p>
      <w:pPr>
        <w:spacing w:after="0" w:line="183"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color w:val="auto"/>
        </w:rPr>
        <w:t>includes a manager, a receiver and manager and an "</w:t>
      </w:r>
      <w:r>
        <w:rPr>
          <w:rFonts w:ascii="Arial" w:cs="Arial" w:eastAsia="Arial" w:hAnsi="Arial"/>
          <w:sz w:val="18"/>
          <w:szCs w:val="18"/>
          <w:b w:val="1"/>
          <w:bCs w:val="1"/>
          <w:color w:val="auto"/>
        </w:rPr>
        <w:t>administrative receiver</w:t>
      </w:r>
      <w:r>
        <w:rPr>
          <w:rFonts w:ascii="Arial" w:cs="Arial" w:eastAsia="Arial" w:hAnsi="Arial"/>
          <w:sz w:val="18"/>
          <w:szCs w:val="18"/>
          <w:color w:val="auto"/>
        </w:rPr>
        <w:t>" as defined by Section 251 of the Insolvency Act;</w:t>
      </w:r>
    </w:p>
    <w:p>
      <w:pPr>
        <w:spacing w:after="0" w:line="162"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a receiver appointed under this Deed or pursuant to any applicable law, and includes more than one such receiver and any substituted receiver but not an administrative receiver as defined in Section 251 of the Insolvency Act;</w:t>
      </w:r>
    </w:p>
    <w:p>
      <w:pPr>
        <w:spacing w:after="0" w:line="184"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Rights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means:</w:t>
      </w:r>
    </w:p>
    <w:p>
      <w:pPr>
        <w:spacing w:after="0" w:line="67" w:lineRule="exact"/>
        <w:rPr>
          <w:sz w:val="20"/>
          <w:szCs w:val="20"/>
          <w:color w:val="auto"/>
        </w:rPr>
      </w:pPr>
    </w:p>
    <w:p>
      <w:pPr>
        <w:sectPr>
          <w:pgSz w:w="11900" w:h="16838" w:orient="portrait"/>
          <w:cols w:equalWidth="0" w:num="2">
            <w:col w:w="1540" w:space="540"/>
            <w:col w:w="8500"/>
          </w:cols>
          <w:pgMar w:left="980" w:top="125" w:right="339" w:bottom="0" w:gutter="0" w:footer="0" w:header="0"/>
          <w:type w:val="continuous"/>
        </w:sectPr>
      </w:pPr>
    </w:p>
    <w:p>
      <w:pPr>
        <w:jc w:val="both"/>
        <w:ind w:left="3800" w:hanging="499"/>
        <w:spacing w:after="0" w:line="254" w:lineRule="auto"/>
        <w:tabs>
          <w:tab w:leader="none" w:pos="3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all dividends, distributions and other income paid or payable on a Investment, together with all shares or other property derived from any Investment and all other allotments, accretions, rights, benefits and advantages of all kinds accruing, offered or otherwise derived from or incidental to that Investment (whether by way of conversion, redemption, bonus, preference, option or otherwise);</w:t>
      </w:r>
    </w:p>
    <w:p>
      <w:pPr>
        <w:spacing w:after="0" w:line="190" w:lineRule="exact"/>
        <w:rPr>
          <w:sz w:val="20"/>
          <w:szCs w:val="20"/>
          <w:color w:val="auto"/>
        </w:rPr>
      </w:pPr>
    </w:p>
    <w:p>
      <w:pPr>
        <w:ind w:left="3300"/>
        <w:spacing w:after="0"/>
        <w:tabs>
          <w:tab w:leader="none" w:pos="37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in relation to any other Charged Assets:</w:t>
      </w:r>
    </w:p>
    <w:p>
      <w:pPr>
        <w:spacing w:after="0" w:line="225" w:lineRule="exact"/>
        <w:rPr>
          <w:sz w:val="20"/>
          <w:szCs w:val="20"/>
          <w:color w:val="auto"/>
        </w:rPr>
      </w:pPr>
    </w:p>
    <w:p>
      <w:pPr>
        <w:ind w:left="3700"/>
        <w:spacing w:after="0"/>
        <w:tabs>
          <w:tab w:leader="none" w:pos="41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the proceeds of sale, transfer or other disposition of any part of that asset;</w:t>
      </w:r>
    </w:p>
    <w:p>
      <w:pPr>
        <w:spacing w:after="0" w:line="225" w:lineRule="exact"/>
        <w:rPr>
          <w:sz w:val="20"/>
          <w:szCs w:val="20"/>
          <w:color w:val="auto"/>
        </w:rPr>
      </w:pPr>
    </w:p>
    <w:p>
      <w:pPr>
        <w:ind w:left="4200" w:right="20" w:hanging="499"/>
        <w:spacing w:after="0" w:line="277" w:lineRule="auto"/>
        <w:tabs>
          <w:tab w:leader="none" w:pos="41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all rights under any licence, agreement for sale or agreement for lease in respect of that asset;</w:t>
      </w:r>
    </w:p>
    <w:p>
      <w:pPr>
        <w:spacing w:after="0" w:line="170" w:lineRule="exact"/>
        <w:rPr>
          <w:sz w:val="20"/>
          <w:szCs w:val="20"/>
          <w:color w:val="auto"/>
        </w:rPr>
      </w:pPr>
    </w:p>
    <w:p>
      <w:pPr>
        <w:jc w:val="both"/>
        <w:ind w:left="4200" w:hanging="499"/>
        <w:spacing w:after="0" w:line="263" w:lineRule="auto"/>
        <w:tabs>
          <w:tab w:leader="none" w:pos="4180" w:val="left"/>
        </w:tabs>
        <w:rPr>
          <w:sz w:val="20"/>
          <w:szCs w:val="20"/>
          <w:color w:val="auto"/>
        </w:rPr>
      </w:pPr>
      <w:r>
        <w:rPr>
          <w:rFonts w:ascii="Arial" w:cs="Arial" w:eastAsia="Arial" w:hAnsi="Arial"/>
          <w:sz w:val="18"/>
          <w:szCs w:val="18"/>
          <w:color w:val="auto"/>
        </w:rPr>
        <w:t>(iii)</w:t>
        <w:tab/>
        <w:t>all rights, process, benefits, claims, causes of action, contracts, warranties, remedies, security, guarantee, indemnities or covenants for title in respect of or derived from that asset; and/or</w:t>
      </w:r>
    </w:p>
    <w:p>
      <w:pPr>
        <w:spacing w:after="0" w:line="184" w:lineRule="exact"/>
        <w:rPr>
          <w:sz w:val="20"/>
          <w:szCs w:val="20"/>
          <w:color w:val="auto"/>
        </w:rPr>
      </w:pPr>
    </w:p>
    <w:p>
      <w:pPr>
        <w:ind w:left="3700"/>
        <w:spacing w:after="0"/>
        <w:tabs>
          <w:tab w:leader="none" w:pos="4180" w:val="left"/>
        </w:tabs>
        <w:rPr>
          <w:sz w:val="20"/>
          <w:szCs w:val="20"/>
          <w:color w:val="auto"/>
        </w:rPr>
      </w:pPr>
      <w:r>
        <w:rPr>
          <w:rFonts w:ascii="Arial" w:cs="Arial" w:eastAsia="Arial" w:hAnsi="Arial"/>
          <w:sz w:val="18"/>
          <w:szCs w:val="18"/>
          <w:color w:val="auto"/>
        </w:rPr>
        <w:t>(iv)</w:t>
        <w:tab/>
        <w:t>any income, moneys and proceeds paid or payable in respect of that asset;</w:t>
      </w:r>
    </w:p>
    <w:p>
      <w:pPr>
        <w:sectPr>
          <w:pgSz w:w="11900" w:h="16838" w:orient="portrait"/>
          <w:cols w:equalWidth="0" w:num="1">
            <w:col w:w="10580"/>
          </w:cols>
          <w:pgMar w:left="980" w:top="125" w:right="339"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Charged Assets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means such part or parts of the Charged Assets in respect of which a Receiver has been appointed;</w:t>
      </w:r>
    </w:p>
    <w:p>
      <w:pPr>
        <w:spacing w:after="0" w:line="200" w:lineRule="exact"/>
        <w:rPr>
          <w:sz w:val="20"/>
          <w:szCs w:val="20"/>
          <w:color w:val="auto"/>
        </w:rPr>
      </w:pPr>
    </w:p>
    <w:p>
      <w:pPr>
        <w:sectPr>
          <w:pgSz w:w="11900" w:h="16838" w:orient="portrait"/>
          <w:cols w:equalWidth="0" w:num="2">
            <w:col w:w="2520" w:space="720"/>
            <w:col w:w="7340"/>
          </w:cols>
          <w:pgMar w:left="980" w:top="125" w:right="33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 of Law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2">
            <w:col w:w="2520" w:space="720"/>
            <w:col w:w="7340"/>
          </w:cols>
          <w:pgMar w:left="980" w:top="125" w:right="339" w:bottom="0" w:gutter="0" w:footer="0" w:header="0"/>
          <w:type w:val="continuous"/>
        </w:sectPr>
      </w:pPr>
    </w:p>
    <w:bookmarkStart w:id="531" w:name="page532"/>
    <w:bookmarkEnd w:id="531"/>
    <w:tbl>
      <w:tblPr>
        <w:tblLayout w:type="fixed"/>
        <w:tblInd w:w="660" w:type="dxa"/>
        <w:tblCellMar>
          <w:top w:w="0" w:type="dxa"/>
          <w:left w:w="0" w:type="dxa"/>
          <w:bottom w:w="0" w:type="dxa"/>
          <w:right w:w="0" w:type="dxa"/>
        </w:tblCellMar>
      </w:tblPr>
      <w:tr>
        <w:trPr>
          <w:trHeight w:val="220"/>
        </w:trPr>
        <w:tc>
          <w:tcPr>
            <w:tcW w:w="2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w:t>
            </w: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2"/>
              </w:rPr>
              <w:t>has the meaning given to it in the Loan Agreement but, for the avoidance of doubt, shall also include</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2"/>
              </w:rPr>
              <w:t>all legal and other costs, charges and expenses and any other Loss which the Collateral Agent , any</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1"/>
              </w:rPr>
              <w:t>other Secured Party, any Receiver or any Delegate may incur in enforcing or obtaining, or attempting</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4"/>
              </w:rPr>
              <w:t>to enforce or obtain, payment of any such moneys and liabilities to the extent such costs, charges,</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1"/>
              </w:rPr>
              <w:t>expenses and other Losses are of the type reimbursable by the Borrowers pursuant to Section 11.03</w:t>
            </w:r>
          </w:p>
        </w:tc>
      </w:tr>
      <w:tr>
        <w:trPr>
          <w:trHeight w:val="230"/>
        </w:trPr>
        <w:tc>
          <w:tcPr>
            <w:tcW w:w="2460" w:type="dxa"/>
            <w:vAlign w:val="bottom"/>
          </w:tcPr>
          <w:p>
            <w:pPr>
              <w:spacing w:after="0"/>
              <w:rPr>
                <w:sz w:val="20"/>
                <w:szCs w:val="20"/>
                <w:color w:val="auto"/>
              </w:rPr>
            </w:pPr>
          </w:p>
        </w:tc>
        <w:tc>
          <w:tcPr>
            <w:tcW w:w="8120" w:type="dxa"/>
            <w:vAlign w:val="bottom"/>
          </w:tcPr>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tc>
      </w:tr>
      <w:tr>
        <w:trPr>
          <w:trHeight w:val="432"/>
        </w:trPr>
        <w:tc>
          <w:tcPr>
            <w:tcW w:w="2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w:t>
            </w:r>
          </w:p>
        </w:tc>
        <w:tc>
          <w:tcPr>
            <w:tcW w:w="8120" w:type="dxa"/>
            <w:vAlign w:val="bottom"/>
          </w:tcPr>
          <w:p>
            <w:pPr>
              <w:ind w:left="780"/>
              <w:spacing w:after="0"/>
              <w:rPr>
                <w:sz w:val="20"/>
                <w:szCs w:val="20"/>
                <w:color w:val="auto"/>
              </w:rPr>
            </w:pPr>
            <w:r>
              <w:rPr>
                <w:rFonts w:ascii="Arial" w:cs="Arial" w:eastAsia="Arial" w:hAnsi="Arial"/>
                <w:sz w:val="18"/>
                <w:szCs w:val="18"/>
                <w:color w:val="auto"/>
              </w:rPr>
              <w:t>has the meaning given to it in the Loan Agreement;</w:t>
            </w: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w:t>
            </w:r>
          </w:p>
        </w:tc>
        <w:tc>
          <w:tcPr>
            <w:tcW w:w="8120" w:type="dxa"/>
            <w:vAlign w:val="bottom"/>
          </w:tcPr>
          <w:p>
            <w:pPr>
              <w:jc w:val="center"/>
              <w:ind w:left="690"/>
              <w:spacing w:after="0" w:line="207" w:lineRule="exact"/>
              <w:rPr>
                <w:sz w:val="20"/>
                <w:szCs w:val="20"/>
                <w:color w:val="auto"/>
              </w:rPr>
            </w:pPr>
            <w:r>
              <w:rPr>
                <w:rFonts w:ascii="Arial" w:cs="Arial" w:eastAsia="Arial" w:hAnsi="Arial"/>
                <w:sz w:val="18"/>
                <w:szCs w:val="18"/>
                <w:color w:val="auto"/>
                <w:w w:val="89"/>
              </w:rPr>
              <w:t>means any mortgage or sub</w:t>
            </w:r>
            <w:r>
              <w:rPr>
                <w:rFonts w:ascii="MS PGothic" w:cs="MS PGothic" w:eastAsia="MS PGothic" w:hAnsi="MS PGothic"/>
                <w:sz w:val="18"/>
                <w:szCs w:val="18"/>
                <w:color w:val="auto"/>
                <w:w w:val="89"/>
              </w:rPr>
              <w:t>‑</w:t>
            </w:r>
            <w:r>
              <w:rPr>
                <w:rFonts w:ascii="Arial" w:cs="Arial" w:eastAsia="Arial" w:hAnsi="Arial"/>
                <w:sz w:val="18"/>
                <w:szCs w:val="18"/>
                <w:color w:val="auto"/>
                <w:w w:val="89"/>
              </w:rPr>
              <w:t>mortgage, standard security, fixed or floating charge or sub</w:t>
            </w:r>
            <w:r>
              <w:rPr>
                <w:rFonts w:ascii="MS PGothic" w:cs="MS PGothic" w:eastAsia="MS PGothic" w:hAnsi="MS PGothic"/>
                <w:sz w:val="18"/>
                <w:szCs w:val="18"/>
                <w:color w:val="auto"/>
                <w:w w:val="89"/>
              </w:rPr>
              <w:t>‑</w:t>
            </w:r>
            <w:r>
              <w:rPr>
                <w:rFonts w:ascii="Arial" w:cs="Arial" w:eastAsia="Arial" w:hAnsi="Arial"/>
                <w:sz w:val="18"/>
                <w:szCs w:val="18"/>
                <w:color w:val="auto"/>
                <w:w w:val="89"/>
              </w:rPr>
              <w:t>charge,</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1"/>
              </w:rPr>
              <w:t>pledge, lien, assignment or assignation by way of security or subject to a proviso for redemption,</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0"/>
              </w:rPr>
              <w:t>encumbrance, hypothecation, retention of title, or other security interest whatsoever howsoever</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0"/>
              </w:rPr>
              <w:t>created or arising and its equivalent or analogue whatever called in any other jurisdiction, and any</w:t>
            </w:r>
          </w:p>
        </w:tc>
      </w:tr>
      <w:tr>
        <w:trPr>
          <w:trHeight w:val="212"/>
        </w:trPr>
        <w:tc>
          <w:tcPr>
            <w:tcW w:w="2460" w:type="dxa"/>
            <w:vAlign w:val="bottom"/>
          </w:tcPr>
          <w:p>
            <w:pPr>
              <w:spacing w:after="0"/>
              <w:rPr>
                <w:sz w:val="18"/>
                <w:szCs w:val="18"/>
                <w:color w:val="auto"/>
              </w:rPr>
            </w:pPr>
          </w:p>
        </w:tc>
        <w:tc>
          <w:tcPr>
            <w:tcW w:w="8120" w:type="dxa"/>
            <w:vAlign w:val="bottom"/>
          </w:tcPr>
          <w:p>
            <w:pPr>
              <w:jc w:val="center"/>
              <w:ind w:left="670"/>
              <w:spacing w:after="0"/>
              <w:rPr>
                <w:sz w:val="20"/>
                <w:szCs w:val="20"/>
                <w:color w:val="auto"/>
              </w:rPr>
            </w:pPr>
            <w:r>
              <w:rPr>
                <w:rFonts w:ascii="Arial" w:cs="Arial" w:eastAsia="Arial" w:hAnsi="Arial"/>
                <w:sz w:val="18"/>
                <w:szCs w:val="18"/>
                <w:color w:val="auto"/>
                <w:w w:val="90"/>
              </w:rPr>
              <w:t>agreement or arrangement having substantially the same economic or financial effect as any of the</w:t>
            </w:r>
          </w:p>
        </w:tc>
      </w:tr>
      <w:tr>
        <w:trPr>
          <w:trHeight w:val="220"/>
        </w:trPr>
        <w:tc>
          <w:tcPr>
            <w:tcW w:w="2460" w:type="dxa"/>
            <w:vAlign w:val="bottom"/>
          </w:tcPr>
          <w:p>
            <w:pPr>
              <w:spacing w:after="0"/>
              <w:rPr>
                <w:sz w:val="19"/>
                <w:szCs w:val="19"/>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0"/>
              </w:rPr>
              <w:t>foregoing (including any "</w:t>
            </w:r>
            <w:r>
              <w:rPr>
                <w:rFonts w:ascii="Arial" w:cs="Arial" w:eastAsia="Arial" w:hAnsi="Arial"/>
                <w:sz w:val="18"/>
                <w:szCs w:val="18"/>
                <w:b w:val="1"/>
                <w:bCs w:val="1"/>
                <w:color w:val="auto"/>
                <w:w w:val="90"/>
              </w:rPr>
              <w:t>hold back</w:t>
            </w:r>
            <w:r>
              <w:rPr>
                <w:rFonts w:ascii="Arial" w:cs="Arial" w:eastAsia="Arial" w:hAnsi="Arial"/>
                <w:sz w:val="18"/>
                <w:szCs w:val="18"/>
                <w:color w:val="auto"/>
                <w:w w:val="90"/>
              </w:rPr>
              <w:t>" or "</w:t>
            </w:r>
            <w:r>
              <w:rPr>
                <w:rFonts w:ascii="Arial" w:cs="Arial" w:eastAsia="Arial" w:hAnsi="Arial"/>
                <w:sz w:val="18"/>
                <w:szCs w:val="18"/>
                <w:b w:val="1"/>
                <w:bCs w:val="1"/>
                <w:color w:val="auto"/>
                <w:w w:val="90"/>
              </w:rPr>
              <w:t>flawed asset</w:t>
            </w:r>
            <w:r>
              <w:rPr>
                <w:rFonts w:ascii="Arial" w:cs="Arial" w:eastAsia="Arial" w:hAnsi="Arial"/>
                <w:sz w:val="18"/>
                <w:szCs w:val="18"/>
                <w:color w:val="auto"/>
                <w:w w:val="90"/>
              </w:rPr>
              <w:t>" arrangement) and any secured interest,</w:t>
            </w:r>
          </w:p>
        </w:tc>
      </w:tr>
      <w:tr>
        <w:trPr>
          <w:trHeight w:val="216"/>
        </w:trPr>
        <w:tc>
          <w:tcPr>
            <w:tcW w:w="2460" w:type="dxa"/>
            <w:vAlign w:val="bottom"/>
          </w:tcPr>
          <w:p>
            <w:pPr>
              <w:spacing w:after="0"/>
              <w:rPr>
                <w:sz w:val="18"/>
                <w:szCs w:val="18"/>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0"/>
              </w:rPr>
              <w:t>agreement or arrangement analogous to any of the foregoing arising under the laws of any other</w:t>
            </w:r>
          </w:p>
        </w:tc>
      </w:tr>
      <w:tr>
        <w:trPr>
          <w:trHeight w:val="230"/>
        </w:trPr>
        <w:tc>
          <w:tcPr>
            <w:tcW w:w="2460" w:type="dxa"/>
            <w:vAlign w:val="bottom"/>
          </w:tcPr>
          <w:p>
            <w:pPr>
              <w:spacing w:after="0"/>
              <w:rPr>
                <w:sz w:val="20"/>
                <w:szCs w:val="20"/>
                <w:color w:val="auto"/>
              </w:rPr>
            </w:pPr>
          </w:p>
        </w:tc>
        <w:tc>
          <w:tcPr>
            <w:tcW w:w="8120" w:type="dxa"/>
            <w:vAlign w:val="bottom"/>
          </w:tcPr>
          <w:p>
            <w:pPr>
              <w:jc w:val="center"/>
              <w:ind w:left="690"/>
              <w:spacing w:after="0"/>
              <w:rPr>
                <w:sz w:val="20"/>
                <w:szCs w:val="20"/>
                <w:color w:val="auto"/>
              </w:rPr>
            </w:pPr>
            <w:r>
              <w:rPr>
                <w:rFonts w:ascii="Arial" w:cs="Arial" w:eastAsia="Arial" w:hAnsi="Arial"/>
                <w:sz w:val="18"/>
                <w:szCs w:val="18"/>
                <w:color w:val="auto"/>
                <w:w w:val="95"/>
              </w:rPr>
              <w:t>jurisdiction;</w:t>
            </w:r>
          </w:p>
        </w:tc>
      </w:tr>
    </w:tbl>
    <w:p>
      <w:pPr>
        <w:spacing w:after="0" w:line="198" w:lineRule="exact"/>
        <w:rPr>
          <w:sz w:val="20"/>
          <w:szCs w:val="20"/>
          <w:color w:val="auto"/>
        </w:rPr>
      </w:pPr>
    </w:p>
    <w:p>
      <w:pPr>
        <w:sectPr>
          <w:pgSz w:w="11900" w:h="16838" w:orient="portrait"/>
          <w:cols w:equalWidth="0" w:num="1">
            <w:col w:w="11240"/>
          </w:cols>
          <w:pgMar w:left="320" w:top="121" w:right="339" w:bottom="0" w:gutter="0" w:footer="0" w:header="0"/>
        </w:sect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Deed, unless otherwise specified:</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Arial" w:cs="Arial" w:eastAsia="Arial" w:hAnsi="Arial"/>
          <w:sz w:val="18"/>
          <w:szCs w:val="18"/>
          <w:color w:val="auto"/>
        </w:rPr>
        <w:t>has the meaning given to it in the Loan Agreement and “</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Taxation</w:t>
      </w:r>
      <w:r>
        <w:rPr>
          <w:rFonts w:ascii="Arial" w:cs="Arial" w:eastAsia="Arial" w:hAnsi="Arial"/>
          <w:sz w:val="18"/>
          <w:szCs w:val="18"/>
          <w:color w:val="auto"/>
        </w:rPr>
        <w:t>” shall be constructed accordingly;</w:t>
      </w:r>
    </w:p>
    <w:p>
      <w:pPr>
        <w:spacing w:after="0" w:line="572" w:lineRule="exact"/>
        <w:rPr>
          <w:sz w:val="20"/>
          <w:szCs w:val="20"/>
          <w:color w:val="auto"/>
        </w:rPr>
      </w:pPr>
    </w:p>
    <w:p>
      <w:pPr>
        <w:sectPr>
          <w:pgSz w:w="11900" w:h="16838" w:orient="portrait"/>
          <w:cols w:equalWidth="0" w:num="2">
            <w:col w:w="3560" w:space="340"/>
            <w:col w:w="7340"/>
          </w:cols>
          <w:pgMar w:left="320" w:top="121" w:right="339" w:bottom="0" w:gutter="0" w:footer="0" w:header="0"/>
          <w:type w:val="continuous"/>
        </w:sectPr>
      </w:pPr>
    </w:p>
    <w:p>
      <w:pPr>
        <w:spacing w:after="0" w:line="21" w:lineRule="exact"/>
        <w:rPr>
          <w:sz w:val="20"/>
          <w:szCs w:val="20"/>
          <w:color w:val="auto"/>
        </w:rPr>
      </w:pPr>
    </w:p>
    <w:p>
      <w:pPr>
        <w:jc w:val="both"/>
        <w:ind w:left="1300" w:hanging="644"/>
        <w:spacing w:after="0" w:line="258" w:lineRule="auto"/>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references to the neuter or to any gender include both genders and the neuter, references to a "</w:t>
      </w:r>
      <w:r>
        <w:rPr>
          <w:rFonts w:ascii="Arial" w:cs="Arial" w:eastAsia="Arial" w:hAnsi="Arial"/>
          <w:sz w:val="18"/>
          <w:szCs w:val="18"/>
          <w:b w:val="1"/>
          <w:bCs w:val="1"/>
          <w:color w:val="auto"/>
        </w:rPr>
        <w:t>company</w:t>
      </w:r>
      <w:r>
        <w:rPr>
          <w:rFonts w:ascii="Arial" w:cs="Arial" w:eastAsia="Arial" w:hAnsi="Arial"/>
          <w:sz w:val="18"/>
          <w:szCs w:val="18"/>
          <w:color w:val="auto"/>
        </w:rPr>
        <w:t>" shall be construed so as to include any company, corporation or other body corporate, wherever and however incorporated or established, and references to a "</w:t>
      </w:r>
      <w:r>
        <w:rPr>
          <w:rFonts w:ascii="Arial" w:cs="Arial" w:eastAsia="Arial" w:hAnsi="Arial"/>
          <w:sz w:val="18"/>
          <w:szCs w:val="18"/>
          <w:b w:val="1"/>
          <w:bCs w:val="1"/>
          <w:color w:val="auto"/>
        </w:rPr>
        <w:t>person</w:t>
      </w:r>
      <w:r>
        <w:rPr>
          <w:rFonts w:ascii="Arial" w:cs="Arial" w:eastAsia="Arial" w:hAnsi="Arial"/>
          <w:sz w:val="18"/>
          <w:szCs w:val="18"/>
          <w:color w:val="auto"/>
        </w:rPr>
        <w:t>" include any individual, firm, partnership, body corporate, unincorporated association, government, state or agency of a state, local or municipal authority or government body, trust, foundation, joint venture or association (in each case whether or not having separate legal personality);</w:t>
      </w:r>
    </w:p>
    <w:p>
      <w:pPr>
        <w:spacing w:after="0" w:line="187" w:lineRule="exact"/>
        <w:rPr>
          <w:rFonts w:ascii="Arial" w:cs="Arial" w:eastAsia="Arial" w:hAnsi="Arial"/>
          <w:sz w:val="18"/>
          <w:szCs w:val="18"/>
          <w:color w:val="auto"/>
        </w:rPr>
      </w:pPr>
    </w:p>
    <w:p>
      <w:pPr>
        <w:jc w:val="both"/>
        <w:ind w:left="1300" w:hanging="644"/>
        <w:spacing w:after="0" w:line="220" w:lineRule="exact"/>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references to parties, Clauses, sub</w:t>
      </w:r>
      <w:r>
        <w:rPr>
          <w:rFonts w:ascii="MS PGothic" w:cs="MS PGothic" w:eastAsia="MS PGothic" w:hAnsi="MS PGothic"/>
          <w:sz w:val="18"/>
          <w:szCs w:val="18"/>
          <w:color w:val="auto"/>
        </w:rPr>
        <w:t>‑</w:t>
      </w:r>
      <w:r>
        <w:rPr>
          <w:rFonts w:ascii="Arial" w:cs="Arial" w:eastAsia="Arial" w:hAnsi="Arial"/>
          <w:sz w:val="18"/>
          <w:szCs w:val="18"/>
          <w:color w:val="auto"/>
        </w:rPr>
        <w:t>Clauses, paragraphs, sub</w:t>
      </w:r>
      <w:r>
        <w:rPr>
          <w:rFonts w:ascii="MS PGothic" w:cs="MS PGothic" w:eastAsia="MS PGothic" w:hAnsi="MS PGothic"/>
          <w:sz w:val="18"/>
          <w:szCs w:val="18"/>
          <w:color w:val="auto"/>
        </w:rPr>
        <w:t>‑</w:t>
      </w:r>
      <w:r>
        <w:rPr>
          <w:rFonts w:ascii="Arial" w:cs="Arial" w:eastAsia="Arial" w:hAnsi="Arial"/>
          <w:sz w:val="18"/>
          <w:szCs w:val="18"/>
          <w:color w:val="auto"/>
        </w:rPr>
        <w:t>paragraphs and Schedules, Exhibits and Annexures are to Clauses, sub</w:t>
      </w:r>
      <w:r>
        <w:rPr>
          <w:rFonts w:ascii="MS PGothic" w:cs="MS PGothic" w:eastAsia="MS PGothic" w:hAnsi="MS PGothic"/>
          <w:sz w:val="18"/>
          <w:szCs w:val="18"/>
          <w:color w:val="auto"/>
        </w:rPr>
        <w:t>‑</w:t>
      </w:r>
      <w:r>
        <w:rPr>
          <w:rFonts w:ascii="Arial" w:cs="Arial" w:eastAsia="Arial" w:hAnsi="Arial"/>
          <w:sz w:val="18"/>
          <w:szCs w:val="18"/>
          <w:color w:val="auto"/>
        </w:rPr>
        <w:t>Clauses and paragraphs and sub</w:t>
      </w:r>
      <w:r>
        <w:rPr>
          <w:rFonts w:ascii="MS PGothic" w:cs="MS PGothic" w:eastAsia="MS PGothic" w:hAnsi="MS PGothic"/>
          <w:sz w:val="18"/>
          <w:szCs w:val="18"/>
          <w:color w:val="auto"/>
        </w:rPr>
        <w:t>‑</w:t>
      </w:r>
      <w:r>
        <w:rPr>
          <w:rFonts w:ascii="Arial" w:cs="Arial" w:eastAsia="Arial" w:hAnsi="Arial"/>
          <w:sz w:val="18"/>
          <w:szCs w:val="18"/>
          <w:color w:val="auto"/>
        </w:rPr>
        <w:t>paragraphs of, and the parties and Schedules to, this Deed, and references to this Deed include a reference to each of its Schedules, Exhibits and Annexures;</w:t>
      </w:r>
    </w:p>
    <w:p>
      <w:pPr>
        <w:spacing w:after="0" w:line="204"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 reference to this Deed, an agreement or other document is a reference to this Deed, that agreement or document as supplemented, amended, novated or replaced from time to time in accordance with its terms, and to any agreement, deed or document executed pursuant thereto;</w:t>
      </w:r>
    </w:p>
    <w:p>
      <w:pPr>
        <w:spacing w:after="0" w:line="179"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include</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 general words introduced by the word "</w:t>
      </w:r>
      <w:r>
        <w:rPr>
          <w:rFonts w:ascii="Arial" w:cs="Arial" w:eastAsia="Arial" w:hAnsi="Arial"/>
          <w:sz w:val="18"/>
          <w:szCs w:val="18"/>
          <w:b w:val="1"/>
          <w:bCs w:val="1"/>
          <w:color w:val="auto"/>
        </w:rPr>
        <w:t>other</w:t>
      </w:r>
      <w:r>
        <w:rPr>
          <w:rFonts w:ascii="Arial" w:cs="Arial" w:eastAsia="Arial" w:hAnsi="Arial"/>
          <w:sz w:val="18"/>
          <w:szCs w:val="18"/>
          <w:color w:val="auto"/>
        </w:rPr>
        <w:t>" are not to be given a restrictive meaning by reason of the fact that they are preceded by words indicating a particular class of acts, matters or things, and general words are not to be given a restrictive meaning by reason of the fact that they are followed by particular examples intended to be embraced by the general words;</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 reference to a "</w:t>
      </w:r>
      <w:r>
        <w:rPr>
          <w:rFonts w:ascii="Arial" w:cs="Arial" w:eastAsia="Arial" w:hAnsi="Arial"/>
          <w:sz w:val="17"/>
          <w:szCs w:val="17"/>
          <w:b w:val="1"/>
          <w:bCs w:val="1"/>
          <w:color w:val="auto"/>
        </w:rPr>
        <w:t>day</w:t>
      </w:r>
      <w:r>
        <w:rPr>
          <w:rFonts w:ascii="Arial" w:cs="Arial" w:eastAsia="Arial" w:hAnsi="Arial"/>
          <w:sz w:val="17"/>
          <w:szCs w:val="17"/>
          <w:color w:val="auto"/>
        </w:rPr>
        <w:t>" means a period of 24 hours running for midnight to midnight; a reference to a time of day is to London time;</w:t>
      </w:r>
    </w:p>
    <w:p>
      <w:pPr>
        <w:spacing w:after="0" w:line="240" w:lineRule="exact"/>
        <w:rPr>
          <w:rFonts w:ascii="Arial" w:cs="Arial" w:eastAsia="Arial" w:hAnsi="Arial"/>
          <w:sz w:val="17"/>
          <w:szCs w:val="17"/>
          <w:color w:val="auto"/>
        </w:rPr>
      </w:pPr>
    </w:p>
    <w:p>
      <w:pPr>
        <w:ind w:left="1300" w:hanging="644"/>
        <w:spacing w:after="0"/>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headings are for convenience only and shall not affect the interpretation of this Deed;</w:t>
      </w:r>
    </w:p>
    <w:p>
      <w:pPr>
        <w:spacing w:after="0" w:line="225" w:lineRule="exact"/>
        <w:rPr>
          <w:rFonts w:ascii="Arial" w:cs="Arial" w:eastAsia="Arial" w:hAnsi="Arial"/>
          <w:sz w:val="18"/>
          <w:szCs w:val="18"/>
          <w:color w:val="auto"/>
        </w:rPr>
      </w:pPr>
    </w:p>
    <w:p>
      <w:pPr>
        <w:jc w:val="both"/>
        <w:ind w:left="1300" w:hanging="644"/>
        <w:spacing w:after="0" w:line="220" w:lineRule="exact"/>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 reference to the provision of any statute, statutory provision, order, instrument, rule or regulation is to that provision as amended or re</w:t>
      </w:r>
      <w:r>
        <w:rPr>
          <w:rFonts w:ascii="MS PGothic" w:cs="MS PGothic" w:eastAsia="MS PGothic" w:hAnsi="MS PGothic"/>
          <w:sz w:val="18"/>
          <w:szCs w:val="18"/>
          <w:color w:val="auto"/>
        </w:rPr>
        <w:t>‑</w:t>
      </w:r>
      <w:r>
        <w:rPr>
          <w:rFonts w:ascii="Arial" w:cs="Arial" w:eastAsia="Arial" w:hAnsi="Arial"/>
          <w:sz w:val="18"/>
          <w:szCs w:val="18"/>
          <w:color w:val="auto"/>
        </w:rPr>
        <w:t>enacted from time to time, any provision of which it is a re</w:t>
      </w:r>
      <w:r>
        <w:rPr>
          <w:rFonts w:ascii="MS PGothic" w:cs="MS PGothic" w:eastAsia="MS PGothic" w:hAnsi="MS PGothic"/>
          <w:sz w:val="18"/>
          <w:szCs w:val="18"/>
          <w:color w:val="auto"/>
        </w:rPr>
        <w:t>‑</w:t>
      </w:r>
      <w:r>
        <w:rPr>
          <w:rFonts w:ascii="Arial" w:cs="Arial" w:eastAsia="Arial" w:hAnsi="Arial"/>
          <w:sz w:val="18"/>
          <w:szCs w:val="18"/>
          <w:color w:val="auto"/>
        </w:rPr>
        <w:t>enactment or consolidation and any order, instrument, rule or regulation at any time made or issued under it;</w:t>
      </w:r>
    </w:p>
    <w:p>
      <w:pPr>
        <w:spacing w:after="0" w:line="200"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word "</w:t>
      </w:r>
      <w:r>
        <w:rPr>
          <w:rFonts w:ascii="Arial" w:cs="Arial" w:eastAsia="Arial" w:hAnsi="Arial"/>
          <w:sz w:val="18"/>
          <w:szCs w:val="18"/>
          <w:b w:val="1"/>
          <w:bCs w:val="1"/>
          <w:color w:val="auto"/>
        </w:rPr>
        <w:t>vary</w:t>
      </w:r>
      <w:r>
        <w:rPr>
          <w:rFonts w:ascii="Arial" w:cs="Arial" w:eastAsia="Arial" w:hAnsi="Arial"/>
          <w:sz w:val="18"/>
          <w:szCs w:val="18"/>
          <w:color w:val="auto"/>
        </w:rPr>
        <w:t>" shall be construed to include amend, modify and supplement, and "</w:t>
      </w:r>
      <w:r>
        <w:rPr>
          <w:rFonts w:ascii="Arial" w:cs="Arial" w:eastAsia="Arial" w:hAnsi="Arial"/>
          <w:sz w:val="18"/>
          <w:szCs w:val="18"/>
          <w:b w:val="1"/>
          <w:bCs w:val="1"/>
          <w:color w:val="auto"/>
        </w:rPr>
        <w:t>variation</w:t>
      </w:r>
      <w:r>
        <w:rPr>
          <w:rFonts w:ascii="Arial" w:cs="Arial" w:eastAsia="Arial" w:hAnsi="Arial"/>
          <w:sz w:val="18"/>
          <w:szCs w:val="18"/>
          <w:color w:val="auto"/>
        </w:rPr>
        <w:t>" and other cognate terms shall be construed accordingly;</w:t>
      </w:r>
    </w:p>
    <w:p>
      <w:pPr>
        <w:spacing w:after="0" w:line="16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 reference to a person shall include references to his permitted successors, transferees (including by novation) and assigns and any person deriving title under or through him, whether in security or otherwise; and any person into which such person may be merged or consolidated, or any company resulting from any merger, conversion or consolidation or any person succeeding to substantially all of the business of that person; and</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is to the lawful currency for the time being of the United States of America;</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 document expressed to be "</w:t>
      </w:r>
      <w:r>
        <w:rPr>
          <w:rFonts w:ascii="Arial" w:cs="Arial" w:eastAsia="Arial" w:hAnsi="Arial"/>
          <w:sz w:val="18"/>
          <w:szCs w:val="18"/>
          <w:b w:val="1"/>
          <w:bCs w:val="1"/>
          <w:color w:val="auto"/>
        </w:rPr>
        <w:t>in the agreed form</w:t>
      </w:r>
      <w:r>
        <w:rPr>
          <w:rFonts w:ascii="Arial" w:cs="Arial" w:eastAsia="Arial" w:hAnsi="Arial"/>
          <w:sz w:val="18"/>
          <w:szCs w:val="18"/>
          <w:color w:val="auto"/>
        </w:rPr>
        <w:t>" means a document in a form which has been agreed by the parties and a copy of which has been identified as such and initialled by or on behalf of each of the parties; and</w:t>
      </w:r>
    </w:p>
    <w:p>
      <w:pPr>
        <w:spacing w:after="0" w:line="16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rights</w:t>
      </w:r>
      <w:r>
        <w:rPr>
          <w:rFonts w:ascii="Arial" w:cs="Arial" w:eastAsia="Arial" w:hAnsi="Arial"/>
          <w:sz w:val="18"/>
          <w:szCs w:val="18"/>
          <w:color w:val="auto"/>
        </w:rPr>
        <w:t>" includes rights, remedies, benefits, authorities, powers, privileges, discretions, claims, remedies, liberties, easements, quasi-easements and appurtenances (in each case, of any nature whatsoever whether under this Deed, by statute, at law or in equity) or otherwise howsoever.</w:t>
      </w:r>
    </w:p>
    <w:p>
      <w:pPr>
        <w:spacing w:after="0" w:line="18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undertakings and other obligations of the Company, Collateral Agent or any other person under this Deed shall at all times be read and construed as subject to the provisions of the Intercreditor Agreement, Loan Agreement and the Guarantee which shall prevail in case of any conflict. Subject to this and to Clause 0 (</w:t>
      </w:r>
      <w:r>
        <w:rPr>
          <w:rFonts w:ascii="Arial" w:cs="Arial" w:eastAsia="Arial" w:hAnsi="Arial"/>
          <w:sz w:val="18"/>
          <w:szCs w:val="18"/>
          <w:i w:val="1"/>
          <w:iCs w:val="1"/>
          <w:color w:val="auto"/>
        </w:rPr>
        <w:t>1.Definitions and</w:t>
      </w:r>
      <w:r>
        <w:rPr>
          <w:rFonts w:ascii="Arial" w:cs="Arial" w:eastAsia="Arial" w:hAnsi="Arial"/>
          <w:sz w:val="18"/>
          <w:szCs w:val="18"/>
          <w:color w:val="auto"/>
        </w:rPr>
        <w:t xml:space="preserve"> </w:t>
      </w:r>
      <w:r>
        <w:rPr>
          <w:rFonts w:ascii="Arial" w:cs="Arial" w:eastAsia="Arial" w:hAnsi="Arial"/>
          <w:sz w:val="18"/>
          <w:szCs w:val="18"/>
          <w:b w:val="1"/>
          <w:bCs w:val="1"/>
          <w:color w:val="auto"/>
        </w:rPr>
        <w:t>INTERPRETATION</w:t>
      </w:r>
      <w:r>
        <w:rPr>
          <w:rFonts w:ascii="Arial" w:cs="Arial" w:eastAsia="Arial" w:hAnsi="Arial"/>
          <w:sz w:val="18"/>
          <w:szCs w:val="18"/>
          <w:color w:val="auto"/>
        </w:rPr>
        <w:t>), if there is any conflict or inconsistency between the provisions of this Deed and any other Loan Document, the provisions of this Deed shall prevail.</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terms of this Deed shall not operate or be construed so as to prohibit or restrict any transaction or matter that is permitted by the Loan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For the purpose of section 2 of the Law of Property (Miscellaneous Provisions) Act 1989, this Deed incorporates all the terms of the Loan</w:t>
      </w:r>
    </w:p>
    <w:p>
      <w:pPr>
        <w:sectPr>
          <w:pgSz w:w="11900" w:h="16838" w:orient="portrait"/>
          <w:cols w:equalWidth="0" w:num="1">
            <w:col w:w="11240"/>
          </w:cols>
          <w:pgMar w:left="320" w:top="121" w:right="339" w:bottom="0" w:gutter="0" w:footer="0" w:header="0"/>
          <w:type w:val="continuous"/>
        </w:sectPr>
      </w:pPr>
    </w:p>
    <w:bookmarkStart w:id="532" w:name="page533"/>
    <w:bookmarkEnd w:id="532"/>
    <w:p>
      <w:pPr>
        <w:ind w:left="660"/>
        <w:spacing w:after="0"/>
        <w:rPr>
          <w:sz w:val="20"/>
          <w:szCs w:val="20"/>
          <w:color w:val="auto"/>
        </w:rPr>
      </w:pPr>
      <w:r>
        <w:rPr>
          <w:rFonts w:ascii="Arial" w:cs="Arial" w:eastAsia="Arial" w:hAnsi="Arial"/>
          <w:sz w:val="18"/>
          <w:szCs w:val="18"/>
          <w:color w:val="auto"/>
        </w:rPr>
        <w:t>Agreement and the other Loan Documents.</w:t>
      </w:r>
    </w:p>
    <w:p>
      <w:pPr>
        <w:spacing w:after="0" w:line="221" w:lineRule="exact"/>
        <w:rPr>
          <w:sz w:val="20"/>
          <w:szCs w:val="20"/>
          <w:color w:val="auto"/>
        </w:rPr>
      </w:pPr>
    </w:p>
    <w:p>
      <w:pPr>
        <w:ind w:left="660" w:hanging="652"/>
        <w:spacing w:after="0"/>
        <w:tabs>
          <w:tab w:leader="none" w:pos="660" w:val="left"/>
        </w:tabs>
        <w:numPr>
          <w:ilvl w:val="0"/>
          <w:numId w:val="554"/>
        </w:numPr>
        <w:rPr>
          <w:rFonts w:ascii="Arial" w:cs="Arial" w:eastAsia="Arial" w:hAnsi="Arial"/>
          <w:sz w:val="18"/>
          <w:szCs w:val="18"/>
          <w:color w:val="auto"/>
        </w:rPr>
      </w:pPr>
      <w:r>
        <w:rPr>
          <w:rFonts w:ascii="Arial" w:cs="Arial" w:eastAsia="Arial" w:hAnsi="Arial"/>
          <w:sz w:val="18"/>
          <w:szCs w:val="18"/>
          <w:b w:val="1"/>
          <w:bCs w:val="1"/>
          <w:color w:val="auto"/>
        </w:rPr>
        <w:t>TRUST</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Collateral Agent shall hold, and hereby declares that it shall hold, the benefit of the Charges and the benefit of all representations, warranties, covenants and undertakings under this Deed on trust for the Secured Parties on and subject to the terms of this Deed and the Company hereby acknowledges such trusts.</w:t>
      </w:r>
    </w:p>
    <w:p>
      <w:pPr>
        <w:spacing w:after="0" w:line="184"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In this Deed the Collateral Agent acts under the authority of the Secured Parties contained in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 of the Loan Agreement and in accordance with, subject to and with the full benefit of the provisions of such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w:t>
      </w:r>
    </w:p>
    <w:p>
      <w:pPr>
        <w:spacing w:after="0" w:line="142" w:lineRule="exact"/>
        <w:rPr>
          <w:sz w:val="20"/>
          <w:szCs w:val="20"/>
          <w:color w:val="auto"/>
        </w:rPr>
      </w:pPr>
    </w:p>
    <w:p>
      <w:pPr>
        <w:ind w:left="660" w:hanging="652"/>
        <w:spacing w:after="0"/>
        <w:tabs>
          <w:tab w:leader="none" w:pos="660" w:val="left"/>
        </w:tabs>
        <w:numPr>
          <w:ilvl w:val="0"/>
          <w:numId w:val="555"/>
        </w:numPr>
        <w:rPr>
          <w:rFonts w:ascii="Arial" w:cs="Arial" w:eastAsia="Arial" w:hAnsi="Arial"/>
          <w:sz w:val="18"/>
          <w:szCs w:val="18"/>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Reference is made to the Intercreditor Agreement. Each Secured Party, of its acceptance of the benefits of this Deed (a) consents to the 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78"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167" w:lineRule="exact"/>
        <w:rPr>
          <w:sz w:val="20"/>
          <w:szCs w:val="20"/>
          <w:color w:val="auto"/>
        </w:rPr>
      </w:pPr>
    </w:p>
    <w:p>
      <w:pPr>
        <w:ind w:left="660" w:hanging="652"/>
        <w:spacing w:after="0"/>
        <w:tabs>
          <w:tab w:leader="none" w:pos="660"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ABL DEED OF CHARGE AND ASSIGNMENT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All security created under this Deed does not affect the security created by the ABL Deed of Charge and Assignment.</w:t>
      </w:r>
    </w:p>
    <w:p>
      <w:pPr>
        <w:spacing w:after="0" w:line="22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Notwithstanding any provision of this Deed, provided that the Company is in compliance with the terms of the ABL Deed of Charge and Assignment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Company will be deemed to have complied with the relevant obligations under this Deed by virtue of its compliance under the ABL Deed of Charge and Assignment, provided however that, in the event that the terms of the ABL Deed of Charge and Assignment no longer continue to be in full force and effect or the ABL Deed of Charge and Assignment is released or discharged (or as otherwise required by the Intercreditor Agreement) the Company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162" w:lineRule="exact"/>
        <w:rPr>
          <w:sz w:val="20"/>
          <w:szCs w:val="20"/>
          <w:color w:val="auto"/>
        </w:rPr>
      </w:pPr>
    </w:p>
    <w:p>
      <w:pPr>
        <w:ind w:left="660" w:hanging="652"/>
        <w:spacing w:after="0"/>
        <w:tabs>
          <w:tab w:leader="none" w:pos="66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t>COVENANT TO PAY</w:t>
      </w:r>
    </w:p>
    <w:p>
      <w:pPr>
        <w:spacing w:after="0" w:line="235" w:lineRule="exact"/>
        <w:rPr>
          <w:sz w:val="20"/>
          <w:szCs w:val="20"/>
          <w:color w:val="auto"/>
        </w:rPr>
      </w:pPr>
    </w:p>
    <w:p>
      <w:pPr>
        <w:jc w:val="both"/>
        <w:ind w:left="660"/>
        <w:spacing w:after="0" w:line="308" w:lineRule="auto"/>
        <w:rPr>
          <w:sz w:val="20"/>
          <w:szCs w:val="20"/>
          <w:color w:val="auto"/>
        </w:rPr>
      </w:pPr>
      <w:r>
        <w:rPr>
          <w:rFonts w:ascii="Arial" w:cs="Arial" w:eastAsia="Arial" w:hAnsi="Arial"/>
          <w:sz w:val="19"/>
          <w:szCs w:val="19"/>
          <w:color w:val="auto"/>
        </w:rPr>
        <w:t>Subject to any limits on its liability and any grace periods specifically recorded in the Loan Documents, the Company covenants with the Collateral Agent duly and punctually to pay or discharge all Secured Obligations which may from time to time be or become due, owing, incurred or payable by the Company (whether as principal or surety and whether or not jointly with another) to or to the order of the Collateral Agent under, pursuant to or in connection with the Loan Agreement and/or this Deed, as applicable, in each case at the times when, and in the currency or currencies and in the manner in which, they are expressed to be due, owing, incurred or payable herein or therein.</w:t>
      </w:r>
    </w:p>
    <w:p>
      <w:pPr>
        <w:spacing w:after="0" w:line="143" w:lineRule="exact"/>
        <w:rPr>
          <w:sz w:val="20"/>
          <w:szCs w:val="20"/>
          <w:color w:val="auto"/>
        </w:rPr>
      </w:pPr>
    </w:p>
    <w:p>
      <w:pPr>
        <w:ind w:left="660" w:hanging="652"/>
        <w:spacing w:after="0"/>
        <w:tabs>
          <w:tab w:leader="none" w:pos="660" w:val="left"/>
        </w:tabs>
        <w:numPr>
          <w:ilvl w:val="0"/>
          <w:numId w:val="558"/>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Real Property</w:t>
      </w:r>
    </w:p>
    <w:p>
      <w:pPr>
        <w:spacing w:after="0" w:line="229" w:lineRule="exact"/>
        <w:rPr>
          <w:sz w:val="20"/>
          <w:szCs w:val="20"/>
          <w:color w:val="auto"/>
        </w:rPr>
      </w:pPr>
    </w:p>
    <w:p>
      <w:pPr>
        <w:jc w:val="both"/>
        <w:ind w:left="660"/>
        <w:spacing w:after="0" w:line="330" w:lineRule="auto"/>
        <w:rPr>
          <w:sz w:val="20"/>
          <w:szCs w:val="20"/>
          <w:color w:val="auto"/>
        </w:rPr>
      </w:pPr>
      <w:r>
        <w:rPr>
          <w:rFonts w:ascii="Arial" w:cs="Arial" w:eastAsia="Arial" w:hAnsi="Arial"/>
          <w:sz w:val="19"/>
          <w:szCs w:val="19"/>
          <w:color w:val="auto"/>
        </w:rPr>
        <w:t>Subject to Clause 0 (</w:t>
      </w:r>
      <w:r>
        <w:rPr>
          <w:rFonts w:ascii="Arial" w:cs="Arial" w:eastAsia="Arial" w:hAnsi="Arial"/>
          <w:sz w:val="19"/>
          <w:szCs w:val="19"/>
          <w:i w:val="1"/>
          <w:iCs w:val="1"/>
          <w:color w:val="auto"/>
        </w:rPr>
        <w:t>6.9 Excluded</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the Company hereby charges by way of fixed continuing security to and in favour of the Collateral Agent for the payment and discharge of the Secured Obligations all its right, title, interest and benefit from time to time, present and future, in and to all of its present and future Material Real Property.</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Mortgages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Subject to Clause 0 (</w:t>
      </w:r>
      <w:r>
        <w:rPr>
          <w:rFonts w:ascii="Arial" w:cs="Arial" w:eastAsia="Arial" w:hAnsi="Arial"/>
          <w:sz w:val="22"/>
          <w:szCs w:val="22"/>
          <w:i w:val="1"/>
          <w:iCs w:val="1"/>
          <w:color w:val="auto"/>
        </w:rPr>
        <w:t>6.9 Excluded</w:t>
      </w:r>
      <w:r>
        <w:rPr>
          <w:rFonts w:ascii="Arial" w:cs="Arial" w:eastAsia="Arial" w:hAnsi="Arial"/>
          <w:sz w:val="22"/>
          <w:szCs w:val="22"/>
          <w:color w:val="auto"/>
        </w:rPr>
        <w:t xml:space="preserve"> </w:t>
      </w:r>
      <w:r>
        <w:rPr>
          <w:rFonts w:ascii="Arial" w:cs="Arial" w:eastAsia="Arial" w:hAnsi="Arial"/>
          <w:sz w:val="22"/>
          <w:szCs w:val="22"/>
          <w:b w:val="1"/>
          <w:bCs w:val="1"/>
          <w:color w:val="auto"/>
        </w:rPr>
        <w:t>Property</w:t>
      </w:r>
      <w:r>
        <w:rPr>
          <w:rFonts w:ascii="Arial" w:cs="Arial" w:eastAsia="Arial" w:hAnsi="Arial"/>
          <w:sz w:val="22"/>
          <w:szCs w:val="22"/>
          <w:color w:val="auto"/>
        </w:rPr>
        <w:t>), the Company hereby assigns by way of fixed continuing mortgage to and in favour of the Collateral Agent for the payment and discharge of the Secured Obligations all its right, title, interest and benefit from time to time, present and future, in, to, under and in respect of each of all its present and future Investments.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Fixed Charges</w:t>
      </w:r>
    </w:p>
    <w:p>
      <w:pPr>
        <w:spacing w:after="0" w:line="229"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Subject to Clause 0 (</w:t>
      </w:r>
      <w:r>
        <w:rPr>
          <w:rFonts w:ascii="Arial" w:cs="Arial" w:eastAsia="Arial" w:hAnsi="Arial"/>
          <w:sz w:val="21"/>
          <w:szCs w:val="21"/>
          <w:i w:val="1"/>
          <w:iCs w:val="1"/>
          <w:color w:val="auto"/>
        </w:rPr>
        <w:t>6.9 Excluded</w:t>
      </w:r>
      <w:r>
        <w:rPr>
          <w:rFonts w:ascii="Arial" w:cs="Arial" w:eastAsia="Arial" w:hAnsi="Arial"/>
          <w:sz w:val="21"/>
          <w:szCs w:val="21"/>
          <w:color w:val="auto"/>
        </w:rPr>
        <w:t xml:space="preserve"> </w:t>
      </w:r>
      <w:r>
        <w:rPr>
          <w:rFonts w:ascii="Arial" w:cs="Arial" w:eastAsia="Arial" w:hAnsi="Arial"/>
          <w:sz w:val="21"/>
          <w:szCs w:val="21"/>
          <w:b w:val="1"/>
          <w:bCs w:val="1"/>
          <w:color w:val="auto"/>
        </w:rPr>
        <w:t>Property</w:t>
      </w:r>
      <w:r>
        <w:rPr>
          <w:rFonts w:ascii="Arial" w:cs="Arial" w:eastAsia="Arial" w:hAnsi="Arial"/>
          <w:sz w:val="21"/>
          <w:szCs w:val="21"/>
          <w:color w:val="auto"/>
        </w:rPr>
        <w:t>), the Company hereby charges by way of fixed continuing security to and in favour of the Collateral Agent for the payment and discharge of the Secured Obligations all its right, title, interest and benefit from time to time, present and future, in, to and in respect of each of the following:</w:t>
      </w:r>
    </w:p>
    <w:p>
      <w:pPr>
        <w:sectPr>
          <w:pgSz w:w="11900" w:h="16838" w:orient="portrait"/>
          <w:cols w:equalWidth="0" w:num="1">
            <w:col w:w="11240"/>
          </w:cols>
          <w:pgMar w:left="320" w:top="125" w:right="339" w:bottom="0" w:gutter="0" w:footer="0" w:header="0"/>
        </w:sectPr>
      </w:pPr>
    </w:p>
    <w:p>
      <w:pPr>
        <w:spacing w:after="0" w:line="159" w:lineRule="exact"/>
        <w:rPr>
          <w:sz w:val="20"/>
          <w:szCs w:val="20"/>
          <w:color w:val="auto"/>
        </w:rPr>
      </w:pPr>
    </w:p>
    <w:p>
      <w:pPr>
        <w:ind w:left="1300" w:hanging="644"/>
        <w:spacing w:after="0" w:line="277" w:lineRule="auto"/>
        <w:tabs>
          <w:tab w:leader="none" w:pos="13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all funds from time to time standing to the credit of a Bank Account, together with all entitlements to interest and other Related Rights from time to time accruing to or arising in connection with sums;</w:t>
      </w:r>
    </w:p>
    <w:p>
      <w:pPr>
        <w:sectPr>
          <w:pgSz w:w="11900" w:h="16838" w:orient="portrait"/>
          <w:cols w:equalWidth="0" w:num="1">
            <w:col w:w="11240"/>
          </w:cols>
          <w:pgMar w:left="320" w:top="125" w:right="339" w:bottom="0" w:gutter="0" w:footer="0" w:header="0"/>
          <w:type w:val="continuous"/>
        </w:sectPr>
      </w:pPr>
    </w:p>
    <w:bookmarkStart w:id="533" w:name="page534"/>
    <w:bookmarkEnd w:id="533"/>
    <w:p>
      <w:pPr>
        <w:ind w:left="1300" w:hanging="644"/>
        <w:spacing w:after="0"/>
        <w:tabs>
          <w:tab w:leader="none" w:pos="1300" w:val="left"/>
        </w:tabs>
        <w:numPr>
          <w:ilvl w:val="0"/>
          <w:numId w:val="560"/>
        </w:numPr>
        <w:rPr>
          <w:rFonts w:ascii="Arial" w:cs="Arial" w:eastAsia="Arial" w:hAnsi="Arial"/>
          <w:sz w:val="16"/>
          <w:szCs w:val="16"/>
          <w:color w:val="auto"/>
        </w:rPr>
      </w:pPr>
      <w:r>
        <w:rPr>
          <w:rFonts w:ascii="Arial" w:cs="Arial" w:eastAsia="Arial" w:hAnsi="Arial"/>
          <w:sz w:val="16"/>
          <w:szCs w:val="16"/>
          <w:color w:val="auto"/>
        </w:rPr>
        <w:t>all present and future Book Debts and all its other present and future negotiable instruments (other than any which are Investments);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all present and future Equipment and all corresponding Related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all present and future Intellectual Property Rights and all corresponding Related Rights;</w:t>
      </w:r>
    </w:p>
    <w:p>
      <w:pPr>
        <w:spacing w:after="0" w:line="225"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560"/>
        </w:numPr>
        <w:rPr>
          <w:rFonts w:ascii="Arial" w:cs="Arial" w:eastAsia="Arial" w:hAnsi="Arial"/>
          <w:sz w:val="16"/>
          <w:szCs w:val="16"/>
          <w:color w:val="auto"/>
        </w:rPr>
      </w:pPr>
      <w:r>
        <w:rPr>
          <w:rFonts w:ascii="Arial" w:cs="Arial" w:eastAsia="Arial" w:hAnsi="Arial"/>
          <w:sz w:val="16"/>
          <w:szCs w:val="16"/>
          <w:color w:val="auto"/>
        </w:rPr>
        <w:t>all its present and future goodwill, present and future uncalled capital (if any) and the benefit of all present and future licences, consents and authorisations (statutory or otherwise) held or to be held by it in connection with its business or the use of any Charged Assets (but excluding any licence requiring the licensor's consent to the creation of Security Interests under the Deed if such consent has not been obtained) and the right to receive all compensation payable in respect thereof (but excluding, in all cases, the Excluded Assets); and</w:t>
      </w:r>
    </w:p>
    <w:p>
      <w:pPr>
        <w:sectPr>
          <w:pgSz w:w="11900" w:h="16838" w:orient="portrait"/>
          <w:cols w:equalWidth="0" w:num="1">
            <w:col w:w="11240"/>
          </w:cols>
          <w:pgMar w:left="320" w:top="125" w:right="339" w:bottom="0" w:gutter="0" w:footer="0" w:header="0"/>
        </w:sectPr>
      </w:pP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6"/>
          <w:szCs w:val="16"/>
          <w:color w:val="auto"/>
        </w:rPr>
        <w:t>if not effectively assigned by Clause 0 (</w:t>
      </w:r>
      <w:r>
        <w:rPr>
          <w:rFonts w:ascii="Arial" w:cs="Arial" w:eastAsia="Arial" w:hAnsi="Arial"/>
          <w:sz w:val="16"/>
          <w:szCs w:val="16"/>
          <w:i w:val="1"/>
          <w:iCs w:val="1"/>
          <w:color w:val="auto"/>
        </w:rPr>
        <w:t>6.4</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all its rights, title and interest in (and claims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Agreements and all corresponding Related Rights.</w:t>
      </w:r>
    </w:p>
    <w:p>
      <w:pPr>
        <w:spacing w:after="0" w:line="162" w:lineRule="exact"/>
        <w:rPr>
          <w:sz w:val="20"/>
          <w:szCs w:val="20"/>
          <w:color w:val="auto"/>
        </w:rPr>
      </w:pPr>
    </w:p>
    <w:p>
      <w:pPr>
        <w:sectPr>
          <w:pgSz w:w="11900" w:h="16838" w:orient="portrait"/>
          <w:cols w:equalWidth="0" w:num="2">
            <w:col w:w="5120" w:space="720"/>
            <w:col w:w="5400"/>
          </w:cols>
          <w:pgMar w:left="320" w:top="125" w:right="339" w:bottom="0" w:gutter="0" w:footer="0" w:header="0"/>
          <w:type w:val="continuous"/>
        </w:sect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color w:val="auto"/>
        </w:rPr>
        <w:t>Assignment</w:t>
      </w:r>
    </w:p>
    <w:p>
      <w:pPr>
        <w:sectPr>
          <w:pgSz w:w="11900" w:h="16838" w:orient="portrait"/>
          <w:cols w:equalWidth="0" w:num="1">
            <w:col w:w="11240"/>
          </w:cols>
          <w:pgMar w:left="320" w:top="125" w:right="339" w:bottom="0" w:gutter="0" w:footer="0" w:header="0"/>
          <w:type w:val="continuous"/>
        </w:sectPr>
      </w:pP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Subject to Clause 0 (</w:t>
      </w:r>
      <w:r>
        <w:rPr>
          <w:rFonts w:ascii="Arial" w:cs="Arial" w:eastAsia="Arial" w:hAnsi="Arial"/>
          <w:sz w:val="16"/>
          <w:szCs w:val="16"/>
          <w:i w:val="1"/>
          <w:iCs w:val="1"/>
          <w:color w:val="auto"/>
        </w:rPr>
        <w:t>6.9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Excluded </w:t>
      </w:r>
      <w:r>
        <w:rPr>
          <w:rFonts w:ascii="Arial" w:cs="Arial" w:eastAsia="Arial" w:hAnsi="Arial"/>
          <w:sz w:val="18"/>
          <w:szCs w:val="18"/>
          <w:b w:val="1"/>
          <w:bCs w:val="1"/>
          <w:color w:val="auto"/>
        </w:rPr>
        <w:t>Property</w:t>
      </w:r>
      <w:r>
        <w:rPr>
          <w:rFonts w:ascii="Arial" w:cs="Arial" w:eastAsia="Arial" w:hAnsi="Arial"/>
          <w:sz w:val="18"/>
          <w:szCs w:val="18"/>
          <w:color w:val="auto"/>
        </w:rPr>
        <w:t>) below, as further continuing security for the payment of the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the Company assigns absolutely with full title guarantee to the Collateral Agent for the benefit of the Secured Parties all its rights, title and interest, both present and future, from time to time in and to each of the following assets:</w:t>
      </w:r>
    </w:p>
    <w:p>
      <w:pPr>
        <w:spacing w:after="0" w:line="184" w:lineRule="exact"/>
        <w:rPr>
          <w:sz w:val="20"/>
          <w:szCs w:val="20"/>
          <w:color w:val="auto"/>
        </w:rPr>
      </w:pPr>
    </w:p>
    <w:p>
      <w:pPr>
        <w:sectPr>
          <w:pgSz w:w="11900" w:h="16838" w:orient="portrait"/>
          <w:cols w:equalWidth="0" w:num="2">
            <w:col w:w="3180" w:space="720"/>
            <w:col w:w="7340"/>
          </w:cols>
          <w:pgMar w:left="320" w:top="125" w:right="339" w:bottom="0" w:gutter="0" w:footer="0" w:header="0"/>
          <w:type w:val="continuous"/>
        </w:sectPr>
      </w:pPr>
    </w:p>
    <w:p>
      <w:pPr>
        <w:ind w:left="1300"/>
        <w:spacing w:after="0"/>
        <w:tabs>
          <w:tab w:leader="none" w:pos="19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the proceeds of any Insurances and all Related Rights; and</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the Assigned Agreements and all proceeds and claims arising from them,</w:t>
      </w:r>
    </w:p>
    <w:p>
      <w:pPr>
        <w:sectPr>
          <w:pgSz w:w="11900" w:h="16838" w:orient="portrait"/>
          <w:cols w:equalWidth="0" w:num="1">
            <w:col w:w="11240"/>
          </w:cols>
          <w:pgMar w:left="320" w:top="125" w:right="339" w:bottom="0" w:gutter="0" w:footer="0" w:header="0"/>
          <w:type w:val="continuous"/>
        </w:sectPr>
      </w:pPr>
    </w:p>
    <w:p>
      <w:pPr>
        <w:spacing w:after="0" w:line="248" w:lineRule="exact"/>
        <w:rPr>
          <w:sz w:val="20"/>
          <w:szCs w:val="20"/>
          <w:color w:val="auto"/>
        </w:rPr>
      </w:pPr>
    </w:p>
    <w:p>
      <w:pPr>
        <w:jc w:val="both"/>
        <w:ind w:left="1300"/>
        <w:spacing w:after="0" w:line="269" w:lineRule="auto"/>
        <w:rPr>
          <w:sz w:val="20"/>
          <w:szCs w:val="20"/>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Assigned Assets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upon the Payment in Full, the Collateral Agent will re-assign the relevant Assigned Assets to the Company (or as it shall direct) without delay and in a manner satisfactory to the Company (acting reasonably).</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5820" w:type="dxa"/>
            <w:vAlign w:val="bottom"/>
          </w:tcPr>
          <w:p>
            <w:pPr>
              <w:ind w:left="220"/>
              <w:spacing w:after="0"/>
              <w:rPr>
                <w:sz w:val="20"/>
                <w:szCs w:val="20"/>
                <w:color w:val="auto"/>
              </w:rPr>
            </w:pPr>
            <w:r>
              <w:rPr>
                <w:rFonts w:ascii="Arial" w:cs="Arial" w:eastAsia="Arial" w:hAnsi="Arial"/>
                <w:sz w:val="18"/>
                <w:szCs w:val="18"/>
                <w:color w:val="auto"/>
              </w:rPr>
              <w:t>To the extent that any Assigned Asset described in Clause 00 (</w:t>
            </w:r>
            <w:r>
              <w:rPr>
                <w:rFonts w:ascii="Arial" w:cs="Arial" w:eastAsia="Arial" w:hAnsi="Arial"/>
                <w:sz w:val="18"/>
                <w:szCs w:val="18"/>
                <w:i w:val="1"/>
                <w:iCs w:val="1"/>
                <w:color w:val="auto"/>
              </w:rPr>
              <w:t>6.4</w:t>
            </w:r>
          </w:p>
        </w:tc>
        <w:tc>
          <w:tcPr>
            <w:tcW w:w="4320" w:type="dxa"/>
            <w:vAlign w:val="bottom"/>
            <w:gridSpan w:val="4"/>
          </w:tcPr>
          <w:p>
            <w:pPr>
              <w:ind w:left="880"/>
              <w:spacing w:after="0"/>
              <w:rPr>
                <w:sz w:val="20"/>
                <w:szCs w:val="20"/>
                <w:color w:val="auto"/>
              </w:rPr>
            </w:pPr>
            <w:r>
              <w:rPr>
                <w:rFonts w:ascii="Arial" w:cs="Arial" w:eastAsia="Arial" w:hAnsi="Arial"/>
                <w:sz w:val="18"/>
                <w:szCs w:val="18"/>
                <w:b w:val="1"/>
                <w:bCs w:val="1"/>
                <w:color w:val="auto"/>
                <w:w w:val="89"/>
              </w:rPr>
              <w:t>Assignment</w:t>
            </w:r>
            <w:r>
              <w:rPr>
                <w:rFonts w:ascii="Arial" w:cs="Arial" w:eastAsia="Arial" w:hAnsi="Arial"/>
                <w:sz w:val="18"/>
                <w:szCs w:val="18"/>
                <w:color w:val="auto"/>
                <w:w w:val="89"/>
              </w:rPr>
              <w:t>) is not assignable, the assignment</w:t>
            </w: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Arial" w:cs="Arial" w:eastAsia="Arial" w:hAnsi="Arial"/>
                <w:sz w:val="18"/>
                <w:szCs w:val="18"/>
                <w:color w:val="auto"/>
                <w:w w:val="99"/>
              </w:rPr>
              <w:t>which  that  clause  purports</w:t>
            </w:r>
          </w:p>
        </w:tc>
        <w:tc>
          <w:tcPr>
            <w:tcW w:w="260" w:type="dxa"/>
            <w:vAlign w:val="bottom"/>
          </w:tcPr>
          <w:p>
            <w:pPr>
              <w:ind w:left="40"/>
              <w:spacing w:after="0"/>
              <w:rPr>
                <w:sz w:val="20"/>
                <w:szCs w:val="20"/>
                <w:color w:val="auto"/>
              </w:rPr>
            </w:pPr>
            <w:r>
              <w:rPr>
                <w:rFonts w:ascii="Arial" w:cs="Arial" w:eastAsia="Arial" w:hAnsi="Arial"/>
                <w:sz w:val="18"/>
                <w:szCs w:val="18"/>
                <w:color w:val="auto"/>
              </w:rPr>
              <w:t>to</w:t>
            </w:r>
          </w:p>
        </w:tc>
        <w:tc>
          <w:tcPr>
            <w:tcW w:w="580" w:type="dxa"/>
            <w:vAlign w:val="bottom"/>
          </w:tcPr>
          <w:p>
            <w:pPr>
              <w:ind w:left="60"/>
              <w:spacing w:after="0"/>
              <w:rPr>
                <w:sz w:val="20"/>
                <w:szCs w:val="20"/>
                <w:color w:val="auto"/>
              </w:rPr>
            </w:pPr>
            <w:r>
              <w:rPr>
                <w:rFonts w:ascii="Arial" w:cs="Arial" w:eastAsia="Arial" w:hAnsi="Arial"/>
                <w:sz w:val="18"/>
                <w:szCs w:val="18"/>
                <w:color w:val="auto"/>
              </w:rPr>
              <w:t>effect</w:t>
            </w:r>
          </w:p>
        </w:tc>
        <w:tc>
          <w:tcPr>
            <w:tcW w:w="360" w:type="dxa"/>
            <w:vAlign w:val="bottom"/>
          </w:tcPr>
          <w:p>
            <w:pPr>
              <w:ind w:left="20"/>
              <w:spacing w:after="0"/>
              <w:rPr>
                <w:sz w:val="20"/>
                <w:szCs w:val="20"/>
                <w:color w:val="auto"/>
              </w:rPr>
            </w:pPr>
            <w:r>
              <w:rPr>
                <w:rFonts w:ascii="Arial" w:cs="Arial" w:eastAsia="Arial" w:hAnsi="Arial"/>
                <w:sz w:val="18"/>
                <w:szCs w:val="18"/>
                <w:color w:val="auto"/>
                <w:w w:val="86"/>
              </w:rPr>
              <w:t>shall</w:t>
            </w: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Arial" w:cs="Arial" w:eastAsia="Arial" w:hAnsi="Arial"/>
                <w:sz w:val="18"/>
                <w:szCs w:val="18"/>
                <w:color w:val="auto"/>
                <w:w w:val="97"/>
              </w:rPr>
              <w:t>operate as an assignment of</w:t>
            </w:r>
          </w:p>
        </w:tc>
        <w:tc>
          <w:tcPr>
            <w:tcW w:w="260" w:type="dxa"/>
            <w:vAlign w:val="bottom"/>
          </w:tcPr>
          <w:p>
            <w:pPr>
              <w:ind w:left="40"/>
              <w:spacing w:after="0"/>
              <w:rPr>
                <w:sz w:val="20"/>
                <w:szCs w:val="20"/>
                <w:color w:val="auto"/>
              </w:rPr>
            </w:pPr>
            <w:r>
              <w:rPr>
                <w:rFonts w:ascii="Arial" w:cs="Arial" w:eastAsia="Arial" w:hAnsi="Arial"/>
                <w:sz w:val="18"/>
                <w:szCs w:val="18"/>
                <w:color w:val="auto"/>
              </w:rPr>
              <w:t>all</w:t>
            </w:r>
          </w:p>
        </w:tc>
        <w:tc>
          <w:tcPr>
            <w:tcW w:w="580" w:type="dxa"/>
            <w:vAlign w:val="bottom"/>
          </w:tcPr>
          <w:p>
            <w:pPr>
              <w:ind w:left="60"/>
              <w:spacing w:after="0"/>
              <w:rPr>
                <w:sz w:val="20"/>
                <w:szCs w:val="20"/>
                <w:color w:val="auto"/>
              </w:rPr>
            </w:pPr>
            <w:r>
              <w:rPr>
                <w:rFonts w:ascii="Arial" w:cs="Arial" w:eastAsia="Arial" w:hAnsi="Arial"/>
                <w:sz w:val="18"/>
                <w:szCs w:val="18"/>
                <w:color w:val="auto"/>
                <w:w w:val="83"/>
              </w:rPr>
              <w:t>present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and</w:t>
            </w: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320" w:type="dxa"/>
            <w:vAlign w:val="bottom"/>
            <w:gridSpan w:val="4"/>
          </w:tcPr>
          <w:p>
            <w:pPr>
              <w:ind w:left="880"/>
              <w:spacing w:after="0"/>
              <w:rPr>
                <w:sz w:val="20"/>
                <w:szCs w:val="20"/>
                <w:color w:val="auto"/>
              </w:rPr>
            </w:pPr>
            <w:r>
              <w:rPr>
                <w:rFonts w:ascii="Arial" w:cs="Arial" w:eastAsia="Arial" w:hAnsi="Arial"/>
                <w:sz w:val="18"/>
                <w:szCs w:val="18"/>
                <w:color w:val="auto"/>
                <w:w w:val="91"/>
              </w:rPr>
              <w:t>future rights and claims of the Company to any</w:t>
            </w:r>
          </w:p>
        </w:tc>
      </w:tr>
      <w:tr>
        <w:trPr>
          <w:trHeight w:val="230"/>
        </w:trPr>
        <w:tc>
          <w:tcPr>
            <w:tcW w:w="4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120" w:type="dxa"/>
            <w:vAlign w:val="bottom"/>
          </w:tcPr>
          <w:p>
            <w:pPr>
              <w:ind w:left="880"/>
              <w:spacing w:after="0"/>
              <w:rPr>
                <w:sz w:val="20"/>
                <w:szCs w:val="20"/>
                <w:color w:val="auto"/>
              </w:rPr>
            </w:pPr>
            <w:r>
              <w:rPr>
                <w:rFonts w:ascii="Arial" w:cs="Arial" w:eastAsia="Arial" w:hAnsi="Arial"/>
                <w:sz w:val="18"/>
                <w:szCs w:val="18"/>
                <w:color w:val="auto"/>
                <w:w w:val="94"/>
              </w:rPr>
              <w:t>proceeds of such Insurances.</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Floating Charge</w:t>
      </w:r>
    </w:p>
    <w:p>
      <w:pPr>
        <w:spacing w:after="0" w:line="235"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The Company hereby charges by way of floating charge and by way of further continuing security to and in favour of the Collateral Agent for the discharge and payment of the Secured Obligations all its right, title, interest and benefit from time to time, present and future, in, to, under and in respect of all its Assets (including all stock in trade), including any expressed to be charged by any of the foregoing provisions of this Clause 0 (</w:t>
      </w:r>
      <w:r>
        <w:rPr>
          <w:rFonts w:ascii="Arial" w:cs="Arial" w:eastAsia="Arial" w:hAnsi="Arial"/>
          <w:sz w:val="21"/>
          <w:szCs w:val="21"/>
          <w:i w:val="1"/>
          <w:iCs w:val="1"/>
          <w:color w:val="auto"/>
        </w:rPr>
        <w:t>6.</w:t>
      </w:r>
      <w:r>
        <w:rPr>
          <w:rFonts w:ascii="Arial" w:cs="Arial" w:eastAsia="Arial" w:hAnsi="Arial"/>
          <w:sz w:val="21"/>
          <w:szCs w:val="21"/>
          <w:b w:val="1"/>
          <w:bCs w:val="1"/>
          <w:color w:val="auto"/>
        </w:rPr>
        <w:t>SECURITY</w:t>
      </w:r>
      <w:r>
        <w:rPr>
          <w:rFonts w:ascii="Arial" w:cs="Arial" w:eastAsia="Arial" w:hAnsi="Arial"/>
          <w:sz w:val="21"/>
          <w:szCs w:val="21"/>
          <w:color w:val="auto"/>
        </w:rPr>
        <w:t>). The floating charge created by this Clause 0 (</w:t>
      </w:r>
      <w:r>
        <w:rPr>
          <w:rFonts w:ascii="Arial" w:cs="Arial" w:eastAsia="Arial" w:hAnsi="Arial"/>
          <w:sz w:val="21"/>
          <w:szCs w:val="21"/>
          <w:i w:val="1"/>
          <w:iCs w:val="1"/>
          <w:color w:val="auto"/>
        </w:rPr>
        <w:t>6.5Floating</w:t>
      </w:r>
      <w:r>
        <w:rPr>
          <w:rFonts w:ascii="Arial" w:cs="Arial" w:eastAsia="Arial" w:hAnsi="Arial"/>
          <w:sz w:val="21"/>
          <w:szCs w:val="21"/>
          <w:color w:val="auto"/>
        </w:rPr>
        <w:t xml:space="preserve"> </w:t>
      </w:r>
      <w:r>
        <w:rPr>
          <w:rFonts w:ascii="Arial" w:cs="Arial" w:eastAsia="Arial" w:hAnsi="Arial"/>
          <w:sz w:val="21"/>
          <w:szCs w:val="21"/>
          <w:b w:val="1"/>
          <w:bCs w:val="1"/>
          <w:color w:val="auto"/>
        </w:rPr>
        <w:t>Charge</w:t>
      </w:r>
      <w:r>
        <w:rPr>
          <w:rFonts w:ascii="Arial" w:cs="Arial" w:eastAsia="Arial" w:hAnsi="Arial"/>
          <w:sz w:val="21"/>
          <w:szCs w:val="21"/>
          <w:color w:val="auto"/>
        </w:rPr>
        <w:t>) shall rank behind all the fixed Security Interests created by or pursuant to this Deed to the extent that they are valid and effective as fixed Security Interests but shall rank in priority to any other Security Interests hereafter created by the Company.</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color w:val="auto"/>
        </w:rPr>
        <w:t>Collection Bank Accounts</w:t>
      </w:r>
    </w:p>
    <w:p>
      <w:pPr>
        <w:spacing w:after="0" w:line="229" w:lineRule="exact"/>
        <w:rPr>
          <w:sz w:val="20"/>
          <w:szCs w:val="20"/>
          <w:color w:val="auto"/>
        </w:rPr>
      </w:pPr>
    </w:p>
    <w:p>
      <w:pPr>
        <w:ind w:left="1300" w:right="20" w:hanging="644"/>
        <w:spacing w:after="0" w:line="277" w:lineRule="auto"/>
        <w:tabs>
          <w:tab w:leader="none" w:pos="13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Company shall maintain the Collection Bank Accounts pursuant to and in accordance with Section 3.01(e) (</w:t>
      </w:r>
      <w:r>
        <w:rPr>
          <w:rFonts w:ascii="Arial" w:cs="Arial" w:eastAsia="Arial" w:hAnsi="Arial"/>
          <w:sz w:val="18"/>
          <w:szCs w:val="18"/>
          <w:i w:val="1"/>
          <w:iCs w:val="1"/>
          <w:color w:val="auto"/>
        </w:rPr>
        <w:t>Letters of Credit</w:t>
      </w:r>
      <w:r>
        <w:rPr>
          <w:rFonts w:ascii="Arial" w:cs="Arial" w:eastAsia="Arial" w:hAnsi="Arial"/>
          <w:sz w:val="18"/>
          <w:szCs w:val="18"/>
          <w:color w:val="auto"/>
        </w:rPr>
        <w:t>) of the Loan Agreement with the Collection Account Banks.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Collateral Agent shall have sole signing rights in relation to each Collection Bank Account.</w:t>
      </w:r>
    </w:p>
    <w:p>
      <w:pPr>
        <w:sectPr>
          <w:pgSz w:w="11900" w:h="16838" w:orient="portrait"/>
          <w:cols w:equalWidth="0" w:num="1">
            <w:col w:w="11240"/>
          </w:cols>
          <w:pgMar w:left="320" w:top="125" w:right="339" w:bottom="0" w:gutter="0" w:footer="0" w:header="0"/>
          <w:type w:val="continuous"/>
        </w:sectPr>
      </w:pP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Subject to Clause 0 (</w:t>
      </w:r>
      <w:r>
        <w:rPr>
          <w:rFonts w:ascii="Arial" w:cs="Arial" w:eastAsia="Arial" w:hAnsi="Arial"/>
          <w:sz w:val="16"/>
          <w:szCs w:val="16"/>
          <w:i w:val="1"/>
          <w:iCs w:val="1"/>
          <w:color w:val="auto"/>
        </w:rPr>
        <w:t>6.6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Collection Bank </w:t>
      </w:r>
      <w:r>
        <w:rPr>
          <w:rFonts w:ascii="Arial" w:cs="Arial" w:eastAsia="Arial" w:hAnsi="Arial"/>
          <w:sz w:val="18"/>
          <w:szCs w:val="18"/>
          <w:b w:val="1"/>
          <w:bCs w:val="1"/>
          <w:color w:val="auto"/>
        </w:rPr>
        <w:t>Accounts</w:t>
      </w:r>
      <w:r>
        <w:rPr>
          <w:rFonts w:ascii="Arial" w:cs="Arial" w:eastAsia="Arial" w:hAnsi="Arial"/>
          <w:sz w:val="18"/>
          <w:szCs w:val="18"/>
          <w:color w:val="auto"/>
        </w:rPr>
        <w:t>) below, the Collateral Agent and the Company acknowledge and agree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application of amounts standing to the credit of any Collection Bank Account shall be governed by the terms of the Loan Agreement and the Intercreditor Agreement.</w:t>
      </w:r>
    </w:p>
    <w:p>
      <w:pPr>
        <w:spacing w:after="0" w:line="180" w:lineRule="exact"/>
        <w:rPr>
          <w:sz w:val="20"/>
          <w:szCs w:val="20"/>
          <w:color w:val="auto"/>
        </w:rPr>
      </w:pPr>
    </w:p>
    <w:p>
      <w:pPr>
        <w:sectPr>
          <w:pgSz w:w="11900" w:h="16838" w:orient="portrait"/>
          <w:cols w:equalWidth="0" w:num="2">
            <w:col w:w="3180" w:space="720"/>
            <w:col w:w="7340"/>
          </w:cols>
          <w:pgMar w:left="320" w:top="125" w:right="339" w:bottom="0" w:gutter="0" w:footer="0" w:header="0"/>
          <w:type w:val="continuous"/>
        </w:sectPr>
      </w:pPr>
    </w:p>
    <w:p>
      <w:pPr>
        <w:ind w:left="1300" w:hanging="644"/>
        <w:spacing w:after="0"/>
        <w:tabs>
          <w:tab w:leader="none" w:pos="13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Company shall not be entitled to:</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make, or direct the making of, any payments or withdrawals from any Collection Bank Account;</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direct the Collection Account Banks as regards the operation of any Collection Bank Account (whether as to payments from the Collection Bank Accounts or otherwise howsoever); and/or</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close any of its Collection Bank Accounts or agree to any variation of the rights or terms and conditions attaching to any of its Collection Bank Accounts,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without the prior written consent of the Collateral Agent (acting in its absolute discretion).</w:t>
      </w:r>
    </w:p>
    <w:p>
      <w:pPr>
        <w:spacing w:after="0" w:line="227" w:lineRule="exact"/>
        <w:rPr>
          <w:sz w:val="20"/>
          <w:szCs w:val="20"/>
          <w:color w:val="auto"/>
        </w:rPr>
      </w:pPr>
    </w:p>
    <w:p>
      <w:pPr>
        <w:ind w:left="1300" w:right="20" w:hanging="644"/>
        <w:spacing w:after="0" w:line="277" w:lineRule="auto"/>
        <w:tabs>
          <w:tab w:leader="none" w:pos="130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Company shall as soon as reasonably practicable after becoming aware of any change in any identifying details of any of its Collection Bank Accounts (including its account number and sort code), provide details thereof to the Collateral Agent .</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Company irrevocably and unconditionally authorises the Collateral Agent , without prior notice, from time to time to debit any Collection Bank Account in accordance with the terms of the Loan Agreement.</w:t>
      </w:r>
    </w:p>
    <w:p>
      <w:pPr>
        <w:sectPr>
          <w:pgSz w:w="11900" w:h="16838" w:orient="portrait"/>
          <w:cols w:equalWidth="0" w:num="1">
            <w:col w:w="11240"/>
          </w:cols>
          <w:pgMar w:left="320" w:top="125" w:right="339" w:bottom="0" w:gutter="0" w:footer="0" w:header="0"/>
          <w:type w:val="continuous"/>
        </w:sectPr>
      </w:pPr>
    </w:p>
    <w:bookmarkStart w:id="534" w:name="page535"/>
    <w:bookmarkEnd w:id="534"/>
    <w:p>
      <w:pPr>
        <w:spacing w:after="0" w:line="70" w:lineRule="exact"/>
        <w:rPr>
          <w:sz w:val="20"/>
          <w:szCs w:val="20"/>
          <w:color w:val="auto"/>
        </w:rPr>
      </w:pPr>
    </w:p>
    <w:p>
      <w:pPr>
        <w:jc w:val="both"/>
        <w:ind w:left="1300" w:hanging="644"/>
        <w:spacing w:after="0" w:line="257" w:lineRule="auto"/>
        <w:tabs>
          <w:tab w:leader="none" w:pos="13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Company shall, promptly after execution of this Deed, execute and deliver to the Collateral Agent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187"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On the date of opening or acquiring a Collection Bank Account, serve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b w:val="1"/>
          <w:bCs w:val="1"/>
          <w:color w:val="auto"/>
        </w:rPr>
        <w:t>General Bank Accounts</w:t>
      </w:r>
    </w:p>
    <w:p>
      <w:pPr>
        <w:spacing w:after="0" w:line="235"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Upon (and following) the occurrence of any Enforcement Event the Company shall, upon receipt of notice from the Collateral Agent , (a) cease to be entitled to make, or direct the making of, any payments or withdrawals from any General Bank Account without the prior written consent of the Collateral Agent and (b) cease to be entitled to direct the General Account Banks as regards the operation of the Accounts (whether as to payments from the Accounts or otherwise howsoever).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b w:val="1"/>
          <w:bCs w:val="1"/>
          <w:color w:val="auto"/>
        </w:rPr>
        <w:t>Full Title Guarantee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mortgage, assignment, charge or other disposition in favour of the Collateral Agent referred to in the previous</w:t>
      </w:r>
    </w:p>
    <w:p>
      <w:pPr>
        <w:spacing w:after="0" w:line="56"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22"/>
          <w:szCs w:val="22"/>
          <w:color w:val="auto"/>
        </w:rPr>
        <w:t>provisions of this Clause 0 (</w:t>
      </w:r>
      <w:r>
        <w:rPr>
          <w:rFonts w:ascii="Arial" w:cs="Arial" w:eastAsia="Arial" w:hAnsi="Arial"/>
          <w:sz w:val="22"/>
          <w:szCs w:val="22"/>
          <w:i w:val="1"/>
          <w:iCs w:val="1"/>
          <w:color w:val="auto"/>
        </w:rPr>
        <w:t>6.</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w:t>
      </w:r>
      <w:r>
        <w:rPr>
          <w:rFonts w:ascii="Arial" w:cs="Arial" w:eastAsia="Arial" w:hAnsi="Arial"/>
          <w:sz w:val="22"/>
          <w:szCs w:val="22"/>
          <w:color w:val="auto"/>
        </w:rPr>
        <w:t>) is made with full title guarantee in accordance with the Law of Property (Miscellaneous Provisions) Act 1994.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6.9</w:t>
            </w:r>
          </w:p>
        </w:tc>
        <w:tc>
          <w:tcPr>
            <w:tcW w:w="62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Excluded Property</w:t>
            </w:r>
          </w:p>
        </w:tc>
        <w:tc>
          <w:tcPr>
            <w:tcW w:w="4600" w:type="dxa"/>
            <w:vAlign w:val="bottom"/>
          </w:tcPr>
          <w:p>
            <w:pPr>
              <w:spacing w:after="0"/>
              <w:rPr>
                <w:sz w:val="20"/>
                <w:szCs w:val="20"/>
                <w:color w:val="auto"/>
              </w:rPr>
            </w:pPr>
          </w:p>
        </w:tc>
      </w:tr>
      <w:tr>
        <w:trPr>
          <w:trHeight w:val="472"/>
        </w:trPr>
        <w:tc>
          <w:tcPr>
            <w:tcW w:w="440" w:type="dxa"/>
            <w:vAlign w:val="bottom"/>
          </w:tcPr>
          <w:p>
            <w:pPr>
              <w:spacing w:after="0"/>
              <w:rPr>
                <w:sz w:val="24"/>
                <w:szCs w:val="24"/>
                <w:color w:val="auto"/>
              </w:rPr>
            </w:pPr>
          </w:p>
        </w:tc>
        <w:tc>
          <w:tcPr>
            <w:tcW w:w="6200" w:type="dxa"/>
            <w:vAlign w:val="bottom"/>
            <w:gridSpan w:val="2"/>
          </w:tcPr>
          <w:p>
            <w:pPr>
              <w:ind w:left="220"/>
              <w:spacing w:after="0"/>
              <w:rPr>
                <w:sz w:val="20"/>
                <w:szCs w:val="20"/>
                <w:color w:val="auto"/>
              </w:rPr>
            </w:pPr>
            <w:r>
              <w:rPr>
                <w:rFonts w:ascii="Arial" w:cs="Arial" w:eastAsia="Arial" w:hAnsi="Arial"/>
                <w:sz w:val="22"/>
                <w:szCs w:val="22"/>
                <w:color w:val="auto"/>
                <w:w w:val="93"/>
              </w:rPr>
              <w:t>There shall be excluded from the security created by Clause 0 (</w:t>
            </w:r>
            <w:r>
              <w:rPr>
                <w:rFonts w:ascii="Arial" w:cs="Arial" w:eastAsia="Arial" w:hAnsi="Arial"/>
                <w:sz w:val="22"/>
                <w:szCs w:val="22"/>
                <w:i w:val="1"/>
                <w:iCs w:val="1"/>
                <w:color w:val="auto"/>
                <w:w w:val="93"/>
              </w:rPr>
              <w:t>6.</w:t>
            </w:r>
          </w:p>
        </w:tc>
        <w:tc>
          <w:tcPr>
            <w:tcW w:w="4600" w:type="dxa"/>
            <w:vAlign w:val="bottom"/>
          </w:tcPr>
          <w:p>
            <w:pPr>
              <w:ind w:left="280"/>
              <w:spacing w:after="0"/>
              <w:rPr>
                <w:sz w:val="20"/>
                <w:szCs w:val="20"/>
                <w:color w:val="auto"/>
              </w:rPr>
            </w:pPr>
            <w:r>
              <w:rPr>
                <w:rFonts w:ascii="Arial" w:cs="Arial" w:eastAsia="Arial" w:hAnsi="Arial"/>
                <w:sz w:val="22"/>
                <w:szCs w:val="22"/>
                <w:b w:val="1"/>
                <w:bCs w:val="1"/>
                <w:color w:val="auto"/>
                <w:w w:val="92"/>
              </w:rPr>
              <w:t>SECURITY</w:t>
            </w:r>
            <w:r>
              <w:rPr>
                <w:rFonts w:ascii="Arial" w:cs="Arial" w:eastAsia="Arial" w:hAnsi="Arial"/>
                <w:sz w:val="22"/>
                <w:szCs w:val="22"/>
                <w:color w:val="auto"/>
                <w:w w:val="92"/>
              </w:rPr>
              <w:t>) and from the operation of Clause 0</w:t>
            </w:r>
          </w:p>
        </w:tc>
      </w:tr>
      <w:tr>
        <w:trPr>
          <w:trHeight w:val="280"/>
        </w:trPr>
        <w:tc>
          <w:tcPr>
            <w:tcW w:w="44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w:t>
            </w:r>
          </w:p>
        </w:tc>
        <w:tc>
          <w:tcPr>
            <w:tcW w:w="9980" w:type="dxa"/>
            <w:vAlign w:val="bottom"/>
            <w:gridSpan w:val="2"/>
          </w:tcPr>
          <w:p>
            <w:pPr>
              <w:ind w:left="280"/>
              <w:spacing w:after="0"/>
              <w:rPr>
                <w:sz w:val="20"/>
                <w:szCs w:val="20"/>
                <w:color w:val="auto"/>
              </w:rPr>
            </w:pPr>
            <w:r>
              <w:rPr>
                <w:rFonts w:ascii="Arial" w:cs="Arial" w:eastAsia="Arial" w:hAnsi="Arial"/>
                <w:sz w:val="22"/>
                <w:szCs w:val="22"/>
                <w:i w:val="1"/>
                <w:iCs w:val="1"/>
                <w:color w:val="auto"/>
              </w:rPr>
              <w:t xml:space="preserve">Further Assurances, Power of Attorney, </w:t>
            </w:r>
            <w:r>
              <w:rPr>
                <w:rFonts w:ascii="Arial" w:cs="Arial" w:eastAsia="Arial" w:hAnsi="Arial"/>
                <w:sz w:val="22"/>
                <w:szCs w:val="22"/>
                <w:b w:val="1"/>
                <w:bCs w:val="1"/>
                <w:color w:val="auto"/>
              </w:rPr>
              <w:t>ETC.</w:t>
            </w:r>
            <w:r>
              <w:rPr>
                <w:rFonts w:ascii="Arial" w:cs="Arial" w:eastAsia="Arial" w:hAnsi="Arial"/>
                <w:sz w:val="22"/>
                <w:szCs w:val="22"/>
                <w:color w:val="auto"/>
              </w:rPr>
              <w:t>) any Excluded Asset of the Company.</w:t>
            </w:r>
          </w:p>
        </w:tc>
      </w:tr>
    </w:tbl>
    <w:p>
      <w:pPr>
        <w:spacing w:after="0" w:line="201" w:lineRule="exact"/>
        <w:rPr>
          <w:sz w:val="20"/>
          <w:szCs w:val="20"/>
          <w:color w:val="auto"/>
        </w:rPr>
      </w:pPr>
    </w:p>
    <w:p>
      <w:pPr>
        <w:ind w:left="660" w:hanging="652"/>
        <w:spacing w:after="0"/>
        <w:tabs>
          <w:tab w:leader="none" w:pos="660"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t>REDEMPTION OF SECURITY</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Payment in Full, the Collateral Agent ,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 .</w:t>
      </w:r>
    </w:p>
    <w:p>
      <w:pPr>
        <w:spacing w:after="0" w:line="18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Notwithstanding the foregoing, the obligations of the Company under this Deed shall automatically terminate and the Collateral Agent ,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 , in each case, to the extent provided in and in accordance with Section 11.01(c) (</w:t>
      </w:r>
      <w:r>
        <w:rPr>
          <w:rFonts w:ascii="Arial" w:cs="Arial" w:eastAsia="Arial" w:hAnsi="Arial"/>
          <w:sz w:val="17"/>
          <w:szCs w:val="17"/>
          <w:i w:val="1"/>
          <w:iCs w:val="1"/>
          <w:color w:val="auto"/>
        </w:rPr>
        <w:t>Waiver; Amendments; Joinder; Release of Guarantors; Release of Collateral</w:t>
      </w:r>
      <w:r>
        <w:rPr>
          <w:rFonts w:ascii="Arial" w:cs="Arial" w:eastAsia="Arial" w:hAnsi="Arial"/>
          <w:sz w:val="17"/>
          <w:szCs w:val="17"/>
          <w:color w:val="auto"/>
        </w:rPr>
        <w:t>) and Section 11.23 (</w:t>
      </w:r>
      <w:r>
        <w:rPr>
          <w:rFonts w:ascii="Arial" w:cs="Arial" w:eastAsia="Arial" w:hAnsi="Arial"/>
          <w:sz w:val="17"/>
          <w:szCs w:val="17"/>
          <w:i w:val="1"/>
          <w:iCs w:val="1"/>
          <w:color w:val="auto"/>
        </w:rPr>
        <w:t>Release of Guarantors</w:t>
      </w:r>
      <w:r>
        <w:rPr>
          <w:rFonts w:ascii="Arial" w:cs="Arial" w:eastAsia="Arial" w:hAnsi="Arial"/>
          <w:sz w:val="17"/>
          <w:szCs w:val="17"/>
          <w:color w:val="auto"/>
        </w:rPr>
        <w:t>) of the Loan Agreement.</w:t>
      </w:r>
    </w:p>
    <w:p>
      <w:pPr>
        <w:spacing w:after="0" w:line="174" w:lineRule="exact"/>
        <w:rPr>
          <w:sz w:val="20"/>
          <w:szCs w:val="20"/>
          <w:color w:val="auto"/>
        </w:rPr>
      </w:pPr>
    </w:p>
    <w:p>
      <w:pPr>
        <w:ind w:left="660" w:hanging="652"/>
        <w:spacing w:after="0"/>
        <w:tabs>
          <w:tab w:leader="none" w:pos="660" w:val="left"/>
        </w:tabs>
        <w:numPr>
          <w:ilvl w:val="0"/>
          <w:numId w:val="566"/>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Company represents and warrants to the Collateral Agent that as of the date of this Deed:</w:t>
      </w:r>
    </w:p>
    <w:p>
      <w:pPr>
        <w:spacing w:after="0" w:line="225" w:lineRule="exact"/>
        <w:rPr>
          <w:sz w:val="20"/>
          <w:szCs w:val="20"/>
          <w:color w:val="auto"/>
        </w:rPr>
      </w:pPr>
    </w:p>
    <w:p>
      <w:pPr>
        <w:ind w:left="1300" w:right="20" w:hanging="644"/>
        <w:spacing w:after="0" w:line="277" w:lineRule="auto"/>
        <w:tabs>
          <w:tab w:leader="none" w:pos="13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it is a limited company duly incorporated and existing under the Companies Act 1948 and has the power and authority to own its Assets and to carry on its business and operations as now conducted;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it has the power to enter into, and perform and comply with all the obligations expressed to be assumed by it under, this Deed, and to create the Charges;</w:t>
      </w:r>
    </w:p>
    <w:p>
      <w:pPr>
        <w:spacing w:after="0" w:line="170"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all corporate authority and any other actions, conditions and things whatsoever required to be obtained, taken, fulfilled and done (including the obtaining of any necessary consents) in order to enable the Company lawfully to enter into, and perform and comply with all the obligations expressed to be assumed by it under, this Deed, to ensure that those obligations are valid, legal, binding and enforceable, to permit the creation of the Charges in accordance with this Deed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obligations of the Company under this Deed and (subject to all necessary registrations thereof being made) the Charges are valid, legal, binding and enforceable and, in the case of the Charges, have first priority and ranking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2"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its entry into, and performance of and compliance with the obligations expressed to be assumed by it under this Deed, and the creation of the Charges under this Deed, do not and will not (i) breach or violate any applicable Requirement of Law, (ii) result in any breach or violation of, or constitute a default under, or result in the creation or imposition of (or the obligation to create or impose) any Lien prohibited under the Loan Agreement upon any of its property or assets pursuant to the terms of any indenture, agreement or other</w:t>
      </w:r>
    </w:p>
    <w:p>
      <w:pPr>
        <w:sectPr>
          <w:pgSz w:w="11900" w:h="16908" w:orient="portrait"/>
          <w:cols w:equalWidth="0" w:num="1">
            <w:col w:w="11240"/>
          </w:cols>
          <w:pgMar w:left="320" w:top="125" w:right="339" w:bottom="0" w:gutter="0" w:footer="0" w:header="0"/>
        </w:sectPr>
      </w:pPr>
    </w:p>
    <w:bookmarkStart w:id="535" w:name="page536"/>
    <w:bookmarkEnd w:id="535"/>
    <w:p>
      <w:pPr>
        <w:ind w:left="1300"/>
        <w:spacing w:after="0" w:line="342" w:lineRule="auto"/>
        <w:rPr>
          <w:sz w:val="20"/>
          <w:szCs w:val="20"/>
          <w:color w:val="auto"/>
        </w:rPr>
      </w:pPr>
      <w:r>
        <w:rPr>
          <w:rFonts w:ascii="Arial" w:cs="Arial" w:eastAsia="Arial" w:hAnsi="Arial"/>
          <w:sz w:val="16"/>
          <w:szCs w:val="16"/>
          <w:color w:val="auto"/>
        </w:rPr>
        <w:t>instrument to which it is party or by which any of its property or assets are bound or to which it is subject, except for breaches, violations and defaults that would not have a Material Adverse Effect, or (iii) violate any provision of its organisational documents or by-laws;</w:t>
      </w:r>
    </w:p>
    <w:p>
      <w:pPr>
        <w:spacing w:after="0" w:line="124" w:lineRule="exact"/>
        <w:rPr>
          <w:sz w:val="20"/>
          <w:szCs w:val="20"/>
          <w:color w:val="auto"/>
        </w:rPr>
      </w:pPr>
    </w:p>
    <w:p>
      <w:pPr>
        <w:ind w:left="1300" w:hanging="644"/>
        <w:spacing w:after="0" w:line="277" w:lineRule="auto"/>
        <w:tabs>
          <w:tab w:leader="none" w:pos="130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(save to the extent disclosed to the Collateral Agent in writing prior to the date of this Deed) it has good and valid rights in or the power to transfer the Assets expressed to be mortgaged, assigned or charged by it under this Deed;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no Security Interest (other than the Charges) or claim exists on, over or in respect of any of the Assets, except those claims permitted by the Loan Agreement;</w:t>
      </w:r>
    </w:p>
    <w:p>
      <w:pPr>
        <w:spacing w:after="0" w:line="170" w:lineRule="exact"/>
        <w:rPr>
          <w:rFonts w:ascii="Arial" w:cs="Arial" w:eastAsia="Arial" w:hAnsi="Arial"/>
          <w:sz w:val="18"/>
          <w:szCs w:val="18"/>
          <w:color w:val="auto"/>
        </w:rPr>
      </w:pPr>
    </w:p>
    <w:p>
      <w:pPr>
        <w:jc w:val="both"/>
        <w:ind w:left="1300" w:hanging="644"/>
        <w:spacing w:after="0" w:line="221" w:lineRule="exact"/>
        <w:tabs>
          <w:tab w:leader="none" w:pos="1300" w:val="left"/>
        </w:tabs>
        <w:numPr>
          <w:ilvl w:val="1"/>
          <w:numId w:val="568"/>
        </w:numPr>
        <w:rPr>
          <w:rFonts w:ascii="Arial" w:cs="Arial" w:eastAsia="Arial" w:hAnsi="Arial"/>
          <w:sz w:val="16"/>
          <w:szCs w:val="16"/>
          <w:color w:val="auto"/>
        </w:rPr>
      </w:pPr>
      <w:r>
        <w:rPr>
          <w:rFonts w:ascii="Arial" w:cs="Arial" w:eastAsia="Arial" w:hAnsi="Arial"/>
          <w:sz w:val="16"/>
          <w:szCs w:val="16"/>
          <w:color w:val="auto"/>
        </w:rPr>
        <w:t>(save to the extent disclosed to the Collateral Agent in writing prior to the date of this Deed) it has not disposed of or sold or granted any lease, tenancy, option or pre</w:t>
      </w:r>
      <w:r>
        <w:rPr>
          <w:rFonts w:ascii="MS PGothic" w:cs="MS PGothic" w:eastAsia="MS PGothic" w:hAnsi="MS PGothic"/>
          <w:sz w:val="16"/>
          <w:szCs w:val="16"/>
          <w:color w:val="auto"/>
        </w:rPr>
        <w:t>‑</w:t>
      </w:r>
      <w:r>
        <w:rPr>
          <w:rFonts w:ascii="Arial" w:cs="Arial" w:eastAsia="Arial" w:hAnsi="Arial"/>
          <w:sz w:val="16"/>
          <w:szCs w:val="16"/>
          <w:color w:val="auto"/>
        </w:rPr>
        <w:t>emption right over or in respect of, any part of its right, title or interest in, to or in respect of any of the Charged Assets, and it has not agreed to do any of the foregoing, except, in each case, as permitted by the Loan Agreement; and</w:t>
      </w:r>
    </w:p>
    <w:p>
      <w:pPr>
        <w:spacing w:after="0" w:line="203" w:lineRule="exact"/>
        <w:rPr>
          <w:rFonts w:ascii="Arial" w:cs="Arial" w:eastAsia="Arial" w:hAnsi="Arial"/>
          <w:sz w:val="16"/>
          <w:szCs w:val="16"/>
          <w:color w:val="auto"/>
        </w:rPr>
      </w:pPr>
    </w:p>
    <w:p>
      <w:pPr>
        <w:ind w:left="1300" w:hanging="644"/>
        <w:spacing w:after="0"/>
        <w:tabs>
          <w:tab w:leader="none" w:pos="130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the Company's Centre of Main Interests is in the UK.</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569"/>
        </w:numPr>
        <w:rPr>
          <w:rFonts w:ascii="Arial" w:cs="Arial" w:eastAsia="Arial" w:hAnsi="Arial"/>
          <w:sz w:val="18"/>
          <w:szCs w:val="18"/>
          <w:color w:val="auto"/>
        </w:rPr>
      </w:pPr>
      <w:r>
        <w:rPr>
          <w:rFonts w:ascii="Arial" w:cs="Arial" w:eastAsia="Arial" w:hAnsi="Arial"/>
          <w:sz w:val="18"/>
          <w:szCs w:val="18"/>
          <w:b w:val="1"/>
          <w:bCs w:val="1"/>
          <w:color w:val="auto"/>
        </w:rPr>
        <w:t>COVENANTS RELATING TO ASSETS – PERFECTION, RESTRICTIONS ON DEALINGS, PROTECTION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Documents of Title</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Without prejudice to Clause 0 (</w:t>
      </w:r>
      <w:r>
        <w:rPr>
          <w:rFonts w:ascii="Arial" w:cs="Arial" w:eastAsia="Arial" w:hAnsi="Arial"/>
          <w:sz w:val="21"/>
          <w:szCs w:val="21"/>
          <w:i w:val="1"/>
          <w:iCs w:val="1"/>
          <w:color w:val="auto"/>
        </w:rPr>
        <w:t>14. Further Assurances, Power of Attorney,</w:t>
      </w:r>
      <w:r>
        <w:rPr>
          <w:rFonts w:ascii="Arial" w:cs="Arial" w:eastAsia="Arial" w:hAnsi="Arial"/>
          <w:sz w:val="21"/>
          <w:szCs w:val="21"/>
          <w:color w:val="auto"/>
        </w:rPr>
        <w:t xml:space="preserve"> </w:t>
      </w:r>
      <w:r>
        <w:rPr>
          <w:rFonts w:ascii="Arial" w:cs="Arial" w:eastAsia="Arial" w:hAnsi="Arial"/>
          <w:sz w:val="21"/>
          <w:szCs w:val="21"/>
          <w:b w:val="1"/>
          <w:bCs w:val="1"/>
          <w:color w:val="auto"/>
        </w:rPr>
        <w:t>ETC.</w:t>
      </w:r>
      <w:r>
        <w:rPr>
          <w:rFonts w:ascii="Arial" w:cs="Arial" w:eastAsia="Arial" w:hAnsi="Arial"/>
          <w:sz w:val="21"/>
          <w:szCs w:val="21"/>
          <w:color w:val="auto"/>
        </w:rPr>
        <w:t>) the Company shall, as soon as reasonably practicable, after execution of this Deed (and in any event within 15 Business Days after execution of this Deed or such later date as may be agreed to by the Collateral Agent in its sole discretion) or, if later, promptly upon receipt by it or on its behalf or for its account (and in any event within 15 Business Days after such receipt or such later date as may be agreed to by the Collateral Agent in its sole discretion), by way of security for the Secured Obligations deliver to the Collateral Agent (or any person nominated by the Collateral Agent to hold the same on its behalf including any solicitors) all certificates representing Mortgaged Investments and documents of title, certificates and other documents certificating or evidencing ownership of or otherwise relating to the Mortgaged Investments including transfers of Investments executed in blank.</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Negative Pledge</w:t>
      </w:r>
    </w:p>
    <w:p>
      <w:pPr>
        <w:spacing w:after="0" w:line="229" w:lineRule="exact"/>
        <w:rPr>
          <w:sz w:val="20"/>
          <w:szCs w:val="20"/>
          <w:color w:val="auto"/>
        </w:rPr>
      </w:pPr>
    </w:p>
    <w:p>
      <w:pPr>
        <w:ind w:left="1300" w:hanging="644"/>
        <w:spacing w:after="0" w:line="277" w:lineRule="auto"/>
        <w:tabs>
          <w:tab w:leader="none" w:pos="13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Company may only create, incur, assume or permit to exist a Security Interest on any Charged Asset if it is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The Company may only Dispose of any Charged Asset if it is permitted by Section 8.05 (</w:t>
      </w:r>
      <w:r>
        <w:rPr>
          <w:rFonts w:ascii="Arial" w:cs="Arial" w:eastAsia="Arial" w:hAnsi="Arial"/>
          <w:sz w:val="17"/>
          <w:szCs w:val="17"/>
          <w:i w:val="1"/>
          <w:iCs w:val="1"/>
          <w:color w:val="auto"/>
        </w:rPr>
        <w:t>Asset Dispositions</w:t>
      </w:r>
      <w:r>
        <w:rPr>
          <w:rFonts w:ascii="Arial" w:cs="Arial" w:eastAsia="Arial" w:hAnsi="Arial"/>
          <w:sz w:val="17"/>
          <w:szCs w:val="17"/>
          <w:color w:val="auto"/>
        </w:rPr>
        <w:t>) of the Loan Agreement.</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Assets and Charges Generally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w:t>
      </w:r>
    </w:p>
    <w:p>
      <w:pPr>
        <w:spacing w:after="0" w:line="227" w:lineRule="exact"/>
        <w:rPr>
          <w:sz w:val="20"/>
          <w:szCs w:val="20"/>
          <w:color w:val="auto"/>
        </w:rPr>
      </w:pPr>
    </w:p>
    <w:p>
      <w:pPr>
        <w:ind w:left="1300" w:right="20" w:hanging="644"/>
        <w:spacing w:after="0" w:line="277" w:lineRule="auto"/>
        <w:tabs>
          <w:tab w:leader="none" w:pos="13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make all filings and registrations necessary for the creation, perfection, preservation, protection or maintenance of the Charges except to the extent that the Company is expressly permitted by the Loan Agreement or this Deed not to do so;</w:t>
      </w:r>
    </w:p>
    <w:p>
      <w:pPr>
        <w:spacing w:after="0" w:line="17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use commercially reasonable endeavours to obtain, in form and substance satisfactory to the Collateral Agent (acting reasonably), as soon as practicable and in any event within 45 days of the date of this Deed or, after the date of this Deed, within 45 days of the date of acquisition of any Asset (or, in any such case, such later date as may be agreed to by the Collateral Agent in its sole discretion), any consents necessary to enable all the Assets of the Company to be subject to effective Security Interests pursuant to Clause 0 (</w:t>
      </w:r>
      <w:r>
        <w:rPr>
          <w:rFonts w:ascii="Arial" w:cs="Arial" w:eastAsia="Arial" w:hAnsi="Arial"/>
          <w:sz w:val="18"/>
          <w:szCs w:val="18"/>
          <w:i w:val="1"/>
          <w:iCs w:val="1"/>
          <w:color w:val="auto"/>
        </w:rPr>
        <w:t>6.</w:t>
      </w:r>
      <w:r>
        <w:rPr>
          <w:rFonts w:ascii="Arial" w:cs="Arial" w:eastAsia="Arial" w:hAnsi="Arial"/>
          <w:sz w:val="18"/>
          <w:szCs w:val="18"/>
          <w:b w:val="1"/>
          <w:bCs w:val="1"/>
          <w:color w:val="auto"/>
        </w:rPr>
        <w:t>SECURITY</w:t>
      </w:r>
      <w:r>
        <w:rPr>
          <w:rFonts w:ascii="Arial" w:cs="Arial" w:eastAsia="Arial" w:hAnsi="Arial"/>
          <w:sz w:val="18"/>
          <w:szCs w:val="18"/>
          <w:color w:val="auto"/>
        </w:rPr>
        <w:t>) and the Asset concerned shall immediately upon obtaining any such consent become subject to the fixed Charge under Clause 0 (</w:t>
      </w:r>
      <w:r>
        <w:rPr>
          <w:rFonts w:ascii="Arial" w:cs="Arial" w:eastAsia="Arial" w:hAnsi="Arial"/>
          <w:sz w:val="18"/>
          <w:szCs w:val="18"/>
          <w:i w:val="1"/>
          <w:iCs w:val="1"/>
          <w:color w:val="auto"/>
        </w:rPr>
        <w:t>6.3Fixed</w:t>
      </w:r>
      <w:r>
        <w:rPr>
          <w:rFonts w:ascii="Arial" w:cs="Arial" w:eastAsia="Arial" w:hAnsi="Arial"/>
          <w:sz w:val="18"/>
          <w:szCs w:val="18"/>
          <w:color w:val="auto"/>
        </w:rPr>
        <w:t xml:space="preserve"> </w:t>
      </w:r>
      <w:r>
        <w:rPr>
          <w:rFonts w:ascii="Arial" w:cs="Arial" w:eastAsia="Arial" w:hAnsi="Arial"/>
          <w:sz w:val="18"/>
          <w:szCs w:val="18"/>
          <w:b w:val="1"/>
          <w:bCs w:val="1"/>
          <w:color w:val="auto"/>
        </w:rPr>
        <w:t>Charges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maintain or keep or cause to be kept all of the Charged Assets in good and substantial repair and, where applicable, good working order (wear and tear excepted) so that its business carried on in connection therewith may be conducted in the ordinary course, consistent with past practices, except in each case where the failure to do so, individually or in the aggregate, could not reasonably be expected to have a Material Adverse Effect; and</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in addition and without prejudice to any other provision of this Deed, not do or suffer to be done anything which could materially prejudice the effectiveness of any of the Charges or their priority under this Deed except as permitted by the Loan Agreement or this Deed.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Real Property</w:t>
      </w:r>
    </w:p>
    <w:p>
      <w:pPr>
        <w:sectPr>
          <w:pgSz w:w="11900" w:h="16838" w:orient="portrait"/>
          <w:cols w:equalWidth="0" w:num="1">
            <w:col w:w="11240"/>
          </w:cols>
          <w:pgMar w:left="320" w:top="125" w:right="339" w:bottom="0" w:gutter="0" w:footer="0" w:header="0"/>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addition and without prejudice to the other provisions of this Clause 0 (</w:t>
      </w:r>
      <w:r>
        <w:rPr>
          <w:rFonts w:ascii="Arial" w:cs="Arial" w:eastAsia="Arial" w:hAnsi="Arial"/>
          <w:sz w:val="21"/>
          <w:szCs w:val="21"/>
          <w:i w:val="1"/>
          <w:iCs w:val="1"/>
          <w:color w:val="auto"/>
        </w:rPr>
        <w:t>9.</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ETC.</w:t>
      </w:r>
      <w:r>
        <w:rPr>
          <w:rFonts w:ascii="Arial" w:cs="Arial" w:eastAsia="Arial" w:hAnsi="Arial"/>
          <w:sz w:val="22"/>
          <w:szCs w:val="22"/>
          <w:color w:val="auto"/>
        </w:rPr>
        <w:t>), the Company hereby irrevocably: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firstLine="748"/>
        <w:spacing w:after="0" w:line="358" w:lineRule="auto"/>
        <w:rPr>
          <w:sz w:val="20"/>
          <w:szCs w:val="20"/>
          <w:color w:val="auto"/>
        </w:rPr>
      </w:pPr>
      <w:r>
        <w:rPr>
          <w:rFonts w:ascii="Arial" w:cs="Arial" w:eastAsia="Arial" w:hAnsi="Arial"/>
          <w:sz w:val="19"/>
          <w:szCs w:val="19"/>
          <w:i w:val="1"/>
          <w:iCs w:val="1"/>
          <w:color w:val="auto"/>
        </w:rPr>
        <w:t>Covenants relating to Assets – Further Assurances, Power of Attorney,</w:t>
      </w:r>
    </w:p>
    <w:p>
      <w:pPr>
        <w:spacing w:after="0" w:line="345" w:lineRule="exact"/>
        <w:rPr>
          <w:sz w:val="20"/>
          <w:szCs w:val="20"/>
          <w:color w:val="auto"/>
        </w:rPr>
      </w:pPr>
    </w:p>
    <w:p>
      <w:pPr>
        <w:sectPr>
          <w:pgSz w:w="11900" w:h="16838" w:orient="portrait"/>
          <w:cols w:equalWidth="0" w:num="2">
            <w:col w:w="7620" w:space="120"/>
            <w:col w:w="3500"/>
          </w:cols>
          <w:pgMar w:left="320" w:top="125" w:right="339" w:bottom="0" w:gutter="0" w:footer="0" w:header="0"/>
          <w:type w:val="continuous"/>
        </w:sectPr>
      </w:pPr>
    </w:p>
    <w:p>
      <w:pPr>
        <w:spacing w:after="0" w:line="22" w:lineRule="exact"/>
        <w:rPr>
          <w:sz w:val="20"/>
          <w:szCs w:val="20"/>
          <w:color w:val="auto"/>
        </w:rPr>
      </w:pPr>
    </w:p>
    <w:p>
      <w:pPr>
        <w:ind w:left="1300" w:hanging="644"/>
        <w:spacing w:after="0" w:line="277" w:lineRule="auto"/>
        <w:tabs>
          <w:tab w:leader="none" w:pos="13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consents to the registration of a restriction in the Proprietorship Register relating to the title number or numbers under which the whole or any part of the Legally Mortgaged Property is registered at HM Land Registry in the following terms:</w:t>
      </w:r>
    </w:p>
    <w:p>
      <w:pPr>
        <w:sectPr>
          <w:pgSz w:w="11900" w:h="16838" w:orient="portrait"/>
          <w:cols w:equalWidth="0" w:num="1">
            <w:col w:w="11240"/>
          </w:cols>
          <w:pgMar w:left="320" w:top="125" w:right="339" w:bottom="0" w:gutter="0" w:footer="0" w:header="0"/>
          <w:type w:val="continuous"/>
        </w:sectPr>
      </w:pPr>
    </w:p>
    <w:p>
      <w:pPr>
        <w:spacing w:after="0" w:line="177" w:lineRule="exact"/>
        <w:rPr>
          <w:sz w:val="20"/>
          <w:szCs w:val="20"/>
          <w:color w:val="auto"/>
        </w:rPr>
      </w:pPr>
    </w:p>
    <w:p>
      <w:pPr>
        <w:jc w:val="both"/>
        <w:ind w:left="1300" w:firstLine="4"/>
        <w:spacing w:after="0" w:line="266" w:lineRule="auto"/>
        <w:tabs>
          <w:tab w:leader="none" w:pos="1943" w:val="left"/>
        </w:tabs>
        <w:numPr>
          <w:ilvl w:val="0"/>
          <w:numId w:val="573"/>
        </w:numPr>
        <w:rPr>
          <w:rFonts w:ascii="Arial" w:cs="Arial" w:eastAsia="Arial" w:hAnsi="Arial"/>
          <w:sz w:val="22"/>
          <w:szCs w:val="22"/>
          <w:color w:val="auto"/>
        </w:rPr>
      </w:pPr>
      <w:r>
        <w:rPr>
          <w:rFonts w:ascii="Arial" w:cs="Arial" w:eastAsia="Arial" w:hAnsi="Arial"/>
          <w:sz w:val="22"/>
          <w:szCs w:val="22"/>
          <w:color w:val="auto"/>
        </w:rPr>
        <w:t>"except under an order of the Registrar no disposition or other dealing by the proprietor of the land is to be registered or noted without the written consent of the proprietor for the time being of the charge dated [ * * ] between [ * * ] (1) and [ * * ] (2)";</w:t>
      </w:r>
    </w:p>
    <w:p>
      <w:pPr>
        <w:sectPr>
          <w:pgSz w:w="11900" w:h="16838" w:orient="portrait"/>
          <w:cols w:equalWidth="0" w:num="1">
            <w:col w:w="11240"/>
          </w:cols>
          <w:pgMar w:left="320" w:top="125" w:right="339" w:bottom="0" w:gutter="0" w:footer="0" w:header="0"/>
          <w:type w:val="continuous"/>
        </w:sectPr>
      </w:pPr>
    </w:p>
    <w:bookmarkStart w:id="536" w:name="page537"/>
    <w:bookmarkEnd w:id="536"/>
    <w:p>
      <w:pPr>
        <w:jc w:val="both"/>
        <w:ind w:left="1300" w:hanging="644"/>
        <w:spacing w:after="0" w:line="263" w:lineRule="auto"/>
        <w:tabs>
          <w:tab w:leader="none" w:pos="13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consents (in the case of any Real Property forming part of the Charged Assets title to which is registered or registrable at HM Land Registry but which does not form part of the Legally Mortgaged Property) to the registration of an agreed notice by the Collateral Agent against the title or titles under which such Real Property is registered;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authorises the Collateral Agent and/or any solicitors or other agent acting on behalf of the Collateral Agent to complete, execute on the Company's behalf and deliver to H. M. Land Registry any form (including Land Registry form RX1 and AN1), document or other information requested by H. M. Land Registry with regard to either or both of the above.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General Bank Accounts</w:t>
      </w:r>
    </w:p>
    <w:p>
      <w:pPr>
        <w:sectPr>
          <w:pgSz w:w="11900" w:h="16838" w:orient="portrait"/>
          <w:cols w:equalWidth="0" w:num="1">
            <w:col w:w="11240"/>
          </w:cols>
          <w:pgMar w:left="320" w:top="125" w:right="339" w:bottom="0" w:gutter="0" w:footer="0" w:header="0"/>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Without prejudice and in addition to the other provisions of this Clause 0 (</w:t>
      </w:r>
      <w:r>
        <w:rPr>
          <w:rFonts w:ascii="Arial" w:cs="Arial" w:eastAsia="Arial" w:hAnsi="Arial"/>
          <w:sz w:val="19"/>
          <w:szCs w:val="19"/>
          <w:i w:val="1"/>
          <w:iCs w:val="1"/>
          <w:color w:val="auto"/>
        </w:rPr>
        <w:t>9.</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ETC.</w:t>
      </w:r>
      <w:r>
        <w:rPr>
          <w:rFonts w:ascii="Arial" w:cs="Arial" w:eastAsia="Arial" w:hAnsi="Arial"/>
          <w:sz w:val="22"/>
          <w:szCs w:val="22"/>
          <w:color w:val="auto"/>
        </w:rPr>
        <w:t>) the Company shall: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firstLine="749"/>
        <w:spacing w:after="0" w:line="358" w:lineRule="auto"/>
        <w:rPr>
          <w:sz w:val="20"/>
          <w:szCs w:val="20"/>
          <w:color w:val="auto"/>
        </w:rPr>
      </w:pPr>
      <w:r>
        <w:rPr>
          <w:rFonts w:ascii="Arial" w:cs="Arial" w:eastAsia="Arial" w:hAnsi="Arial"/>
          <w:sz w:val="19"/>
          <w:szCs w:val="19"/>
          <w:i w:val="1"/>
          <w:iCs w:val="1"/>
          <w:color w:val="auto"/>
        </w:rPr>
        <w:t>Covenants relating to Assets – Further Assurances, Power of Attorney,</w:t>
      </w:r>
    </w:p>
    <w:p>
      <w:pPr>
        <w:spacing w:after="0" w:line="345" w:lineRule="exact"/>
        <w:rPr>
          <w:sz w:val="20"/>
          <w:szCs w:val="20"/>
          <w:color w:val="auto"/>
        </w:rPr>
      </w:pPr>
    </w:p>
    <w:p>
      <w:pPr>
        <w:sectPr>
          <w:pgSz w:w="11900" w:h="16838" w:orient="portrait"/>
          <w:cols w:equalWidth="0" w:num="2">
            <w:col w:w="7640" w:space="100"/>
            <w:col w:w="3500"/>
          </w:cols>
          <w:pgMar w:left="320" w:top="125" w:right="339" w:bottom="0" w:gutter="0" w:footer="0" w:header="0"/>
          <w:type w:val="continuous"/>
        </w:sectPr>
      </w:pPr>
    </w:p>
    <w:p>
      <w:pPr>
        <w:spacing w:after="0" w:line="22" w:lineRule="exact"/>
        <w:rPr>
          <w:sz w:val="20"/>
          <w:szCs w:val="20"/>
          <w:color w:val="auto"/>
        </w:rPr>
      </w:pPr>
    </w:p>
    <w:p>
      <w:pPr>
        <w:jc w:val="both"/>
        <w:ind w:left="1300" w:hanging="644"/>
        <w:spacing w:after="0" w:line="259" w:lineRule="auto"/>
        <w:tabs>
          <w:tab w:leader="none" w:pos="13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promptly after execution of this Deed (or, if later, within 45 days (or such later date as may be agreed to by the Collateral Agent in its sole discretion) of the opening of a new bank account), execute and deliver to the Collateral Agent notices, substantially in the form set out in Part 1 of Schedule 4 (</w:t>
      </w:r>
      <w:r>
        <w:rPr>
          <w:rFonts w:ascii="Arial" w:cs="Arial" w:eastAsia="Arial" w:hAnsi="Arial"/>
          <w:sz w:val="18"/>
          <w:szCs w:val="18"/>
          <w:i w:val="1"/>
          <w:iCs w:val="1"/>
          <w:color w:val="auto"/>
        </w:rPr>
        <w:t>Form of Notice of Charge for General Bank Accounts</w:t>
      </w:r>
      <w:r>
        <w:rPr>
          <w:rFonts w:ascii="Arial" w:cs="Arial" w:eastAsia="Arial" w:hAnsi="Arial"/>
          <w:sz w:val="18"/>
          <w:szCs w:val="18"/>
          <w:color w:val="auto"/>
        </w:rPr>
        <w:t xml:space="preserve"> ) or such other form as the Collateral Agent may reasonably require;</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use its reasonable endeavours to procure that each relevant bank, with whom a General Bank Account is maintained, delivers to the Collateral Agent an acknowledgement in writing substantially in the form attached to such notice provided that if the Company has not been able to obtain such countersignature and acknowledgement, any obligation to comply with this Clause 00 (</w:t>
      </w:r>
      <w:r>
        <w:rPr>
          <w:rFonts w:ascii="Arial" w:cs="Arial" w:eastAsia="Arial" w:hAnsi="Arial"/>
          <w:sz w:val="18"/>
          <w:szCs w:val="18"/>
          <w:i w:val="1"/>
          <w:iCs w:val="1"/>
          <w:color w:val="auto"/>
        </w:rPr>
        <w:t>9.5General Bank</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shall cease after 180 days of the service of the relevant notice; and</w:t>
      </w:r>
    </w:p>
    <w:p>
      <w:pPr>
        <w:spacing w:after="0" w:line="18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save with the prior written consent of the Collateral Agent or as may be permitted under the Loan Agreement, the Company shall not assign or otherwise dispose of any rights, title or interest in any General Bank Account (and no right, title or interest in relation to any such account or credit balance maintained with the Collateral Agent shall be capable of assignment or disposal).</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5"/>
          <w:szCs w:val="15"/>
          <w:b w:val="1"/>
          <w:bCs w:val="1"/>
          <w:color w:val="auto"/>
        </w:rPr>
        <w:t>Insurance Policies</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Company will, promptly after execution of this Deed (or, if later, within 45 days (or such later date as may be agreed to by the Collateral Agent in its sole discretion) of the Company obtaining new Insurance Policy), execute and deliver to the Collateral Agent (or procure delivery of) a notice of assignment substantially in the form set out in Schedule 6 (</w:t>
      </w:r>
      <w:r>
        <w:rPr>
          <w:rFonts w:ascii="Arial" w:cs="Arial" w:eastAsia="Arial" w:hAnsi="Arial"/>
          <w:sz w:val="18"/>
          <w:szCs w:val="18"/>
          <w:i w:val="1"/>
          <w:iCs w:val="1"/>
          <w:color w:val="auto"/>
        </w:rPr>
        <w:t>Form of Notice of Charge of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respect of each Insurance Policy detailed at Schedule 3 (Insurance</w:t>
      </w:r>
      <w:r>
        <w:rPr>
          <w:rFonts w:ascii="Arial" w:cs="Arial" w:eastAsia="Arial" w:hAnsi="Arial"/>
          <w:sz w:val="18"/>
          <w:szCs w:val="18"/>
          <w:i w:val="1"/>
          <w:iCs w:val="1"/>
          <w:color w:val="auto"/>
        </w:rPr>
        <w:t xml:space="preserve"> Policies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In each case, the Company shall use reasonable endeavours to procure that such insurer signs and delivers to the Collateral Agent an acknowledgement substantially in the form set out in Schedule 6 (</w:t>
      </w:r>
      <w:r>
        <w:rPr>
          <w:rFonts w:ascii="Arial" w:cs="Arial" w:eastAsia="Arial" w:hAnsi="Arial"/>
          <w:sz w:val="18"/>
          <w:szCs w:val="18"/>
          <w:i w:val="1"/>
          <w:iCs w:val="1"/>
          <w:color w:val="auto"/>
        </w:rPr>
        <w:t>Form of Notice of Charge of Insurance Policies</w:t>
      </w:r>
      <w:r>
        <w:rPr>
          <w:rFonts w:ascii="Arial" w:cs="Arial" w:eastAsia="Arial" w:hAnsi="Arial"/>
          <w:sz w:val="18"/>
          <w:szCs w:val="18"/>
          <w:color w:val="auto"/>
        </w:rPr>
        <w:t xml:space="preserve">) within twenty Business Days of such service </w:t>
      </w:r>
      <w:r>
        <w:rPr>
          <w:rFonts w:ascii="Arial" w:cs="Arial" w:eastAsia="Arial" w:hAnsi="Arial"/>
          <w:sz w:val="18"/>
          <w:szCs w:val="18"/>
          <w:i w:val="1"/>
          <w:iCs w:val="1"/>
          <w:color w:val="auto"/>
        </w:rPr>
        <w:t>provided that</w:t>
      </w:r>
      <w:r>
        <w:rPr>
          <w:rFonts w:ascii="Arial" w:cs="Arial" w:eastAsia="Arial" w:hAnsi="Arial"/>
          <w:sz w:val="18"/>
          <w:szCs w:val="18"/>
          <w:color w:val="auto"/>
        </w:rPr>
        <w:t>, if the relevant Company has not been able to obtain such acknowledgment from the relevant insurer any obligation to comply with this Clause shall cease twenty Business Days following the date of service of the relevant Notice of Assignment.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5"/>
          <w:szCs w:val="15"/>
          <w:b w:val="1"/>
          <w:bCs w:val="1"/>
          <w:color w:val="auto"/>
        </w:rPr>
        <w:t>Assigned Agreements</w:t>
      </w:r>
    </w:p>
    <w:p>
      <w:pPr>
        <w:spacing w:after="0" w:line="235"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The Company will, promptly after execution of this Deed (or, if later, within 45 days (or such later date as may be agreed to by the Collateral Agent in its sole discretion) of receipt by the Company of an executed copy of any Assigned Agreement) deliver to the Collateral Agent an executed but undated counterparty notice, in the form set out in Schedule 5 (</w:t>
      </w:r>
      <w:r>
        <w:rPr>
          <w:rFonts w:ascii="Arial" w:cs="Arial" w:eastAsia="Arial" w:hAnsi="Arial"/>
          <w:sz w:val="22"/>
          <w:szCs w:val="22"/>
          <w:i w:val="1"/>
          <w:iCs w:val="1"/>
          <w:color w:val="auto"/>
        </w:rPr>
        <w:t>Form of Notice of Charge of Assigned Agreements</w:t>
      </w:r>
      <w:r>
        <w:rPr>
          <w:rFonts w:ascii="Arial" w:cs="Arial" w:eastAsia="Arial" w:hAnsi="Arial"/>
          <w:sz w:val="22"/>
          <w:szCs w:val="22"/>
          <w:color w:val="auto"/>
        </w:rPr>
        <w:t>) and hereby irrevocably authorises the Collateral Agent to serve each such notice of Assigned Agreement on the relevant counterparty upon the occurrence of an Enforcement Event which is continuing.</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b w:val="1"/>
          <w:bCs w:val="1"/>
          <w:color w:val="auto"/>
        </w:rPr>
        <w:t>Charged Book Debts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0" w:type="dxa"/>
            <w:vAlign w:val="bottom"/>
          </w:tcPr>
          <w:p>
            <w:pPr>
              <w:spacing w:after="0"/>
              <w:rPr>
                <w:sz w:val="22"/>
                <w:szCs w:val="22"/>
                <w:color w:val="auto"/>
              </w:rPr>
            </w:pPr>
          </w:p>
        </w:tc>
        <w:tc>
          <w:tcPr>
            <w:tcW w:w="7240" w:type="dxa"/>
            <w:vAlign w:val="bottom"/>
            <w:gridSpan w:val="3"/>
          </w:tcPr>
          <w:p>
            <w:pPr>
              <w:ind w:left="220"/>
              <w:spacing w:after="0"/>
              <w:rPr>
                <w:sz w:val="20"/>
                <w:szCs w:val="20"/>
                <w:color w:val="auto"/>
              </w:rPr>
            </w:pPr>
            <w:r>
              <w:rPr>
                <w:rFonts w:ascii="Arial" w:cs="Arial" w:eastAsia="Arial" w:hAnsi="Arial"/>
                <w:sz w:val="22"/>
                <w:szCs w:val="22"/>
                <w:color w:val="auto"/>
                <w:w w:val="95"/>
              </w:rPr>
              <w:t>Without prejudice and in addition to the other provisions of this Clause 0 (</w:t>
            </w:r>
            <w:r>
              <w:rPr>
                <w:rFonts w:ascii="Arial" w:cs="Arial" w:eastAsia="Arial" w:hAnsi="Arial"/>
                <w:sz w:val="22"/>
                <w:szCs w:val="22"/>
                <w:i w:val="1"/>
                <w:iCs w:val="1"/>
                <w:color w:val="auto"/>
                <w:w w:val="95"/>
              </w:rPr>
              <w:t>9.</w:t>
            </w:r>
          </w:p>
        </w:tc>
        <w:tc>
          <w:tcPr>
            <w:tcW w:w="3560" w:type="dxa"/>
            <w:vAlign w:val="bottom"/>
          </w:tcPr>
          <w:p>
            <w:pPr>
              <w:ind w:left="800"/>
              <w:spacing w:after="0"/>
              <w:rPr>
                <w:sz w:val="20"/>
                <w:szCs w:val="20"/>
                <w:color w:val="auto"/>
              </w:rPr>
            </w:pPr>
            <w:r>
              <w:rPr>
                <w:rFonts w:ascii="Arial" w:cs="Arial" w:eastAsia="Arial" w:hAnsi="Arial"/>
                <w:sz w:val="22"/>
                <w:szCs w:val="22"/>
                <w:i w:val="1"/>
                <w:iCs w:val="1"/>
                <w:color w:val="auto"/>
                <w:w w:val="91"/>
              </w:rPr>
              <w:t>Covenants relating to Assets –</w:t>
            </w:r>
          </w:p>
        </w:tc>
      </w:tr>
      <w:tr>
        <w:trPr>
          <w:trHeight w:val="270"/>
        </w:trPr>
        <w:tc>
          <w:tcPr>
            <w:tcW w:w="440" w:type="dxa"/>
            <w:vAlign w:val="bottom"/>
          </w:tcPr>
          <w:p>
            <w:pPr>
              <w:spacing w:after="0"/>
              <w:rPr>
                <w:sz w:val="23"/>
                <w:szCs w:val="23"/>
                <w:color w:val="auto"/>
              </w:rPr>
            </w:pPr>
          </w:p>
        </w:tc>
        <w:tc>
          <w:tcPr>
            <w:tcW w:w="7240" w:type="dxa"/>
            <w:vAlign w:val="bottom"/>
            <w:gridSpan w:val="3"/>
          </w:tcPr>
          <w:p>
            <w:pPr>
              <w:ind w:left="22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tc>
        <w:tc>
          <w:tcPr>
            <w:tcW w:w="3560" w:type="dxa"/>
            <w:vAlign w:val="bottom"/>
          </w:tcPr>
          <w:p>
            <w:pPr>
              <w:ind w:left="60"/>
              <w:spacing w:after="0"/>
              <w:rPr>
                <w:sz w:val="20"/>
                <w:szCs w:val="20"/>
                <w:color w:val="auto"/>
              </w:rPr>
            </w:pPr>
            <w:r>
              <w:rPr>
                <w:rFonts w:ascii="Arial" w:cs="Arial" w:eastAsia="Arial" w:hAnsi="Arial"/>
                <w:sz w:val="22"/>
                <w:szCs w:val="22"/>
                <w:i w:val="1"/>
                <w:iCs w:val="1"/>
                <w:color w:val="auto"/>
                <w:w w:val="90"/>
              </w:rPr>
              <w:t>Further Assurances, Power of Attorney,</w:t>
            </w:r>
          </w:p>
        </w:tc>
      </w:tr>
      <w:tr>
        <w:trPr>
          <w:trHeight w:val="276"/>
        </w:trPr>
        <w:tc>
          <w:tcPr>
            <w:tcW w:w="440" w:type="dxa"/>
            <w:vAlign w:val="bottom"/>
          </w:tcPr>
          <w:p>
            <w:pPr>
              <w:spacing w:after="0"/>
              <w:rPr>
                <w:sz w:val="24"/>
                <w:szCs w:val="24"/>
                <w:color w:val="auto"/>
              </w:rPr>
            </w:pPr>
          </w:p>
        </w:tc>
        <w:tc>
          <w:tcPr>
            <w:tcW w:w="10800" w:type="dxa"/>
            <w:vAlign w:val="bottom"/>
            <w:gridSpan w:val="4"/>
          </w:tcPr>
          <w:p>
            <w:pPr>
              <w:ind w:left="220"/>
              <w:spacing w:after="0"/>
              <w:rPr>
                <w:sz w:val="20"/>
                <w:szCs w:val="20"/>
                <w:color w:val="auto"/>
              </w:rPr>
            </w:pPr>
            <w:r>
              <w:rPr>
                <w:rFonts w:ascii="Arial" w:cs="Arial" w:eastAsia="Arial" w:hAnsi="Arial"/>
                <w:sz w:val="22"/>
                <w:szCs w:val="22"/>
                <w:b w:val="1"/>
                <w:bCs w:val="1"/>
                <w:color w:val="auto"/>
                <w:w w:val="93"/>
              </w:rPr>
              <w:t>ETC.</w:t>
            </w:r>
            <w:r>
              <w:rPr>
                <w:rFonts w:ascii="Arial" w:cs="Arial" w:eastAsia="Arial" w:hAnsi="Arial"/>
                <w:sz w:val="22"/>
                <w:szCs w:val="22"/>
                <w:color w:val="auto"/>
                <w:w w:val="93"/>
              </w:rPr>
              <w:t>), at any time after an Enforcement Event occurs the Company shall deliver to the Collateral Agent promptly on</w:t>
            </w:r>
          </w:p>
        </w:tc>
      </w:tr>
      <w:tr>
        <w:trPr>
          <w:trHeight w:val="274"/>
        </w:trPr>
        <w:tc>
          <w:tcPr>
            <w:tcW w:w="440" w:type="dxa"/>
            <w:vAlign w:val="bottom"/>
          </w:tcPr>
          <w:p>
            <w:pPr>
              <w:spacing w:after="0"/>
              <w:rPr>
                <w:sz w:val="23"/>
                <w:szCs w:val="23"/>
                <w:color w:val="auto"/>
              </w:rPr>
            </w:pPr>
          </w:p>
        </w:tc>
        <w:tc>
          <w:tcPr>
            <w:tcW w:w="10800" w:type="dxa"/>
            <w:vAlign w:val="bottom"/>
            <w:gridSpan w:val="4"/>
          </w:tcPr>
          <w:p>
            <w:pPr>
              <w:ind w:left="220"/>
              <w:spacing w:after="0"/>
              <w:rPr>
                <w:sz w:val="20"/>
                <w:szCs w:val="20"/>
                <w:color w:val="auto"/>
              </w:rPr>
            </w:pPr>
            <w:r>
              <w:rPr>
                <w:rFonts w:ascii="Arial" w:cs="Arial" w:eastAsia="Arial" w:hAnsi="Arial"/>
                <w:sz w:val="22"/>
                <w:szCs w:val="22"/>
                <w:color w:val="auto"/>
                <w:w w:val="90"/>
              </w:rPr>
              <w:t>reasonable request such documents relating to such of the Book Debts as the Collateral Agent may reasonably specify.</w:t>
            </w:r>
          </w:p>
        </w:tc>
      </w:tr>
      <w:tr>
        <w:trPr>
          <w:trHeight w:val="43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9.9</w:t>
            </w:r>
          </w:p>
        </w:tc>
        <w:tc>
          <w:tcPr>
            <w:tcW w:w="7240" w:type="dxa"/>
            <w:vAlign w:val="bottom"/>
            <w:gridSpan w:val="3"/>
          </w:tcPr>
          <w:p>
            <w:pPr>
              <w:ind w:left="220"/>
              <w:spacing w:after="0"/>
              <w:rPr>
                <w:sz w:val="20"/>
                <w:szCs w:val="20"/>
                <w:color w:val="auto"/>
              </w:rPr>
            </w:pPr>
            <w:r>
              <w:rPr>
                <w:rFonts w:ascii="Arial" w:cs="Arial" w:eastAsia="Arial" w:hAnsi="Arial"/>
                <w:sz w:val="18"/>
                <w:szCs w:val="18"/>
                <w:b w:val="1"/>
                <w:bCs w:val="1"/>
                <w:color w:val="auto"/>
              </w:rPr>
              <w:t>Mortgaged Investments</w:t>
            </w:r>
          </w:p>
        </w:tc>
        <w:tc>
          <w:tcPr>
            <w:tcW w:w="3560" w:type="dxa"/>
            <w:vAlign w:val="bottom"/>
          </w:tcPr>
          <w:p>
            <w:pPr>
              <w:spacing w:after="0"/>
              <w:rPr>
                <w:sz w:val="24"/>
                <w:szCs w:val="24"/>
                <w:color w:val="auto"/>
              </w:rPr>
            </w:pPr>
          </w:p>
        </w:tc>
      </w:tr>
      <w:tr>
        <w:trPr>
          <w:trHeight w:val="414"/>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(a)</w:t>
            </w:r>
          </w:p>
        </w:tc>
        <w:tc>
          <w:tcPr>
            <w:tcW w:w="10160" w:type="dxa"/>
            <w:vAlign w:val="bottom"/>
            <w:gridSpan w:val="3"/>
          </w:tcPr>
          <w:p>
            <w:pPr>
              <w:ind w:left="220"/>
              <w:spacing w:after="0"/>
              <w:rPr>
                <w:sz w:val="20"/>
                <w:szCs w:val="20"/>
                <w:color w:val="auto"/>
              </w:rPr>
            </w:pPr>
            <w:r>
              <w:rPr>
                <w:rFonts w:ascii="Arial" w:cs="Arial" w:eastAsia="Arial" w:hAnsi="Arial"/>
                <w:sz w:val="18"/>
                <w:szCs w:val="18"/>
                <w:color w:val="auto"/>
                <w:w w:val="93"/>
              </w:rPr>
              <w:t>Without prejudice and in addition to the other provisions of this Clause 0 (</w:t>
            </w:r>
            <w:r>
              <w:rPr>
                <w:rFonts w:ascii="Arial" w:cs="Arial" w:eastAsia="Arial" w:hAnsi="Arial"/>
                <w:sz w:val="18"/>
                <w:szCs w:val="18"/>
                <w:i w:val="1"/>
                <w:iCs w:val="1"/>
                <w:color w:val="auto"/>
                <w:w w:val="93"/>
              </w:rPr>
              <w:t>9.Covenants relating to Assets – Perfection, Restrictions on</w:t>
            </w:r>
          </w:p>
        </w:tc>
      </w:tr>
      <w:tr>
        <w:trPr>
          <w:trHeight w:val="220"/>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Arial" w:cs="Arial" w:eastAsia="Arial" w:hAnsi="Arial"/>
                <w:sz w:val="18"/>
                <w:szCs w:val="18"/>
                <w:i w:val="1"/>
                <w:iCs w:val="1"/>
                <w:color w:val="auto"/>
                <w:w w:val="98"/>
              </w:rPr>
              <w:t xml:space="preserve">Dealings, </w:t>
            </w:r>
            <w:r>
              <w:rPr>
                <w:rFonts w:ascii="Arial" w:cs="Arial" w:eastAsia="Arial" w:hAnsi="Arial"/>
                <w:sz w:val="18"/>
                <w:szCs w:val="18"/>
                <w:b w:val="1"/>
                <w:bCs w:val="1"/>
                <w:color w:val="auto"/>
                <w:w w:val="98"/>
              </w:rPr>
              <w:t>PROTECTION</w:t>
            </w:r>
            <w:r>
              <w:rPr>
                <w:rFonts w:ascii="Arial" w:cs="Arial" w:eastAsia="Arial" w:hAnsi="Arial"/>
                <w:sz w:val="18"/>
                <w:szCs w:val="18"/>
                <w:color w:val="auto"/>
                <w:w w:val="98"/>
              </w:rPr>
              <w:t>) and Clause 0 (</w:t>
            </w:r>
            <w:r>
              <w:rPr>
                <w:rFonts w:ascii="Arial" w:cs="Arial" w:eastAsia="Arial" w:hAnsi="Arial"/>
                <w:sz w:val="18"/>
                <w:szCs w:val="18"/>
                <w:i w:val="1"/>
                <w:iCs w:val="1"/>
                <w:color w:val="auto"/>
                <w:w w:val="98"/>
              </w:rPr>
              <w:t xml:space="preserve">14.Further Assurances, Power of Attorney, </w:t>
            </w:r>
            <w:r>
              <w:rPr>
                <w:rFonts w:ascii="Arial" w:cs="Arial" w:eastAsia="Arial" w:hAnsi="Arial"/>
                <w:sz w:val="18"/>
                <w:szCs w:val="18"/>
                <w:b w:val="1"/>
                <w:bCs w:val="1"/>
                <w:color w:val="auto"/>
                <w:w w:val="98"/>
              </w:rPr>
              <w:t>ETC.</w:t>
            </w:r>
            <w:r>
              <w:rPr>
                <w:rFonts w:ascii="Arial" w:cs="Arial" w:eastAsia="Arial" w:hAnsi="Arial"/>
                <w:sz w:val="18"/>
                <w:szCs w:val="18"/>
                <w:color w:val="auto"/>
                <w:w w:val="98"/>
              </w:rPr>
              <w:t>), the Company shall deposit with the</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0" w:type="dxa"/>
            <w:vAlign w:val="bottom"/>
            <w:gridSpan w:val="2"/>
          </w:tcPr>
          <w:p>
            <w:pPr>
              <w:ind w:left="220"/>
              <w:spacing w:after="0"/>
              <w:rPr>
                <w:sz w:val="20"/>
                <w:szCs w:val="20"/>
                <w:color w:val="auto"/>
              </w:rPr>
            </w:pPr>
            <w:r>
              <w:rPr>
                <w:rFonts w:ascii="Arial" w:cs="Arial" w:eastAsia="Arial" w:hAnsi="Arial"/>
                <w:sz w:val="18"/>
                <w:szCs w:val="18"/>
                <w:color w:val="auto"/>
              </w:rPr>
              <w:t>Collateral Agent :</w:t>
            </w:r>
          </w:p>
        </w:tc>
        <w:tc>
          <w:tcPr>
            <w:tcW w:w="356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(i)</w:t>
            </w: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2"/>
              </w:rPr>
              <w:t>transfers of the Mortgaged Investments (or declarations of trust in respect of any Mortgaged Investments not in the Company's</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0"/>
              </w:rPr>
              <w:t>sole name) in each case duly completed and executed by the Company or its nominee with the name of the transferee, date and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5"/>
              </w:rPr>
              <w:t>consideration left blank or, if the Collateral Agent so reasonably requires, duly executed by the Company or its nominee in</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3"/>
              </w:rPr>
              <w:t>favour of the Collateral Agent (or the Collateral Agent 's nominee) and stamped, and such other documents as the Collateral</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2"/>
              </w:rPr>
              <w:t>Agent may reasonably require to enable the Collateral Agent (or the Collateral Agent 's nominee) or, after the occurrence and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6"/>
              </w:rPr>
              <w:t>continuance of an Event of Default, any purchaser, to be registered as the owner of, or otherwise obtain legal title to, the</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Mortgaged Investments; and</w:t>
            </w:r>
          </w:p>
        </w:tc>
        <w:tc>
          <w:tcPr>
            <w:tcW w:w="356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(ii)</w:t>
            </w: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0"/>
              </w:rPr>
              <w:t>in respect of any Mortgaged Investment not held in the Company's name, within 30 days (or such later date as may be agreed to</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5"/>
              </w:rPr>
              <w:t>by the Collateral Agent in its sole discretion) after execution of this Deed or if later promptly after it becomes entitled to the</w:t>
            </w:r>
          </w:p>
        </w:tc>
      </w:tr>
    </w:tbl>
    <w:p>
      <w:pPr>
        <w:sectPr>
          <w:pgSz w:w="11900" w:h="16838" w:orient="portrait"/>
          <w:cols w:equalWidth="0" w:num="1">
            <w:col w:w="11240"/>
          </w:cols>
          <w:pgMar w:left="320" w:top="125" w:right="339" w:bottom="0" w:gutter="0" w:footer="0" w:header="0"/>
          <w:type w:val="continuous"/>
        </w:sectPr>
      </w:pPr>
    </w:p>
    <w:bookmarkStart w:id="537" w:name="page538"/>
    <w:bookmarkEnd w:id="537"/>
    <w:p>
      <w:pPr>
        <w:spacing w:after="0" w:line="56" w:lineRule="exact"/>
        <w:rPr>
          <w:sz w:val="20"/>
          <w:szCs w:val="20"/>
          <w:color w:val="auto"/>
        </w:rPr>
      </w:pPr>
    </w:p>
    <w:p>
      <w:pPr>
        <w:jc w:val="both"/>
        <w:ind w:left="1960"/>
        <w:spacing w:after="0" w:line="311" w:lineRule="auto"/>
        <w:rPr>
          <w:sz w:val="20"/>
          <w:szCs w:val="20"/>
          <w:color w:val="auto"/>
        </w:rPr>
      </w:pPr>
      <w:r>
        <w:rPr>
          <w:rFonts w:ascii="Arial" w:cs="Arial" w:eastAsia="Arial" w:hAnsi="Arial"/>
          <w:sz w:val="16"/>
          <w:szCs w:val="16"/>
          <w:color w:val="auto"/>
        </w:rPr>
        <w:t>relevant Mortgaged Investment, use commercially reasonable endeavours to request an irrevocable power of attorney, expressed to be by way of security and executed and delivered as a deed by the relevant nominee, appointing the Collateral Agent each Receiver and any Delegate the attorney of the holder, in such form as the Collateral Agent may reasonably require.</w:t>
      </w:r>
    </w:p>
    <w:p>
      <w:pPr>
        <w:spacing w:after="0" w:line="149" w:lineRule="exact"/>
        <w:rPr>
          <w:sz w:val="20"/>
          <w:szCs w:val="20"/>
          <w:color w:val="auto"/>
        </w:rPr>
      </w:pPr>
    </w:p>
    <w:p>
      <w:pPr>
        <w:ind w:left="1300" w:hanging="644"/>
        <w:spacing w:after="0"/>
        <w:tabs>
          <w:tab w:leader="none" w:pos="130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Prior to such time as the Collateral Agent has, following the occurrence and during the continuation of an Enforcement Event:</w:t>
      </w:r>
    </w:p>
    <w:p>
      <w:pPr>
        <w:spacing w:after="0" w:line="236" w:lineRule="exact"/>
        <w:rPr>
          <w:rFonts w:ascii="Arial" w:cs="Arial" w:eastAsia="Arial" w:hAnsi="Arial"/>
          <w:sz w:val="17"/>
          <w:szCs w:val="17"/>
          <w:color w:val="auto"/>
        </w:rPr>
      </w:pPr>
    </w:p>
    <w:p>
      <w:pPr>
        <w:jc w:val="both"/>
        <w:ind w:left="1960" w:hanging="656"/>
        <w:spacing w:after="0" w:line="257" w:lineRule="auto"/>
        <w:tabs>
          <w:tab w:leader="none" w:pos="196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notified the Company in writing that it has elected to exercise voting and other rights relating to the Charged Assets in accordance with the terms of this Deed, all voting and other rights relating to the Mortgaged Investments may be exercised (or not exercised) by the Company as it directs provided that it shall not exercise any such voting rights in a manner which would diminish the effectiveness or enforceability of the Charges created under this Deed in any material respect or restrict the transferability of the Charged Assets by the Collateral Agent or any Receiver; and</w:t>
      </w:r>
    </w:p>
    <w:p>
      <w:pPr>
        <w:spacing w:after="0" w:line="187"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notified the Company in writing that it has elected to collect any dividends, distributions and other monies in accordance with the terms of this Deed, the Company shall be entitled to receive and retain such dividends, distributions and other monies paid on or derived from its Mortgaged Investments.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Following an Enforcement Event:</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Collateral Agent or, as the case may be, any Receiver shall, upon written notice to the Company, be entitled to exercise or direct the exercise of or refrain from such exercise all voting and other rights now or at any time relating to the Mortgaged Investments as it or he reasonably sees fit;</w:t>
      </w:r>
    </w:p>
    <w:p>
      <w:pPr>
        <w:spacing w:after="0" w:line="183" w:lineRule="exact"/>
        <w:rPr>
          <w:rFonts w:ascii="Arial" w:cs="Arial" w:eastAsia="Arial" w:hAnsi="Arial"/>
          <w:sz w:val="18"/>
          <w:szCs w:val="18"/>
          <w:color w:val="auto"/>
        </w:rPr>
      </w:pPr>
    </w:p>
    <w:p>
      <w:pPr>
        <w:jc w:val="both"/>
        <w:ind w:left="1960" w:hanging="656"/>
        <w:spacing w:after="0" w:line="257" w:lineRule="auto"/>
        <w:tabs>
          <w:tab w:leader="none" w:pos="196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after receipt by the Company of written notice pursuant to Clause 0, the Company shall comply or procure the compliance with any reasonable direction of the Collateral Agent or, as the case may be, any Receiver in respect of the exercise of such rights and shall deliver to the Collateral Agent or, as the case may be, any Receiver such forms of proxy or other appropriate forms of authorisation the Collateral Agent or, as the case may be, any Receiver may reasonably require with a view to enabling that person or its nominee to exercise such rights; and</w:t>
      </w:r>
    </w:p>
    <w:p>
      <w:pPr>
        <w:spacing w:after="0" w:line="187"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Collateral Agent shall, upon written notice to the Company, be entitled to receive and retain all dividends, interest and other distributions paid in respect of the Mortgaged Investments and apply the same as provided by Clause 0 (</w:t>
      </w:r>
      <w:r>
        <w:rPr>
          <w:rFonts w:ascii="Arial" w:cs="Arial" w:eastAsia="Arial" w:hAnsi="Arial"/>
          <w:sz w:val="18"/>
          <w:szCs w:val="18"/>
          <w:i w:val="1"/>
          <w:iCs w:val="1"/>
          <w:color w:val="auto"/>
        </w:rPr>
        <w:t>18.Application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MONEYS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spacing w:after="0"/>
              <w:rPr>
                <w:sz w:val="19"/>
                <w:szCs w:val="19"/>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(d)</w:t>
            </w:r>
          </w:p>
        </w:tc>
        <w:tc>
          <w:tcPr>
            <w:tcW w:w="1940" w:type="dxa"/>
            <w:vAlign w:val="bottom"/>
          </w:tcPr>
          <w:p>
            <w:pPr>
              <w:ind w:left="220"/>
              <w:spacing w:after="0"/>
              <w:rPr>
                <w:sz w:val="20"/>
                <w:szCs w:val="20"/>
                <w:color w:val="auto"/>
              </w:rPr>
            </w:pPr>
            <w:r>
              <w:rPr>
                <w:rFonts w:ascii="Arial" w:cs="Arial" w:eastAsia="Arial" w:hAnsi="Arial"/>
                <w:sz w:val="18"/>
                <w:szCs w:val="18"/>
                <w:color w:val="auto"/>
              </w:rPr>
              <w:t>This Clause 0 (</w:t>
            </w:r>
            <w:r>
              <w:rPr>
                <w:rFonts w:ascii="Arial" w:cs="Arial" w:eastAsia="Arial" w:hAnsi="Arial"/>
                <w:sz w:val="18"/>
                <w:szCs w:val="18"/>
                <w:i w:val="1"/>
                <w:iCs w:val="1"/>
                <w:color w:val="auto"/>
              </w:rPr>
              <w:t>9.7</w:t>
            </w:r>
          </w:p>
        </w:tc>
        <w:tc>
          <w:tcPr>
            <w:tcW w:w="8200" w:type="dxa"/>
            <w:vAlign w:val="bottom"/>
            <w:gridSpan w:val="2"/>
          </w:tcPr>
          <w:p>
            <w:pPr>
              <w:ind w:left="220"/>
              <w:spacing w:after="0"/>
              <w:rPr>
                <w:sz w:val="20"/>
                <w:szCs w:val="20"/>
                <w:color w:val="auto"/>
              </w:rPr>
            </w:pPr>
            <w:r>
              <w:rPr>
                <w:rFonts w:ascii="Arial" w:cs="Arial" w:eastAsia="Arial" w:hAnsi="Arial"/>
                <w:sz w:val="18"/>
                <w:szCs w:val="18"/>
                <w:i w:val="1"/>
                <w:iCs w:val="1"/>
                <w:color w:val="auto"/>
                <w:w w:val="93"/>
              </w:rPr>
              <w:t xml:space="preserve">Assigned </w:t>
            </w:r>
            <w:r>
              <w:rPr>
                <w:rFonts w:ascii="Arial" w:cs="Arial" w:eastAsia="Arial" w:hAnsi="Arial"/>
                <w:sz w:val="18"/>
                <w:szCs w:val="18"/>
                <w:b w:val="1"/>
                <w:bCs w:val="1"/>
                <w:color w:val="auto"/>
                <w:w w:val="93"/>
              </w:rPr>
              <w:t>Agreements</w:t>
            </w:r>
            <w:r>
              <w:rPr>
                <w:rFonts w:ascii="Arial" w:cs="Arial" w:eastAsia="Arial" w:hAnsi="Arial"/>
                <w:sz w:val="18"/>
                <w:szCs w:val="18"/>
                <w:color w:val="auto"/>
                <w:w w:val="93"/>
              </w:rPr>
              <w:t>) shall not apply to those Mortgaged Investments which are held by the Company by</w:t>
            </w:r>
          </w:p>
        </w:tc>
      </w:tr>
      <w:tr>
        <w:trPr>
          <w:trHeight w:val="212"/>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200" w:type="dxa"/>
            <w:vAlign w:val="bottom"/>
            <w:gridSpan w:val="2"/>
          </w:tcPr>
          <w:p>
            <w:pPr>
              <w:ind w:left="220"/>
              <w:spacing w:after="0"/>
              <w:rPr>
                <w:sz w:val="20"/>
                <w:szCs w:val="20"/>
                <w:color w:val="auto"/>
              </w:rPr>
            </w:pPr>
            <w:r>
              <w:rPr>
                <w:rFonts w:ascii="Arial" w:cs="Arial" w:eastAsia="Arial" w:hAnsi="Arial"/>
                <w:sz w:val="18"/>
                <w:szCs w:val="18"/>
                <w:color w:val="auto"/>
                <w:w w:val="91"/>
              </w:rPr>
              <w:t>way of temporary investments and which the Collateral Agent has agreed in writing shall not be subject to this</w:t>
            </w:r>
          </w:p>
        </w:tc>
      </w:t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9.7</w:t>
            </w:r>
          </w:p>
        </w:tc>
        <w:tc>
          <w:tcPr>
            <w:tcW w:w="6800" w:type="dxa"/>
            <w:vAlign w:val="bottom"/>
          </w:tcPr>
          <w:p>
            <w:pPr>
              <w:ind w:left="220"/>
              <w:spacing w:after="0"/>
              <w:rPr>
                <w:sz w:val="20"/>
                <w:szCs w:val="20"/>
                <w:color w:val="auto"/>
              </w:rPr>
            </w:pPr>
            <w:r>
              <w:rPr>
                <w:rFonts w:ascii="Arial" w:cs="Arial" w:eastAsia="Arial" w:hAnsi="Arial"/>
                <w:sz w:val="18"/>
                <w:szCs w:val="18"/>
                <w:i w:val="1"/>
                <w:iCs w:val="1"/>
                <w:color w:val="auto"/>
              </w:rPr>
              <w:t xml:space="preserve">Assigned </w:t>
            </w:r>
            <w:r>
              <w:rPr>
                <w:rFonts w:ascii="Arial" w:cs="Arial" w:eastAsia="Arial" w:hAnsi="Arial"/>
                <w:sz w:val="18"/>
                <w:szCs w:val="18"/>
                <w:b w:val="1"/>
                <w:bCs w:val="1"/>
                <w:color w:val="auto"/>
              </w:rPr>
              <w:t>Agreements</w:t>
            </w:r>
            <w:r>
              <w:rPr>
                <w:rFonts w:ascii="Arial" w:cs="Arial" w:eastAsia="Arial" w:hAnsi="Arial"/>
                <w:sz w:val="18"/>
                <w:szCs w:val="18"/>
                <w:color w:val="auto"/>
              </w:rPr>
              <w:t>).</w:t>
            </w: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9.10</w:t>
            </w:r>
          </w:p>
        </w:tc>
        <w:tc>
          <w:tcPr>
            <w:tcW w:w="25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Intellectual Property Rights</w:t>
            </w:r>
          </w:p>
        </w:tc>
        <w:tc>
          <w:tcPr>
            <w:tcW w:w="1400" w:type="dxa"/>
            <w:vAlign w:val="bottom"/>
          </w:tcPr>
          <w:p>
            <w:pPr>
              <w:spacing w:after="0"/>
              <w:rPr>
                <w:sz w:val="24"/>
                <w:szCs w:val="24"/>
                <w:color w:val="auto"/>
              </w:rPr>
            </w:pPr>
          </w:p>
        </w:tc>
        <w:tc>
          <w:tcPr>
            <w:tcW w:w="6800" w:type="dxa"/>
            <w:vAlign w:val="bottom"/>
          </w:tcPr>
          <w:p>
            <w:pPr>
              <w:spacing w:after="0"/>
              <w:rPr>
                <w:sz w:val="24"/>
                <w:szCs w:val="24"/>
                <w:color w:val="auto"/>
              </w:rPr>
            </w:pPr>
          </w:p>
        </w:tc>
      </w:tr>
    </w:tbl>
    <w:p>
      <w:pPr>
        <w:spacing w:after="0" w:line="200" w:lineRule="exact"/>
        <w:rPr>
          <w:sz w:val="20"/>
          <w:szCs w:val="20"/>
          <w:color w:val="auto"/>
        </w:rPr>
      </w:pPr>
    </w:p>
    <w:p>
      <w:pPr>
        <w:sectPr>
          <w:pgSz w:w="11900" w:h="16894" w:orient="portrait"/>
          <w:cols w:equalWidth="0" w:num="1">
            <w:col w:w="11240"/>
          </w:cols>
          <w:pgMar w:left="320" w:top="125" w:right="339" w:bottom="0" w:gutter="0" w:footer="0" w:header="0"/>
        </w:sectPr>
      </w:pPr>
    </w:p>
    <w:p>
      <w:pPr>
        <w:spacing w:after="0" w:line="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Without prejudice and in addition to the other provisions of this Clause 0 (</w:t>
      </w:r>
      <w:r>
        <w:rPr>
          <w:rFonts w:ascii="Arial" w:cs="Arial" w:eastAsia="Arial" w:hAnsi="Arial"/>
          <w:sz w:val="19"/>
          <w:szCs w:val="19"/>
          <w:i w:val="1"/>
          <w:iCs w:val="1"/>
          <w:color w:val="auto"/>
        </w:rPr>
        <w:t>9.</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ETC.</w:t>
      </w:r>
      <w:r>
        <w:rPr>
          <w:rFonts w:ascii="Arial" w:cs="Arial" w:eastAsia="Arial" w:hAnsi="Arial"/>
          <w:sz w:val="22"/>
          <w:szCs w:val="22"/>
          <w:color w:val="auto"/>
        </w:rPr>
        <w:t>), the Company shall:</w:t>
      </w:r>
    </w:p>
    <w:p>
      <w:pPr>
        <w:spacing w:after="0" w:line="20" w:lineRule="exact"/>
        <w:rPr>
          <w:sz w:val="20"/>
          <w:szCs w:val="20"/>
          <w:color w:val="auto"/>
        </w:rPr>
      </w:pPr>
      <w:r>
        <w:rPr>
          <w:sz w:val="20"/>
          <w:szCs w:val="20"/>
          <w:color w:val="auto"/>
        </w:rPr>
        <w:br w:type="column"/>
      </w:r>
    </w:p>
    <w:p>
      <w:pPr>
        <w:jc w:val="both"/>
        <w:ind w:firstLine="749"/>
        <w:spacing w:after="0" w:line="358" w:lineRule="auto"/>
        <w:rPr>
          <w:sz w:val="20"/>
          <w:szCs w:val="20"/>
          <w:color w:val="auto"/>
        </w:rPr>
      </w:pPr>
      <w:r>
        <w:rPr>
          <w:rFonts w:ascii="Arial" w:cs="Arial" w:eastAsia="Arial" w:hAnsi="Arial"/>
          <w:sz w:val="19"/>
          <w:szCs w:val="19"/>
          <w:i w:val="1"/>
          <w:iCs w:val="1"/>
          <w:color w:val="auto"/>
        </w:rPr>
        <w:t>Covenants relating to Assets – Further Assurances, Power of Attorney,</w:t>
      </w:r>
    </w:p>
    <w:p>
      <w:pPr>
        <w:spacing w:after="0" w:line="345" w:lineRule="exact"/>
        <w:rPr>
          <w:sz w:val="20"/>
          <w:szCs w:val="20"/>
          <w:color w:val="auto"/>
        </w:rPr>
      </w:pPr>
    </w:p>
    <w:p>
      <w:pPr>
        <w:sectPr>
          <w:pgSz w:w="11900" w:h="16894" w:orient="portrait"/>
          <w:cols w:equalWidth="0" w:num="2">
            <w:col w:w="7640" w:space="100"/>
            <w:col w:w="3500"/>
          </w:cols>
          <w:pgMar w:left="320" w:top="125" w:right="339" w:bottom="0" w:gutter="0" w:footer="0" w:header="0"/>
          <w:type w:val="continuous"/>
        </w:sectPr>
      </w:pPr>
    </w:p>
    <w:p>
      <w:pPr>
        <w:spacing w:after="0" w:line="22" w:lineRule="exact"/>
        <w:rPr>
          <w:sz w:val="20"/>
          <w:szCs w:val="20"/>
          <w:color w:val="auto"/>
        </w:rPr>
      </w:pPr>
    </w:p>
    <w:p>
      <w:pPr>
        <w:ind w:left="1300" w:hanging="644"/>
        <w:spacing w:after="0" w:line="342" w:lineRule="auto"/>
        <w:tabs>
          <w:tab w:leader="none" w:pos="1300" w:val="left"/>
        </w:tabs>
        <w:numPr>
          <w:ilvl w:val="1"/>
          <w:numId w:val="578"/>
        </w:numPr>
        <w:rPr>
          <w:rFonts w:ascii="Arial" w:cs="Arial" w:eastAsia="Arial" w:hAnsi="Arial"/>
          <w:sz w:val="16"/>
          <w:szCs w:val="16"/>
          <w:color w:val="auto"/>
        </w:rPr>
      </w:pPr>
      <w:r>
        <w:rPr>
          <w:rFonts w:ascii="Arial" w:cs="Arial" w:eastAsia="Arial" w:hAnsi="Arial"/>
          <w:sz w:val="16"/>
          <w:szCs w:val="16"/>
          <w:color w:val="auto"/>
        </w:rPr>
        <w:t>promptly on the reasonable request by the Collateral Agent , execute and do all acts, things and documents as the Collateral Agent may reasonably require to record the Collateral Agent 's interest in any registers relating to any of the Intellectual Property Rights;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not, save with the prior written consent of the Collateral Agent or as may be permitted pursuant to the terms of the Loan Agreement, grant any registered user agreement or licence or other right in relation to any such Intellectual Property Rights or permit the use of such Intellectual Property Rights by any person.</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GENERAL COVENANTS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shall:</w:t>
      </w:r>
    </w:p>
    <w:p>
      <w:pPr>
        <w:spacing w:after="0" w:line="225" w:lineRule="exact"/>
        <w:rPr>
          <w:sz w:val="20"/>
          <w:szCs w:val="20"/>
          <w:color w:val="auto"/>
        </w:rPr>
      </w:pPr>
    </w:p>
    <w:p>
      <w:pPr>
        <w:jc w:val="both"/>
        <w:ind w:left="1300" w:hanging="644"/>
        <w:spacing w:after="0" w:line="263" w:lineRule="auto"/>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at any time after an Enforcement Event, promptly give to the Collateral Agent such information and evidence (and in such form) as the Collateral Agent may from time to time reasonably request for the purpose of or with a view to discharging the duties and rights vested in it under and in accordance with this Deed or by operation of law;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not have its Centre of Main Interests situated, or permit its Centre of Main Interests to be situated, outside the UK.</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CRYSTALLISATION OF FLOATING CHARGE</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In addition and without prejudice to any other event resulting in crystallisation of the floating charge, but subject to any prohibition or restriction imposed by law, if at any time:</w:t>
      </w:r>
    </w:p>
    <w:p>
      <w:pPr>
        <w:spacing w:after="0" w:line="170" w:lineRule="exact"/>
        <w:rPr>
          <w:sz w:val="20"/>
          <w:szCs w:val="20"/>
          <w:color w:val="auto"/>
        </w:rPr>
      </w:pPr>
    </w:p>
    <w:p>
      <w:pPr>
        <w:ind w:left="1300" w:hanging="644"/>
        <w:spacing w:after="0"/>
        <w:tabs>
          <w:tab w:leader="none" w:pos="13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an Event of Default occurs and is continuing;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Collateral Agent (acting reasonably) considers that any of the Floating Charged Assets, which is material to the context of the business as a whole, are in danger of being seized or is otherwise in jeopardy,</w:t>
      </w:r>
    </w:p>
    <w:p>
      <w:pPr>
        <w:spacing w:after="0" w:line="177"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the Collateral Agent may by notice in writing to the Company convert the floating charge created by Clause 0 (</w:t>
      </w:r>
      <w:r>
        <w:rPr>
          <w:rFonts w:ascii="Arial" w:cs="Arial" w:eastAsia="Arial" w:hAnsi="Arial"/>
          <w:sz w:val="22"/>
          <w:szCs w:val="22"/>
          <w:i w:val="1"/>
          <w:iCs w:val="1"/>
          <w:color w:val="auto"/>
        </w:rPr>
        <w:t>6.5</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Floating </w:t>
      </w:r>
      <w:r>
        <w:rPr>
          <w:rFonts w:ascii="Arial" w:cs="Arial" w:eastAsia="Arial" w:hAnsi="Arial"/>
          <w:sz w:val="22"/>
          <w:szCs w:val="22"/>
          <w:b w:val="1"/>
          <w:bCs w:val="1"/>
          <w:color w:val="auto"/>
        </w:rPr>
        <w:t>Charge</w:t>
      </w:r>
      <w:r>
        <w:rPr>
          <w:rFonts w:ascii="Arial" w:cs="Arial" w:eastAsia="Arial" w:hAnsi="Arial"/>
          <w:sz w:val="22"/>
          <w:szCs w:val="22"/>
          <w:color w:val="auto"/>
        </w:rPr>
        <w:t>) into a fixed charge as regards any Floating Charge Assets as may be specified in that notice (and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avoidance of doubt, in the case of paragraph (b) above, only to the extent that paragraph (b) applies to such Floating Charge Asset).</w:t>
      </w:r>
    </w:p>
    <w:p>
      <w:pPr>
        <w:sectPr>
          <w:pgSz w:w="11900" w:h="16894" w:orient="portrait"/>
          <w:cols w:equalWidth="0" w:num="1">
            <w:col w:w="11240"/>
          </w:cols>
          <w:pgMar w:left="320" w:top="125" w:right="339" w:bottom="0" w:gutter="0" w:footer="0" w:header="0"/>
          <w:type w:val="continuous"/>
        </w:sectPr>
      </w:pP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In addition and without prejudice to any law or other event resulting in crystallisation of the floating charge, but subject to any prohibition or</w:t>
      </w:r>
    </w:p>
    <w:p>
      <w:pPr>
        <w:sectPr>
          <w:pgSz w:w="11900" w:h="16894" w:orient="portrait"/>
          <w:cols w:equalWidth="0" w:num="1">
            <w:col w:w="11240"/>
          </w:cols>
          <w:pgMar w:left="320" w:top="125" w:right="339" w:bottom="0" w:gutter="0" w:footer="0" w:header="0"/>
          <w:type w:val="continuous"/>
        </w:sectPr>
      </w:pPr>
    </w:p>
    <w:bookmarkStart w:id="538" w:name="page539"/>
    <w:bookmarkEnd w:id="538"/>
    <w:p>
      <w:pPr>
        <w:ind w:left="660"/>
        <w:spacing w:after="0" w:line="282" w:lineRule="auto"/>
        <w:rPr>
          <w:sz w:val="20"/>
          <w:szCs w:val="20"/>
          <w:color w:val="auto"/>
        </w:rPr>
      </w:pPr>
      <w:r>
        <w:rPr>
          <w:rFonts w:ascii="Arial" w:cs="Arial" w:eastAsia="Arial" w:hAnsi="Arial"/>
          <w:sz w:val="18"/>
          <w:szCs w:val="18"/>
          <w:color w:val="auto"/>
        </w:rPr>
        <w:t>restriction imposed by law, the floating charge created by Clause 0 (</w:t>
      </w:r>
      <w:r>
        <w:rPr>
          <w:rFonts w:ascii="Arial" w:cs="Arial" w:eastAsia="Arial" w:hAnsi="Arial"/>
          <w:sz w:val="18"/>
          <w:szCs w:val="18"/>
          <w:i w:val="1"/>
          <w:iCs w:val="1"/>
          <w:color w:val="auto"/>
        </w:rPr>
        <w:t>6.5Floating</w:t>
      </w:r>
      <w:r>
        <w:rPr>
          <w:rFonts w:ascii="Arial" w:cs="Arial" w:eastAsia="Arial" w:hAnsi="Arial"/>
          <w:sz w:val="18"/>
          <w:szCs w:val="18"/>
          <w:color w:val="auto"/>
        </w:rPr>
        <w:t xml:space="preserve"> </w:t>
      </w:r>
      <w:r>
        <w:rPr>
          <w:rFonts w:ascii="Arial" w:cs="Arial" w:eastAsia="Arial" w:hAnsi="Arial"/>
          <w:sz w:val="18"/>
          <w:szCs w:val="18"/>
          <w:b w:val="1"/>
          <w:bCs w:val="1"/>
          <w:color w:val="auto"/>
        </w:rPr>
        <w:t>Charge</w:t>
      </w:r>
      <w:r>
        <w:rPr>
          <w:rFonts w:ascii="Arial" w:cs="Arial" w:eastAsia="Arial" w:hAnsi="Arial"/>
          <w:sz w:val="18"/>
          <w:szCs w:val="18"/>
          <w:color w:val="auto"/>
        </w:rPr>
        <w:t>) shall without notice automatically be converted into a fixed charge over:</w:t>
      </w:r>
    </w:p>
    <w:p>
      <w:pPr>
        <w:spacing w:after="0" w:line="166" w:lineRule="exact"/>
        <w:rPr>
          <w:sz w:val="20"/>
          <w:szCs w:val="20"/>
          <w:color w:val="auto"/>
        </w:rPr>
      </w:pPr>
    </w:p>
    <w:p>
      <w:pPr>
        <w:jc w:val="both"/>
        <w:ind w:left="1300" w:hanging="644"/>
        <w:spacing w:after="0" w:line="259" w:lineRule="auto"/>
        <w:tabs>
          <w:tab w:leader="none" w:pos="130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any Floating Charge Assets which become subject or continue to be subject to any Security Interest in favour of any person other than the Collateral Agent or which is/are the subject of any sale, transfer or other disposition, in either case contrary to the covenants contained in this Deed or any of the other Loan Documents, immediately prior to such actual or purported Security Interest arising or such actual or purported sale, transfer or other disposition being made; or</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any Floating Charge Assets affected by any attachment, distress, execution or other legal process against such Floating Charge Asset, immediately prior to such distress, attachment, execution or other legal process.</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584"/>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security constituted by this Deed shall, subject to any prohibition or restriction imposed by law, become enforceable upon and at any time after an Event of Default occurs and is continuing (an "</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pacing w:after="0" w:line="170"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At any time after an Enforcement Event, the Collateral Agent may (but shall not be obliged to) enforce all or any part of the Charges at such time, on such terms and in such manner as it thinks fit, and take possession of, hold or dispose of all or any part of the Charged Assets, and may (whether or not it has taken possession or appointed a Receiver or Administrator) exercise any rights conferred by the Law of Property Act (as varied or extended by this Deed) on mortgagees or by this Deed or otherwise conferred by law on mortgagees.</w:t>
      </w:r>
    </w:p>
    <w:p>
      <w:pPr>
        <w:spacing w:after="0" w:line="17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Without prejudice to the generality of the foregoing, at any time after an Enforcement Event, the Collateral Agent may (but shall not be obliged to) by notice to the company in writing appropriate all or any part of the Charged Assets which constitute financial collateral. If the Collateral Agent exercises such power of appropriation:</w:t>
      </w:r>
    </w:p>
    <w:p>
      <w:pPr>
        <w:spacing w:after="0" w:line="184" w:lineRule="exact"/>
        <w:rPr>
          <w:sz w:val="20"/>
          <w:szCs w:val="20"/>
          <w:color w:val="auto"/>
        </w:rPr>
      </w:pPr>
    </w:p>
    <w:p>
      <w:pPr>
        <w:jc w:val="both"/>
        <w:ind w:left="1300" w:hanging="644"/>
        <w:spacing w:after="0" w:line="279" w:lineRule="auto"/>
        <w:tabs>
          <w:tab w:leader="none" w:pos="130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it shall determine the value of any Charged Asset appropriated which consists of a financial instrument or a Credit Claim as at the time of exercise of that power as the current value of the cash payment which it determines would be received on a sale or other disposal of such Charged Asset effected for payment as soon as reasonably possible after such time. Any such determination shall be made by the Collateral Agent in a commercially reasonable manner (including by way of an independent valuation); and</w:t>
      </w:r>
    </w:p>
    <w:p>
      <w:pPr>
        <w:spacing w:after="0" w:line="17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any Charged Asset appropriated which constitutes cash and which is not denominated in dollars shall be valued as if it were converted to dollars at the rate certified by the Collateral Agent to be the spot rate of exchange for the purchase of dollars with the currency of such cash as soon as practicable after the appropriation thereof.</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exercise by the Collateral Agent of its right of appropriation under Clause 0 (</w:t>
      </w:r>
      <w:r>
        <w:rPr>
          <w:rFonts w:ascii="Arial" w:cs="Arial" w:eastAsia="Arial" w:hAnsi="Arial"/>
          <w:sz w:val="18"/>
          <w:szCs w:val="18"/>
          <w:i w:val="1"/>
          <w:iCs w:val="1"/>
          <w:color w:val="auto"/>
        </w:rPr>
        <w:t>12.</w:t>
      </w:r>
      <w:r>
        <w:rPr>
          <w:rFonts w:ascii="Arial" w:cs="Arial" w:eastAsia="Arial" w:hAnsi="Arial"/>
          <w:sz w:val="18"/>
          <w:szCs w:val="18"/>
          <w:b w:val="1"/>
          <w:bCs w:val="1"/>
          <w:color w:val="auto"/>
        </w:rPr>
        <w:t>ENFORCEMENT</w:t>
      </w:r>
      <w:r>
        <w:rPr>
          <w:rFonts w:ascii="Arial" w:cs="Arial" w:eastAsia="Arial" w:hAnsi="Arial"/>
          <w:sz w:val="18"/>
          <w:szCs w:val="18"/>
          <w:color w:val="auto"/>
        </w:rPr>
        <w:t>) of any part of the Charged Assets shall not prejudice or affect any of the Collateral Agent 's rights and remedies in respect of the remainder of the Charged Assets for any Secured Obligations which remain to be paid or discharged.</w:t>
      </w:r>
    </w:p>
    <w:p>
      <w:pPr>
        <w:spacing w:after="0" w:line="176" w:lineRule="exact"/>
        <w:rPr>
          <w:sz w:val="20"/>
          <w:szCs w:val="20"/>
          <w:color w:val="auto"/>
        </w:rPr>
      </w:pPr>
    </w:p>
    <w:p>
      <w:pPr>
        <w:ind w:left="660" w:hanging="652"/>
        <w:spacing w:after="0"/>
        <w:tabs>
          <w:tab w:leader="none" w:pos="660" w:val="left"/>
        </w:tabs>
        <w:numPr>
          <w:ilvl w:val="0"/>
          <w:numId w:val="586"/>
        </w:numPr>
        <w:rPr>
          <w:rFonts w:ascii="Arial" w:cs="Arial" w:eastAsia="Arial" w:hAnsi="Arial"/>
          <w:sz w:val="18"/>
          <w:szCs w:val="18"/>
          <w:color w:val="auto"/>
        </w:rPr>
      </w:pPr>
      <w:r>
        <w:rPr>
          <w:rFonts w:ascii="Arial" w:cs="Arial" w:eastAsia="Arial" w:hAnsi="Arial"/>
          <w:sz w:val="18"/>
          <w:szCs w:val="18"/>
          <w:b w:val="1"/>
          <w:bCs w:val="1"/>
          <w:color w:val="auto"/>
        </w:rPr>
        <w:t>CONTINUING SECURITY, OTHER SECURITY ETC.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13.1</w:t>
            </w:r>
          </w:p>
        </w:tc>
        <w:tc>
          <w:tcPr>
            <w:tcW w:w="2360" w:type="dxa"/>
            <w:vAlign w:val="bottom"/>
          </w:tcPr>
          <w:p>
            <w:pPr>
              <w:ind w:left="220"/>
              <w:spacing w:after="0"/>
              <w:rPr>
                <w:sz w:val="20"/>
                <w:szCs w:val="20"/>
                <w:color w:val="auto"/>
              </w:rPr>
            </w:pPr>
            <w:r>
              <w:rPr>
                <w:rFonts w:ascii="Arial" w:cs="Arial" w:eastAsia="Arial" w:hAnsi="Arial"/>
                <w:sz w:val="18"/>
                <w:szCs w:val="18"/>
                <w:color w:val="auto"/>
              </w:rPr>
              <w:t>Subject to Clauses 0 (</w:t>
            </w:r>
            <w:r>
              <w:rPr>
                <w:rFonts w:ascii="Arial" w:cs="Arial" w:eastAsia="Arial" w:hAnsi="Arial"/>
                <w:sz w:val="18"/>
                <w:szCs w:val="18"/>
                <w:i w:val="1"/>
                <w:iCs w:val="1"/>
                <w:color w:val="auto"/>
              </w:rPr>
              <w:t>7.</w:t>
            </w:r>
          </w:p>
        </w:tc>
        <w:tc>
          <w:tcPr>
            <w:tcW w:w="3780" w:type="dxa"/>
            <w:vAlign w:val="bottom"/>
          </w:tcPr>
          <w:p>
            <w:pPr>
              <w:ind w:left="440"/>
              <w:spacing w:after="0"/>
              <w:rPr>
                <w:sz w:val="20"/>
                <w:szCs w:val="20"/>
                <w:color w:val="auto"/>
              </w:rPr>
            </w:pPr>
            <w:r>
              <w:rPr>
                <w:rFonts w:ascii="Arial" w:cs="Arial" w:eastAsia="Arial" w:hAnsi="Arial"/>
                <w:sz w:val="18"/>
                <w:szCs w:val="18"/>
                <w:i w:val="1"/>
                <w:iCs w:val="1"/>
                <w:color w:val="auto"/>
              </w:rPr>
              <w:t xml:space="preserve">Redemption of </w:t>
            </w:r>
            <w:r>
              <w:rPr>
                <w:rFonts w:ascii="Arial" w:cs="Arial" w:eastAsia="Arial" w:hAnsi="Arial"/>
                <w:sz w:val="18"/>
                <w:szCs w:val="18"/>
                <w:b w:val="1"/>
                <w:bCs w:val="1"/>
                <w:color w:val="auto"/>
              </w:rPr>
              <w:t>SECURITY</w:t>
            </w:r>
            <w:r>
              <w:rPr>
                <w:rFonts w:ascii="Arial" w:cs="Arial" w:eastAsia="Arial" w:hAnsi="Arial"/>
                <w:sz w:val="18"/>
                <w:szCs w:val="18"/>
                <w:color w:val="auto"/>
              </w:rPr>
              <w:t>) and 0 (</w:t>
            </w:r>
            <w:r>
              <w:rPr>
                <w:rFonts w:ascii="Arial" w:cs="Arial" w:eastAsia="Arial" w:hAnsi="Arial"/>
                <w:sz w:val="18"/>
                <w:szCs w:val="18"/>
                <w:i w:val="1"/>
                <w:iCs w:val="1"/>
                <w:color w:val="auto"/>
              </w:rPr>
              <w:t>7.</w:t>
            </w:r>
          </w:p>
        </w:tc>
        <w:tc>
          <w:tcPr>
            <w:tcW w:w="4540" w:type="dxa"/>
            <w:vAlign w:val="bottom"/>
            <w:gridSpan w:val="3"/>
          </w:tcPr>
          <w:p>
            <w:pPr>
              <w:ind w:left="560"/>
              <w:spacing w:after="0"/>
              <w:rPr>
                <w:sz w:val="20"/>
                <w:szCs w:val="20"/>
                <w:color w:val="auto"/>
              </w:rPr>
            </w:pPr>
            <w:r>
              <w:rPr>
                <w:rFonts w:ascii="Arial" w:cs="Arial" w:eastAsia="Arial" w:hAnsi="Arial"/>
                <w:sz w:val="18"/>
                <w:szCs w:val="18"/>
                <w:i w:val="1"/>
                <w:iCs w:val="1"/>
                <w:color w:val="auto"/>
                <w:w w:val="93"/>
              </w:rPr>
              <w:t xml:space="preserve">Redemption of </w:t>
            </w:r>
            <w:r>
              <w:rPr>
                <w:rFonts w:ascii="Arial" w:cs="Arial" w:eastAsia="Arial" w:hAnsi="Arial"/>
                <w:sz w:val="18"/>
                <w:szCs w:val="18"/>
                <w:b w:val="1"/>
                <w:bCs w:val="1"/>
                <w:color w:val="auto"/>
                <w:w w:val="93"/>
              </w:rPr>
              <w:t>SECURITY</w:t>
            </w:r>
            <w:r>
              <w:rPr>
                <w:rFonts w:ascii="Arial" w:cs="Arial" w:eastAsia="Arial" w:hAnsi="Arial"/>
                <w:sz w:val="18"/>
                <w:szCs w:val="18"/>
                <w:color w:val="auto"/>
                <w:w w:val="93"/>
              </w:rPr>
              <w:t>), the Charges, covenants,</w:t>
            </w:r>
          </w:p>
        </w:tc>
      </w:tr>
      <w:tr>
        <w:trPr>
          <w:trHeight w:val="216"/>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60" w:type="dxa"/>
            <w:vAlign w:val="bottom"/>
            <w:gridSpan w:val="2"/>
          </w:tcPr>
          <w:p>
            <w:pPr>
              <w:ind w:left="560"/>
              <w:spacing w:after="0"/>
              <w:rPr>
                <w:sz w:val="20"/>
                <w:szCs w:val="20"/>
                <w:color w:val="auto"/>
              </w:rPr>
            </w:pPr>
            <w:r>
              <w:rPr>
                <w:rFonts w:ascii="Arial" w:cs="Arial" w:eastAsia="Arial" w:hAnsi="Arial"/>
                <w:sz w:val="18"/>
                <w:szCs w:val="18"/>
                <w:color w:val="auto"/>
                <w:w w:val="93"/>
              </w:rPr>
              <w:t>undertakings and provisions contained</w:t>
            </w:r>
          </w:p>
        </w:tc>
        <w:tc>
          <w:tcPr>
            <w:tcW w:w="1080" w:type="dxa"/>
            <w:vAlign w:val="bottom"/>
          </w:tcPr>
          <w:p>
            <w:pPr>
              <w:jc w:val="right"/>
              <w:spacing w:after="0"/>
              <w:rPr>
                <w:sz w:val="20"/>
                <w:szCs w:val="20"/>
                <w:color w:val="auto"/>
              </w:rPr>
            </w:pPr>
            <w:r>
              <w:rPr>
                <w:rFonts w:ascii="Arial" w:cs="Arial" w:eastAsia="Arial" w:hAnsi="Arial"/>
                <w:sz w:val="18"/>
                <w:szCs w:val="18"/>
                <w:color w:val="auto"/>
              </w:rPr>
              <w:t>in or granted</w:t>
            </w:r>
          </w:p>
        </w:tc>
      </w:tr>
      <w:tr>
        <w:trPr>
          <w:trHeight w:val="216"/>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w w:val="88"/>
              </w:rPr>
              <w:t>pursuant</w:t>
            </w:r>
          </w:p>
        </w:tc>
        <w:tc>
          <w:tcPr>
            <w:tcW w:w="2260" w:type="dxa"/>
            <w:vAlign w:val="bottom"/>
          </w:tcPr>
          <w:p>
            <w:pPr>
              <w:ind w:left="60"/>
              <w:spacing w:after="0"/>
              <w:rPr>
                <w:sz w:val="20"/>
                <w:szCs w:val="20"/>
                <w:color w:val="auto"/>
              </w:rPr>
            </w:pPr>
            <w:r>
              <w:rPr>
                <w:rFonts w:ascii="Arial" w:cs="Arial" w:eastAsia="Arial" w:hAnsi="Arial"/>
                <w:sz w:val="18"/>
                <w:szCs w:val="18"/>
                <w:color w:val="auto"/>
              </w:rPr>
              <w:t>to this Deed shall remain in</w:t>
            </w:r>
          </w:p>
        </w:tc>
        <w:tc>
          <w:tcPr>
            <w:tcW w:w="1080" w:type="dxa"/>
            <w:vAlign w:val="bottom"/>
          </w:tcPr>
          <w:p>
            <w:pPr>
              <w:jc w:val="right"/>
              <w:spacing w:after="0"/>
              <w:rPr>
                <w:sz w:val="20"/>
                <w:szCs w:val="20"/>
                <w:color w:val="auto"/>
              </w:rPr>
            </w:pPr>
            <w:r>
              <w:rPr>
                <w:rFonts w:ascii="Arial" w:cs="Arial" w:eastAsia="Arial" w:hAnsi="Arial"/>
                <w:sz w:val="18"/>
                <w:szCs w:val="18"/>
                <w:color w:val="auto"/>
              </w:rPr>
              <w:t>full force and</w:t>
            </w:r>
          </w:p>
        </w:tc>
      </w:tr>
      <w:tr>
        <w:trPr>
          <w:trHeight w:val="230"/>
        </w:trPr>
        <w:tc>
          <w:tcPr>
            <w:tcW w:w="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w w:val="91"/>
              </w:rPr>
              <w:t>effect as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w w:val="95"/>
              </w:rPr>
              <w:t>a continuing security to the Collateral Agent</w:t>
            </w:r>
          </w:p>
        </w:tc>
      </w:tr>
    </w:tbl>
    <w:p>
      <w:pPr>
        <w:ind w:left="7260"/>
        <w:spacing w:after="0"/>
        <w:rPr>
          <w:sz w:val="20"/>
          <w:szCs w:val="20"/>
          <w:color w:val="auto"/>
        </w:rPr>
      </w:pPr>
      <w:r>
        <w:rPr>
          <w:rFonts w:ascii="Arial" w:cs="Arial" w:eastAsia="Arial" w:hAnsi="Arial"/>
          <w:sz w:val="16"/>
          <w:szCs w:val="16"/>
          <w:color w:val="auto"/>
        </w:rPr>
        <w:t>for the Secured Obligations and shall not be satisfied,</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discharged or affected by any intermediate payment or</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settlement of account of all or part of the Secured</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Obligations (whether any Secured Obligations remain</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outstanding thereafter) or any other act, event, matter,</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or thing whatsoever.</w:t>
      </w:r>
    </w:p>
    <w:p>
      <w:pPr>
        <w:spacing w:after="0" w:line="21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Charges are cumulative, in addition to and independent of, and shall neither be merged with nor prejudiced by nor in any way exclude or prejudice, any other Security Interest, guarantee, indemnity, right of recourse or any other right whatsoever which the Collateral Agent may now or hereafter hold or have (or would apart from this Deed or the Charges hold or have) from the Company or any other person in respect of any of the Secured Obligations.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restriction on consolidation of mortgages contained in section 93 of the Law of Property Act shall not apply in relation to the Charges.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If the Collateral Agent receives or is deemed to be affected by notice (actual or constructive) of any Security Interest over any Charged Asset or if an Insolvency Event occurs in relation to the Company:</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Collateral Agent may open a new account or accounts with or on behalf of the Company (whether or not it allows any existing account to continue) and, if it does not, it shall nevertheless be deemed to have done so at the time it received or was deemed to have received such notice or at the time that the Insolvency Event occurred; and</w:t>
      </w:r>
    </w:p>
    <w:p>
      <w:pPr>
        <w:spacing w:after="0" w:line="183"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all payments made by the Company to the Collateral Agent after the Collateral Agent received or is deemed to have received such notice or after such Insolvency Event occurred shall be credited or deemed to have been credited to the new account or accounts, and in no circumstances whatsoever shall operate to reduce the Secured Obligations as at the time the Collateral Agent received or was deemed to have received such notice or as at the time that such Insolvency Event occurred.</w:t>
      </w:r>
    </w:p>
    <w:p>
      <w:pPr>
        <w:spacing w:after="0" w:line="17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This Deed shall remain valid and enforceable notwithstanding any change in the name, composition or constitution of the Collateral Agent or the Company or any amalgamation or consolidation by the Collateral Agent or the Company with any other corporation.</w:t>
      </w:r>
    </w:p>
    <w:p>
      <w:pPr>
        <w:spacing w:after="0" w:line="166" w:lineRule="exact"/>
        <w:rPr>
          <w:sz w:val="20"/>
          <w:szCs w:val="20"/>
          <w:color w:val="auto"/>
        </w:rPr>
      </w:pPr>
    </w:p>
    <w:p>
      <w:pPr>
        <w:ind w:left="660" w:hanging="652"/>
        <w:spacing w:after="0"/>
        <w:tabs>
          <w:tab w:leader="none" w:pos="660"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FURTHER ASSURANCES, POWER OF ATTORNEY, ETC.</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 shall, at its own cost, promptly take whatever action the Collateral Agent or any Receiver may reasonably require with a view to:</w:t>
      </w:r>
    </w:p>
    <w:p>
      <w:pPr>
        <w:sectPr>
          <w:pgSz w:w="11900" w:h="16838" w:orient="portrait"/>
          <w:cols w:equalWidth="0" w:num="1">
            <w:col w:w="11240"/>
          </w:cols>
          <w:pgMar w:left="320" w:top="121" w:right="339" w:bottom="0" w:gutter="0" w:footer="0" w:header="0"/>
        </w:sectPr>
      </w:pPr>
    </w:p>
    <w:bookmarkStart w:id="539" w:name="page540"/>
    <w:bookmarkEnd w:id="539"/>
    <w:p>
      <w:pPr>
        <w:ind w:left="1300" w:hanging="644"/>
        <w:spacing w:after="0"/>
        <w:tabs>
          <w:tab w:leader="none" w:pos="130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creating, preserving, perfecting or protecting any of the Charges or the first priority of any of the Charges;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facilitating the enforcement of the Security created under this Deed or the exercise of any rights vested in the Collateral Agent or any Receiver in connection with this Deed;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177"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including, without limitation, executing such assignments, transfers and conveyances of the Charged Assets (whether in favour of the Collateral Agent ,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pacing w:after="0" w:line="185" w:lineRule="exact"/>
        <w:rPr>
          <w:sz w:val="20"/>
          <w:szCs w:val="20"/>
          <w:color w:val="auto"/>
        </w:rPr>
      </w:pPr>
    </w:p>
    <w:p>
      <w:pPr>
        <w:jc w:val="both"/>
        <w:ind w:left="660" w:hanging="647"/>
        <w:spacing w:after="0" w:line="217" w:lineRule="exact"/>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Company irrevocably and by way of security appoints the Collateral Agent and every Receiver jointly and also severally to be its attorney (with full power to appoint substitutes and to sub</w:t>
      </w:r>
      <w:r>
        <w:rPr>
          <w:rFonts w:ascii="MS PGothic" w:cs="MS PGothic" w:eastAsia="MS PGothic" w:hAnsi="MS PGothic"/>
          <w:sz w:val="17"/>
          <w:szCs w:val="17"/>
          <w:color w:val="auto"/>
        </w:rPr>
        <w:t>‑</w:t>
      </w:r>
      <w:r>
        <w:rPr>
          <w:rFonts w:ascii="Arial" w:cs="Arial" w:eastAsia="Arial" w:hAnsi="Arial"/>
          <w:sz w:val="17"/>
          <w:szCs w:val="17"/>
          <w:color w:val="auto"/>
        </w:rPr>
        <w:t>delegate, including power to authorise the person so appointed to make further appointments) on behalf of the Company and in its name or otherwise, and in such manner as the attorney may think fit, after the occurrence of an Enforcement Event, to execute, deliver, perfect and do any deed, document, act or thing (a) which the Collateral Agent or such Receiver (or any such substitute or sub</w:t>
      </w:r>
      <w:r>
        <w:rPr>
          <w:rFonts w:ascii="MS PGothic" w:cs="MS PGothic" w:eastAsia="MS PGothic" w:hAnsi="MS PGothic"/>
          <w:sz w:val="17"/>
          <w:szCs w:val="17"/>
          <w:color w:val="auto"/>
        </w:rPr>
        <w:t>‑</w:t>
      </w:r>
      <w:r>
        <w:rPr>
          <w:rFonts w:ascii="Arial" w:cs="Arial" w:eastAsia="Arial" w:hAnsi="Arial"/>
          <w:sz w:val="17"/>
          <w:szCs w:val="17"/>
          <w:color w:val="auto"/>
        </w:rPr>
        <w:t>delegate) may, reasonably consider appropriate in connection with the exercise of any of the rights of the Collateral Agent or such Receiver, or (b) which the Company is obliged to execute or do under this Deed but has not executed or done in a timely manner (including the execution and delivery of mortgages, assignments, transfers or charges or notices or directions in relation to any of the Charged Assets). Without prejudice to the generality of its right to appoint substitutes and to sub</w:t>
      </w:r>
      <w:r>
        <w:rPr>
          <w:rFonts w:ascii="MS PGothic" w:cs="MS PGothic" w:eastAsia="MS PGothic" w:hAnsi="MS PGothic"/>
          <w:sz w:val="17"/>
          <w:szCs w:val="17"/>
          <w:color w:val="auto"/>
        </w:rPr>
        <w:t>‑</w:t>
      </w:r>
      <w:r>
        <w:rPr>
          <w:rFonts w:ascii="Arial" w:cs="Arial" w:eastAsia="Arial" w:hAnsi="Arial"/>
          <w:sz w:val="17"/>
          <w:szCs w:val="17"/>
          <w:color w:val="auto"/>
        </w:rPr>
        <w:t>delegate, the Collateral Agent may appoint the Receiver as its substitute or sub</w:t>
      </w:r>
      <w:r>
        <w:rPr>
          <w:rFonts w:ascii="MS PGothic" w:cs="MS PGothic" w:eastAsia="MS PGothic" w:hAnsi="MS PGothic"/>
          <w:sz w:val="17"/>
          <w:szCs w:val="17"/>
          <w:color w:val="auto"/>
        </w:rPr>
        <w:t>‑</w:t>
      </w:r>
      <w:r>
        <w:rPr>
          <w:rFonts w:ascii="Arial" w:cs="Arial" w:eastAsia="Arial" w:hAnsi="Arial"/>
          <w:sz w:val="17"/>
          <w:szCs w:val="17"/>
          <w:color w:val="auto"/>
        </w:rPr>
        <w:t>delegate, and any person appointed the substitute or sub</w:t>
      </w:r>
      <w:r>
        <w:rPr>
          <w:rFonts w:ascii="MS PGothic" w:cs="MS PGothic" w:eastAsia="MS PGothic" w:hAnsi="MS PGothic"/>
          <w:sz w:val="17"/>
          <w:szCs w:val="17"/>
          <w:color w:val="auto"/>
        </w:rPr>
        <w:t>‑</w:t>
      </w:r>
      <w:r>
        <w:rPr>
          <w:rFonts w:ascii="Arial" w:cs="Arial" w:eastAsia="Arial" w:hAnsi="Arial"/>
          <w:sz w:val="17"/>
          <w:szCs w:val="17"/>
          <w:color w:val="auto"/>
        </w:rPr>
        <w:t>delegate of the Collateral Agent shall, in connection with the exercise of such power of attorney, be the agent of the Company. The Company acknowledges that such power of attorney is as regards the Collateral Agent and any Receiver granted irrevocably and for value to secure proprietary interests in and the performance of obligations owed to the respective donees within the meaning of the Powers of Attorney Act 1971.</w:t>
      </w:r>
    </w:p>
    <w:p>
      <w:pPr>
        <w:spacing w:after="0" w:line="20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Company hereby ratifies and confirms and agrees to ratify and confirm whatever any such attorney shall do or purport to do in the exercise or purported exercise of all or any of the rights referred to in this Clause 0 (</w:t>
      </w:r>
      <w:r>
        <w:rPr>
          <w:rFonts w:ascii="Arial" w:cs="Arial" w:eastAsia="Arial" w:hAnsi="Arial"/>
          <w:sz w:val="18"/>
          <w:szCs w:val="18"/>
          <w:i w:val="1"/>
          <w:iCs w:val="1"/>
          <w:color w:val="auto"/>
        </w:rPr>
        <w:t>14.Further Assurances, Power of Attorney,</w:t>
      </w:r>
      <w:r>
        <w:rPr>
          <w:rFonts w:ascii="Arial" w:cs="Arial" w:eastAsia="Arial" w:hAnsi="Arial"/>
          <w:sz w:val="18"/>
          <w:szCs w:val="18"/>
          <w:color w:val="auto"/>
        </w:rPr>
        <w:t xml:space="preserve"> </w:t>
      </w:r>
      <w:r>
        <w:rPr>
          <w:rFonts w:ascii="Arial" w:cs="Arial" w:eastAsia="Arial" w:hAnsi="Arial"/>
          <w:sz w:val="18"/>
          <w:szCs w:val="18"/>
          <w:b w:val="1"/>
          <w:bCs w:val="1"/>
          <w:color w:val="auto"/>
        </w:rPr>
        <w:t>ETC.</w:t>
      </w:r>
      <w:r>
        <w:rPr>
          <w:rFonts w:ascii="Arial" w:cs="Arial" w:eastAsia="Arial" w:hAnsi="Arial"/>
          <w:sz w:val="18"/>
          <w:szCs w:val="18"/>
          <w:color w:val="auto"/>
        </w:rPr>
        <w:t>) (save where any such attorney acts with gross negligence or wilful misconduct or otherwise exceeds its rights under this Clause 0 (</w:t>
      </w:r>
      <w:r>
        <w:rPr>
          <w:rFonts w:ascii="Arial" w:cs="Arial" w:eastAsia="Arial" w:hAnsi="Arial"/>
          <w:sz w:val="18"/>
          <w:szCs w:val="18"/>
          <w:i w:val="1"/>
          <w:iCs w:val="1"/>
          <w:color w:val="auto"/>
        </w:rPr>
        <w:t>14.Further Assurances,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Attorney, </w:t>
      </w:r>
      <w:r>
        <w:rPr>
          <w:rFonts w:ascii="Arial" w:cs="Arial" w:eastAsia="Arial" w:hAnsi="Arial"/>
          <w:sz w:val="18"/>
          <w:szCs w:val="18"/>
          <w:b w:val="1"/>
          <w:bCs w:val="1"/>
          <w:color w:val="auto"/>
        </w:rPr>
        <w:t>ETC.</w:t>
      </w:r>
      <w:r>
        <w:rPr>
          <w:rFonts w:ascii="Arial" w:cs="Arial" w:eastAsia="Arial" w:hAnsi="Arial"/>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14.4</w:t>
            </w:r>
          </w:p>
        </w:tc>
        <w:tc>
          <w:tcPr>
            <w:tcW w:w="2820" w:type="dxa"/>
            <w:vAlign w:val="bottom"/>
          </w:tcPr>
          <w:p>
            <w:pPr>
              <w:ind w:left="220"/>
              <w:spacing w:after="0"/>
              <w:rPr>
                <w:sz w:val="20"/>
                <w:szCs w:val="20"/>
                <w:color w:val="auto"/>
              </w:rPr>
            </w:pPr>
            <w:r>
              <w:rPr>
                <w:rFonts w:ascii="Arial" w:cs="Arial" w:eastAsia="Arial" w:hAnsi="Arial"/>
                <w:sz w:val="18"/>
                <w:szCs w:val="18"/>
                <w:color w:val="auto"/>
              </w:rPr>
              <w:t>References in Clause 0 (</w:t>
            </w:r>
            <w:r>
              <w:rPr>
                <w:rFonts w:ascii="Arial" w:cs="Arial" w:eastAsia="Arial" w:hAnsi="Arial"/>
                <w:sz w:val="18"/>
                <w:szCs w:val="18"/>
                <w:i w:val="1"/>
                <w:iCs w:val="1"/>
                <w:color w:val="auto"/>
              </w:rPr>
              <w:t>14.</w:t>
            </w:r>
          </w:p>
        </w:tc>
        <w:tc>
          <w:tcPr>
            <w:tcW w:w="5600" w:type="dxa"/>
            <w:vAlign w:val="bottom"/>
          </w:tcPr>
          <w:p>
            <w:pPr>
              <w:ind w:left="640"/>
              <w:spacing w:after="0"/>
              <w:rPr>
                <w:sz w:val="20"/>
                <w:szCs w:val="20"/>
                <w:color w:val="auto"/>
              </w:rPr>
            </w:pPr>
            <w:r>
              <w:rPr>
                <w:rFonts w:ascii="Arial" w:cs="Arial" w:eastAsia="Arial" w:hAnsi="Arial"/>
                <w:sz w:val="18"/>
                <w:szCs w:val="18"/>
                <w:i w:val="1"/>
                <w:iCs w:val="1"/>
                <w:color w:val="auto"/>
                <w:w w:val="96"/>
              </w:rPr>
              <w:t xml:space="preserve">Further Assurances, Power of Attorney, </w:t>
            </w:r>
            <w:r>
              <w:rPr>
                <w:rFonts w:ascii="Arial" w:cs="Arial" w:eastAsia="Arial" w:hAnsi="Arial"/>
                <w:sz w:val="18"/>
                <w:szCs w:val="18"/>
                <w:b w:val="1"/>
                <w:bCs w:val="1"/>
                <w:color w:val="auto"/>
                <w:w w:val="96"/>
              </w:rPr>
              <w:t>ETC.</w:t>
            </w:r>
            <w:r>
              <w:rPr>
                <w:rFonts w:ascii="Arial" w:cs="Arial" w:eastAsia="Arial" w:hAnsi="Arial"/>
                <w:sz w:val="18"/>
                <w:szCs w:val="18"/>
                <w:color w:val="auto"/>
                <w:w w:val="96"/>
              </w:rPr>
              <w:t>) and Clause 0 (</w:t>
            </w:r>
            <w:r>
              <w:rPr>
                <w:rFonts w:ascii="Arial" w:cs="Arial" w:eastAsia="Arial" w:hAnsi="Arial"/>
                <w:sz w:val="18"/>
                <w:szCs w:val="18"/>
                <w:i w:val="1"/>
                <w:iCs w:val="1"/>
                <w:color w:val="auto"/>
                <w:w w:val="96"/>
              </w:rPr>
              <w:t>14.</w:t>
            </w:r>
          </w:p>
        </w:tc>
        <w:tc>
          <w:tcPr>
            <w:tcW w:w="2260" w:type="dxa"/>
            <w:vAlign w:val="bottom"/>
          </w:tcPr>
          <w:p>
            <w:pPr>
              <w:ind w:left="260"/>
              <w:spacing w:after="0"/>
              <w:rPr>
                <w:sz w:val="20"/>
                <w:szCs w:val="20"/>
                <w:color w:val="auto"/>
              </w:rPr>
            </w:pPr>
            <w:r>
              <w:rPr>
                <w:rFonts w:ascii="Arial" w:cs="Arial" w:eastAsia="Arial" w:hAnsi="Arial"/>
                <w:sz w:val="18"/>
                <w:szCs w:val="18"/>
                <w:i w:val="1"/>
                <w:iCs w:val="1"/>
                <w:color w:val="auto"/>
                <w:w w:val="90"/>
              </w:rPr>
              <w:t>Further Assurances, Power</w:t>
            </w:r>
          </w:p>
        </w:tc>
      </w:tr>
      <w:tr>
        <w:trPr>
          <w:trHeight w:val="234"/>
        </w:trPr>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860" w:type="dxa"/>
            <w:vAlign w:val="bottom"/>
            <w:gridSpan w:val="2"/>
          </w:tcPr>
          <w:p>
            <w:pPr>
              <w:ind w:left="640"/>
              <w:spacing w:after="0"/>
              <w:rPr>
                <w:sz w:val="20"/>
                <w:szCs w:val="20"/>
                <w:color w:val="auto"/>
              </w:rPr>
            </w:pPr>
            <w:r>
              <w:rPr>
                <w:rFonts w:ascii="Arial" w:cs="Arial" w:eastAsia="Arial" w:hAnsi="Arial"/>
                <w:sz w:val="18"/>
                <w:szCs w:val="18"/>
                <w:i w:val="1"/>
                <w:iCs w:val="1"/>
                <w:color w:val="auto"/>
                <w:w w:val="91"/>
              </w:rPr>
              <w:t xml:space="preserve">of Attorney, </w:t>
            </w:r>
            <w:r>
              <w:rPr>
                <w:rFonts w:ascii="Arial" w:cs="Arial" w:eastAsia="Arial" w:hAnsi="Arial"/>
                <w:sz w:val="18"/>
                <w:szCs w:val="18"/>
                <w:b w:val="1"/>
                <w:bCs w:val="1"/>
                <w:color w:val="auto"/>
                <w:w w:val="91"/>
              </w:rPr>
              <w:t>ETC.</w:t>
            </w:r>
            <w:r>
              <w:rPr>
                <w:rFonts w:ascii="Arial" w:cs="Arial" w:eastAsia="Arial" w:hAnsi="Arial"/>
                <w:sz w:val="18"/>
                <w:szCs w:val="18"/>
                <w:color w:val="auto"/>
                <w:w w:val="91"/>
              </w:rPr>
              <w:t>) to the Collateral Agent or the Receiver shall include references to any Delegate.</w:t>
            </w:r>
          </w:p>
        </w:tc>
      </w:tr>
    </w:tbl>
    <w:p>
      <w:pPr>
        <w:spacing w:after="0" w:line="198" w:lineRule="exact"/>
        <w:rPr>
          <w:sz w:val="20"/>
          <w:szCs w:val="20"/>
          <w:color w:val="auto"/>
        </w:rPr>
      </w:pPr>
    </w:p>
    <w:p>
      <w:pPr>
        <w:ind w:left="660" w:hanging="652"/>
        <w:spacing w:after="0"/>
        <w:tabs>
          <w:tab w:leader="none" w:pos="660" w:val="left"/>
        </w:tabs>
        <w:numPr>
          <w:ilvl w:val="0"/>
          <w:numId w:val="590"/>
        </w:numPr>
        <w:rPr>
          <w:rFonts w:ascii="Arial" w:cs="Arial" w:eastAsia="Arial" w:hAnsi="Arial"/>
          <w:sz w:val="18"/>
          <w:szCs w:val="18"/>
          <w:color w:val="auto"/>
        </w:rPr>
      </w:pPr>
      <w:r>
        <w:rPr>
          <w:rFonts w:ascii="Arial" w:cs="Arial" w:eastAsia="Arial" w:hAnsi="Arial"/>
          <w:sz w:val="18"/>
          <w:szCs w:val="18"/>
          <w:b w:val="1"/>
          <w:bCs w:val="1"/>
          <w:color w:val="auto"/>
        </w:rPr>
        <w:t>THE COLLATERAL AGENT'S RIGHTS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Secured Obligations shall become due for the purposes of section 101 of the Law of Property Act, and the statutory powers of sale and enforcement and of appointing a Receiver which are conferred on the Collateral Agent under that Act (as varied and extended by this Deed) and all other rights of a mortgagee conferred by the Law of Property Act shall be deemed to arise, immediately after execution of and in accordance with this Deed.</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Section 103 of the Law of Property Act shall not apply to this Deed and upon the occurrence of an Enforcement Event the Charges shall become immediately enforceable and the rights conferred by the Law of Property Act and this Deed immediately exercisable by the Collateral Agent without the restrictions contained in the Law of Property Act.</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At any time after an Enforcement Event occurs, the Collateral Agent shall, in addition to the powers of leasing and accepting surrenders of leases conferred by section 99 and 100 of the Law of Property Act, have power to make any lease or agreement to lease at a premium or otherwise, accept surrenders of leases and grant options, in each case on any terms and in any manner the Collateral Agent thinks fit without needing to comply with any restrictions imposed by such sections or otherwise.</w:t>
      </w:r>
    </w:p>
    <w:p>
      <w:pPr>
        <w:spacing w:after="0" w:line="18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In making any sale or other disposal of any Charged Assets or making any acquisition in exercise of their respective rights, the Collateral Agent or any Receiver may do so for such consideration (including cash, shares, debentures, loan capital or other securities whatsoever, consideration fluctuating according to or dependent on profit or turnover, and consideration whose amount is to be determined by a third party, and whether such consideration is receivable in a lump sum or by instalments) and otherwise on such terms and conditions and in such manner as it or he reasonably thinks fit, and may also grant any option to purchase and effect exchanges.</w:t>
      </w:r>
    </w:p>
    <w:p>
      <w:pPr>
        <w:spacing w:after="0" w:line="176" w:lineRule="exact"/>
        <w:rPr>
          <w:sz w:val="20"/>
          <w:szCs w:val="20"/>
          <w:color w:val="auto"/>
        </w:rPr>
      </w:pPr>
    </w:p>
    <w:p>
      <w:pPr>
        <w:jc w:val="both"/>
        <w:ind w:left="660" w:hanging="647"/>
        <w:spacing w:after="0" w:line="220" w:lineRule="exact"/>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The Collateral Agent may at any time delegate to any person either generally or specifically, on such terms and conditions (including power to sub</w:t>
      </w:r>
      <w:r>
        <w:rPr>
          <w:rFonts w:ascii="MS PGothic" w:cs="MS PGothic" w:eastAsia="MS PGothic" w:hAnsi="MS PGothic"/>
          <w:sz w:val="18"/>
          <w:szCs w:val="18"/>
          <w:color w:val="auto"/>
        </w:rPr>
        <w:t>‑</w:t>
      </w:r>
      <w:r>
        <w:rPr>
          <w:rFonts w:ascii="Arial" w:cs="Arial" w:eastAsia="Arial" w:hAnsi="Arial"/>
          <w:sz w:val="18"/>
          <w:szCs w:val="18"/>
          <w:color w:val="auto"/>
        </w:rPr>
        <w:t>delegate) and in such manner as the Collateral Agent reasonably thinks fit, any rights (including the power of attorney) from time to time exercisable by the Collateral Agent under or in connection with this Deed. No such delegation shall preclude the subsequent exercise by the Collateral Agent of such right or any subsequent delegation or revocation thereof.</w:t>
      </w:r>
    </w:p>
    <w:p>
      <w:pPr>
        <w:spacing w:after="0" w:line="204" w:lineRule="exact"/>
        <w:rPr>
          <w:sz w:val="20"/>
          <w:szCs w:val="20"/>
          <w:color w:val="auto"/>
        </w:rPr>
      </w:pPr>
    </w:p>
    <w:p>
      <w:pPr>
        <w:jc w:val="both"/>
        <w:ind w:left="660" w:hanging="647"/>
        <w:spacing w:after="0" w:line="217" w:lineRule="exact"/>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The Collateral Agent may, at any time and from time to time and without prejudice to the Collateral Agent 's other rights, set off any Secured Obligations (to the extent beneficially owned by the Collateral Agent) against any obligation or liability (matured or not and whether actual or contingent) owing by the Collateral Agent to, or any amount and sum held or received or receivable by it on behalf or to the order of, the Company or to which the Company is beneficially entitled (such rights extending to the set off or transfer of all or any part of any credit balance on any such account, whether or not then due and whatever the place of payment or booking branch, in or towards satisfaction of any Secured Obligations) to the extent permitted under both the Loan Agreement and any applicable Requirements of Law. For that purpose, if any of the Secured Obligations is in a different currency from such obligation, liability, amount or sum (including credit balance), the Collateral Agent may effect any necessary conversion at its then prevailing spot rates of exchange (as conclusively determined by the Collateral Agent) and may pay out any additional sum which the UK or any other governmental or regulatory body of any jurisdiction may require, as a matter of law, the Collateral Agent to pay in respect of such conversion. The Collateral Agent may in its absolute discretion (in good faith) estimate the amount of any liability of the Company which is unascertained or contingent and set off such estimated amount, and no amount shall be payable by the Collateral Agent to the Company unless and until Payment in Full. The Collateral Agent shall not be obliged to exercise any of its rights under this Clause, which shall be without prejudice and in addition to any rights of set</w:t>
      </w:r>
      <w:r>
        <w:rPr>
          <w:rFonts w:ascii="MS PGothic" w:cs="MS PGothic" w:eastAsia="MS PGothic" w:hAnsi="MS PGothic"/>
          <w:sz w:val="17"/>
          <w:szCs w:val="17"/>
          <w:color w:val="auto"/>
        </w:rPr>
        <w:t>‑</w:t>
      </w:r>
      <w:r>
        <w:rPr>
          <w:rFonts w:ascii="Arial" w:cs="Arial" w:eastAsia="Arial" w:hAnsi="Arial"/>
          <w:sz w:val="17"/>
          <w:szCs w:val="17"/>
          <w:color w:val="auto"/>
        </w:rPr>
        <w:t>off, combination of accounts, bankers' lien or other right to which it is at any time otherwise entitled (whether by operation of law, contract or otherwise).</w:t>
      </w:r>
    </w:p>
    <w:p>
      <w:pPr>
        <w:sectPr>
          <w:pgSz w:w="11900" w:h="16838" w:orient="portrait"/>
          <w:cols w:equalWidth="0" w:num="1">
            <w:col w:w="11240"/>
          </w:cols>
          <w:pgMar w:left="320" w:top="125" w:right="339" w:bottom="0" w:gutter="0" w:footer="0" w:header="0"/>
        </w:sectPr>
      </w:pPr>
    </w:p>
    <w:bookmarkStart w:id="540" w:name="page541"/>
    <w:bookmarkEnd w:id="540"/>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18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7"/>
          <w:szCs w:val="17"/>
          <w:color w:val="auto"/>
        </w:rPr>
        <w:t>If, after the occurrence of an Enforcement Event, the Company for any reason fails to observe or punctually to perform or to procure the observance or punctual performance of any of the obligations expressed to be assumed by it to the Collateral Agent under this Deed, the Collateral Agent shall have the right (but shall not be obliged), on behalf of or in the name of the Company or otherwise, to perform the obligation and to take any steps which the Collateral Agent may reasonably consider appropriate with a view to remedying, or mitigating the consequences of, the failure, but the exercise of this right, or the failure to exercise it, shall in no circumstances prejudice the Collateral Agent 's rights under this Deed or otherwise or constitute the Collateral Agent a mortgagee in possession.</w:t>
      </w:r>
    </w:p>
    <w:p>
      <w:pPr>
        <w:spacing w:after="0" w:line="174" w:lineRule="exact"/>
        <w:rPr>
          <w:sz w:val="20"/>
          <w:szCs w:val="20"/>
          <w:color w:val="auto"/>
        </w:rPr>
      </w:pPr>
    </w:p>
    <w:p>
      <w:pPr>
        <w:ind w:left="660" w:hanging="652"/>
        <w:spacing w:after="0"/>
        <w:tabs>
          <w:tab w:leader="none" w:pos="660"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APPOINTMENT OF ADMINISTRATOR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Paragraph 14 of Schedule B1 to the Insolvency Act applies to the floating charge created hereunder.</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Subject to any relevant provisions of the Insolvency Act, the Collateral Agent may, by any instrument or deed of appointment, appoint one or more persons to be the Administrator of the Company at any time after:</w:t>
      </w:r>
    </w:p>
    <w:p>
      <w:pPr>
        <w:spacing w:after="0" w:line="170" w:lineRule="exact"/>
        <w:rPr>
          <w:sz w:val="20"/>
          <w:szCs w:val="20"/>
          <w:color w:val="auto"/>
        </w:rPr>
      </w:pPr>
    </w:p>
    <w:p>
      <w:pPr>
        <w:ind w:left="1300" w:hanging="644"/>
        <w:spacing w:after="0"/>
        <w:tabs>
          <w:tab w:leader="none" w:pos="13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occurrence of an Enforcement Event;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being requested to do so by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any application having been made to the court for an administration order under the Insolvency Act;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any person having ceased to be an Administrator as a result of any event specified in paragraph 90 of Schedule B1 to the Insolvency Act;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any notice of intention to appoint an Administrator having been given by any person or persons entitled to make such appointment under the Insolvency Act.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Where any such appointment is made at a time when an Administrator continues in office, the Administrator shall act either jointly or concurrently with the Administrator previously appointed hereunder, as the appointment specifies.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Subject to any applicable order of the Court, the Collateral Agent may replace any Administrator, or seek an order replacing the Administrator, in any manner allowed by the Insolvency Act.</w:t>
      </w:r>
    </w:p>
    <w:p>
      <w:pPr>
        <w:spacing w:after="0" w:line="170"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Where the Administrator was appointed by the Collateral Agent under paragraph 14 of Schedule B1 to the Insolvency Act, the Collateral Agent may, by notice in writing to the Company, replace the Administrator in accordance with paragraph 92 of Schedule B1 to the Insolvency Act.</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Every such appointment shall take effect at the time and in the manner specified by the Insolvency Act.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If at any time and by virtue of any such appointment(s) any two or more persons shall hold office as Administrators of the same assets or income, such Administrators may act jointly or concurrently as the appointment specifies so that, if appointed to act concurrently, each one of such Administrators shall be entitled (unless the contrary shall be stated in any of the deed(s) or other instrument(s) appointing them) to exercise all the functions conferred on an Administrator by the Insolvency Act.</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Every such instrument, notice or deed of appointment, and every delegation or appointment by the Collateral Agent in the exercise of any right to delegate its powers herein contained, may be made in writing under the hand of any manager or officer of the Collateral Agent or any other authorised person or of any Delegate.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Every Administrator shall have all the powers of an administrator under the Insolvency Act.</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16.10</w:t>
        <w:tab/>
        <w:t>In exercising his functions hereunder and under the Insolvency Act, the Administrator acts as agent of the Company and does not act as agent of the Collateral Agent .</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16.11</w:t>
        <w:tab/>
        <w:t>Every Administrator shall be entitled to remuneration for his services in the manner fixed by or pursuant to the Insolvency Act or the Insolvency Rules.</w:t>
      </w:r>
    </w:p>
    <w:p>
      <w:pPr>
        <w:spacing w:after="0" w:line="166" w:lineRule="exact"/>
        <w:rPr>
          <w:sz w:val="20"/>
          <w:szCs w:val="20"/>
          <w:color w:val="auto"/>
        </w:rPr>
      </w:pPr>
    </w:p>
    <w:p>
      <w:pPr>
        <w:ind w:left="660" w:hanging="652"/>
        <w:spacing w:after="0"/>
        <w:tabs>
          <w:tab w:leader="none" w:pos="660" w:val="left"/>
        </w:tabs>
        <w:numPr>
          <w:ilvl w:val="0"/>
          <w:numId w:val="593"/>
        </w:numPr>
        <w:rPr>
          <w:rFonts w:ascii="Arial" w:cs="Arial" w:eastAsia="Arial" w:hAnsi="Arial"/>
          <w:sz w:val="18"/>
          <w:szCs w:val="18"/>
          <w:color w:val="auto"/>
        </w:rPr>
      </w:pPr>
      <w:r>
        <w:rPr>
          <w:rFonts w:ascii="Arial" w:cs="Arial" w:eastAsia="Arial" w:hAnsi="Arial"/>
          <w:sz w:val="18"/>
          <w:szCs w:val="18"/>
          <w:b w:val="1"/>
          <w:bCs w:val="1"/>
          <w:color w:val="auto"/>
        </w:rPr>
        <w:t>RECEIVER</w:t>
      </w:r>
    </w:p>
    <w:p>
      <w:pPr>
        <w:spacing w:after="0" w:line="22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None of the restrictions imposed by the Law of Property Act in relation to the appointment of receivers or the giving of notice or otherwise shall apply. At any time and from time to time upon or after request by the Company or the occurrence of an Enforcement Event, the Collateral Agent may, and in addition to all statutory and other powers of appointment or otherwise, by any instrument or deed signed under the hand of any manager or officer of the Collateral Agent or any other authorised person or of any Delegate, appoint such person or persons (including an officer or officers of the Collateral Agent) as it reasonably thinks fit to be Receiver or Receivers (to act jointly and/or severally as the Collateral Agent may specify in the appointment) of (a) any Fixed Charge Asset or Assets, and/or (b) any Floating Charge Asset or Assets, so that each one of such Receivers shall be entitled (unless the contrary shall be stated in any deed(s) or other instrument(s) appointing them) to exercise individually all the powers and discretions conferred on the Receivers. If any Receiver is appointed of only part of the Charged Assets, references to the rights conferred on a Receiver by any provision of this Deed shall be construed as references to that part of the Charged Assets or any part thereof.</w:t>
      </w:r>
    </w:p>
    <w:p>
      <w:pPr>
        <w:spacing w:after="0" w:line="16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The Collateral Agent may appoint any Receiver on any terms the Collateral Agent reasonably thinks fit. The Collateral Agent may by any instrument or deed signed under the hand of any manager or officer of the Collateral Agent or any other authorised person or any Delegate (subject to section 62 of the Insolvency Act) remove a Receiver appointed by it whether or not appointing another in his place, and may also appoint another Receiver to act with any other Receiver or to replace any Receiver who resigns, retires or otherwise ceases to hold office.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exclusion of any part of the Charged Assets from the appointment of any Receiver shall not preclude the Collateral Agent from subsequently</w:t>
      </w:r>
    </w:p>
    <w:p>
      <w:pPr>
        <w:sectPr>
          <w:pgSz w:w="11900" w:h="16838" w:orient="portrait"/>
          <w:cols w:equalWidth="0" w:num="1">
            <w:col w:w="11240"/>
          </w:cols>
          <w:pgMar w:left="320" w:top="125" w:right="339" w:bottom="0" w:gutter="0" w:footer="0" w:header="0"/>
        </w:sectPr>
      </w:pPr>
    </w:p>
    <w:bookmarkStart w:id="541" w:name="page542"/>
    <w:bookmarkEnd w:id="541"/>
    <w:p>
      <w:pPr>
        <w:spacing w:after="0" w:line="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extending his appointment (or that of the Receiver replacing him) to that part or appointing another Receiver over any other part of the Charged Assets.</w:t>
      </w:r>
    </w:p>
    <w:p>
      <w:pPr>
        <w:spacing w:after="0" w:line="170"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Any Receiver shall, so far as the law permits, be the agent of the Company and (subject to any restriction or limitation imposed by applicable law) the Company shall be solely responsible for his remuneration and his acts, omissions or defaults and solely liable on any contracts or engagements made, entered into or adopted by him and any losses, liabilities, costs, charges and expenses incurred by him; and in no circumstances whatsoever shall the Collateral Agent be in any way responsible for or incur any liability in connection with any Receiver's acts, omissions, defaults, contracts, engagements, Losses, liabilities, costs, charges, expenses, misconduct, negligence or default, save, in each case, in circumstances where the liability arises as a direct result of the Receiver’s gross negligence or wilful misconduct. If a liquidator of the Company is appointed, the Receiver shall act as principal and not as agent for the Collateral Agent .</w:t>
      </w:r>
    </w:p>
    <w:p>
      <w:pPr>
        <w:spacing w:after="0" w:line="177"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Subject to section 36 of the Insolvency Act, the remuneration of any Receiver may be fixed by the Collateral Agent without being limited to the maximum rate specified by sections 109(6) of the Law of Property Act (and may be or include a commission calculated by reference to the gross amount of all money received or otherwise and may include remuneration in connection with claims, actions or Proceedings made or brought against the Receiver by the Company or any other person or the performance or discharge of any obligation imposed upon him by statute or otherwise), but such remuneration shall be payable by the Company alone; and the amount of such remuneration may be debited by the Collateral Agent from any account of the Company but shall, in any event, form part of the Secured Obligations and accordingly be secured on the Charged Assets under the Charges. Such remuneration shall be paid on such terms and in such manner as the Collateral Agent and Receiver may from time to time reasonably agree or failing such agreement as the Collateral Agent reasonably determines.</w:t>
      </w:r>
    </w:p>
    <w:p>
      <w:pPr>
        <w:spacing w:after="0" w:line="16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Any Receiver may be invested by the Collateral Agent with such of the powers, authorities and discretions exercisable by the Collateral Agent under this Deed as the Collateral Agent may reasonably think fit. Without prejudice to the generality of the foregoing, any Receiver shall (subject to any restrictions in his appointment) have in relation to the Relevant Charged Assets, in each case in the Company's name or his own name and on such terms and in such manner as he sees fit, all the rights referred to in Schedule 1 (and where applicable Schedule 2) of the Insolvency Act; all rights of the Collateral Agent under this Deed; all the rights conferred by the Law of Property Act on mortgagors, mortgagees in possession and receivers appointed under the Law of Property Act; all rights of an absolute beneficial owner including rights to do or omit to do anything the Company itself could do or omit; and all rights to do all things the Receiver considers necessary, desirable or incidental to any of his rights or exercise thereof including the realisation of any Relevant Charged Assets and getting in of any Assets which would when got in be Relevant Charged Assets.</w:t>
      </w:r>
    </w:p>
    <w:p>
      <w:pPr>
        <w:spacing w:after="0" w:line="19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The Collateral Agent shall not (save only to the extent caused by its own negligence, fraud, wilful misconduct, breach of trust or breach of any obligation of the Collateral Agent hereunder) be liable for any losses or damages arising from any exercise of his authorities, powers or discretions by any Receiver.</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The Collateral Agent may from time to time and at any time require any Receiver to give security for the due performance of his duties as such Receiver and may fix the nature and amount of the security to be so given but the Collateral Agent shall not be bound in any case to require any such security.</w:t>
      </w:r>
    </w:p>
    <w:p>
      <w:pPr>
        <w:spacing w:after="0" w:line="180" w:lineRule="exact"/>
        <w:rPr>
          <w:sz w:val="20"/>
          <w:szCs w:val="20"/>
          <w:color w:val="auto"/>
        </w:rPr>
      </w:pPr>
    </w:p>
    <w:p>
      <w:pPr>
        <w:ind w:left="660" w:hanging="652"/>
        <w:spacing w:after="0"/>
        <w:tabs>
          <w:tab w:leader="none" w:pos="660" w:val="left"/>
        </w:tabs>
        <w:numPr>
          <w:ilvl w:val="0"/>
          <w:numId w:val="594"/>
        </w:numPr>
        <w:rPr>
          <w:rFonts w:ascii="Arial" w:cs="Arial" w:eastAsia="Arial" w:hAnsi="Arial"/>
          <w:sz w:val="18"/>
          <w:szCs w:val="18"/>
          <w:color w:val="auto"/>
        </w:rPr>
      </w:pPr>
      <w:r>
        <w:rPr>
          <w:rFonts w:ascii="Arial" w:cs="Arial" w:eastAsia="Arial" w:hAnsi="Arial"/>
          <w:sz w:val="18"/>
          <w:szCs w:val="18"/>
          <w:b w:val="1"/>
          <w:bCs w:val="1"/>
          <w:color w:val="auto"/>
        </w:rPr>
        <w:t>APPLICATION OF MONEYS</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All moneys realised, received or recovered by the Collateral Agent or any Receiver shall be applied in accordance with the terms of the Loan Agreement.</w:t>
      </w:r>
    </w:p>
    <w:p>
      <w:pPr>
        <w:spacing w:after="0" w:line="164" w:lineRule="exact"/>
        <w:rPr>
          <w:sz w:val="20"/>
          <w:szCs w:val="20"/>
          <w:color w:val="auto"/>
        </w:rPr>
      </w:pPr>
    </w:p>
    <w:p>
      <w:pPr>
        <w:ind w:left="660" w:hanging="652"/>
        <w:spacing w:after="0"/>
        <w:tabs>
          <w:tab w:leader="none" w:pos="660" w:val="left"/>
        </w:tabs>
        <w:numPr>
          <w:ilvl w:val="0"/>
          <w:numId w:val="595"/>
        </w:numPr>
        <w:rPr>
          <w:rFonts w:ascii="Arial" w:cs="Arial" w:eastAsia="Arial" w:hAnsi="Arial"/>
          <w:sz w:val="18"/>
          <w:szCs w:val="18"/>
          <w:color w:val="auto"/>
        </w:rPr>
      </w:pPr>
      <w:r>
        <w:rPr>
          <w:rFonts w:ascii="Arial" w:cs="Arial" w:eastAsia="Arial" w:hAnsi="Arial"/>
          <w:sz w:val="18"/>
          <w:szCs w:val="18"/>
          <w:b w:val="1"/>
          <w:bCs w:val="1"/>
          <w:color w:val="auto"/>
        </w:rPr>
        <w:t>PROTECTION OF THIRD PARTIES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Without prejudice to any other provision of this Deed, the Secured Obligations shall become due for the purposes of section 101 of the Law of Property Act, and the statutory powers of sale and enforcement and of appointing a Receiver which are conferred upon the Collateral Agent (as varied and extended by this Deed) and all other rights of a mortgagee conferred by the Law of Property Act shall in favour of any purchaser be deemed to arise and be exercisable, immediately after the execution of and in accordance with this Deed.</w:t>
      </w:r>
    </w:p>
    <w:p>
      <w:pPr>
        <w:spacing w:after="0" w:line="171"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No purchaser from, or other person dealing with, the Collateral Agent , any Receiver or any Delegate shall be concerned to enquire whether any event has happened upon which any of the rights which they have exercised or purported to exercise under or in connection with this Deed, the Law of Property Act or the Insolvency Act has arisen or become exercisable, whether the Secured Obligations remain outstanding, whether any event has happened to authorise the Collateral Agent , any Receiver or any Delegate to act, or whether the Receiver is authorised to act, whether any consents, regulations, restrictions or directions relating to such rights have been obtained or complied with, or otherwise as to the propriety, regularity or validity of the exercise or purported exercise of any such right or as to the application of any moneys borrowed or raised or other realisation proceeds; and the title and position of a purchaser or such person shall not be impeachable by reference to any of those matters and the protections contained in sections 104 to 107 of the Law of Property Act, section 42(3) Insolvency Act or any other legislation from time to time in force shall apply to any person purchasing from or dealing with a Receiver, the Collateral Agent or any Delegate.</w:t>
      </w:r>
    </w:p>
    <w:p>
      <w:pPr>
        <w:spacing w:after="0" w:line="166"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receipt of the Collateral Agent or the Receiver or any Delegate shall be an absolute and conclusive discharge to a purchaser or such person and shall relieve him of any obligation to see to the application of any moneys paid to or by the direction of the Collateral Agent or the Receiver.</w:t>
      </w:r>
    </w:p>
    <w:p>
      <w:pPr>
        <w:sectPr>
          <w:pgSz w:w="11900" w:h="16917" w:orient="portrait"/>
          <w:cols w:equalWidth="0" w:num="1">
            <w:col w:w="11240"/>
          </w:cols>
          <w:pgMar w:left="320" w:top="125" w:right="339" w:bottom="0" w:gutter="0" w:footer="0" w:header="0"/>
        </w:sectPr>
      </w:pPr>
    </w:p>
    <w:p>
      <w:pPr>
        <w:spacing w:after="0" w:line="120" w:lineRule="exact"/>
        <w:rPr>
          <w:sz w:val="20"/>
          <w:szCs w:val="20"/>
          <w:color w:val="auto"/>
        </w:rPr>
      </w:pPr>
    </w:p>
    <w:p>
      <w:pPr>
        <w:spacing w:after="0"/>
        <w:tabs>
          <w:tab w:leader="none" w:pos="760" w:val="left"/>
          <w:tab w:leader="none" w:pos="270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Clauses 0 (</w:t>
      </w:r>
      <w:r>
        <w:rPr>
          <w:rFonts w:ascii="Arial" w:cs="Arial" w:eastAsia="Arial" w:hAnsi="Arial"/>
          <w:sz w:val="18"/>
          <w:szCs w:val="18"/>
          <w:i w:val="1"/>
          <w:iCs w:val="1"/>
          <w:color w:val="auto"/>
        </w:rPr>
        <w:t>19.</w:t>
      </w:r>
      <w:r>
        <w:rPr>
          <w:sz w:val="20"/>
          <w:szCs w:val="20"/>
          <w:color w:val="auto"/>
        </w:rPr>
        <w:tab/>
      </w:r>
      <w:r>
        <w:rPr>
          <w:rFonts w:ascii="Arial" w:cs="Arial" w:eastAsia="Arial" w:hAnsi="Arial"/>
          <w:sz w:val="16"/>
          <w:szCs w:val="16"/>
          <w:i w:val="1"/>
          <w:iCs w:val="1"/>
          <w:color w:val="auto"/>
        </w:rPr>
        <w:t xml:space="preserve">Protection of Third </w:t>
      </w:r>
      <w:r>
        <w:rPr>
          <w:rFonts w:ascii="Arial" w:cs="Arial" w:eastAsia="Arial" w:hAnsi="Arial"/>
          <w:sz w:val="16"/>
          <w:szCs w:val="16"/>
          <w:b w:val="1"/>
          <w:bCs w:val="1"/>
          <w:color w:val="auto"/>
        </w:rPr>
        <w:t>PARTIES</w:t>
      </w:r>
      <w:r>
        <w:rPr>
          <w:rFonts w:ascii="Arial" w:cs="Arial" w:eastAsia="Arial" w:hAnsi="Arial"/>
          <w:sz w:val="16"/>
          <w:szCs w:val="16"/>
          <w:color w:val="auto"/>
        </w:rPr>
        <w:t>) to 0 (</w:t>
      </w:r>
      <w:r>
        <w:rPr>
          <w:rFonts w:ascii="Arial" w:cs="Arial" w:eastAsia="Arial" w:hAnsi="Arial"/>
          <w:sz w:val="16"/>
          <w:szCs w:val="16"/>
          <w:i w:val="1"/>
          <w:iCs w:val="1"/>
          <w:color w:val="auto"/>
        </w:rPr>
        <w:t>19.</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 xml:space="preserve">Protection of Third </w:t>
      </w:r>
      <w:r>
        <w:rPr>
          <w:rFonts w:ascii="Arial" w:cs="Arial" w:eastAsia="Arial" w:hAnsi="Arial"/>
          <w:sz w:val="17"/>
          <w:szCs w:val="17"/>
          <w:b w:val="1"/>
          <w:bCs w:val="1"/>
          <w:color w:val="auto"/>
        </w:rPr>
        <w:t>PARTIES</w:t>
      </w:r>
      <w:r>
        <w:rPr>
          <w:rFonts w:ascii="Arial" w:cs="Arial" w:eastAsia="Arial" w:hAnsi="Arial"/>
          <w:sz w:val="17"/>
          <w:szCs w:val="17"/>
          <w:color w:val="auto"/>
        </w:rPr>
        <w:t>) above, "purchaser"</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any person acquiring a lease of or Security Interest over, or any other interest or right whatsoever in respect of, any Charged Assets.</w:t>
      </w:r>
    </w:p>
    <w:p>
      <w:pPr>
        <w:spacing w:after="0" w:line="165" w:lineRule="exact"/>
        <w:rPr>
          <w:sz w:val="20"/>
          <w:szCs w:val="20"/>
          <w:color w:val="auto"/>
        </w:rPr>
      </w:pPr>
    </w:p>
    <w:p>
      <w:pPr>
        <w:sectPr>
          <w:pgSz w:w="11900" w:h="16917" w:orient="portrait"/>
          <w:cols w:equalWidth="0" w:num="2">
            <w:col w:w="6540" w:space="720"/>
            <w:col w:w="3980"/>
          </w:cols>
          <w:pgMar w:left="320" w:top="125" w:right="339" w:bottom="0" w:gutter="0" w:footer="0" w:header="0"/>
          <w:type w:val="continuous"/>
        </w:sectPr>
      </w:pPr>
    </w:p>
    <w:p>
      <w:pPr>
        <w:ind w:left="660" w:hanging="652"/>
        <w:spacing w:after="0"/>
        <w:tabs>
          <w:tab w:leader="none" w:pos="660" w:val="left"/>
        </w:tabs>
        <w:numPr>
          <w:ilvl w:val="0"/>
          <w:numId w:val="596"/>
        </w:numPr>
        <w:rPr>
          <w:rFonts w:ascii="Arial" w:cs="Arial" w:eastAsia="Arial" w:hAnsi="Arial"/>
          <w:sz w:val="18"/>
          <w:szCs w:val="18"/>
          <w:color w:val="auto"/>
        </w:rPr>
      </w:pPr>
      <w:r>
        <w:rPr>
          <w:rFonts w:ascii="Arial" w:cs="Arial" w:eastAsia="Arial" w:hAnsi="Arial"/>
          <w:sz w:val="18"/>
          <w:szCs w:val="18"/>
          <w:b w:val="1"/>
          <w:bCs w:val="1"/>
          <w:color w:val="auto"/>
        </w:rPr>
        <w:t>PROTECTION OF COLLATERAL AGENT AND RECEIVER</w:t>
      </w:r>
    </w:p>
    <w:p>
      <w:pPr>
        <w:spacing w:after="0" w:line="229"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In no circumstances (whether by reason of the creation of the Charges or the entry into or taking possession of any Charged Assets or for any other reason whatsoever and whether as mortgagee in possession or on any basis whatsoever) shall the Collateral Agent or any Receiver:</w:t>
      </w:r>
    </w:p>
    <w:p>
      <w:pPr>
        <w:spacing w:after="0" w:line="124" w:lineRule="exact"/>
        <w:rPr>
          <w:sz w:val="20"/>
          <w:szCs w:val="20"/>
          <w:color w:val="auto"/>
        </w:rPr>
      </w:pPr>
    </w:p>
    <w:p>
      <w:pPr>
        <w:jc w:val="both"/>
        <w:ind w:left="1300" w:hanging="644"/>
        <w:spacing w:after="0" w:line="311" w:lineRule="auto"/>
        <w:tabs>
          <w:tab w:leader="none" w:pos="1300" w:val="left"/>
        </w:tabs>
        <w:numPr>
          <w:ilvl w:val="0"/>
          <w:numId w:val="597"/>
        </w:numPr>
        <w:rPr>
          <w:rFonts w:ascii="Arial" w:cs="Arial" w:eastAsia="Arial" w:hAnsi="Arial"/>
          <w:sz w:val="16"/>
          <w:szCs w:val="16"/>
          <w:color w:val="auto"/>
        </w:rPr>
      </w:pPr>
      <w:r>
        <w:rPr>
          <w:rFonts w:ascii="Arial" w:cs="Arial" w:eastAsia="Arial" w:hAnsi="Arial"/>
          <w:sz w:val="16"/>
          <w:szCs w:val="16"/>
          <w:color w:val="auto"/>
        </w:rPr>
        <w:t>be liable to the Company or any other person in respect of any cost, charge, expense, liability, Loss or damage arising out of the exercise, or attempted or purported exercise of, or the failure to exercise, any of their respective rights in accordance with this Deed, or arising out of the realisation of any Charged Assets or the manner thereof or arising out of any act, default, omission or misconduct of the Collateral</w:t>
      </w:r>
    </w:p>
    <w:p>
      <w:pPr>
        <w:sectPr>
          <w:pgSz w:w="11900" w:h="16917" w:orient="portrait"/>
          <w:cols w:equalWidth="0" w:num="1">
            <w:col w:w="11240"/>
          </w:cols>
          <w:pgMar w:left="320" w:top="125" w:right="339" w:bottom="0" w:gutter="0" w:footer="0" w:header="0"/>
          <w:type w:val="continuous"/>
        </w:sectPr>
      </w:pPr>
    </w:p>
    <w:bookmarkStart w:id="542" w:name="page543"/>
    <w:bookmarkEnd w:id="542"/>
    <w:p>
      <w:pPr>
        <w:jc w:val="both"/>
        <w:ind w:left="1300"/>
        <w:spacing w:after="0" w:line="221" w:lineRule="exact"/>
        <w:rPr>
          <w:sz w:val="20"/>
          <w:szCs w:val="20"/>
          <w:color w:val="auto"/>
        </w:rPr>
      </w:pPr>
      <w:r>
        <w:rPr>
          <w:rFonts w:ascii="Arial" w:cs="Arial" w:eastAsia="Arial" w:hAnsi="Arial"/>
          <w:sz w:val="17"/>
          <w:szCs w:val="17"/>
          <w:color w:val="auto"/>
        </w:rPr>
        <w:t>Agent or any Receiver in relation to the Charged Assets or otherwise in connection with this Deed, save only to the extent such cost, charge, expense, liability, Loss or damage has been found by a final non</w:t>
      </w:r>
      <w:r>
        <w:rPr>
          <w:rFonts w:ascii="MS PGothic" w:cs="MS PGothic" w:eastAsia="MS PGothic" w:hAnsi="MS PGothic"/>
          <w:sz w:val="17"/>
          <w:szCs w:val="17"/>
          <w:color w:val="auto"/>
        </w:rPr>
        <w:t>‑</w:t>
      </w:r>
      <w:r>
        <w:rPr>
          <w:rFonts w:ascii="Arial" w:cs="Arial" w:eastAsia="Arial" w:hAnsi="Arial"/>
          <w:sz w:val="17"/>
          <w:szCs w:val="17"/>
          <w:color w:val="auto"/>
        </w:rPr>
        <w:t>appealable judgment of a court of competent jurisdiction to have been incurred by reason of its or his own gross negligence, wilful misconduct or unlawful conduct; or</w:t>
      </w:r>
    </w:p>
    <w:p>
      <w:pPr>
        <w:spacing w:after="0" w:line="202" w:lineRule="exact"/>
        <w:rPr>
          <w:sz w:val="20"/>
          <w:szCs w:val="20"/>
          <w:color w:val="auto"/>
        </w:rPr>
      </w:pPr>
    </w:p>
    <w:p>
      <w:pPr>
        <w:jc w:val="both"/>
        <w:ind w:left="1300" w:hanging="644"/>
        <w:spacing w:after="0" w:line="263" w:lineRule="auto"/>
        <w:tabs>
          <w:tab w:leader="none" w:pos="130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be liable to account to the Company or any other person for anything in connection with this Deed except (after Payment in Full) the Collateral Agent 's or Receiver's own actual receipts which have not been paid or distributed to the Company or to any other person who at the time of payment the Collateral Agent or Receiver as the case may be was entitled thereto.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avoidance  of  doubt,  neither  the  Collateral  Agent  nor  any  Receiver  shall  by  virtue  of  this  Clause 0</w:t>
      </w:r>
    </w:p>
    <w:p>
      <w:pPr>
        <w:spacing w:after="0" w:line="5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w:t>
      </w:r>
      <w:r>
        <w:rPr>
          <w:sz w:val="20"/>
          <w:szCs w:val="20"/>
          <w:color w:val="auto"/>
        </w:rPr>
        <w:tab/>
      </w:r>
      <w:r>
        <w:rPr>
          <w:rFonts w:ascii="Arial" w:cs="Arial" w:eastAsia="Arial" w:hAnsi="Arial"/>
          <w:sz w:val="19"/>
          <w:szCs w:val="19"/>
          <w:i w:val="1"/>
          <w:iCs w:val="1"/>
          <w:color w:val="auto"/>
        </w:rPr>
        <w:t xml:space="preserve">Protection of Collateral Agent and </w:t>
      </w:r>
      <w:r>
        <w:rPr>
          <w:rFonts w:ascii="Arial" w:cs="Arial" w:eastAsia="Arial" w:hAnsi="Arial"/>
          <w:sz w:val="19"/>
          <w:szCs w:val="19"/>
          <w:b w:val="1"/>
          <w:bCs w:val="1"/>
          <w:color w:val="auto"/>
        </w:rPr>
        <w:t>RECEIVER</w:t>
      </w:r>
      <w:r>
        <w:rPr>
          <w:rFonts w:ascii="Arial" w:cs="Arial" w:eastAsia="Arial" w:hAnsi="Arial"/>
          <w:sz w:val="19"/>
          <w:szCs w:val="19"/>
          <w:color w:val="auto"/>
        </w:rPr>
        <w:t>) owe any duty of care or other duty to any person which it</w:t>
      </w:r>
    </w:p>
    <w:p>
      <w:pPr>
        <w:spacing w:after="0" w:line="17" w:lineRule="exact"/>
        <w:rPr>
          <w:sz w:val="20"/>
          <w:szCs w:val="20"/>
          <w:color w:val="auto"/>
        </w:rPr>
      </w:pPr>
    </w:p>
    <w:p>
      <w:pPr>
        <w:ind w:left="660"/>
        <w:spacing w:after="0"/>
        <w:tabs>
          <w:tab w:leader="none" w:pos="4640" w:val="left"/>
        </w:tabs>
        <w:rPr>
          <w:sz w:val="20"/>
          <w:szCs w:val="20"/>
          <w:color w:val="auto"/>
        </w:rPr>
      </w:pPr>
      <w:r>
        <w:rPr>
          <w:rFonts w:ascii="Arial" w:cs="Arial" w:eastAsia="Arial" w:hAnsi="Arial"/>
          <w:sz w:val="22"/>
          <w:szCs w:val="22"/>
          <w:color w:val="auto"/>
        </w:rPr>
        <w:t>would not owe absent this Clause 0 (</w:t>
      </w:r>
      <w:r>
        <w:rPr>
          <w:rFonts w:ascii="Arial" w:cs="Arial" w:eastAsia="Arial" w:hAnsi="Arial"/>
          <w:sz w:val="22"/>
          <w:szCs w:val="22"/>
          <w:i w:val="1"/>
          <w:iCs w:val="1"/>
          <w:color w:val="auto"/>
        </w:rPr>
        <w:t>20.</w:t>
      </w:r>
      <w:r>
        <w:rPr>
          <w:sz w:val="20"/>
          <w:szCs w:val="20"/>
          <w:color w:val="auto"/>
        </w:rPr>
        <w:tab/>
      </w:r>
      <w:r>
        <w:rPr>
          <w:rFonts w:ascii="Arial" w:cs="Arial" w:eastAsia="Arial" w:hAnsi="Arial"/>
          <w:sz w:val="19"/>
          <w:szCs w:val="19"/>
          <w:i w:val="1"/>
          <w:iCs w:val="1"/>
          <w:color w:val="auto"/>
        </w:rPr>
        <w:t xml:space="preserve">Protection of Collateral Agent and </w:t>
      </w:r>
      <w:r>
        <w:rPr>
          <w:rFonts w:ascii="Arial" w:cs="Arial" w:eastAsia="Arial" w:hAnsi="Arial"/>
          <w:sz w:val="19"/>
          <w:szCs w:val="19"/>
          <w:b w:val="1"/>
          <w:bCs w:val="1"/>
          <w:color w:val="auto"/>
        </w:rPr>
        <w:t>RECEIVER</w:t>
      </w:r>
      <w:r>
        <w:rPr>
          <w:rFonts w:ascii="Arial" w:cs="Arial" w:eastAsia="Arial" w:hAnsi="Arial"/>
          <w:sz w:val="19"/>
          <w:szCs w:val="19"/>
          <w:color w:val="auto"/>
        </w:rPr>
        <w:t>).</w:t>
      </w:r>
    </w:p>
    <w:p>
      <w:pPr>
        <w:sectPr>
          <w:pgSz w:w="11900" w:h="16838" w:orient="portrait"/>
          <w:cols w:equalWidth="0" w:num="1">
            <w:col w:w="11240"/>
          </w:cols>
          <w:pgMar w:left="320" w:top="125" w:right="339" w:bottom="0" w:gutter="0" w:footer="0" w:header="0"/>
        </w:sectPr>
      </w:pPr>
    </w:p>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Without prejudice to Clause 0 (</w:t>
      </w:r>
      <w:r>
        <w:rPr>
          <w:rFonts w:ascii="Arial" w:cs="Arial" w:eastAsia="Arial" w:hAnsi="Arial"/>
          <w:sz w:val="16"/>
          <w:szCs w:val="16"/>
          <w:i w:val="1"/>
          <w:iCs w:val="1"/>
          <w:color w:val="auto"/>
        </w:rPr>
        <w:t>20.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Protection of Collateral Agent and </w:t>
      </w:r>
      <w:r>
        <w:rPr>
          <w:rFonts w:ascii="Arial" w:cs="Arial" w:eastAsia="Arial" w:hAnsi="Arial"/>
          <w:sz w:val="16"/>
          <w:szCs w:val="16"/>
          <w:b w:val="1"/>
          <w:bCs w:val="1"/>
          <w:color w:val="auto"/>
        </w:rPr>
        <w:t>RECEIVER</w:t>
      </w:r>
      <w:r>
        <w:rPr>
          <w:rFonts w:ascii="Arial" w:cs="Arial" w:eastAsia="Arial" w:hAnsi="Arial"/>
          <w:sz w:val="16"/>
          <w:szCs w:val="16"/>
          <w:color w:val="auto"/>
        </w:rPr>
        <w:t>), so far as permitted by law the entry into</w:t>
      </w:r>
      <w:r>
        <w:rPr>
          <w:rFonts w:ascii="Arial" w:cs="Arial" w:eastAsia="Arial" w:hAnsi="Arial"/>
          <w:sz w:val="16"/>
          <w:szCs w:val="16"/>
          <w:i w:val="1"/>
          <w:iCs w:val="1"/>
          <w:color w:val="auto"/>
        </w:rPr>
        <w:t xml:space="preserve"> </w:t>
      </w:r>
      <w:r>
        <w:rPr>
          <w:rFonts w:ascii="Arial" w:cs="Arial" w:eastAsia="Arial" w:hAnsi="Arial"/>
          <w:sz w:val="16"/>
          <w:szCs w:val="16"/>
          <w:color w:val="auto"/>
        </w:rPr>
        <w:t>possession of any of the Charged Assets (including by an Administrator) shall not render the Collateral Agent or any Receiver liable to account as mortgagee in possession or to be liable for any Loss on realisation or for any default or omission for which a mortgagee in possession might otherwise be liable in respect of any of the Charged Assets; and if the Collateral Agent or any Receiver takes possession of the Charged Assets, it or he may at any time relinquish such possession. In particular without prejudice to the generality of the foregoing the Collateral Agent shall not become liable as mortgagee in possession by reason of viewing the state of repair or repairing any of the Company's Assets.</w:t>
      </w:r>
    </w:p>
    <w:p>
      <w:pPr>
        <w:spacing w:after="0" w:line="166" w:lineRule="exact"/>
        <w:rPr>
          <w:sz w:val="20"/>
          <w:szCs w:val="20"/>
          <w:color w:val="auto"/>
        </w:rPr>
      </w:pPr>
    </w:p>
    <w:p>
      <w:pPr>
        <w:sectPr>
          <w:pgSz w:w="11900" w:h="16838" w:orient="portrait"/>
          <w:cols w:equalWidth="0" w:num="2">
            <w:col w:w="3940" w:space="720"/>
            <w:col w:w="6580"/>
          </w:cols>
          <w:pgMar w:left="320" w:top="125" w:right="339" w:bottom="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20.3</w:t>
            </w:r>
          </w:p>
        </w:tc>
        <w:tc>
          <w:tcPr>
            <w:tcW w:w="4140" w:type="dxa"/>
            <w:vAlign w:val="bottom"/>
          </w:tcPr>
          <w:p>
            <w:pPr>
              <w:ind w:left="220"/>
              <w:spacing w:after="0"/>
              <w:rPr>
                <w:sz w:val="20"/>
                <w:szCs w:val="20"/>
                <w:color w:val="auto"/>
              </w:rPr>
            </w:pPr>
            <w:r>
              <w:rPr>
                <w:rFonts w:ascii="Arial" w:cs="Arial" w:eastAsia="Arial" w:hAnsi="Arial"/>
                <w:sz w:val="18"/>
                <w:szCs w:val="18"/>
                <w:color w:val="auto"/>
              </w:rPr>
              <w:t>The preceding provisions of this Clause 0 (</w:t>
            </w:r>
            <w:r>
              <w:rPr>
                <w:rFonts w:ascii="Arial" w:cs="Arial" w:eastAsia="Arial" w:hAnsi="Arial"/>
                <w:sz w:val="18"/>
                <w:szCs w:val="18"/>
                <w:i w:val="1"/>
                <w:iCs w:val="1"/>
                <w:color w:val="auto"/>
              </w:rPr>
              <w:t>20.</w:t>
            </w:r>
          </w:p>
        </w:tc>
        <w:tc>
          <w:tcPr>
            <w:tcW w:w="6540" w:type="dxa"/>
            <w:vAlign w:val="bottom"/>
          </w:tcPr>
          <w:p>
            <w:pPr>
              <w:ind w:left="620"/>
              <w:spacing w:after="0"/>
              <w:rPr>
                <w:sz w:val="20"/>
                <w:szCs w:val="20"/>
                <w:color w:val="auto"/>
              </w:rPr>
            </w:pPr>
            <w:r>
              <w:rPr>
                <w:rFonts w:ascii="Arial" w:cs="Arial" w:eastAsia="Arial" w:hAnsi="Arial"/>
                <w:sz w:val="18"/>
                <w:szCs w:val="18"/>
                <w:i w:val="1"/>
                <w:iCs w:val="1"/>
                <w:color w:val="auto"/>
                <w:w w:val="94"/>
              </w:rPr>
              <w:t xml:space="preserve">Protection of Collateral Agent and </w:t>
            </w:r>
            <w:r>
              <w:rPr>
                <w:rFonts w:ascii="Arial" w:cs="Arial" w:eastAsia="Arial" w:hAnsi="Arial"/>
                <w:sz w:val="18"/>
                <w:szCs w:val="18"/>
                <w:b w:val="1"/>
                <w:bCs w:val="1"/>
                <w:color w:val="auto"/>
                <w:w w:val="94"/>
              </w:rPr>
              <w:t>RECEIVER</w:t>
            </w:r>
            <w:r>
              <w:rPr>
                <w:rFonts w:ascii="Arial" w:cs="Arial" w:eastAsia="Arial" w:hAnsi="Arial"/>
                <w:sz w:val="18"/>
                <w:szCs w:val="18"/>
                <w:color w:val="auto"/>
                <w:w w:val="94"/>
              </w:rPr>
              <w:t>) applying to the Collateral Agent</w:t>
            </w:r>
          </w:p>
        </w:tc>
      </w:tr>
      <w:tr>
        <w:trPr>
          <w:trHeight w:val="216"/>
        </w:trPr>
        <w:tc>
          <w:tcPr>
            <w:tcW w:w="5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w w:val="92"/>
              </w:rPr>
              <w:t xml:space="preserve">or any Receiver shall apply </w:t>
            </w:r>
            <w:r>
              <w:rPr>
                <w:rFonts w:ascii="Arial" w:cs="Arial" w:eastAsia="Arial" w:hAnsi="Arial"/>
                <w:sz w:val="18"/>
                <w:szCs w:val="18"/>
                <w:i w:val="1"/>
                <w:iCs w:val="1"/>
                <w:color w:val="auto"/>
                <w:w w:val="92"/>
              </w:rPr>
              <w:t>mutatis mutandis</w:t>
            </w:r>
            <w:r>
              <w:rPr>
                <w:rFonts w:ascii="Arial" w:cs="Arial" w:eastAsia="Arial" w:hAnsi="Arial"/>
                <w:sz w:val="18"/>
                <w:szCs w:val="18"/>
                <w:color w:val="auto"/>
                <w:w w:val="92"/>
              </w:rPr>
              <w:t xml:space="preserve"> to any Delegate and to any officer,</w:t>
            </w:r>
          </w:p>
        </w:tc>
      </w:tr>
      <w:tr>
        <w:trPr>
          <w:trHeight w:val="230"/>
        </w:trPr>
        <w:tc>
          <w:tcPr>
            <w:tcW w:w="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540" w:type="dxa"/>
            <w:vAlign w:val="bottom"/>
          </w:tcPr>
          <w:p>
            <w:pPr>
              <w:ind w:left="620"/>
              <w:spacing w:after="0"/>
              <w:rPr>
                <w:sz w:val="20"/>
                <w:szCs w:val="20"/>
                <w:color w:val="auto"/>
              </w:rPr>
            </w:pPr>
            <w:r>
              <w:rPr>
                <w:rFonts w:ascii="Arial" w:cs="Arial" w:eastAsia="Arial" w:hAnsi="Arial"/>
                <w:sz w:val="18"/>
                <w:szCs w:val="18"/>
                <w:color w:val="auto"/>
                <w:w w:val="97"/>
              </w:rPr>
              <w:t>employee or agent of the Collateral Agent , any Receiver and any Delegate.</w:t>
            </w:r>
          </w:p>
        </w:tc>
      </w:tr>
    </w:tbl>
    <w:p>
      <w:pPr>
        <w:spacing w:after="0" w:line="198" w:lineRule="exact"/>
        <w:rPr>
          <w:sz w:val="20"/>
          <w:szCs w:val="20"/>
          <w:color w:val="auto"/>
        </w:rPr>
      </w:pPr>
    </w:p>
    <w:p>
      <w:pPr>
        <w:ind w:left="660" w:hanging="652"/>
        <w:spacing w:after="0"/>
        <w:tabs>
          <w:tab w:leader="none" w:pos="660"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COSTS, EXPENSES AND INDEMNITY</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Company shall pay to the Collateral Agent in relation to this Deed such costs and expenses as are of the type which are reimbursable by the Borrowers pursuant to Section 11.03 (</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Company shall indemnify each Receiver and Delegate and their respective officers, employees and agents to the extent that and in the manner in which the Borrowers indemnify the Indemnitees under Section 11.04 (</w:t>
      </w:r>
      <w:r>
        <w:rPr>
          <w:rFonts w:ascii="Arial" w:cs="Arial" w:eastAsia="Arial" w:hAnsi="Arial"/>
          <w:sz w:val="18"/>
          <w:szCs w:val="18"/>
          <w:i w:val="1"/>
          <w:iCs w:val="1"/>
          <w:color w:val="auto"/>
        </w:rPr>
        <w:t>Indemnity</w:t>
      </w:r>
      <w:r>
        <w:rPr>
          <w:rFonts w:ascii="Arial" w:cs="Arial" w:eastAsia="Arial" w:hAnsi="Arial"/>
          <w:sz w:val="18"/>
          <w:szCs w:val="18"/>
          <w:color w:val="auto"/>
        </w:rPr>
        <w:t>) of the Loan Agreement. Each Relevant Person may rely on this Clause 0 (</w:t>
      </w:r>
      <w:r>
        <w:rPr>
          <w:rFonts w:ascii="Arial" w:cs="Arial" w:eastAsia="Arial" w:hAnsi="Arial"/>
          <w:sz w:val="18"/>
          <w:szCs w:val="18"/>
          <w:i w:val="1"/>
          <w:iCs w:val="1"/>
          <w:color w:val="auto"/>
        </w:rPr>
        <w:t>21.Costs, Expenses and</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INDEMNITY</w:t>
      </w:r>
      <w:r>
        <w:rPr>
          <w:rFonts w:ascii="Arial" w:cs="Arial" w:eastAsia="Arial" w:hAnsi="Arial"/>
          <w:sz w:val="18"/>
          <w:szCs w:val="18"/>
          <w:color w:val="auto"/>
        </w:rPr>
        <w:t>) in accordance with the Contracts (Rights of Third Parties) Act 1999 but subject to Clause 0 (</w:t>
      </w:r>
      <w:r>
        <w:rPr>
          <w:rFonts w:ascii="Arial" w:cs="Arial" w:eastAsia="Arial" w:hAnsi="Arial"/>
          <w:sz w:val="18"/>
          <w:szCs w:val="18"/>
          <w:i w:val="1"/>
          <w:iCs w:val="1"/>
          <w:color w:val="auto"/>
        </w:rPr>
        <w:t>25.Third</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3" w:lineRule="exact"/>
        <w:rPr>
          <w:sz w:val="20"/>
          <w:szCs w:val="20"/>
          <w:color w:val="auto"/>
        </w:rPr>
      </w:pPr>
    </w:p>
    <w:p>
      <w:pPr>
        <w:ind w:left="660" w:hanging="652"/>
        <w:spacing w:after="0"/>
        <w:tabs>
          <w:tab w:leader="none" w:pos="660"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CONSENTS, VARIATIONS, WAIVERS AND RIGHTS</w:t>
      </w:r>
    </w:p>
    <w:p>
      <w:pPr>
        <w:spacing w:after="0" w:line="229"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600"/>
        </w:numPr>
        <w:rPr>
          <w:rFonts w:ascii="Arial" w:cs="Arial" w:eastAsia="Arial" w:hAnsi="Arial"/>
          <w:sz w:val="17"/>
          <w:szCs w:val="17"/>
          <w:color w:val="auto"/>
        </w:rPr>
      </w:pPr>
      <w:r>
        <w:rPr>
          <w:rFonts w:ascii="Arial" w:cs="Arial" w:eastAsia="Arial" w:hAnsi="Arial"/>
          <w:sz w:val="17"/>
          <w:szCs w:val="17"/>
          <w:color w:val="auto"/>
        </w:rPr>
        <w:t>No consent or waiver in respect of any provision of this Deed shall be effective unless and until it is agreed in writing duly executed by or on behalf of the Collateral Agent . Any consent or waiver by the Collateral Agent under this Deed may be given subject to any conditions the Collateral Agent reasonably thinks fit and shall be effective only in the instance and for the purpose for which it is given. No failure by the Collateral Agent or any Receiver to exercise or delay in exercising any right provided by law or under this Deed shall operate to impair the same or be construed as a waiver of it. No single or partial exercise of any such right shall prevent any further or other exercise of the same or the exercise of any other right. No waiver of any such right shall constitute a waiver of any other right. The rights provided in this Deed are cumulative and not exclusive of any rights, provided by law.</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No amendment or variation in respect of any provision of this Deed shall be effective unless and until it is agreed in writing duly executed by or on behalf of the Company and the Collateral Agent .</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235"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If any provision of this Deed is or becomes or is found by a court or other competent authority to be illegal, invalid or unenforceable in any respect, in whole or in part, under any law of any jurisdiction, neither the legality, validity and enforceability in that jurisdiction of any other provision or part of this Deed, nor the legality, validity or enforceability in any other jurisdiction of that provision or part or of any other provision of this Deed, shall be affected or impaired and if any part of the Charges is invalid or unenforceable in any respect for any reason, no other Charges shall be affected or impaired.</w:t>
      </w:r>
    </w:p>
    <w:p>
      <w:pPr>
        <w:spacing w:after="0" w:line="181" w:lineRule="exact"/>
        <w:rPr>
          <w:sz w:val="20"/>
          <w:szCs w:val="20"/>
          <w:color w:val="auto"/>
        </w:rPr>
      </w:pPr>
    </w:p>
    <w:p>
      <w:pPr>
        <w:ind w:left="660" w:hanging="652"/>
        <w:spacing w:after="0"/>
        <w:tabs>
          <w:tab w:leader="none" w:pos="660" w:val="left"/>
        </w:tabs>
        <w:numPr>
          <w:ilvl w:val="0"/>
          <w:numId w:val="60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235"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delivered, shall constitute an original of this Deed, but all the counterparts together shall constitute one and the same instrument.</w:t>
      </w:r>
    </w:p>
    <w:p>
      <w:pPr>
        <w:spacing w:after="0" w:line="181" w:lineRule="exact"/>
        <w:rPr>
          <w:sz w:val="20"/>
          <w:szCs w:val="20"/>
          <w:color w:val="auto"/>
        </w:rPr>
      </w:pPr>
    </w:p>
    <w:p>
      <w:pPr>
        <w:ind w:left="660" w:hanging="652"/>
        <w:spacing w:after="0"/>
        <w:tabs>
          <w:tab w:leader="none" w:pos="660" w:val="left"/>
        </w:tabs>
        <w:numPr>
          <w:ilvl w:val="0"/>
          <w:numId w:val="602"/>
        </w:numPr>
        <w:rPr>
          <w:rFonts w:ascii="Arial" w:cs="Arial" w:eastAsia="Arial" w:hAnsi="Arial"/>
          <w:sz w:val="18"/>
          <w:szCs w:val="18"/>
          <w:color w:val="auto"/>
        </w:rPr>
      </w:pPr>
      <w:r>
        <w:rPr>
          <w:rFonts w:ascii="Arial" w:cs="Arial" w:eastAsia="Arial" w:hAnsi="Arial"/>
          <w:sz w:val="18"/>
          <w:szCs w:val="18"/>
          <w:b w:val="1"/>
          <w:bCs w:val="1"/>
          <w:color w:val="auto"/>
        </w:rPr>
        <w:t>THIRD PARTIES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Except as otherwise provided in this Deed, a person who is not a party to this Deed has no right under the Contracts (Rights of Third Parties) Act 1999 to enforce or to enjoy the benefit of any term of this Deed but this does not affect any right or remedy of a third party which exists or is available apart from that Act.</w:t>
      </w:r>
    </w:p>
    <w:p>
      <w:pPr>
        <w:sectPr>
          <w:pgSz w:w="11900" w:h="16838" w:orient="portrait"/>
          <w:cols w:equalWidth="0" w:num="1">
            <w:col w:w="11240"/>
          </w:cols>
          <w:pgMar w:left="320" w:top="125" w:right="339" w:bottom="0" w:gutter="0" w:footer="0" w:header="0"/>
          <w:type w:val="continuous"/>
        </w:sectPr>
      </w:pPr>
    </w:p>
    <w:p>
      <w:pPr>
        <w:spacing w:after="0" w:line="175" w:lineRule="exact"/>
        <w:rPr>
          <w:sz w:val="20"/>
          <w:szCs w:val="20"/>
          <w:color w:val="auto"/>
        </w:rPr>
      </w:pPr>
    </w:p>
    <w:p>
      <w:pPr>
        <w:ind w:left="660" w:hanging="652"/>
        <w:spacing w:after="0"/>
        <w:tabs>
          <w:tab w:leader="none" w:pos="660" w:val="left"/>
        </w:tabs>
        <w:numPr>
          <w:ilvl w:val="0"/>
          <w:numId w:val="603"/>
        </w:numPr>
        <w:rPr>
          <w:rFonts w:ascii="Arial" w:cs="Arial" w:eastAsia="Arial" w:hAnsi="Arial"/>
          <w:sz w:val="18"/>
          <w:szCs w:val="18"/>
          <w:color w:val="auto"/>
        </w:rPr>
      </w:pPr>
      <w:r>
        <w:rPr>
          <w:rFonts w:ascii="Arial" w:cs="Arial" w:eastAsia="Arial" w:hAnsi="Arial"/>
          <w:sz w:val="18"/>
          <w:szCs w:val="18"/>
          <w:b w:val="1"/>
          <w:bCs w:val="1"/>
          <w:color w:val="auto"/>
        </w:rPr>
        <w:t>DETERMINATIONS</w:t>
      </w:r>
    </w:p>
    <w:p>
      <w:pPr>
        <w:sectPr>
          <w:pgSz w:w="11900" w:h="16838" w:orient="portrait"/>
          <w:cols w:equalWidth="0" w:num="1">
            <w:col w:w="11240"/>
          </w:cols>
          <w:pgMar w:left="320" w:top="125" w:right="339" w:bottom="0" w:gutter="0" w:footer="0" w:header="0"/>
          <w:type w:val="continuous"/>
        </w:sectPr>
      </w:pPr>
    </w:p>
    <w:bookmarkStart w:id="543" w:name="page544"/>
    <w:bookmarkEnd w:id="543"/>
    <w:p>
      <w:pPr>
        <w:ind w:left="660" w:right="20"/>
        <w:spacing w:after="0" w:line="276" w:lineRule="auto"/>
        <w:rPr>
          <w:sz w:val="20"/>
          <w:szCs w:val="20"/>
          <w:color w:val="auto"/>
        </w:rPr>
      </w:pPr>
      <w:r>
        <w:rPr>
          <w:rFonts w:ascii="Arial" w:cs="Arial" w:eastAsia="Arial" w:hAnsi="Arial"/>
          <w:sz w:val="22"/>
          <w:szCs w:val="22"/>
          <w:color w:val="auto"/>
        </w:rPr>
        <w:t>A determination as to any amount payable which the Collateral Agent or any Receiver may make under this Deed in good faith shall (save in the case of manifest error) be conclusive.</w:t>
      </w:r>
    </w:p>
    <w:p>
      <w:pPr>
        <w:spacing w:after="0" w:line="164" w:lineRule="exact"/>
        <w:rPr>
          <w:sz w:val="20"/>
          <w:szCs w:val="20"/>
          <w:color w:val="auto"/>
        </w:rPr>
      </w:pPr>
    </w:p>
    <w:p>
      <w:pPr>
        <w:ind w:left="660" w:hanging="652"/>
        <w:spacing w:after="0"/>
        <w:tabs>
          <w:tab w:leader="none" w:pos="66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The Company shall not (whether by way of security or otherwise howsoever) be entitled to assign, grant an equitable interest in or transfer and declare itself a trustee of all or any of its rights, interests or obligations hereunder, except as permitted under the Loan Agreement (save with respect to its rights and benefits which shall be assigned or to be assigned to the Collateral Agent under this Deed).</w:t>
      </w:r>
    </w:p>
    <w:p>
      <w:pPr>
        <w:spacing w:after="0" w:line="165"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7"/>
          <w:szCs w:val="17"/>
          <w:color w:val="auto"/>
        </w:rPr>
        <w:t>The Collateral Agent may at any time assign or transfer, in accordance with the Loan Agreement, all or any part of its rights or interests under this Deed or the Charges to any person who succeeds to its role as security agent or collateral agent under the Loan Agreement.</w:t>
      </w:r>
    </w:p>
    <w:p>
      <w:pPr>
        <w:spacing w:after="0" w:line="14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7"/>
          <w:szCs w:val="17"/>
          <w:color w:val="auto"/>
        </w:rPr>
        <w:t>Subject to Section 11.06 (</w:t>
      </w:r>
      <w:r>
        <w:rPr>
          <w:rFonts w:ascii="Arial" w:cs="Arial" w:eastAsia="Arial" w:hAnsi="Arial"/>
          <w:sz w:val="17"/>
          <w:szCs w:val="17"/>
          <w:i w:val="1"/>
          <w:iCs w:val="1"/>
          <w:color w:val="auto"/>
        </w:rPr>
        <w:t>Confidentiality</w:t>
      </w:r>
      <w:r>
        <w:rPr>
          <w:rFonts w:ascii="Arial" w:cs="Arial" w:eastAsia="Arial" w:hAnsi="Arial"/>
          <w:sz w:val="17"/>
          <w:szCs w:val="17"/>
          <w:color w:val="auto"/>
        </w:rPr>
        <w:t>) of the Loan Agreement, the Collateral Agent may disclose to an actual or proposed successor, assignee or transferee any information the Collateral Agent reasonably considers appropriate regarding any provision of this Deed or other Loan Documents and the Company which it considers appropriate for the purposes of the proposed assignment or transfer.</w:t>
      </w:r>
    </w:p>
    <w:p>
      <w:pPr>
        <w:spacing w:after="0" w:line="161" w:lineRule="exact"/>
        <w:rPr>
          <w:sz w:val="20"/>
          <w:szCs w:val="20"/>
          <w:color w:val="auto"/>
        </w:rPr>
      </w:pPr>
    </w:p>
    <w:p>
      <w:pPr>
        <w:ind w:left="660" w:hanging="652"/>
        <w:spacing w:after="0"/>
        <w:tabs>
          <w:tab w:leader="none" w:pos="660"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Any notice or other communication under this Deed shall be made in accordance with the provisions set out in the Loan Agreement. Any notice delivered to the Parent or the Borrowers on behalf of the Company shall be deemed to have been delivered to the Company.</w:t>
      </w:r>
    </w:p>
    <w:p>
      <w:pPr>
        <w:spacing w:after="0" w:line="175" w:lineRule="exact"/>
        <w:rPr>
          <w:sz w:val="20"/>
          <w:szCs w:val="20"/>
          <w:color w:val="auto"/>
        </w:rPr>
      </w:pPr>
    </w:p>
    <w:p>
      <w:pPr>
        <w:ind w:left="660" w:hanging="652"/>
        <w:spacing w:after="0"/>
        <w:tabs>
          <w:tab w:leader="none" w:pos="660" w:val="left"/>
        </w:tabs>
        <w:numPr>
          <w:ilvl w:val="0"/>
          <w:numId w:val="606"/>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Governing law</w:t>
      </w:r>
    </w:p>
    <w:p>
      <w:pPr>
        <w:spacing w:after="0" w:line="235" w:lineRule="exact"/>
        <w:rPr>
          <w:sz w:val="20"/>
          <w:szCs w:val="20"/>
          <w:color w:val="auto"/>
        </w:rPr>
      </w:pPr>
    </w:p>
    <w:p>
      <w:pPr>
        <w:ind w:left="660"/>
        <w:spacing w:after="0" w:line="272" w:lineRule="exact"/>
        <w:rPr>
          <w:sz w:val="20"/>
          <w:szCs w:val="20"/>
          <w:color w:val="auto"/>
        </w:rPr>
      </w:pPr>
      <w:r>
        <w:rPr>
          <w:rFonts w:ascii="Arial" w:cs="Arial" w:eastAsia="Arial" w:hAnsi="Arial"/>
          <w:sz w:val="22"/>
          <w:szCs w:val="22"/>
          <w:color w:val="auto"/>
        </w:rPr>
        <w:t>This Deed (including any non</w:t>
      </w:r>
      <w:r>
        <w:rPr>
          <w:rFonts w:ascii="MS PGothic" w:cs="MS PGothic" w:eastAsia="MS PGothic" w:hAnsi="MS PGothic"/>
          <w:sz w:val="22"/>
          <w:szCs w:val="22"/>
          <w:color w:val="auto"/>
        </w:rPr>
        <w:t>‑</w:t>
      </w:r>
      <w:r>
        <w:rPr>
          <w:rFonts w:ascii="Arial" w:cs="Arial" w:eastAsia="Arial" w:hAnsi="Arial"/>
          <w:sz w:val="22"/>
          <w:szCs w:val="22"/>
          <w:color w:val="auto"/>
        </w:rPr>
        <w:t>contractual obligations or liabilities arising out of it or in connection with it) is governed by and is to be construed in accordance with English law.</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1300" w:hanging="644"/>
        <w:spacing w:after="0"/>
        <w:tabs>
          <w:tab w:leader="none" w:pos="130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auto"/>
        </w:rPr>
      </w:pPr>
    </w:p>
    <w:p>
      <w:pPr>
        <w:ind w:left="1960" w:hanging="656"/>
        <w:spacing w:after="0" w:line="223" w:lineRule="exact"/>
        <w:tabs>
          <w:tab w:leader="none" w:pos="196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English courts have non</w:t>
      </w:r>
      <w:r>
        <w:rPr>
          <w:rFonts w:ascii="MS PGothic" w:cs="MS PGothic" w:eastAsia="MS PGothic" w:hAnsi="MS PGothic"/>
          <w:sz w:val="18"/>
          <w:szCs w:val="18"/>
          <w:color w:val="auto"/>
        </w:rPr>
        <w:t>‑</w:t>
      </w:r>
      <w:r>
        <w:rPr>
          <w:rFonts w:ascii="Arial" w:cs="Arial" w:eastAsia="Arial" w:hAnsi="Arial"/>
          <w:sz w:val="18"/>
          <w:szCs w:val="18"/>
          <w:color w:val="auto"/>
        </w:rPr>
        <w:t>exclusive jurisdiction to hear and determine any Proceedings and to settle any Disputes and each party irrevocably submits to the jurisdiction of the English courts;</w:t>
      </w:r>
    </w:p>
    <w:p>
      <w:pPr>
        <w:spacing w:after="0" w:line="202" w:lineRule="exact"/>
        <w:rPr>
          <w:rFonts w:ascii="Arial" w:cs="Arial" w:eastAsia="Arial" w:hAnsi="Arial"/>
          <w:sz w:val="18"/>
          <w:szCs w:val="18"/>
          <w:color w:val="auto"/>
        </w:rPr>
      </w:pPr>
    </w:p>
    <w:p>
      <w:pPr>
        <w:ind w:left="1960" w:hanging="656"/>
        <w:spacing w:after="0"/>
        <w:tabs>
          <w:tab w:leader="none" w:pos="196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any judgment in Proceedings taken in any such court shall be conclusive and binding on it and may be enforced in any other jurisdiction.</w:t>
      </w:r>
    </w:p>
    <w:p>
      <w:pPr>
        <w:spacing w:after="0" w:line="170"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607"/>
        </w:numPr>
        <w:rPr>
          <w:rFonts w:ascii="Arial" w:cs="Arial" w:eastAsia="Arial" w:hAnsi="Arial"/>
          <w:sz w:val="16"/>
          <w:szCs w:val="16"/>
          <w:color w:val="auto"/>
        </w:rPr>
      </w:pPr>
      <w:r>
        <w:rPr>
          <w:rFonts w:ascii="Arial" w:cs="Arial" w:eastAsia="Arial" w:hAnsi="Arial"/>
          <w:sz w:val="16"/>
          <w:szCs w:val="16"/>
          <w:color w:val="auto"/>
        </w:rPr>
        <w:t xml:space="preserve">Each party also irrevocably waives (and irrevocably agrees not to raise) any objection which it might at any time have on the ground of </w:t>
      </w:r>
      <w:r>
        <w:rPr>
          <w:rFonts w:ascii="Arial" w:cs="Arial" w:eastAsia="Arial" w:hAnsi="Arial"/>
          <w:sz w:val="16"/>
          <w:szCs w:val="16"/>
          <w:i w:val="1"/>
          <w:iCs w:val="1"/>
          <w:color w:val="auto"/>
        </w:rPr>
        <w:t xml:space="preserve">forum non conveniens </w:t>
      </w:r>
      <w:r>
        <w:rPr>
          <w:rFonts w:ascii="Arial" w:cs="Arial" w:eastAsia="Arial" w:hAnsi="Arial"/>
          <w:sz w:val="16"/>
          <w:szCs w:val="16"/>
          <w:color w:val="auto"/>
        </w:rPr>
        <w:t>or on any other ground to Proceedings being taken in any court referred to in this Clause 0 (</w:t>
      </w:r>
      <w:r>
        <w:rPr>
          <w:rFonts w:ascii="Arial" w:cs="Arial" w:eastAsia="Arial" w:hAnsi="Arial"/>
          <w:sz w:val="16"/>
          <w:szCs w:val="16"/>
          <w:i w:val="1"/>
          <w:iCs w:val="1"/>
          <w:color w:val="auto"/>
        </w:rPr>
        <w:t>29.Governing Law and</w:t>
      </w:r>
    </w:p>
    <w:p>
      <w:pPr>
        <w:ind w:left="1300"/>
        <w:spacing w:after="0"/>
        <w:rPr>
          <w:rFonts w:ascii="Arial" w:cs="Arial" w:eastAsia="Arial" w:hAnsi="Arial"/>
          <w:sz w:val="16"/>
          <w:szCs w:val="16"/>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w:t>
      </w:r>
    </w:p>
    <w:p>
      <w:pPr>
        <w:sectPr>
          <w:pgSz w:w="11900" w:h="16838" w:orient="portrait"/>
          <w:cols w:equalWidth="0" w:num="1">
            <w:col w:w="11240"/>
          </w:cols>
          <w:pgMar w:left="320" w:top="131" w:right="339" w:bottom="1440" w:gutter="0" w:footer="0" w:header="0"/>
        </w:sectPr>
      </w:pPr>
    </w:p>
    <w:p>
      <w:pPr>
        <w:spacing w:after="0" w:line="211" w:lineRule="exact"/>
        <w:rPr>
          <w:sz w:val="20"/>
          <w:szCs w:val="20"/>
          <w:color w:val="auto"/>
        </w:rPr>
      </w:pPr>
    </w:p>
    <w:p>
      <w:pPr>
        <w:ind w:left="1320" w:hanging="664"/>
        <w:spacing w:after="0"/>
        <w:tabs>
          <w:tab w:leader="none" w:pos="1320" w:val="left"/>
        </w:tabs>
        <w:numPr>
          <w:ilvl w:val="0"/>
          <w:numId w:val="608"/>
        </w:numPr>
        <w:rPr>
          <w:rFonts w:ascii="Arial" w:cs="Arial" w:eastAsia="Arial" w:hAnsi="Arial"/>
          <w:sz w:val="16"/>
          <w:szCs w:val="16"/>
          <w:color w:val="auto"/>
        </w:rPr>
      </w:pPr>
      <w:r>
        <w:rPr>
          <w:rFonts w:ascii="Arial" w:cs="Arial" w:eastAsia="Arial" w:hAnsi="Arial"/>
          <w:sz w:val="16"/>
          <w:szCs w:val="16"/>
          <w:color w:val="auto"/>
        </w:rPr>
        <w:t>Nothing in this Clause 0 (</w:t>
      </w:r>
      <w:r>
        <w:rPr>
          <w:rFonts w:ascii="Arial" w:cs="Arial" w:eastAsia="Arial" w:hAnsi="Arial"/>
          <w:sz w:val="16"/>
          <w:szCs w:val="16"/>
          <w:i w:val="1"/>
          <w:iCs w:val="1"/>
          <w:color w:val="auto"/>
        </w:rPr>
        <w:t>29.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i w:val="1"/>
          <w:iCs w:val="1"/>
          <w:color w:val="auto"/>
        </w:rPr>
        <w:t xml:space="preserve">Governing Law and </w:t>
      </w:r>
      <w:r>
        <w:rPr>
          <w:rFonts w:ascii="Arial" w:cs="Arial" w:eastAsia="Arial" w:hAnsi="Arial"/>
          <w:sz w:val="16"/>
          <w:szCs w:val="16"/>
          <w:b w:val="1"/>
          <w:bCs w:val="1"/>
          <w:color w:val="auto"/>
        </w:rPr>
        <w:t>JURISDICTION</w:t>
      </w:r>
      <w:r>
        <w:rPr>
          <w:rFonts w:ascii="Arial" w:cs="Arial" w:eastAsia="Arial" w:hAnsi="Arial"/>
          <w:sz w:val="16"/>
          <w:szCs w:val="16"/>
          <w:color w:val="auto"/>
        </w:rPr>
        <w:t>) shall limit any party's right to take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other party in any other jurisdiction or in more than one jurisdiction concurrently.</w:t>
      </w:r>
    </w:p>
    <w:p>
      <w:pPr>
        <w:spacing w:after="0" w:line="120"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1300" w:hanging="644"/>
        <w:spacing w:after="0"/>
        <w:tabs>
          <w:tab w:leader="none" w:pos="1300" w:val="left"/>
        </w:tabs>
        <w:numPr>
          <w:ilvl w:val="0"/>
          <w:numId w:val="609"/>
        </w:numPr>
        <w:rPr>
          <w:rFonts w:ascii="Arial" w:cs="Arial" w:eastAsia="Arial" w:hAnsi="Arial"/>
          <w:sz w:val="16"/>
          <w:szCs w:val="16"/>
          <w:color w:val="auto"/>
        </w:rPr>
      </w:pPr>
      <w:r>
        <w:rPr>
          <w:rFonts w:ascii="Arial" w:cs="Arial" w:eastAsia="Arial" w:hAnsi="Arial"/>
          <w:sz w:val="16"/>
          <w:szCs w:val="16"/>
          <w:color w:val="auto"/>
        </w:rPr>
        <w:t>This jurisdiction agreement is not concluded for the benefit of only one party.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44" w:name="page545"/>
    <w:bookmarkEnd w:id="544"/>
    <w:p>
      <w:pPr>
        <w:spacing w:after="0" w:line="282"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Deed to be executed and delivered as a deed on the day and year</w:t>
      </w:r>
      <w:r>
        <w:rPr>
          <w:rFonts w:ascii="Arial" w:cs="Arial" w:eastAsia="Arial" w:hAnsi="Arial"/>
          <w:sz w:val="22"/>
          <w:szCs w:val="22"/>
          <w:b w:val="1"/>
          <w:bCs w:val="1"/>
          <w:color w:val="auto"/>
        </w:rPr>
        <w:t xml:space="preserve"> </w:t>
      </w:r>
      <w:r>
        <w:rPr>
          <w:rFonts w:ascii="Arial" w:cs="Arial" w:eastAsia="Arial" w:hAnsi="Arial"/>
          <w:sz w:val="22"/>
          <w:szCs w:val="22"/>
          <w:color w:val="auto"/>
        </w:rPr>
        <w:t>first before written.</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Executed as deed by </w:t>
      </w:r>
      <w:r>
        <w:rPr>
          <w:rFonts w:ascii="Arial" w:cs="Arial" w:eastAsia="Arial" w:hAnsi="Arial"/>
          <w:sz w:val="19"/>
          <w:szCs w:val="19"/>
          <w:b w:val="1"/>
          <w:bCs w:val="1"/>
          <w:color w:val="auto"/>
        </w:rPr>
        <w:t>WEATHERFORD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ectPr>
          <w:pgSz w:w="11900" w:h="16838" w:orient="portrait"/>
          <w:cols w:equalWidth="0" w:num="2">
            <w:col w:w="3600" w:space="540"/>
            <w:col w:w="7100"/>
          </w:cols>
          <w:pgMar w:left="320" w:top="395" w:right="33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 xml:space="preserve">U.K. LIMITED </w:t>
      </w:r>
      <w:r>
        <w:rPr>
          <w:rFonts w:ascii="Arial" w:cs="Arial" w:eastAsia="Arial" w:hAnsi="Arial"/>
          <w:sz w:val="21"/>
          <w:szCs w:val="21"/>
          <w:color w:val="auto"/>
        </w:rPr>
        <w:t>acting by 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sectPr>
          <w:pgSz w:w="11900" w:h="16838" w:orient="portrait"/>
          <w:cols w:equalWidth="0" w:num="2">
            <w:col w:w="3220" w:space="540"/>
            <w:col w:w="7480"/>
          </w:cols>
          <w:pgMar w:left="320" w:top="395" w:right="339" w:bottom="1440" w:gutter="0" w:footer="0" w:header="0"/>
          <w:type w:val="continuous"/>
        </w:sectPr>
      </w:pPr>
    </w:p>
    <w:p>
      <w:pPr>
        <w:spacing w:after="0"/>
        <w:tabs>
          <w:tab w:leader="none" w:pos="2120" w:val="left"/>
        </w:tabs>
        <w:rPr>
          <w:sz w:val="20"/>
          <w:szCs w:val="20"/>
          <w:color w:val="auto"/>
        </w:rPr>
      </w:pPr>
      <w:r>
        <w:rPr>
          <w:rFonts w:ascii="Arial" w:cs="Arial" w:eastAsia="Arial" w:hAnsi="Arial"/>
          <w:sz w:val="22"/>
          <w:szCs w:val="22"/>
          <w:color w:val="auto"/>
        </w:rPr>
        <w:t>in the presence of:</w:t>
      </w:r>
      <w:r>
        <w:rPr>
          <w:sz w:val="20"/>
          <w:szCs w:val="20"/>
          <w:color w:val="auto"/>
        </w:rPr>
        <w:tab/>
      </w:r>
      <w:r>
        <w:rPr>
          <w:rFonts w:ascii="Arial" w:cs="Arial" w:eastAsia="Arial" w:hAnsi="Arial"/>
          <w:sz w:val="18"/>
          <w:szCs w:val="18"/>
          <w:color w:val="auto"/>
        </w:rPr>
        <w:t>)</w:t>
      </w:r>
    </w:p>
    <w:p>
      <w:pPr>
        <w:sectPr>
          <w:pgSz w:w="11900" w:h="16838" w:orient="portrait"/>
          <w:cols w:equalWidth="0" w:num="1">
            <w:col w:w="11240"/>
          </w:cols>
          <w:pgMar w:left="320" w:top="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19"/>
          <w:szCs w:val="19"/>
          <w:i w:val="1"/>
          <w:iCs w:val="1"/>
          <w:color w:val="auto"/>
        </w:rPr>
        <w:t>___________________________</w:t>
      </w: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Witness: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Name:</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Occupation</w:t>
      </w:r>
      <w:r>
        <w:rPr>
          <w:rFonts w:ascii="Arial" w:cs="Arial" w:eastAsia="Arial" w:hAnsi="Arial"/>
          <w:sz w:val="22"/>
          <w:szCs w:val="22"/>
          <w:color w:val="auto"/>
        </w:rPr>
        <w:t>:</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545" w:name="page546"/>
    <w:bookmarkEnd w:id="545"/>
    <w:p>
      <w:pPr>
        <w:spacing w:after="0"/>
        <w:rPr>
          <w:sz w:val="20"/>
          <w:szCs w:val="20"/>
          <w:color w:val="auto"/>
        </w:rPr>
      </w:pPr>
      <w:r>
        <w:rPr>
          <w:rFonts w:ascii="Arial" w:cs="Arial" w:eastAsia="Arial" w:hAnsi="Arial"/>
          <w:sz w:val="21"/>
          <w:szCs w:val="21"/>
          <w:b w:val="1"/>
          <w:bCs w:val="1"/>
          <w:color w:val="auto"/>
        </w:rPr>
        <w:t>COLLATERAL AGENT</w:t>
      </w:r>
    </w:p>
    <w:p>
      <w:pPr>
        <w:sectPr>
          <w:pgSz w:w="11900" w:h="16838" w:orient="portrait"/>
          <w:cols w:equalWidth="0" w:num="1">
            <w:col w:w="10139"/>
          </w:cols>
          <w:pgMar w:left="320" w:top="611" w:right="1440" w:bottom="1440" w:gutter="0" w:footer="0" w:header="0"/>
        </w:sectPr>
      </w:pPr>
    </w:p>
    <w:p>
      <w:pPr>
        <w:spacing w:after="0" w:line="299" w:lineRule="exact"/>
        <w:rPr>
          <w:sz w:val="20"/>
          <w:szCs w:val="20"/>
          <w:color w:val="auto"/>
        </w:rPr>
      </w:pPr>
    </w:p>
    <w:p>
      <w:pPr>
        <w:spacing w:after="0"/>
        <w:tabs>
          <w:tab w:leader="none" w:pos="4360" w:val="left"/>
        </w:tabs>
        <w:rPr>
          <w:sz w:val="20"/>
          <w:szCs w:val="20"/>
          <w:color w:val="auto"/>
        </w:rPr>
      </w:pPr>
      <w:r>
        <w:rPr>
          <w:rFonts w:ascii="Arial" w:cs="Arial" w:eastAsia="Arial" w:hAnsi="Arial"/>
          <w:sz w:val="22"/>
          <w:szCs w:val="22"/>
          <w:color w:val="auto"/>
        </w:rPr>
        <w:t xml:space="preserve">Executed as a deed by </w:t>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 COMPANY AMERICAS</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acting by ...........................................................</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who, in accordance with the laws of the territory</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in which Deutsche Bank Trust Company Americas</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is incorporated, is/are acting under its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62" w:lineRule="exact"/>
        <w:rPr>
          <w:sz w:val="20"/>
          <w:szCs w:val="20"/>
          <w:color w:val="auto"/>
        </w:rPr>
      </w:pPr>
    </w:p>
    <w:p>
      <w:pPr>
        <w:sectPr>
          <w:pgSz w:w="11900" w:h="16838" w:orient="portrait"/>
          <w:cols w:equalWidth="0" w:num="4">
            <w:col w:w="4460" w:space="120"/>
            <w:col w:w="120" w:space="40"/>
            <w:col w:w="80" w:space="120"/>
            <w:col w:w="5199"/>
          </w:cols>
          <w:pgMar w:left="320" w:top="611" w:right="1440"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11" w:right="1440" w:bottom="1440" w:gutter="0" w:footer="0" w:header="0"/>
          <w:type w:val="continuous"/>
        </w:sectPr>
      </w:pPr>
    </w:p>
    <w:bookmarkStart w:id="546" w:name="page547"/>
    <w:bookmarkEnd w:id="546"/>
    <w:p>
      <w:pPr>
        <w:jc w:val="center"/>
        <w:ind w:right="19"/>
        <w:spacing w:after="0"/>
        <w:rPr>
          <w:sz w:val="20"/>
          <w:szCs w:val="20"/>
          <w:color w:val="auto"/>
        </w:rPr>
      </w:pPr>
      <w:r>
        <w:rPr>
          <w:rFonts w:ascii="Arial" w:cs="Arial" w:eastAsia="Arial" w:hAnsi="Arial"/>
          <w:sz w:val="22"/>
          <w:szCs w:val="22"/>
          <w:b w:val="1"/>
          <w:bCs w:val="1"/>
          <w:color w:val="auto"/>
        </w:rPr>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BANK ACCOUNTS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1 – GENERAL BANK ACCOUNTS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302260</wp:posOffset>
            </wp:positionV>
            <wp:extent cx="713232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7" w:name="page548"/>
    <w:bookmarkEnd w:id="547"/>
    <w:p>
      <w:pPr>
        <w:jc w:val="center"/>
        <w:ind w:right="19"/>
        <w:spacing w:after="0"/>
        <w:rPr>
          <w:sz w:val="20"/>
          <w:szCs w:val="20"/>
          <w:color w:val="auto"/>
        </w:rPr>
      </w:pPr>
      <w:r>
        <w:rPr>
          <w:rFonts w:ascii="Arial" w:cs="Arial" w:eastAsia="Arial" w:hAnsi="Arial"/>
          <w:sz w:val="21"/>
          <w:szCs w:val="21"/>
          <w:b w:val="1"/>
          <w:bCs w:val="1"/>
          <w:color w:val="auto"/>
        </w:rPr>
        <w:t>PART 2 – COLLECTION BANK ACCOUNT</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324485</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48" w:name="page549"/>
    <w:bookmarkEnd w:id="548"/>
    <w:p>
      <w:pPr>
        <w:jc w:val="center"/>
        <w:spacing w:after="0"/>
        <w:rPr>
          <w:sz w:val="20"/>
          <w:szCs w:val="20"/>
          <w:color w:val="auto"/>
        </w:rPr>
      </w:pPr>
      <w:r>
        <w:rPr>
          <w:rFonts w:ascii="Arial" w:cs="Arial" w:eastAsia="Arial" w:hAnsi="Arial"/>
          <w:sz w:val="22"/>
          <w:szCs w:val="22"/>
          <w:b w:val="1"/>
          <w:bCs w:val="1"/>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ASSIGNED AGREEMENTS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Date of Relevant Contract</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Parties</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Details of Relevant Contract</w:t>
            </w:r>
          </w:p>
        </w:tc>
      </w:tr>
      <w:tr>
        <w:trPr>
          <w:trHeight w:val="202"/>
        </w:trPr>
        <w:tc>
          <w:tcPr>
            <w:tcW w:w="378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31 July 2018</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Completion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E&amp;P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378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10 August 2016</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Drilling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E&amp;P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378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18 September 2017</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Casing and Tubular Running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E&amp;P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378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20 December 2017</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Managed Pressure Drilling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E&amp;P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November 2019</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Drilling Related Fishing, Milling &amp; Thru-Tubing</w:t>
            </w:r>
          </w:p>
        </w:tc>
      </w:tr>
      <w:tr>
        <w:trPr>
          <w:trHeight w:val="230"/>
        </w:trPr>
        <w:tc>
          <w:tcPr>
            <w:tcW w:w="140" w:type="dxa"/>
            <w:vAlign w:val="bottom"/>
            <w:tcBorders>
              <w:lef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E&amp;P U.K. Limited</w:t>
            </w:r>
          </w:p>
        </w:tc>
        <w:tc>
          <w:tcPr>
            <w:tcW w:w="3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Fishing Services</w:t>
            </w:r>
          </w:p>
        </w:tc>
      </w:tr>
      <w:tr>
        <w:trPr>
          <w:trHeight w:val="223"/>
        </w:trPr>
        <w:tc>
          <w:tcPr>
            <w:tcW w:w="140" w:type="dxa"/>
            <w:vAlign w:val="bottom"/>
            <w:tcBorders>
              <w:left w:val="single" w:sz="8" w:color="auto"/>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September 2019</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High Pressure High Temperature Drilling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Shell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March 2017</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Heavy Duty Wireline Fishing</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Shell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May 2012</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Tubular Running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CNOOC Petroleum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May 2012</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Drilling Rental Tools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CNOOC Petroleum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May 2012</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Fishing and Re-Entry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CNOOC Petroleum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December 2011</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Sand Control, PDMS and Liner Hanger</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CNOOC Petroleum U.K.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July 2009</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Completion Equipment and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BP Exploration Operating Company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June 2010</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Tubular Running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BP Exploration Operating Company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November 2015</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Casing and Tubular Running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Apache North Sea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378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25 September 2016</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Drilling Jar and Accelerator Rental Tools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Apache North Sea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202"/>
        </w:trPr>
        <w:tc>
          <w:tcPr>
            <w:tcW w:w="1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1</w:t>
            </w:r>
          </w:p>
        </w:tc>
        <w:tc>
          <w:tcPr>
            <w:tcW w:w="36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August 2016</w:t>
            </w:r>
          </w:p>
        </w:tc>
        <w:tc>
          <w:tcPr>
            <w:tcW w:w="37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Weatherford U.K. Limited</w:t>
            </w:r>
          </w:p>
        </w:tc>
        <w:tc>
          <w:tcPr>
            <w:tcW w:w="37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Liner Hanger Systems and Associated Services</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Apache North Sea Limited</w:t>
            </w:r>
          </w:p>
        </w:tc>
        <w:tc>
          <w:tcPr>
            <w:tcW w:w="3720" w:type="dxa"/>
            <w:vAlign w:val="bottom"/>
            <w:tcBorders>
              <w:bottom w:val="single" w:sz="8" w:color="auto"/>
              <w:right w:val="single" w:sz="8" w:color="auto"/>
            </w:tcBorders>
          </w:tcPr>
          <w:p>
            <w:pPr>
              <w:spacing w:after="0"/>
              <w:rPr>
                <w:sz w:val="20"/>
                <w:szCs w:val="20"/>
                <w:color w:val="auto"/>
              </w:rPr>
            </w:pPr>
          </w:p>
        </w:tc>
      </w:tr>
      <w:tr>
        <w:trPr>
          <w:trHeight w:val="493"/>
        </w:trPr>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49" w:name="page550"/>
    <w:bookmarkEnd w:id="549"/>
    <w:p>
      <w:pPr>
        <w:jc w:val="center"/>
        <w:ind w:right="19"/>
        <w:spacing w:after="0"/>
        <w:rPr>
          <w:sz w:val="20"/>
          <w:szCs w:val="20"/>
          <w:color w:val="auto"/>
        </w:rPr>
      </w:pPr>
      <w:r>
        <w:rPr>
          <w:rFonts w:ascii="Arial" w:cs="Arial" w:eastAsia="Arial" w:hAnsi="Arial"/>
          <w:sz w:val="22"/>
          <w:szCs w:val="22"/>
          <w:b w:val="1"/>
          <w:bCs w:val="1"/>
          <w:color w:val="auto"/>
        </w:rPr>
        <w:t>SCHEDULE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INSURANCE POLICIES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774065</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550" w:name="page551"/>
    <w:bookmarkEnd w:id="550"/>
    <w:p>
      <w:pPr>
        <w:jc w:val="center"/>
        <w:spacing w:after="0"/>
        <w:rPr>
          <w:sz w:val="20"/>
          <w:szCs w:val="20"/>
          <w:color w:val="auto"/>
        </w:rPr>
      </w:pPr>
      <w:r>
        <w:rPr>
          <w:rFonts w:ascii="Arial" w:cs="Arial" w:eastAsia="Arial" w:hAnsi="Arial"/>
          <w:sz w:val="22"/>
          <w:szCs w:val="22"/>
          <w:b w:val="1"/>
          <w:bCs w:val="1"/>
          <w:color w:val="auto"/>
        </w:rPr>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OF BANK ACCOUNTS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FORM OF NOTICE OF CHARGE FOR GENERAL BANK ACCOUNTS</w:t>
      </w:r>
    </w:p>
    <w:p>
      <w:pPr>
        <w:spacing w:after="0" w:line="200" w:lineRule="exact"/>
        <w:rPr>
          <w:sz w:val="20"/>
          <w:szCs w:val="20"/>
          <w:color w:val="auto"/>
        </w:rPr>
      </w:pPr>
    </w:p>
    <w:p>
      <w:pPr>
        <w:spacing w:after="0" w:line="303"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Name of General Account Bank</w:t>
      </w:r>
      <w:r>
        <w:rPr>
          <w:rFonts w:ascii="Arial" w:cs="Arial" w:eastAsia="Arial" w:hAnsi="Arial"/>
          <w:sz w:val="22"/>
          <w:szCs w:val="22"/>
          <w:color w:val="auto"/>
        </w:rPr>
        <w: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hereby give you irrevocable notice that we (the "</w:t>
      </w:r>
      <w:r>
        <w:rPr>
          <w:rFonts w:ascii="Arial" w:cs="Arial" w:eastAsia="Arial" w:hAnsi="Arial"/>
          <w:sz w:val="22"/>
          <w:szCs w:val="22"/>
          <w:b w:val="1"/>
          <w:bCs w:val="1"/>
          <w:color w:val="auto"/>
        </w:rPr>
        <w:t>Company</w:t>
      </w:r>
      <w:r>
        <w:rPr>
          <w:rFonts w:ascii="Arial" w:cs="Arial" w:eastAsia="Arial" w:hAnsi="Arial"/>
          <w:sz w:val="22"/>
          <w:szCs w:val="22"/>
          <w:color w:val="auto"/>
        </w:rPr>
        <w:t>") have charged to Deutsche Bank Trust Company Americas (the "</w:t>
      </w:r>
      <w:r>
        <w:rPr>
          <w:rFonts w:ascii="Arial" w:cs="Arial" w:eastAsia="Arial" w:hAnsi="Arial"/>
          <w:sz w:val="22"/>
          <w:szCs w:val="22"/>
          <w:b w:val="1"/>
          <w:bCs w:val="1"/>
          <w:color w:val="auto"/>
        </w:rPr>
        <w:t>Collateral Agent</w:t>
      </w:r>
      <w:r>
        <w:rPr>
          <w:rFonts w:ascii="Arial" w:cs="Arial" w:eastAsia="Arial" w:hAnsi="Arial"/>
          <w:sz w:val="22"/>
          <w:szCs w:val="22"/>
          <w:color w:val="auto"/>
        </w:rPr>
        <w:t>") all of our right, title, interest and benefit in, to and under account numbers [•] and [•], account name [•] (including any renewal or redesignation thereof) including all moneys standing to the credit of that account from time to time (the "</w:t>
      </w:r>
      <w:r>
        <w:rPr>
          <w:rFonts w:ascii="Arial" w:cs="Arial" w:eastAsia="Arial" w:hAnsi="Arial"/>
          <w:sz w:val="22"/>
          <w:szCs w:val="22"/>
          <w:b w:val="1"/>
          <w:bCs w:val="1"/>
          <w:color w:val="auto"/>
        </w:rPr>
        <w:t>Accounts</w:t>
      </w:r>
      <w:r>
        <w:rPr>
          <w:rFonts w:ascii="Arial" w:cs="Arial" w:eastAsia="Arial" w:hAnsi="Arial"/>
          <w:sz w:val="22"/>
          <w:szCs w:val="22"/>
          <w:color w:val="auto"/>
        </w:rPr>
        <w:t>"). This charge is subject, and without prejudice, to the charge to the Collateral Agent of all our right, title and interest in and to the monies from time to time standing to the credit of the Accounts pursuant to the ABL deed of charge and assignment dated [5] December 2019, notice of which was given to you by a notice dated [●] (the “</w:t>
      </w:r>
      <w:r>
        <w:rPr>
          <w:rFonts w:ascii="Arial" w:cs="Arial" w:eastAsia="Arial" w:hAnsi="Arial"/>
          <w:sz w:val="22"/>
          <w:szCs w:val="22"/>
          <w:b w:val="1"/>
          <w:bCs w:val="1"/>
          <w:color w:val="auto"/>
        </w:rPr>
        <w:t>ABL Deed of Charge and Assignment</w:t>
      </w:r>
      <w:r>
        <w:rPr>
          <w:rFonts w:ascii="Arial" w:cs="Arial" w:eastAsia="Arial" w:hAnsi="Arial"/>
          <w:sz w:val="22"/>
          <w:szCs w:val="22"/>
          <w:color w:val="auto"/>
        </w:rPr>
        <w:t xml:space="preserve"> </w:t>
      </w: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187" w:lineRule="exact"/>
        <w:rPr>
          <w:sz w:val="20"/>
          <w:szCs w:val="20"/>
          <w:color w:val="auto"/>
        </w:rPr>
      </w:pPr>
    </w:p>
    <w:p>
      <w:pPr>
        <w:ind w:left="640" w:hanging="632"/>
        <w:spacing w:after="0"/>
        <w:tabs>
          <w:tab w:leader="none" w:pos="6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We irrevocably authorise and instruct you:</w:t>
      </w:r>
    </w:p>
    <w:p>
      <w:pPr>
        <w:spacing w:after="0" w:line="225"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to hold all monies from time to time standing to the credit of the Accounts to the order of the Collateral Agent and to pay all or any part of those monies to the Collateral Agent (or as it may direct) promptly following receipt of written instructions from the Collateral Agent to that effect; and</w:t>
      </w:r>
    </w:p>
    <w:p>
      <w:pPr>
        <w:spacing w:after="0" w:line="183"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Company and the Accounts which the Collateral Agent may from time to time request you to provide.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We also advise you that:</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Company may make withdrawals from the Accounts and you may continue to deal with the Company until such time as the Collateral Agent shall notify you (with a copy to the Company) in writing that its permission is withdrawn;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prior written consent of the Collateral Agent .</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Please acknowledge receipt of this notice by signing the acknowledgement on the enclosed copy of this notice and returning it to the Collateral Agent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1" w:name="page552"/>
    <w:bookmarkEnd w:id="551"/>
    <w:p>
      <w:pPr>
        <w:ind w:left="5220"/>
        <w:spacing w:after="0"/>
        <w:rPr>
          <w:sz w:val="20"/>
          <w:szCs w:val="20"/>
          <w:color w:val="auto"/>
        </w:rPr>
      </w:pPr>
      <w:r>
        <w:rPr>
          <w:rFonts w:ascii="Arial" w:cs="Arial" w:eastAsia="Arial" w:hAnsi="Arial"/>
          <w:sz w:val="18"/>
          <w:szCs w:val="18"/>
          <w:b w:val="1"/>
          <w:bCs w:val="1"/>
          <w:color w:val="auto"/>
        </w:rPr>
        <w:t>Schedule</w:t>
      </w:r>
    </w:p>
    <w:p>
      <w:pPr>
        <w:sectPr>
          <w:pgSz w:w="11900" w:h="16838" w:orient="portrait"/>
          <w:cols w:equalWidth="0" w:num="1">
            <w:col w:w="10139"/>
          </w:cols>
          <w:pgMar w:left="320" w:top="125"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 Number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Sort Code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Status</w:t>
      </w:r>
    </w:p>
    <w:p>
      <w:pPr>
        <w:spacing w:after="0" w:line="61" w:lineRule="exact"/>
        <w:rPr>
          <w:sz w:val="20"/>
          <w:szCs w:val="20"/>
          <w:color w:val="auto"/>
        </w:rPr>
      </w:pPr>
    </w:p>
    <w:p>
      <w:pPr>
        <w:sectPr>
          <w:pgSz w:w="11900" w:h="16838" w:orient="portrait"/>
          <w:cols w:equalWidth="0" w:num="4">
            <w:col w:w="2080" w:space="720"/>
            <w:col w:w="2100" w:space="720"/>
            <w:col w:w="2080" w:space="720"/>
            <w:col w:w="1719"/>
          </w:cols>
          <w:pgMar w:left="320" w:top="125" w:right="1440"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blocked</w:t>
      </w:r>
    </w:p>
    <w:p>
      <w:pPr>
        <w:spacing w:after="0" w:line="222" w:lineRule="exact"/>
        <w:rPr>
          <w:sz w:val="20"/>
          <w:szCs w:val="20"/>
          <w:color w:val="auto"/>
        </w:rPr>
      </w:pPr>
    </w:p>
    <w:p>
      <w:pPr>
        <w:sectPr>
          <w:pgSz w:w="11900" w:h="16838" w:orient="portrait"/>
          <w:cols w:equalWidth="0" w:num="4">
            <w:col w:w="2080" w:space="720"/>
            <w:col w:w="2100" w:space="720"/>
            <w:col w:w="2080" w:space="720"/>
            <w:col w:w="1719"/>
          </w:cols>
          <w:pgMar w:left="320" w:top="125" w:right="1440"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Weatherford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552" w:name="page553"/>
    <w:bookmarkEnd w:id="552"/>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On copy only</w:t>
      </w:r>
      <w:r>
        <w:rPr>
          <w:rFonts w:ascii="Arial" w:cs="Arial" w:eastAsia="Arial" w:hAnsi="Arial"/>
          <w:sz w:val="19"/>
          <w:szCs w:val="19"/>
          <w:color w:val="auto"/>
        </w:rPr>
        <w:t>:]</w:t>
      </w:r>
    </w:p>
    <w:p>
      <w:pPr>
        <w:sectPr>
          <w:pgSz w:w="11900" w:h="16838" w:orient="portrait"/>
          <w:cols w:equalWidth="0" w:num="1">
            <w:col w:w="11240"/>
          </w:cols>
          <w:pgMar w:left="320" w:top="401" w:right="3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80" w:space="720"/>
            <w:col w:w="9940"/>
          </w:cols>
          <w:pgMar w:left="320" w:top="401"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880" w:space="540"/>
            <w:col w:w="9820"/>
          </w:cols>
          <w:pgMar w:left="320" w:top="401" w:right="339" w:bottom="1440" w:gutter="0" w:footer="0" w:header="0"/>
          <w:type w:val="continuous"/>
        </w:sectPr>
      </w:pPr>
    </w:p>
    <w:p>
      <w:pPr>
        <w:spacing w:after="0" w:line="3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At the request of the Collateral Agent and the Company we acknowledge receipt of a notice of charge in the terms set out above in respect of the Accounts (as described in those terms).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We confirm that we will comply with the term of that notice.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further confirm that:</w:t>
      </w:r>
    </w:p>
    <w:p>
      <w:pPr>
        <w:spacing w:after="0" w:line="227" w:lineRule="exact"/>
        <w:rPr>
          <w:sz w:val="20"/>
          <w:szCs w:val="20"/>
          <w:color w:val="auto"/>
        </w:rPr>
      </w:pPr>
    </w:p>
    <w:p>
      <w:pPr>
        <w:jc w:val="both"/>
        <w:ind w:left="660" w:hanging="652"/>
        <w:spacing w:after="0" w:line="263" w:lineRule="auto"/>
        <w:tabs>
          <w:tab w:leader="none" w:pos="66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balance standing to the Accounts at today's date is [•], no fees or periodic charges are payable in respect of the Accounts and there are no restrictions on the payment of the credit balance on the Accounts (except, in the case of a time deposit, the expiry of the relevant period) or on the assignment of the Accounts to the Collateral Agent or any third party;</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except for the ABL Deed of Charge and Assignment Notice, we have not received notice of any previous assignments of, charges or other security interests over, or trusts in respect of, any of the rights, title, interests or benefits in, to, under or in respect of the Accounts;</w:t>
      </w:r>
    </w:p>
    <w:p>
      <w:pPr>
        <w:spacing w:after="0" w:line="146" w:lineRule="exact"/>
        <w:rPr>
          <w:rFonts w:ascii="Arial" w:cs="Arial" w:eastAsia="Arial" w:hAnsi="Arial"/>
          <w:sz w:val="17"/>
          <w:szCs w:val="17"/>
          <w:color w:val="auto"/>
        </w:rPr>
      </w:pPr>
    </w:p>
    <w:p>
      <w:pPr>
        <w:ind w:left="660" w:right="20" w:hanging="652"/>
        <w:spacing w:after="0" w:line="223" w:lineRule="exact"/>
        <w:tabs>
          <w:tab w:leader="none" w:pos="66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we will not, save with the Collateral Agent 's prior written consent, exercise any right of combination, consolidation or set</w:t>
      </w:r>
      <w:r>
        <w:rPr>
          <w:rFonts w:ascii="MS PGothic" w:cs="MS PGothic" w:eastAsia="MS PGothic" w:hAnsi="MS PGothic"/>
          <w:sz w:val="18"/>
          <w:szCs w:val="18"/>
          <w:color w:val="auto"/>
        </w:rPr>
        <w:t>‑</w:t>
      </w:r>
      <w:r>
        <w:rPr>
          <w:rFonts w:ascii="Arial" w:cs="Arial" w:eastAsia="Arial" w:hAnsi="Arial"/>
          <w:sz w:val="18"/>
          <w:szCs w:val="18"/>
          <w:color w:val="auto"/>
        </w:rPr>
        <w:t>off which we may have in respect of the Accounts; and</w:t>
      </w:r>
    </w:p>
    <w:p>
      <w:pPr>
        <w:spacing w:after="0" w:line="202"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after receipt of the notification referred to in paragraph 2(a) of the notice above, we will act only in accordance with the instructions given by persons authorised by the Collateral Agent and we shall send all statements and other notices given by us relating to the Accounts to the Collateral Agent .</w:t>
      </w:r>
    </w:p>
    <w:p>
      <w:pPr>
        <w:spacing w:after="0" w:line="190"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For and on behalf of [</w:t>
      </w:r>
      <w:r>
        <w:rPr>
          <w:rFonts w:ascii="Arial" w:cs="Arial" w:eastAsia="Arial" w:hAnsi="Arial"/>
          <w:sz w:val="22"/>
          <w:szCs w:val="22"/>
          <w:i w:val="1"/>
          <w:iCs w:val="1"/>
          <w:color w:val="auto"/>
        </w:rPr>
        <w:t>name of account</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holding bank</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33"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553" w:name="page554"/>
    <w:bookmarkEnd w:id="553"/>
    <w:p>
      <w:pPr>
        <w:jc w:val="center"/>
        <w:spacing w:after="0"/>
        <w:rPr>
          <w:sz w:val="20"/>
          <w:szCs w:val="20"/>
          <w:color w:val="auto"/>
        </w:rPr>
      </w:pPr>
      <w:r>
        <w:rPr>
          <w:rFonts w:ascii="Arial" w:cs="Arial" w:eastAsia="Arial" w:hAnsi="Arial"/>
          <w:sz w:val="22"/>
          <w:szCs w:val="22"/>
          <w:b w:val="1"/>
          <w:bCs w:val="1"/>
          <w:color w:val="auto"/>
        </w:rPr>
        <w:t>PART 2 – FORM OF NOTICE OF CHARGE FOR COLLECTION BANK ACCOUNTS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for Collection Bank Accounts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Barclays Bank PLC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Barclays, Level 10, 1 Churchill Place, Canary Wharf, London, E14 5HP</w:t>
      </w:r>
    </w:p>
    <w:p>
      <w:pPr>
        <w:spacing w:after="0" w:line="2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Simon Clark</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Weatherford U.K. Limited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hereby gives notice to Barclays Bank PLC (the </w:t>
      </w:r>
      <w:r>
        <w:rPr>
          <w:rFonts w:ascii="Arial" w:cs="Arial" w:eastAsia="Arial" w:hAnsi="Arial"/>
          <w:sz w:val="21"/>
          <w:szCs w:val="21"/>
          <w:b w:val="1"/>
          <w:bCs w:val="1"/>
          <w:color w:val="auto"/>
        </w:rPr>
        <w:t>Bank</w:t>
      </w:r>
      <w:r>
        <w:rPr>
          <w:rFonts w:ascii="Arial" w:cs="Arial" w:eastAsia="Arial" w:hAnsi="Arial"/>
          <w:sz w:val="21"/>
          <w:szCs w:val="21"/>
          <w:color w:val="auto"/>
        </w:rPr>
        <w:t xml:space="preserve">) that by a deed of charge and assignment dated [•] (the </w:t>
      </w:r>
      <w:r>
        <w:rPr>
          <w:rFonts w:ascii="Arial" w:cs="Arial" w:eastAsia="Arial" w:hAnsi="Arial"/>
          <w:sz w:val="21"/>
          <w:szCs w:val="21"/>
          <w:b w:val="1"/>
          <w:bCs w:val="1"/>
          <w:color w:val="auto"/>
        </w:rPr>
        <w:t>Deed</w:t>
      </w:r>
      <w:r>
        <w:rPr>
          <w:rFonts w:ascii="Arial" w:cs="Arial" w:eastAsia="Arial" w:hAnsi="Arial"/>
          <w:sz w:val="21"/>
          <w:szCs w:val="21"/>
          <w:color w:val="auto"/>
        </w:rPr>
        <w:t xml:space="preserve">), the Company charged to Wells Fargo Bank N.A., London Branch as collateral agent (the </w:t>
      </w:r>
      <w:r>
        <w:rPr>
          <w:rFonts w:ascii="Arial" w:cs="Arial" w:eastAsia="Arial" w:hAnsi="Arial"/>
          <w:sz w:val="21"/>
          <w:szCs w:val="21"/>
          <w:b w:val="1"/>
          <w:bCs w:val="1"/>
          <w:color w:val="auto"/>
        </w:rPr>
        <w:t>Collateral Agent</w:t>
      </w:r>
      <w:r>
        <w:rPr>
          <w:rFonts w:ascii="Arial" w:cs="Arial" w:eastAsia="Arial" w:hAnsi="Arial"/>
          <w:sz w:val="21"/>
          <w:szCs w:val="21"/>
          <w:color w:val="auto"/>
        </w:rPr>
        <w:t>) by way of first fixed charge all the Company’s rights, title, interest and benefit in and to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held with the Bank and all amounts standing to the credit of such account from time to time: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No. [•], sort code [•]-[•]-[•];</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Blocked Account</w:t>
      </w:r>
      <w:r>
        <w:rPr>
          <w:rFonts w:ascii="Arial" w:cs="Arial" w:eastAsia="Arial" w:hAnsi="Arial"/>
          <w:sz w:val="22"/>
          <w:szCs w:val="22"/>
          <w:color w:val="auto"/>
        </w:rPr>
        <w:t>).</w:t>
      </w:r>
    </w:p>
    <w:p>
      <w:pPr>
        <w:spacing w:after="0" w:line="293"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Please acknowledge receipt of this letter by returning a copy of the attached letter on the Bank’s headed notepaper with a receipted copy of this notice forthwith, to Wells Fargo Bank N.A., London Branch, 8</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33 King William Street, London, EC4R 9AT Attention: Portfolio Manager – [•] and to the Company at the address given above.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The attached acknowledgement letter constitutes our irrevocable instruction to you. Without prejudice to the generality thereof, we hereby acknowledge the provisions of the acknowledgement letter in its entirety and agree in your favour to be bound by the limitations on your responsibility under paragraph (i) of the acknowledgment letter, in each case as if we had signed it in your favour.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Weatherford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54" w:name="page555"/>
    <w:bookmarkEnd w:id="554"/>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 BE PRINTED ON RELEVANT BARCLAYS ENTITY LETTERHEAD</w:t>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 London Branch</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33 King William Street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London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EC4R 9AT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Chargee</w:t>
      </w:r>
      <w:r>
        <w:rPr>
          <w:rFonts w:ascii="Arial" w:cs="Arial" w:eastAsia="Arial" w:hAnsi="Arial"/>
          <w:sz w:val="22"/>
          <w:szCs w:val="22"/>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Weatherford U.K.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Gotham Road, East Leake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Loughborough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Leicestershire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LE12 6JX</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Chargor</w:t>
      </w:r>
      <w:r>
        <w:rPr>
          <w:rFonts w:ascii="Arial" w:cs="Arial" w:eastAsia="Arial" w:hAnsi="Arial"/>
          <w:sz w:val="22"/>
          <w:szCs w:val="22"/>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Dear All</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Notice of charge dated …………………20[XX] (the “</w:t>
      </w:r>
      <w:r>
        <w:rPr>
          <w:rFonts w:ascii="Arial" w:cs="Arial" w:eastAsia="Arial" w:hAnsi="Arial"/>
          <w:sz w:val="21"/>
          <w:szCs w:val="21"/>
          <w:b w:val="1"/>
          <w:bCs w:val="1"/>
          <w:u w:val="single" w:color="auto"/>
          <w:color w:val="auto"/>
        </w:rPr>
        <w:t>Notice</w:t>
      </w:r>
      <w:r>
        <w:rPr>
          <w:rFonts w:ascii="Arial" w:cs="Arial" w:eastAsia="Arial" w:hAnsi="Arial"/>
          <w:sz w:val="21"/>
          <w:szCs w:val="21"/>
          <w:u w:val="single" w:color="auto"/>
          <w:color w:val="auto"/>
        </w:rPr>
        <w:t>”) relating to the creation of security interest by the Chargor in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favour of the Chargee in respect of the account as set out in the Notice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We refer to the Notice relating to the account, details of which are set out below (the “</w:t>
      </w:r>
      <w:r>
        <w:rPr>
          <w:rFonts w:ascii="Arial" w:cs="Arial" w:eastAsia="Arial" w:hAnsi="Arial"/>
          <w:sz w:val="22"/>
          <w:szCs w:val="22"/>
          <w:b w:val="1"/>
          <w:bCs w:val="1"/>
          <w:color w:val="auto"/>
        </w:rPr>
        <w:t>Account</w:t>
      </w:r>
      <w:r>
        <w:rPr>
          <w:rFonts w:ascii="Arial" w:cs="Arial" w:eastAsia="Arial" w:hAnsi="Arial"/>
          <w:sz w:val="22"/>
          <w:szCs w:val="22"/>
          <w:color w:val="auto"/>
        </w:rPr>
        <w:t>”):</w:t>
      </w:r>
      <w:r>
        <w:rPr>
          <w:rFonts w:ascii="Arial" w:cs="Arial" w:eastAsia="Arial" w:hAnsi="Arial"/>
          <w:sz w:val="35"/>
          <w:szCs w:val="35"/>
          <w:color w:val="auto"/>
          <w:vertAlign w:val="superscript"/>
        </w:rPr>
        <w:t>27</w:t>
      </w:r>
    </w:p>
    <w:tbl>
      <w:tblPr>
        <w:tblLayout w:type="fixed"/>
        <w:tblInd w:w="0" w:type="dxa"/>
        <w:tblCellMar>
          <w:top w:w="0" w:type="dxa"/>
          <w:left w:w="0" w:type="dxa"/>
          <w:bottom w:w="0" w:type="dxa"/>
          <w:right w:w="0" w:type="dxa"/>
        </w:tblCellMar>
      </w:tblPr>
      <w:tr>
        <w:trPr>
          <w:trHeight w:val="270"/>
        </w:trPr>
        <w:tc>
          <w:tcPr>
            <w:tcW w:w="20" w:type="dxa"/>
            <w:vAlign w:val="bottom"/>
            <w:tcBorders>
              <w:top w:val="single" w:sz="8" w:color="auto"/>
              <w:bottom w:val="single" w:sz="8" w:color="auto"/>
            </w:tcBorders>
            <w:shd w:val="clear" w:color="auto" w:fill="000000"/>
          </w:tcPr>
          <w:p>
            <w:pPr>
              <w:spacing w:after="0"/>
              <w:rPr>
                <w:sz w:val="23"/>
                <w:szCs w:val="23"/>
                <w:color w:val="auto"/>
              </w:rPr>
            </w:pPr>
          </w:p>
        </w:tc>
        <w:tc>
          <w:tcPr>
            <w:tcW w:w="40" w:type="dxa"/>
            <w:vAlign w:val="bottom"/>
            <w:tcBorders>
              <w:top w:val="single" w:sz="8" w:color="auto"/>
              <w:bottom w:val="single" w:sz="8" w:color="auto"/>
              <w:right w:val="single" w:sz="8" w:color="auto"/>
            </w:tcBorders>
          </w:tcPr>
          <w:p>
            <w:pPr>
              <w:spacing w:after="0"/>
              <w:rPr>
                <w:sz w:val="23"/>
                <w:szCs w:val="23"/>
                <w:color w:val="auto"/>
              </w:rPr>
            </w:pPr>
          </w:p>
        </w:tc>
        <w:tc>
          <w:tcPr>
            <w:tcW w:w="3740" w:type="dxa"/>
            <w:vAlign w:val="bottom"/>
            <w:tcBorders>
              <w:top w:val="single" w:sz="8" w:color="auto"/>
              <w:bottom w:val="single" w:sz="8" w:color="auto"/>
              <w:right w:val="single" w:sz="8" w:color="auto"/>
            </w:tcBorders>
            <w:shd w:val="clear" w:color="auto" w:fill="A6A6A6"/>
          </w:tcPr>
          <w:p>
            <w:pPr>
              <w:spacing w:after="0"/>
              <w:rPr>
                <w:sz w:val="20"/>
                <w:szCs w:val="20"/>
                <w:color w:val="auto"/>
              </w:rPr>
            </w:pPr>
            <w:r>
              <w:rPr>
                <w:rFonts w:ascii="Arial" w:cs="Arial" w:eastAsia="Arial" w:hAnsi="Arial"/>
                <w:sz w:val="18"/>
                <w:szCs w:val="18"/>
                <w:b w:val="1"/>
                <w:bCs w:val="1"/>
                <w:color w:val="auto"/>
              </w:rPr>
              <w:t>ACCOUNT HOLDER</w:t>
            </w:r>
          </w:p>
        </w:tc>
        <w:tc>
          <w:tcPr>
            <w:tcW w:w="3720" w:type="dxa"/>
            <w:vAlign w:val="bottom"/>
            <w:tcBorders>
              <w:top w:val="single" w:sz="8" w:color="auto"/>
              <w:bottom w:val="single" w:sz="8" w:color="auto"/>
              <w:right w:val="single" w:sz="8" w:color="auto"/>
            </w:tcBorders>
            <w:shd w:val="clear" w:color="auto" w:fill="A6A6A6"/>
          </w:tcPr>
          <w:p>
            <w:pPr>
              <w:spacing w:after="0"/>
              <w:rPr>
                <w:sz w:val="20"/>
                <w:szCs w:val="20"/>
                <w:color w:val="auto"/>
              </w:rPr>
            </w:pPr>
            <w:r>
              <w:rPr>
                <w:rFonts w:ascii="Arial" w:cs="Arial" w:eastAsia="Arial" w:hAnsi="Arial"/>
                <w:sz w:val="18"/>
                <w:szCs w:val="18"/>
                <w:b w:val="1"/>
                <w:bCs w:val="1"/>
                <w:color w:val="auto"/>
              </w:rPr>
              <w:t>ACCOUNT NUMBER</w:t>
            </w:r>
          </w:p>
        </w:tc>
        <w:tc>
          <w:tcPr>
            <w:tcW w:w="3720" w:type="dxa"/>
            <w:vAlign w:val="bottom"/>
            <w:tcBorders>
              <w:top w:val="single" w:sz="8" w:color="auto"/>
              <w:bottom w:val="single" w:sz="8" w:color="auto"/>
              <w:right w:val="single" w:sz="8" w:color="auto"/>
            </w:tcBorders>
            <w:shd w:val="clear" w:color="auto" w:fill="A6A6A6"/>
          </w:tcPr>
          <w:p>
            <w:pPr>
              <w:spacing w:after="0"/>
              <w:rPr>
                <w:sz w:val="20"/>
                <w:szCs w:val="20"/>
                <w:color w:val="auto"/>
              </w:rPr>
            </w:pPr>
            <w:r>
              <w:rPr>
                <w:rFonts w:ascii="Arial" w:cs="Arial" w:eastAsia="Arial" w:hAnsi="Arial"/>
                <w:sz w:val="18"/>
                <w:szCs w:val="18"/>
                <w:b w:val="1"/>
                <w:bCs w:val="1"/>
                <w:color w:val="auto"/>
              </w:rPr>
              <w:t>SORT CODE</w:t>
            </w: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top w:val="single" w:sz="8" w:color="A6A6A6"/>
              <w:bottom w:val="single" w:sz="8" w:color="auto"/>
              <w:right w:val="single" w:sz="8" w:color="auto"/>
            </w:tcBorders>
          </w:tcPr>
          <w:p>
            <w:pPr>
              <w:spacing w:after="0" w:line="20" w:lineRule="exact"/>
              <w:rPr>
                <w:sz w:val="1"/>
                <w:szCs w:val="1"/>
                <w:color w:val="auto"/>
              </w:rPr>
            </w:pPr>
          </w:p>
        </w:tc>
        <w:tc>
          <w:tcPr>
            <w:tcW w:w="3720" w:type="dxa"/>
            <w:vAlign w:val="bottom"/>
            <w:tcBorders>
              <w:top w:val="single" w:sz="8" w:color="A6A6A6"/>
              <w:bottom w:val="single" w:sz="8" w:color="auto"/>
              <w:right w:val="single" w:sz="8" w:color="auto"/>
            </w:tcBorders>
          </w:tcPr>
          <w:p>
            <w:pPr>
              <w:spacing w:after="0" w:line="20" w:lineRule="exact"/>
              <w:rPr>
                <w:sz w:val="1"/>
                <w:szCs w:val="1"/>
                <w:color w:val="auto"/>
              </w:rPr>
            </w:pPr>
          </w:p>
        </w:tc>
        <w:tc>
          <w:tcPr>
            <w:tcW w:w="3720" w:type="dxa"/>
            <w:vAlign w:val="bottom"/>
            <w:tcBorders>
              <w:top w:val="single" w:sz="8" w:color="A6A6A6"/>
              <w:bottom w:val="single" w:sz="8" w:color="auto"/>
              <w:right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We confirm that:</w:t>
      </w:r>
    </w:p>
    <w:p>
      <w:pPr>
        <w:spacing w:after="0" w:line="119" w:lineRule="exact"/>
        <w:rPr>
          <w:sz w:val="20"/>
          <w:szCs w:val="20"/>
          <w:color w:val="auto"/>
        </w:rPr>
      </w:pPr>
    </w:p>
    <w:p>
      <w:pPr>
        <w:jc w:val="both"/>
        <w:ind w:left="660" w:hanging="328"/>
        <w:spacing w:after="0" w:line="279" w:lineRule="auto"/>
        <w:tabs>
          <w:tab w:leader="none" w:pos="6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we will block the Account and not permit any further withdrawals by the Chargor unless and until we receive and acknowledge a notice from the Chargee informing us otherwise. Please note that we will not be able to permit withdrawals from the Account in accordance with the instructions of the Chargee unless and until it has provided a list of authorised signatories confirming which persons have authority on behalf of the Chargee to operate the Account and the Account will remain blocked and non-operational until that time;</w:t>
      </w:r>
    </w:p>
    <w:p>
      <w:pPr>
        <w:spacing w:after="0" w:line="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to the best of our knowledge and belief the business team responsible for the Account has not, as at the date of this acknowledgement, received any notice that any third party has any right or interest whatsoever in or has made any claim or demand or taking any action whatsoever against the Account and / or the debts represented thereby, or any part of any of it or them; and</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we are not, in priority to the Chargee, entitled to combine the Account with any other account or to exercise any right of set-off or counterclaim against money in the Account in respect of any sum owed to us provided that, notwithstanding any term of the Notice:</w:t>
      </w:r>
    </w:p>
    <w:p>
      <w:pPr>
        <w:spacing w:after="0" w:line="62"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12"/>
        </w:numPr>
        <w:rPr>
          <w:rFonts w:ascii="Arial" w:cs="Arial" w:eastAsia="Arial" w:hAnsi="Arial"/>
          <w:sz w:val="16"/>
          <w:szCs w:val="16"/>
          <w:color w:val="auto"/>
        </w:rPr>
      </w:pPr>
      <w:r>
        <w:rPr>
          <w:rFonts w:ascii="Arial" w:cs="Arial" w:eastAsia="Arial" w:hAnsi="Arial"/>
          <w:sz w:val="16"/>
          <w:szCs w:val="16"/>
          <w:color w:val="auto"/>
        </w:rPr>
        <w:t>we shall be entitled at any time to deduct from the Account any amounts to satisfy any of our or the Chargor’s obligations and / or liabilities incurred under the direct debit scheme or in respect of other unpaid sums in relation to cheques and payment reversals;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our agreement in this Acknowledgement not to exercise any right of combination of accounts, set-off or lien over any monies standing to the credit of the Account in priority to the Chargee, shall not apply in relation to our standard bank charges and fees and any cash pooling arrangements provided to the Chargor;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we will disclose to the Chargee any information relating the Account which the Chargee may from time to time request us to provide.</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We do not confirm or agree to any of the other matters set out in the Notice.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Our acknowledgement of the Notice is subject to the following conditions:</w:t>
      </w:r>
    </w:p>
    <w:p>
      <w:pPr>
        <w:spacing w:after="0" w:line="119" w:lineRule="exact"/>
        <w:rPr>
          <w:sz w:val="20"/>
          <w:szCs w:val="20"/>
          <w:color w:val="auto"/>
        </w:rPr>
      </w:pPr>
    </w:p>
    <w:p>
      <w:pPr>
        <w:jc w:val="both"/>
        <w:ind w:left="660" w:hanging="328"/>
        <w:spacing w:after="0" w:line="263" w:lineRule="auto"/>
        <w:tabs>
          <w:tab w:leader="none" w:pos="66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we shall not be bound to enquire whether the right of any person (including, but not limited to, the Chargee) to withdraw any monies from the Account has arisen or be concerned with (A) the propriety or regularity of the exercise of that right or (B) be responsible for the application of any monies received by such person (including, but not limited to, the Chargee);</w:t>
      </w:r>
    </w:p>
    <w:p>
      <w:pPr>
        <w:spacing w:after="0" w:line="34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13"/>
        </w:numPr>
        <w:rPr>
          <w:rFonts w:ascii="Arial" w:cs="Arial" w:eastAsia="Arial" w:hAnsi="Arial"/>
          <w:sz w:val="17"/>
          <w:szCs w:val="17"/>
          <w:color w:val="auto"/>
        </w:rPr>
      </w:pPr>
      <w:r>
        <w:rPr>
          <w:rFonts w:ascii="Arial" w:cs="Arial" w:eastAsia="Arial" w:hAnsi="Arial"/>
          <w:sz w:val="17"/>
          <w:szCs w:val="17"/>
          <w:color w:val="auto"/>
        </w:rPr>
        <w:t>we shall have no liability to the Chargee relating to the Account whatsoever, including, without limitation, for having acted on instructions of the Chargee which on their face appear to be genuine, which comply with the terms of this notice and which otherwise comply with the Chargee’s latest list of signatories held by us or relevant electronic banking system procedures in the case of an electronic instruction, and</w:t>
      </w:r>
    </w:p>
    <w:p>
      <w:pPr>
        <w:sectPr>
          <w:pgSz w:w="11900" w:h="16838" w:orient="portrait"/>
          <w:cols w:equalWidth="0" w:num="1">
            <w:col w:w="11240"/>
          </w:cols>
          <w:pgMar w:left="320" w:top="131" w:right="339" w:bottom="8" w:gutter="0" w:footer="0" w:header="0"/>
        </w:sectPr>
      </w:pPr>
    </w:p>
    <w:p>
      <w:pPr>
        <w:spacing w:after="0" w:line="327" w:lineRule="exact"/>
        <w:rPr>
          <w:sz w:val="20"/>
          <w:szCs w:val="20"/>
          <w:color w:val="auto"/>
        </w:rPr>
      </w:pPr>
    </w:p>
    <w:p>
      <w:pPr>
        <w:ind w:left="660" w:hanging="328"/>
        <w:spacing w:after="0"/>
        <w:tabs>
          <w:tab w:leader="none" w:pos="660" w:val="left"/>
        </w:tabs>
        <w:numPr>
          <w:ilvl w:val="0"/>
          <w:numId w:val="614"/>
        </w:numPr>
        <w:rPr>
          <w:rFonts w:ascii="Arial" w:cs="Arial" w:eastAsia="Arial" w:hAnsi="Arial"/>
          <w:sz w:val="16"/>
          <w:szCs w:val="16"/>
          <w:color w:val="auto"/>
        </w:rPr>
      </w:pPr>
      <w:r>
        <w:rPr>
          <w:rFonts w:ascii="Arial" w:cs="Arial" w:eastAsia="Arial" w:hAnsi="Arial"/>
          <w:sz w:val="16"/>
          <w:szCs w:val="16"/>
          <w:color w:val="auto"/>
        </w:rPr>
        <w:t>we shall not be deemed to be a trustee for the Chargor or the Chargee of the Account.</w:t>
      </w:r>
    </w:p>
    <w:p>
      <w:pPr>
        <w:sectPr>
          <w:pgSz w:w="11900" w:h="16838" w:orient="portrait"/>
          <w:cols w:equalWidth="0" w:num="1">
            <w:col w:w="11240"/>
          </w:cols>
          <w:pgMar w:left="320" w:top="131" w:right="339" w:bottom="8" w:gutter="0" w:footer="0" w:header="0"/>
          <w:type w:val="continuous"/>
        </w:sectPr>
      </w:pPr>
    </w:p>
    <w:bookmarkStart w:id="555" w:name="page556"/>
    <w:bookmarkEnd w:id="555"/>
    <w:p>
      <w:pPr>
        <w:spacing w:after="0" w:line="276" w:lineRule="auto"/>
        <w:rPr>
          <w:sz w:val="20"/>
          <w:szCs w:val="20"/>
          <w:color w:val="auto"/>
        </w:rPr>
      </w:pPr>
      <w:r>
        <w:rPr>
          <w:rFonts w:ascii="Arial" w:cs="Arial" w:eastAsia="Arial" w:hAnsi="Arial"/>
          <w:sz w:val="22"/>
          <w:szCs w:val="22"/>
          <w:color w:val="auto"/>
        </w:rPr>
        <w:t>This letter and any non-contractual obligations arising out of or in connection with this letter are governed by the laws of England and Wales.</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Position: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Barclays Bank PLC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838835</wp:posOffset>
            </wp:positionV>
            <wp:extent cx="16459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hanging="232"/>
        <w:spacing w:after="0"/>
        <w:tabs>
          <w:tab w:leader="none" w:pos="240" w:val="left"/>
        </w:tabs>
        <w:numPr>
          <w:ilvl w:val="0"/>
          <w:numId w:val="615"/>
        </w:numPr>
        <w:rPr>
          <w:rFonts w:ascii="Arial" w:cs="Arial" w:eastAsia="Arial" w:hAnsi="Arial"/>
          <w:sz w:val="31"/>
          <w:szCs w:val="31"/>
          <w:color w:val="auto"/>
          <w:vertAlign w:val="superscript"/>
        </w:rPr>
      </w:pPr>
      <w:r>
        <w:rPr>
          <w:rFonts w:ascii="Arial" w:cs="Arial" w:eastAsia="Arial" w:hAnsi="Arial"/>
          <w:sz w:val="19"/>
          <w:szCs w:val="19"/>
          <w:color w:val="auto"/>
        </w:rPr>
        <w:t>Only include account details where these were also included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6" w:name="page557"/>
    <w:bookmarkEnd w:id="556"/>
    <w:p>
      <w:pPr>
        <w:jc w:val="center"/>
        <w:spacing w:after="0"/>
        <w:rPr>
          <w:sz w:val="20"/>
          <w:szCs w:val="20"/>
          <w:color w:val="auto"/>
        </w:rPr>
      </w:pPr>
      <w:r>
        <w:rPr>
          <w:rFonts w:ascii="Arial" w:cs="Arial" w:eastAsia="Arial" w:hAnsi="Arial"/>
          <w:sz w:val="22"/>
          <w:szCs w:val="22"/>
          <w:b w:val="1"/>
          <w:bCs w:val="1"/>
          <w:color w:val="auto"/>
        </w:rPr>
        <w:t>SCHEDULE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OF ASSIGNED AGREEMENTS</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Insert name and address of relevant party</w:t>
      </w:r>
      <w:r>
        <w:rPr>
          <w:rFonts w:ascii="Arial" w:cs="Arial" w:eastAsia="Arial" w:hAnsi="Arial"/>
          <w:sz w:val="22"/>
          <w:szCs w:val="22"/>
          <w:color w:val="auto"/>
        </w:rPr>
        <w: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w:t>
      </w:r>
      <w:r>
        <w:rPr>
          <w:rFonts w:ascii="Arial" w:cs="Arial" w:eastAsia="Arial" w:hAnsi="Arial"/>
          <w:sz w:val="22"/>
          <w:szCs w:val="22"/>
          <w:b w:val="1"/>
          <w:bCs w:val="1"/>
          <w:i w:val="1"/>
          <w:iCs w:val="1"/>
          <w:color w:val="auto"/>
        </w:rPr>
        <w:t>describe assigned agreement</w:t>
      </w:r>
      <w:r>
        <w:rPr>
          <w:rFonts w:ascii="Arial" w:cs="Arial" w:eastAsia="Arial" w:hAnsi="Arial"/>
          <w:sz w:val="22"/>
          <w:szCs w:val="22"/>
          <w:b w:val="1"/>
          <w:bCs w:val="1"/>
          <w:color w:val="auto"/>
        </w:rPr>
        <w:t xml:space="preserve">] dated </w:t>
      </w:r>
      <w:r>
        <w:rPr>
          <w:rFonts w:ascii="Arial" w:cs="Arial" w:eastAsia="Arial" w:hAnsi="Arial"/>
          <w:sz w:val="22"/>
          <w:szCs w:val="22"/>
          <w:color w:val="auto"/>
        </w:rPr>
        <w:t>[●]</w:t>
      </w:r>
      <w:r>
        <w:rPr>
          <w:rFonts w:ascii="Arial" w:cs="Arial" w:eastAsia="Arial" w:hAnsi="Arial"/>
          <w:sz w:val="22"/>
          <w:szCs w:val="22"/>
          <w:b w:val="1"/>
          <w:bCs w:val="1"/>
          <w:color w:val="auto"/>
        </w:rPr>
        <w:t xml:space="preserve"> between you and Weatherford U.K. Limited (the "Company")</w:t>
      </w:r>
    </w:p>
    <w:p>
      <w:pPr>
        <w:spacing w:after="0" w:line="229" w:lineRule="exact"/>
        <w:rPr>
          <w:sz w:val="20"/>
          <w:szCs w:val="20"/>
          <w:color w:val="auto"/>
        </w:rPr>
      </w:pPr>
    </w:p>
    <w:p>
      <w:pPr>
        <w:jc w:val="both"/>
        <w:ind w:left="660" w:hanging="652"/>
        <w:spacing w:after="0" w:line="255" w:lineRule="auto"/>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 xml:space="preserve">We give notice that, by a deed of charge and assignment dated [●] (the </w:t>
      </w:r>
      <w:r>
        <w:rPr>
          <w:rFonts w:ascii="Arial" w:cs="Arial" w:eastAsia="Arial" w:hAnsi="Arial"/>
          <w:sz w:val="18"/>
          <w:szCs w:val="18"/>
          <w:b w:val="1"/>
          <w:bCs w:val="1"/>
          <w:color w:val="auto"/>
        </w:rPr>
        <w:t>"Deed"</w:t>
      </w:r>
      <w:r>
        <w:rPr>
          <w:rFonts w:ascii="Arial" w:cs="Arial" w:eastAsia="Arial" w:hAnsi="Arial"/>
          <w:sz w:val="18"/>
          <w:szCs w:val="18"/>
          <w:color w:val="auto"/>
        </w:rPr>
        <w:t xml:space="preserve">), we have assigned to Deutsche Bank Trust Company Americas (the </w:t>
      </w:r>
      <w:r>
        <w:rPr>
          <w:rFonts w:ascii="Arial" w:cs="Arial" w:eastAsia="Arial" w:hAnsi="Arial"/>
          <w:sz w:val="18"/>
          <w:szCs w:val="18"/>
          <w:b w:val="1"/>
          <w:bCs w:val="1"/>
          <w:color w:val="auto"/>
        </w:rPr>
        <w:t>"Collateral Agent"</w:t>
      </w:r>
      <w:r>
        <w:rPr>
          <w:rFonts w:ascii="Arial" w:cs="Arial" w:eastAsia="Arial" w:hAnsi="Arial"/>
          <w:sz w:val="18"/>
          <w:szCs w:val="18"/>
          <w:color w:val="auto"/>
        </w:rPr>
        <w:t>) as Collateral Agent for certain banks and others all our present and future right, title and interest in and to [</w:t>
      </w:r>
      <w:r>
        <w:rPr>
          <w:rFonts w:ascii="Arial" w:cs="Arial" w:eastAsia="Arial" w:hAnsi="Arial"/>
          <w:sz w:val="18"/>
          <w:szCs w:val="18"/>
          <w:i w:val="1"/>
          <w:iCs w:val="1"/>
          <w:color w:val="auto"/>
        </w:rPr>
        <w:t>insert details</w:t>
      </w:r>
      <w:r>
        <w:rPr>
          <w:rFonts w:ascii="Arial" w:cs="Arial" w:eastAsia="Arial" w:hAnsi="Arial"/>
          <w:sz w:val="18"/>
          <w:szCs w:val="18"/>
          <w:color w:val="auto"/>
        </w:rPr>
        <w:t xml:space="preserve"> </w:t>
      </w:r>
      <w:r>
        <w:rPr>
          <w:rFonts w:ascii="Arial" w:cs="Arial" w:eastAsia="Arial" w:hAnsi="Arial"/>
          <w:sz w:val="18"/>
          <w:szCs w:val="18"/>
          <w:i w:val="1"/>
          <w:iCs w:val="1"/>
          <w:color w:val="auto"/>
        </w:rPr>
        <w:t>of Assigned Agreement</w:t>
      </w:r>
      <w:r>
        <w:rPr>
          <w:rFonts w:ascii="Arial" w:cs="Arial" w:eastAsia="Arial" w:hAnsi="Arial"/>
          <w:sz w:val="18"/>
          <w:szCs w:val="18"/>
          <w:color w:val="auto"/>
        </w:rPr>
        <w:t>] (together with any other agreement supplementing or amending the same,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including all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in connection with the Agreement and all proceeds and claims arising from the Agreement. This charge and assignment is subject, and without prejudice, to the charge and assignment to the Collateral Agent of all our right, title and interest in the Agreement pursuant to the ABL deed of charge and assignment dated [5] December 2019, notice of which was given to you by a notice dated [●] (the “</w:t>
      </w:r>
      <w:r>
        <w:rPr>
          <w:rFonts w:ascii="Arial" w:cs="Arial" w:eastAsia="Arial" w:hAnsi="Arial"/>
          <w:sz w:val="18"/>
          <w:szCs w:val="18"/>
          <w:b w:val="1"/>
          <w:bCs w:val="1"/>
          <w:color w:val="auto"/>
        </w:rPr>
        <w:t>ABL Deed of Charge and</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 Notice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an Enforcement Event (as defined in the Deed) has occurred (but not at any other time) the Company instructs you:</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to disclose to the Collateral Agent at our expense (without any reference to or further authority from us and without any enquiry by you as to the justification for such disclosure), such information relating to the Agreement as the Collateral Agent may from time to time request;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to hold all sums from time to time due and payable by you to us under the Agreement to the order of the Collateral Agent ;</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to pay or release all or any part of the sums from time to time due and payable by you to us under the Agreement only in accordance with the written instructions given to you by the Collateral Agent from time to time;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to comply with any written notice or instructions in any way relating to, or purporting to relate to, the Deed or the Agreement or the debts represented thereby which you receive at any time from the Collateral Agent without any reference to or further authority from us and without any enquiry by you as to the justification for or validity of such notice or instruction;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to send copies of all notices and other information given or received under the Agreement to the Collateral Agent .</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You may continue to deal with us in relation to the Agreement until you review a written notice from the Collateral Agent specifying that an Enforcement Event (as defined in the Deed) has occurred. Following the receipt by you of such a written notice, we are not permitted to receive from you, otherwise than through the Collateral Agent , any amount in respect of or on account of the sums payable to us from time to time under the Agreement or to agree any amendment or supplement to, or waive any obligation under, the Agreement without the prior written consent of the Collateral Agent .</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This notice may only be revoked or amended with the prior written consent of the Collateral Agent .</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Please confirm by completing the enclosed copy of this notice and returning it to the Collateral Agent (with a copy to us) that you agree to the above and that: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you accept the instructions and authorisations contained in this notice and you undertake to comply with this notice; and</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616"/>
        </w:numPr>
        <w:rPr>
          <w:rFonts w:ascii="Arial" w:cs="Arial" w:eastAsia="Arial" w:hAnsi="Arial"/>
          <w:sz w:val="17"/>
          <w:szCs w:val="17"/>
          <w:color w:val="auto"/>
        </w:rPr>
      </w:pPr>
      <w:r>
        <w:rPr>
          <w:rFonts w:ascii="Arial" w:cs="Arial" w:eastAsia="Arial" w:hAnsi="Arial"/>
          <w:sz w:val="17"/>
          <w:szCs w:val="17"/>
          <w:color w:val="auto"/>
        </w:rPr>
        <w:t>except for the ABL Deed of Charge and Assignment Notice, you have not, at the date this notice is returned to the Collateral Agent , received notice of the assignment or charge, the grant of any security or the existence of any other interest of any third party in or to the Agreement or any proceeds of it and you will notify the Collateral Agent promptly if you should do so in future.</w:t>
      </w:r>
    </w:p>
    <w:p>
      <w:pPr>
        <w:spacing w:after="0" w:line="16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This notice, and any acknowledgement in connection with it, and any non-contractual obligations arising out of or in connection with any of them, shall be governed by English law.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Weatherford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7" w:name="page558"/>
    <w:bookmarkEnd w:id="557"/>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On copy</w:t>
      </w:r>
      <w:r>
        <w:rPr>
          <w:rFonts w:ascii="Arial" w:cs="Arial" w:eastAsia="Arial" w:hAnsi="Arial"/>
          <w:sz w:val="19"/>
          <w:szCs w:val="19"/>
          <w:color w:val="auto"/>
        </w:rPr>
        <w:t>]</w:t>
      </w:r>
    </w:p>
    <w:p>
      <w:pPr>
        <w:sectPr>
          <w:pgSz w:w="11900" w:h="16838" w:orient="portrait"/>
          <w:cols w:equalWidth="0" w:num="1">
            <w:col w:w="11240"/>
          </w:cols>
          <w:pgMar w:left="320" w:top="401"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Deutsche Bank Trust Company Americas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as Collateral Agent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00" w:space="540"/>
            <w:col w:w="10400"/>
          </w:cols>
          <w:pgMar w:left="320" w:top="401"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Copy to: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Weatherford U.K. Limited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Gotham Road, East Leake,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Loughborough,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Leicestershire LE12 6JX</w:t>
      </w:r>
    </w:p>
    <w:p>
      <w:pPr>
        <w:spacing w:after="0" w:line="200" w:lineRule="exact"/>
        <w:rPr>
          <w:sz w:val="20"/>
          <w:szCs w:val="20"/>
          <w:color w:val="auto"/>
        </w:rPr>
      </w:pPr>
    </w:p>
    <w:p>
      <w:pPr>
        <w:sectPr>
          <w:pgSz w:w="11900" w:h="16838" w:orient="portrait"/>
          <w:cols w:equalWidth="0" w:num="2">
            <w:col w:w="760" w:space="220"/>
            <w:col w:w="10260"/>
          </w:cols>
          <w:pgMar w:left="320" w:top="40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We acknowledge receipt of the above notice and consent and agree to its terms. We confirm and agree to the matters set out in paragraph [5] in the above notice.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relevant party</w:t>
      </w:r>
      <w:r>
        <w:rPr>
          <w:rFonts w:ascii="Arial" w:cs="Arial" w:eastAsia="Arial" w:hAnsi="Arial"/>
          <w:sz w:val="22"/>
          <w:szCs w:val="22"/>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558" w:name="page559"/>
    <w:bookmarkEnd w:id="558"/>
    <w:p>
      <w:pPr>
        <w:jc w:val="center"/>
        <w:spacing w:after="0"/>
        <w:rPr>
          <w:sz w:val="20"/>
          <w:szCs w:val="20"/>
          <w:color w:val="auto"/>
        </w:rPr>
      </w:pPr>
      <w:r>
        <w:rPr>
          <w:rFonts w:ascii="Arial" w:cs="Arial" w:eastAsia="Arial" w:hAnsi="Arial"/>
          <w:sz w:val="22"/>
          <w:szCs w:val="22"/>
          <w:b w:val="1"/>
          <w:bCs w:val="1"/>
          <w:color w:val="auto"/>
        </w:rPr>
        <w:t>SCHEDULE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OF INSURANCE POLICIES</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insert name and address of insurance company</w:t>
      </w:r>
      <w:r>
        <w:rPr>
          <w:rFonts w:ascii="Arial" w:cs="Arial" w:eastAsia="Arial" w:hAnsi="Arial"/>
          <w:sz w:val="22"/>
          <w:szCs w:val="22"/>
          <w:color w:val="auto"/>
        </w:rPr>
        <w:t>]</w:t>
      </w:r>
    </w:p>
    <w:p>
      <w:pPr>
        <w:spacing w:after="0" w:line="233" w:lineRule="exact"/>
        <w:rPr>
          <w:sz w:val="20"/>
          <w:szCs w:val="20"/>
          <w:color w:val="auto"/>
        </w:rPr>
      </w:pPr>
    </w:p>
    <w:p>
      <w:pPr>
        <w:jc w:val="both"/>
        <w:ind w:left="9860"/>
        <w:spacing w:after="0"/>
        <w:tabs>
          <w:tab w:leader="none" w:pos="10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here identify the relevant insurance policy</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ies</w:t>
      </w:r>
      <w:r>
        <w:rPr>
          <w:rFonts w:ascii="Arial" w:cs="Arial" w:eastAsia="Arial" w:hAnsi="Arial"/>
          <w:sz w:val="22"/>
          <w:szCs w:val="22"/>
          <w:b w:val="1"/>
          <w:bCs w:val="1"/>
          <w:color w:val="auto"/>
        </w:rPr>
        <w:t>)</w:t>
      </w:r>
      <w:r>
        <w:rPr>
          <w:rFonts w:ascii="Arial" w:cs="Arial" w:eastAsia="Arial" w:hAnsi="Arial"/>
          <w:sz w:val="22"/>
          <w:szCs w:val="22"/>
          <w:color w:val="auto"/>
        </w:rPr>
        <w:t>] (the "</w:t>
      </w:r>
      <w:r>
        <w:rPr>
          <w:rFonts w:ascii="Arial" w:cs="Arial" w:eastAsia="Arial" w:hAnsi="Arial"/>
          <w:sz w:val="22"/>
          <w:szCs w:val="22"/>
          <w:b w:val="1"/>
          <w:bCs w:val="1"/>
          <w:color w:val="auto"/>
        </w:rPr>
        <w:t>Policies</w:t>
      </w:r>
      <w:r>
        <w:rPr>
          <w:rFonts w:ascii="Arial" w:cs="Arial" w:eastAsia="Arial" w:hAnsi="Arial"/>
          <w:sz w:val="22"/>
          <w:szCs w:val="22"/>
          <w:color w:val="auto"/>
        </w:rPr>
        <w:t>")</w:t>
      </w:r>
    </w:p>
    <w:p>
      <w:pPr>
        <w:spacing w:after="0" w:line="233"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We notify you that, Weatherford U.K. Limited (the "</w:t>
      </w:r>
      <w:r>
        <w:rPr>
          <w:rFonts w:ascii="Arial" w:cs="Arial" w:eastAsia="Arial" w:hAnsi="Arial"/>
          <w:sz w:val="19"/>
          <w:szCs w:val="19"/>
          <w:b w:val="1"/>
          <w:bCs w:val="1"/>
          <w:color w:val="auto"/>
        </w:rPr>
        <w:t>Company</w:t>
      </w:r>
      <w:r>
        <w:rPr>
          <w:rFonts w:ascii="Arial" w:cs="Arial" w:eastAsia="Arial" w:hAnsi="Arial"/>
          <w:sz w:val="19"/>
          <w:szCs w:val="19"/>
          <w:color w:val="auto"/>
        </w:rPr>
        <w:t>") has assigned to Deutsche Bank Trust Company Americas (the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benefit of itself and certain other banks and financial institutions (the "</w:t>
      </w:r>
      <w:r>
        <w:rPr>
          <w:rFonts w:ascii="Arial" w:cs="Arial" w:eastAsia="Arial" w:hAnsi="Arial"/>
          <w:sz w:val="19"/>
          <w:szCs w:val="19"/>
          <w:b w:val="1"/>
          <w:bCs w:val="1"/>
          <w:color w:val="auto"/>
        </w:rPr>
        <w:t>Secured Parties</w:t>
      </w:r>
      <w:r>
        <w:rPr>
          <w:rFonts w:ascii="Arial" w:cs="Arial" w:eastAsia="Arial" w:hAnsi="Arial"/>
          <w:sz w:val="19"/>
          <w:szCs w:val="19"/>
          <w:color w:val="auto"/>
        </w:rPr>
        <w:t>") all its right, title and interest in the Policies as security for certain obligations owed by the Company to the Secured Parties by way of a deed of charge and assignment dated [●] (the "</w:t>
      </w:r>
      <w:r>
        <w:rPr>
          <w:rFonts w:ascii="Arial" w:cs="Arial" w:eastAsia="Arial" w:hAnsi="Arial"/>
          <w:sz w:val="19"/>
          <w:szCs w:val="19"/>
          <w:b w:val="1"/>
          <w:bCs w:val="1"/>
          <w:color w:val="auto"/>
        </w:rPr>
        <w:t>Deed</w:t>
      </w:r>
      <w:r>
        <w:rPr>
          <w:rFonts w:ascii="Arial" w:cs="Arial" w:eastAsia="Arial" w:hAnsi="Arial"/>
          <w:sz w:val="19"/>
          <w:szCs w:val="19"/>
          <w:color w:val="auto"/>
        </w:rPr>
        <w:t>"). This assignment is subject, and without prejudice, to the assignment to the Collateral Agent of all our right, title and interest in the Policies pursuant to the ABL deed of charge and assignment dated [5] December 2019, notice of which was given to you by a notice dated [●] (the “</w:t>
      </w:r>
      <w:r>
        <w:rPr>
          <w:rFonts w:ascii="Arial" w:cs="Arial" w:eastAsia="Arial" w:hAnsi="Arial"/>
          <w:sz w:val="19"/>
          <w:szCs w:val="19"/>
          <w:b w:val="1"/>
          <w:bCs w:val="1"/>
          <w:color w:val="auto"/>
        </w:rPr>
        <w:t>ABL Deed of Charge and Assignment Notice</w:t>
      </w:r>
      <w:r>
        <w:rPr>
          <w:rFonts w:ascii="Arial" w:cs="Arial" w:eastAsia="Arial" w:hAnsi="Arial"/>
          <w:sz w:val="19"/>
          <w:szCs w:val="19"/>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We further notify you that:</w:t>
      </w:r>
    </w:p>
    <w:p>
      <w:pPr>
        <w:spacing w:after="0" w:line="227" w:lineRule="exact"/>
        <w:rPr>
          <w:sz w:val="20"/>
          <w:szCs w:val="20"/>
          <w:color w:val="auto"/>
        </w:rPr>
      </w:pPr>
    </w:p>
    <w:p>
      <w:pPr>
        <w:jc w:val="both"/>
        <w:ind w:left="660" w:hanging="652"/>
        <w:spacing w:after="0" w:line="263" w:lineRule="auto"/>
        <w:tabs>
          <w:tab w:leader="none" w:pos="6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Prior to receipt by you of a written notice from the Collateral Agent specifying that an Enforcement Event (as defined in the Deed) has occurred, the Company will continue to have the sole right to deal with you in relation to the Policies (including any amendment, waiver or termination thereof or any claims thereunder).</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 Enforcement Event has occurred (but not at any other time) the Company irrevocably authorises you:</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to pay all monies to which the Company is entitled under the Policies direct to the Collateral Agent (or as it may direct) promptly following receipt of written instructions from the Collateral Agent to that effect;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Policies which the Collateral Agent may from time to time request in writing.</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written consent of the Collateral Agent and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Please sign and return the enclosed copy of this notice to the Collateral Agent (with a copy to the Company) by way of confirmation that:</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you agree to act in accordance with the provisions of this notice;</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except for the ABL Deed of Charge and Assignment Notice, you have not previously received notice (other than notices which were subsequently irrevocably withdrawn) that the Company has assigned its rights under the Policies to a third party or created any other interest (whether by way of security or otherwise) in the Policies in favour of a third party; and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you have not claimed or exercised nor do you have any outstanding right to claim or exercise against the Company, any right of set off, counter claim or other right relating to the Policies.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provisions of this notice are governed by English law.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Weatherford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59" w:name="page560"/>
    <w:bookmarkEnd w:id="559"/>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On acknowledgement copy</w:t>
      </w:r>
      <w:r>
        <w:rPr>
          <w:rFonts w:ascii="Arial" w:cs="Arial" w:eastAsia="Arial" w:hAnsi="Arial"/>
          <w:sz w:val="19"/>
          <w:szCs w:val="19"/>
          <w:color w:val="auto"/>
        </w:rPr>
        <w:t>]</w:t>
      </w:r>
    </w:p>
    <w:p>
      <w:pPr>
        <w:sectPr>
          <w:pgSz w:w="11900" w:h="16838" w:orient="portrait"/>
          <w:cols w:equalWidth="0" w:num="1">
            <w:col w:w="10139"/>
          </w:cols>
          <w:pgMar w:left="320" w:top="401"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Deutsche Bank Trust Company Americas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as Collateral Agent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300" w:space="540"/>
            <w:col w:w="9299"/>
          </w:cols>
          <w:pgMar w:left="320" w:top="401"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Copy to: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Weatherford U.K. Limited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Gotham Road, East Leake,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Loughborough,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Leicestershire LE12 6JX</w:t>
      </w:r>
    </w:p>
    <w:p>
      <w:pPr>
        <w:spacing w:after="0" w:line="200" w:lineRule="exact"/>
        <w:rPr>
          <w:sz w:val="20"/>
          <w:szCs w:val="20"/>
          <w:color w:val="auto"/>
        </w:rPr>
      </w:pPr>
    </w:p>
    <w:p>
      <w:pPr>
        <w:sectPr>
          <w:pgSz w:w="11900" w:h="16838" w:orient="portrait"/>
          <w:cols w:equalWidth="0" w:num="2">
            <w:col w:w="760" w:space="220"/>
            <w:col w:w="9159"/>
          </w:cols>
          <w:pgMar w:left="320" w:top="401" w:right="1440"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We acknowledge receipt of the above notice and confirm the matters set out in paragraphs 4(a) to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Insert name of insurance company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1" w:right="1440" w:bottom="1440" w:gutter="0" w:footer="0" w:header="0"/>
          <w:type w:val="continuous"/>
        </w:sectPr>
      </w:pPr>
    </w:p>
    <w:bookmarkStart w:id="560" w:name="page561"/>
    <w:bookmarkEnd w:id="560"/>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EXECUTION VERSIONDATED _________________,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EURASIA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Mortgagor)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TRUST COMPANY AMERICAS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EQUITABLE SHARE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i w:val="1"/>
          <w:iCs w:val="1"/>
          <w:color w:val="auto"/>
        </w:rPr>
        <w:t>This Equitable Share Mortgage is entered into subject to the terms of the Intercreditor Agreement dated on or about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938530</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149860</wp:posOffset>
            </wp:positionV>
            <wp:extent cx="1200150" cy="50546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00150" cy="5054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1" w:name="page562"/>
    <w:bookmarkEnd w:id="561"/>
    <w:tbl>
      <w:tblPr>
        <w:tblLayout w:type="fixed"/>
        <w:tblInd w:w="0" w:type="dxa"/>
        <w:tblCellMar>
          <w:top w:w="0" w:type="dxa"/>
          <w:left w:w="0" w:type="dxa"/>
          <w:bottom w:w="0" w:type="dxa"/>
          <w:right w:w="0" w:type="dxa"/>
        </w:tblCellMar>
      </w:tblPr>
      <w:tr>
        <w:trPr>
          <w:trHeight w:val="280"/>
        </w:trPr>
        <w:tc>
          <w:tcPr>
            <w:tcW w:w="840" w:type="dxa"/>
            <w:vAlign w:val="bottom"/>
          </w:tcPr>
          <w:p>
            <w:pPr>
              <w:spacing w:after="0"/>
              <w:rPr>
                <w:sz w:val="24"/>
                <w:szCs w:val="24"/>
                <w:color w:val="auto"/>
              </w:rPr>
            </w:pPr>
          </w:p>
        </w:tc>
        <w:tc>
          <w:tcPr>
            <w:tcW w:w="8000" w:type="dxa"/>
            <w:vAlign w:val="bottom"/>
          </w:tcPr>
          <w:p>
            <w:pPr>
              <w:ind w:left="4180"/>
              <w:spacing w:after="0"/>
              <w:rPr>
                <w:sz w:val="20"/>
                <w:szCs w:val="20"/>
                <w:color w:val="auto"/>
              </w:rPr>
            </w:pPr>
            <w:r>
              <w:rPr>
                <w:rFonts w:ascii="Arial" w:cs="Arial" w:eastAsia="Arial" w:hAnsi="Arial"/>
                <w:sz w:val="22"/>
                <w:szCs w:val="22"/>
                <w:b w:val="1"/>
                <w:bCs w:val="1"/>
                <w:color w:val="auto"/>
              </w:rPr>
              <w:t>CONTENTS</w:t>
            </w:r>
          </w:p>
        </w:tc>
        <w:tc>
          <w:tcPr>
            <w:tcW w:w="2400" w:type="dxa"/>
            <w:vAlign w:val="bottom"/>
          </w:tcPr>
          <w:p>
            <w:pPr>
              <w:spacing w:after="0"/>
              <w:rPr>
                <w:sz w:val="24"/>
                <w:szCs w:val="24"/>
                <w:color w:val="auto"/>
              </w:rPr>
            </w:pPr>
          </w:p>
        </w:tc>
      </w:tr>
      <w:tr>
        <w:trPr>
          <w:trHeight w:val="705"/>
        </w:trPr>
        <w:tc>
          <w:tcPr>
            <w:tcW w:w="84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80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DEFINITIONS AND INTERPRETATION</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000" w:type="dxa"/>
            <w:vAlign w:val="bottom"/>
          </w:tcPr>
          <w:p>
            <w:pPr>
              <w:ind w:left="300"/>
              <w:spacing w:after="0"/>
              <w:rPr>
                <w:sz w:val="20"/>
                <w:szCs w:val="20"/>
                <w:color w:val="auto"/>
              </w:rPr>
            </w:pPr>
            <w:r>
              <w:rPr>
                <w:rFonts w:ascii="Arial" w:cs="Arial" w:eastAsia="Arial" w:hAnsi="Arial"/>
                <w:sz w:val="18"/>
                <w:szCs w:val="18"/>
                <w:color w:val="auto"/>
              </w:rPr>
              <w:t>TRUST</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3.</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INTERCREDITOR AGREEMENT</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8000" w:type="dxa"/>
            <w:vAlign w:val="bottom"/>
          </w:tcPr>
          <w:p>
            <w:pPr>
              <w:ind w:left="300"/>
              <w:spacing w:after="0"/>
              <w:rPr>
                <w:sz w:val="20"/>
                <w:szCs w:val="20"/>
                <w:color w:val="auto"/>
              </w:rPr>
            </w:pPr>
            <w:r>
              <w:rPr>
                <w:rFonts w:ascii="Arial" w:cs="Arial" w:eastAsia="Arial" w:hAnsi="Arial"/>
                <w:sz w:val="18"/>
                <w:szCs w:val="18"/>
                <w:color w:val="auto"/>
              </w:rPr>
              <w:t>ABL EQUITABLE SHARE MORTGAGE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5.</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COVENANT TO PAY</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6.</w:t>
            </w:r>
          </w:p>
        </w:tc>
        <w:tc>
          <w:tcPr>
            <w:tcW w:w="8000" w:type="dxa"/>
            <w:vAlign w:val="bottom"/>
          </w:tcPr>
          <w:p>
            <w:pPr>
              <w:ind w:left="300"/>
              <w:spacing w:after="0"/>
              <w:rPr>
                <w:sz w:val="20"/>
                <w:szCs w:val="20"/>
                <w:color w:val="auto"/>
              </w:rPr>
            </w:pPr>
            <w:r>
              <w:rPr>
                <w:rFonts w:ascii="Arial" w:cs="Arial" w:eastAsia="Arial" w:hAnsi="Arial"/>
                <w:sz w:val="18"/>
                <w:szCs w:val="18"/>
                <w:color w:val="auto"/>
              </w:rPr>
              <w:t>CREATION OF SECURITY</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7.</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COVENANT TO DEPOSIT</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8.</w:t>
            </w:r>
          </w:p>
        </w:tc>
        <w:tc>
          <w:tcPr>
            <w:tcW w:w="8000" w:type="dxa"/>
            <w:vAlign w:val="bottom"/>
          </w:tcPr>
          <w:p>
            <w:pPr>
              <w:ind w:left="300"/>
              <w:spacing w:after="0"/>
              <w:rPr>
                <w:sz w:val="20"/>
                <w:szCs w:val="20"/>
                <w:color w:val="auto"/>
              </w:rPr>
            </w:pPr>
            <w:r>
              <w:rPr>
                <w:rFonts w:ascii="Arial" w:cs="Arial" w:eastAsia="Arial" w:hAnsi="Arial"/>
                <w:sz w:val="18"/>
                <w:szCs w:val="18"/>
                <w:color w:val="auto"/>
              </w:rPr>
              <w:t>FURTHER ASSURANCE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9.</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VOTING RIGHTS AND DIVIDENDS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w:t>
            </w:r>
          </w:p>
        </w:tc>
        <w:tc>
          <w:tcPr>
            <w:tcW w:w="800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11.</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RESTRICTIONS ON DEALINGS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8000" w:type="dxa"/>
            <w:vAlign w:val="bottom"/>
          </w:tcPr>
          <w:p>
            <w:pPr>
              <w:ind w:left="300"/>
              <w:spacing w:after="0"/>
              <w:rPr>
                <w:sz w:val="20"/>
                <w:szCs w:val="20"/>
                <w:color w:val="auto"/>
              </w:rPr>
            </w:pPr>
            <w:r>
              <w:rPr>
                <w:rFonts w:ascii="Arial" w:cs="Arial" w:eastAsia="Arial" w:hAnsi="Arial"/>
                <w:sz w:val="18"/>
                <w:szCs w:val="18"/>
                <w:color w:val="auto"/>
              </w:rPr>
              <w:t>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13.</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POWER OF ATTORNEY</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8000" w:type="dxa"/>
            <w:vAlign w:val="bottom"/>
          </w:tcPr>
          <w:p>
            <w:pPr>
              <w:ind w:left="300"/>
              <w:spacing w:after="0"/>
              <w:rPr>
                <w:sz w:val="20"/>
                <w:szCs w:val="20"/>
                <w:color w:val="auto"/>
              </w:rPr>
            </w:pPr>
            <w:r>
              <w:rPr>
                <w:rFonts w:ascii="Arial" w:cs="Arial" w:eastAsia="Arial" w:hAnsi="Arial"/>
                <w:sz w:val="18"/>
                <w:szCs w:val="18"/>
                <w:color w:val="auto"/>
              </w:rPr>
              <w:t>ENFORCEMENT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15.</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APPOINTMENT OF RECEIVERS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16.</w:t>
            </w:r>
          </w:p>
        </w:tc>
        <w:tc>
          <w:tcPr>
            <w:tcW w:w="8000" w:type="dxa"/>
            <w:vAlign w:val="bottom"/>
          </w:tcPr>
          <w:p>
            <w:pPr>
              <w:ind w:left="300"/>
              <w:spacing w:after="0"/>
              <w:rPr>
                <w:sz w:val="20"/>
                <w:szCs w:val="20"/>
                <w:color w:val="auto"/>
              </w:rPr>
            </w:pPr>
            <w:r>
              <w:rPr>
                <w:rFonts w:ascii="Arial" w:cs="Arial" w:eastAsia="Arial" w:hAnsi="Arial"/>
                <w:sz w:val="18"/>
                <w:szCs w:val="18"/>
                <w:color w:val="auto"/>
              </w:rPr>
              <w:t>RIGHTS OF RECEIVERS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17.</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RIGHTS OF COLLATERAL AGENT AND SECURED PARTIES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18.</w:t>
            </w:r>
          </w:p>
        </w:tc>
        <w:tc>
          <w:tcPr>
            <w:tcW w:w="8000" w:type="dxa"/>
            <w:vAlign w:val="bottom"/>
          </w:tcPr>
          <w:p>
            <w:pPr>
              <w:ind w:left="300"/>
              <w:spacing w:after="0"/>
              <w:rPr>
                <w:sz w:val="20"/>
                <w:szCs w:val="20"/>
                <w:color w:val="auto"/>
              </w:rPr>
            </w:pPr>
            <w:r>
              <w:rPr>
                <w:rFonts w:ascii="Arial" w:cs="Arial" w:eastAsia="Arial" w:hAnsi="Arial"/>
                <w:sz w:val="18"/>
                <w:szCs w:val="18"/>
                <w:color w:val="auto"/>
              </w:rPr>
              <w:t>APPLICATION OF MONEYS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19.</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LIABILITY OF COLLATERAL AGENT, RECEIVER AND DELEGATES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w:t>
            </w:r>
          </w:p>
        </w:tc>
        <w:tc>
          <w:tcPr>
            <w:tcW w:w="8000" w:type="dxa"/>
            <w:vAlign w:val="bottom"/>
          </w:tcPr>
          <w:p>
            <w:pPr>
              <w:ind w:left="300"/>
              <w:spacing w:after="0"/>
              <w:rPr>
                <w:sz w:val="20"/>
                <w:szCs w:val="20"/>
                <w:color w:val="auto"/>
              </w:rPr>
            </w:pPr>
            <w:r>
              <w:rPr>
                <w:rFonts w:ascii="Arial" w:cs="Arial" w:eastAsia="Arial" w:hAnsi="Arial"/>
                <w:sz w:val="18"/>
                <w:szCs w:val="18"/>
                <w:color w:val="auto"/>
              </w:rPr>
              <w:t>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21.</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PROTECTION OF THIRD PARTIES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8000" w:type="dxa"/>
            <w:vAlign w:val="bottom"/>
          </w:tcPr>
          <w:p>
            <w:pPr>
              <w:ind w:left="300"/>
              <w:spacing w:after="0"/>
              <w:rPr>
                <w:sz w:val="20"/>
                <w:szCs w:val="20"/>
                <w:color w:val="auto"/>
              </w:rPr>
            </w:pPr>
            <w:r>
              <w:rPr>
                <w:rFonts w:ascii="Arial" w:cs="Arial" w:eastAsia="Arial" w:hAnsi="Arial"/>
                <w:sz w:val="18"/>
                <w:szCs w:val="18"/>
                <w:color w:val="auto"/>
              </w:rPr>
              <w:t>SECURITY CONTINUING, CUMULATIVE AND NOT TO BE AFFECTED</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23.</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CERTIFICATE CONCLUSIVE, ETC</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8000" w:type="dxa"/>
            <w:vAlign w:val="bottom"/>
          </w:tcPr>
          <w:p>
            <w:pPr>
              <w:ind w:left="300"/>
              <w:spacing w:after="0"/>
              <w:rPr>
                <w:sz w:val="20"/>
                <w:szCs w:val="20"/>
                <w:color w:val="auto"/>
              </w:rPr>
            </w:pPr>
            <w:r>
              <w:rPr>
                <w:rFonts w:ascii="Arial" w:cs="Arial" w:eastAsia="Arial" w:hAnsi="Arial"/>
                <w:sz w:val="18"/>
                <w:szCs w:val="18"/>
                <w:color w:val="auto"/>
              </w:rPr>
              <w:t>NO SET-OFF BY MORTGAGOR</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25.</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COSTS AND EXPENSES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26.</w:t>
            </w:r>
          </w:p>
        </w:tc>
        <w:tc>
          <w:tcPr>
            <w:tcW w:w="8000" w:type="dxa"/>
            <w:vAlign w:val="bottom"/>
          </w:tcPr>
          <w:p>
            <w:pPr>
              <w:ind w:left="300"/>
              <w:spacing w:after="0"/>
              <w:rPr>
                <w:sz w:val="20"/>
                <w:szCs w:val="20"/>
                <w:color w:val="auto"/>
              </w:rPr>
            </w:pPr>
            <w:r>
              <w:rPr>
                <w:rFonts w:ascii="Arial" w:cs="Arial" w:eastAsia="Arial" w:hAnsi="Arial"/>
                <w:sz w:val="18"/>
                <w:szCs w:val="18"/>
                <w:color w:val="auto"/>
              </w:rPr>
              <w:t>RELEASE OF SECURITY</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27.</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MISCELLANEOUS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28.</w:t>
            </w:r>
          </w:p>
        </w:tc>
        <w:tc>
          <w:tcPr>
            <w:tcW w:w="8000" w:type="dxa"/>
            <w:vAlign w:val="bottom"/>
          </w:tcPr>
          <w:p>
            <w:pPr>
              <w:ind w:left="300"/>
              <w:spacing w:after="0"/>
              <w:rPr>
                <w:sz w:val="20"/>
                <w:szCs w:val="20"/>
                <w:color w:val="auto"/>
              </w:rPr>
            </w:pPr>
            <w:r>
              <w:rPr>
                <w:rFonts w:ascii="Arial" w:cs="Arial" w:eastAsia="Arial" w:hAnsi="Arial"/>
                <w:sz w:val="18"/>
                <w:szCs w:val="18"/>
                <w:color w:val="auto"/>
              </w:rPr>
              <w:t>ASSIGNMENT, ETC</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29.</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NOTICES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30.</w:t>
            </w:r>
          </w:p>
        </w:tc>
        <w:tc>
          <w:tcPr>
            <w:tcW w:w="8000" w:type="dxa"/>
            <w:vAlign w:val="bottom"/>
          </w:tcPr>
          <w:p>
            <w:pPr>
              <w:ind w:left="300"/>
              <w:spacing w:after="0"/>
              <w:rPr>
                <w:sz w:val="20"/>
                <w:szCs w:val="20"/>
                <w:color w:val="auto"/>
              </w:rPr>
            </w:pPr>
            <w:r>
              <w:rPr>
                <w:rFonts w:ascii="Arial" w:cs="Arial" w:eastAsia="Arial" w:hAnsi="Arial"/>
                <w:sz w:val="18"/>
                <w:szCs w:val="18"/>
                <w:color w:val="auto"/>
              </w:rPr>
              <w:t>GOVERNING LAW AND JURISDICTION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1 ORIGINAL SHARES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SCHEDULE 2 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3 COVENANTS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26</w:t>
            </w:r>
          </w:p>
        </w:tc>
      </w:tr>
      <w:tr>
        <w:trPr>
          <w:trHeight w:val="669"/>
        </w:trPr>
        <w:tc>
          <w:tcPr>
            <w:tcW w:w="8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62" w:name="page563"/>
    <w:bookmarkEnd w:id="562"/>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DEED </w:t>
      </w:r>
      <w:r>
        <w:rPr>
          <w:rFonts w:ascii="Arial" w:cs="Arial" w:eastAsia="Arial" w:hAnsi="Arial"/>
          <w:sz w:val="22"/>
          <w:szCs w:val="22"/>
          <w:color w:val="auto"/>
        </w:rPr>
        <w:t>is made on _______________,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9" w:lineRule="exact"/>
        <w:rPr>
          <w:sz w:val="20"/>
          <w:szCs w:val="20"/>
          <w:color w:val="auto"/>
        </w:rPr>
      </w:pPr>
    </w:p>
    <w:p>
      <w:pPr>
        <w:ind w:left="660" w:hanging="652"/>
        <w:spacing w:after="0" w:line="312" w:lineRule="auto"/>
        <w:tabs>
          <w:tab w:leader="none" w:pos="660" w:val="left"/>
        </w:tabs>
        <w:numPr>
          <w:ilvl w:val="0"/>
          <w:numId w:val="618"/>
        </w:numPr>
        <w:rPr>
          <w:rFonts w:ascii="Arial" w:cs="Arial" w:eastAsia="Arial" w:hAnsi="Arial"/>
          <w:sz w:val="17"/>
          <w:szCs w:val="17"/>
          <w:color w:val="auto"/>
        </w:rPr>
      </w:pPr>
      <w:r>
        <w:rPr>
          <w:rFonts w:ascii="Arial" w:cs="Arial" w:eastAsia="Arial" w:hAnsi="Arial"/>
          <w:sz w:val="17"/>
          <w:szCs w:val="17"/>
          <w:b w:val="1"/>
          <w:bCs w:val="1"/>
          <w:color w:val="auto"/>
        </w:rPr>
        <w:t>WEATHERFORD EURASIA LIMITED</w:t>
      </w:r>
      <w:r>
        <w:rPr>
          <w:rFonts w:ascii="Arial" w:cs="Arial" w:eastAsia="Arial" w:hAnsi="Arial"/>
          <w:sz w:val="17"/>
          <w:szCs w:val="17"/>
          <w:color w:val="auto"/>
        </w:rPr>
        <w:t>, a limited company incorporated in England and Wales under registered number 02440463,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is at Weatherford Gotham Road, East Leake, Loughborough, Leicestershire LE12 6JX, (the "</w:t>
      </w:r>
      <w:r>
        <w:rPr>
          <w:rFonts w:ascii="Arial" w:cs="Arial" w:eastAsia="Arial" w:hAnsi="Arial"/>
          <w:sz w:val="17"/>
          <w:szCs w:val="17"/>
          <w:b w:val="1"/>
          <w:bCs w:val="1"/>
          <w:color w:val="auto"/>
        </w:rPr>
        <w:t>Mortgagor</w:t>
      </w:r>
      <w:r>
        <w:rPr>
          <w:rFonts w:ascii="Arial" w:cs="Arial" w:eastAsia="Arial" w:hAnsi="Arial"/>
          <w:sz w:val="17"/>
          <w:szCs w:val="17"/>
          <w:color w:val="auto"/>
        </w:rPr>
        <w:t>"); and</w:t>
      </w:r>
    </w:p>
    <w:p>
      <w:pPr>
        <w:spacing w:after="0" w:line="139" w:lineRule="exact"/>
        <w:rPr>
          <w:rFonts w:ascii="Arial" w:cs="Arial" w:eastAsia="Arial" w:hAnsi="Arial"/>
          <w:sz w:val="17"/>
          <w:szCs w:val="17"/>
          <w:color w:val="auto"/>
        </w:rPr>
      </w:pPr>
    </w:p>
    <w:p>
      <w:pPr>
        <w:ind w:left="660" w:right="20" w:hanging="652"/>
        <w:spacing w:after="0" w:line="282" w:lineRule="auto"/>
        <w:tabs>
          <w:tab w:leader="none" w:pos="660"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3" w:lineRule="exact"/>
        <w:rPr>
          <w:sz w:val="20"/>
          <w:szCs w:val="20"/>
          <w:color w:val="auto"/>
        </w:rPr>
      </w:pPr>
    </w:p>
    <w:p>
      <w:pPr>
        <w:ind w:left="660" w:hanging="652"/>
        <w:spacing w:after="0"/>
        <w:tabs>
          <w:tab w:leader="none" w:pos="66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Under the Loan Agreement (as defined below) the Lenders have granted to the Borrowers a letter of credit line facility (the "</w:t>
      </w:r>
      <w:r>
        <w:rPr>
          <w:rFonts w:ascii="Arial" w:cs="Arial" w:eastAsia="Arial" w:hAnsi="Arial"/>
          <w:sz w:val="17"/>
          <w:szCs w:val="17"/>
          <w:b w:val="1"/>
          <w:bCs w:val="1"/>
          <w:i w:val="1"/>
          <w:iCs w:val="1"/>
          <w:color w:val="auto"/>
        </w:rPr>
        <w:t>Facility</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Mortgagor, have guaranteed the obligations of the Borrowers under the Loan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The Mortgagor is the direct owner of the entire issued share capital of the Company.</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Under the terms of the Loan Agreement the Mortgagor is required to execute and deliver this equitable share mortgage of the entire issued share capital of the Company in favour of the Collateral Agent for the benefit of the Secured Parties to secure the Secured Obligations (each as defined below).</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 IS AGREED AS FOLLOWS</w:t>
      </w:r>
    </w:p>
    <w:p>
      <w:pPr>
        <w:spacing w:after="0" w:line="229" w:lineRule="exact"/>
        <w:rPr>
          <w:sz w:val="20"/>
          <w:szCs w:val="20"/>
          <w:color w:val="auto"/>
        </w:rPr>
      </w:pPr>
    </w:p>
    <w:p>
      <w:pPr>
        <w:ind w:left="660" w:hanging="652"/>
        <w:spacing w:after="0"/>
        <w:tabs>
          <w:tab w:leader="none" w:pos="660" w:val="left"/>
        </w:tabs>
        <w:numPr>
          <w:ilvl w:val="0"/>
          <w:numId w:val="620"/>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In this Deed, capitalised words and phrases used but not defined herein shall have the meanings set out in the Loan Agreement and the following words and phrases shall have the meanings set out below.</w:t>
      </w:r>
    </w:p>
    <w:p>
      <w:pPr>
        <w:spacing w:after="0" w:line="168"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Equitable Share Mortgage</w:t>
      </w:r>
      <w:r>
        <w:rPr>
          <w:rFonts w:ascii="Arial" w:cs="Arial" w:eastAsia="Arial" w:hAnsi="Arial"/>
          <w:sz w:val="22"/>
          <w:szCs w:val="22"/>
          <w:color w:val="auto"/>
        </w:rPr>
        <w:t>" means an equitable share mortgage dated on or about the date hereof between, amongst others, the Mortgagor and Wells Fargo Bank, National Association as collateral agent, granted pursuant to an asset based loan credit agreement dated on or about the date of this Deed between, amongst others, Weatherford International Ltd. and Weatherford International, LLC as borrowers, the lenders party thereto, and Wells Fargo Bank, National Association as collateral agent.</w:t>
      </w:r>
    </w:p>
    <w:p>
      <w:pPr>
        <w:spacing w:after="0" w:line="185"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bank holiday on which banks are open for business in London and New York 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means cash within the meaning of Financial Collateral Arrangements (No. 2) Regulations 2003;</w:t>
      </w:r>
    </w:p>
    <w:p>
      <w:pPr>
        <w:spacing w:after="0" w:line="233" w:lineRule="exact"/>
        <w:rPr>
          <w:sz w:val="20"/>
          <w:szCs w:val="20"/>
          <w:color w:val="auto"/>
        </w:rPr>
      </w:pPr>
    </w:p>
    <w:p>
      <w:pPr>
        <w:jc w:val="both"/>
        <w:ind w:left="660"/>
        <w:spacing w:after="0" w:line="3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Weatherford U.K. Limited, a company incorporated in England and Wales under registered number 00862925, whose registered office is at Gotham Road, East Leake, Loughborough, Leicestershire LE12 6JX.</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Delegate</w:t>
      </w:r>
      <w:r>
        <w:rPr>
          <w:rFonts w:ascii="Arial" w:cs="Arial" w:eastAsia="Arial" w:hAnsi="Arial"/>
          <w:sz w:val="19"/>
          <w:szCs w:val="19"/>
          <w:color w:val="auto"/>
        </w:rPr>
        <w:t>" means a delegate or a sub-delegate of the Collateral Agent or of any Receiver appointed under this Deed.</w:t>
      </w:r>
    </w:p>
    <w:p>
      <w:pPr>
        <w:spacing w:after="0" w:line="268" w:lineRule="exact"/>
        <w:rPr>
          <w:sz w:val="20"/>
          <w:szCs w:val="20"/>
          <w:color w:val="auto"/>
        </w:rPr>
      </w:pPr>
    </w:p>
    <w:p>
      <w:pPr>
        <w:jc w:val="both"/>
        <w:ind w:left="660"/>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Derived Assets</w:t>
      </w:r>
      <w:r>
        <w:rPr>
          <w:rFonts w:ascii="Arial" w:cs="Arial" w:eastAsia="Arial" w:hAnsi="Arial"/>
          <w:sz w:val="19"/>
          <w:szCs w:val="19"/>
          <w:color w:val="auto"/>
        </w:rPr>
        <w:t>" means, with respect to the Company, any Shares, rights or other property of a capital nature which accrue or are offered, issued or paid at any time (whether by way of rights, redemption, substitution, exchange, conversion, purchase, bonus, consolidation, subdivision, preference, warrant, option or otherwise) in respect of:</w:t>
      </w:r>
    </w:p>
    <w:p>
      <w:pPr>
        <w:spacing w:after="0" w:line="124" w:lineRule="exact"/>
        <w:rPr>
          <w:sz w:val="20"/>
          <w:szCs w:val="20"/>
          <w:color w:val="auto"/>
        </w:rPr>
      </w:pPr>
    </w:p>
    <w:p>
      <w:pPr>
        <w:ind w:left="1300" w:hanging="644"/>
        <w:spacing w:after="0"/>
        <w:tabs>
          <w:tab w:leader="none" w:pos="130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the Original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any Further Shares;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any Shares, rights or other property previously accruing, offered, issued or paid as mentioned in this definition,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provided, however, that "</w:t>
      </w:r>
      <w:r>
        <w:rPr>
          <w:rFonts w:ascii="Arial" w:cs="Arial" w:eastAsia="Arial" w:hAnsi="Arial"/>
          <w:sz w:val="22"/>
          <w:szCs w:val="22"/>
          <w:b w:val="1"/>
          <w:bCs w:val="1"/>
          <w:color w:val="auto"/>
        </w:rPr>
        <w:t>Derived Assets</w:t>
      </w:r>
      <w:r>
        <w:rPr>
          <w:rFonts w:ascii="Arial" w:cs="Arial" w:eastAsia="Arial" w:hAnsi="Arial"/>
          <w:sz w:val="22"/>
          <w:szCs w:val="22"/>
          <w:color w:val="auto"/>
        </w:rPr>
        <w:t>" shall not include any Excluded Assets.</w:t>
      </w:r>
    </w:p>
    <w:p>
      <w:pPr>
        <w:spacing w:after="0" w:line="233"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Disputes</w:t>
      </w:r>
      <w:r>
        <w:rPr>
          <w:rFonts w:ascii="Arial" w:cs="Arial" w:eastAsia="Arial" w:hAnsi="Arial"/>
          <w:sz w:val="22"/>
          <w:szCs w:val="22"/>
          <w:color w:val="auto"/>
        </w:rPr>
        <w:t>" means any disputes or claims which may arise out of or in connection with this Deed or the Security (including, without limitation, regarding their respective existence, validity or termination and any non-contractual obligations or liabilities arising in connection with them).</w:t>
      </w:r>
    </w:p>
    <w:p>
      <w:pPr>
        <w:spacing w:after="0" w:line="175" w:lineRule="exact"/>
        <w:rPr>
          <w:sz w:val="20"/>
          <w:szCs w:val="20"/>
          <w:color w:val="auto"/>
        </w:rPr>
      </w:pPr>
    </w:p>
    <w:p>
      <w:pPr>
        <w:jc w:val="both"/>
        <w:ind w:left="660" w:right="20"/>
        <w:spacing w:after="0" w:line="3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Dividends</w:t>
      </w:r>
      <w:r>
        <w:rPr>
          <w:rFonts w:ascii="Arial" w:cs="Arial" w:eastAsia="Arial" w:hAnsi="Arial"/>
          <w:sz w:val="19"/>
          <w:szCs w:val="19"/>
          <w:color w:val="auto"/>
        </w:rPr>
        <w:t>" means any dividends, interest and other income paid or payable in respect of the Original Shares, any Further Shares or any Derived Assets (but "</w:t>
      </w:r>
      <w:r>
        <w:rPr>
          <w:rFonts w:ascii="Arial" w:cs="Arial" w:eastAsia="Arial" w:hAnsi="Arial"/>
          <w:sz w:val="19"/>
          <w:szCs w:val="19"/>
          <w:b w:val="1"/>
          <w:bCs w:val="1"/>
          <w:color w:val="auto"/>
        </w:rPr>
        <w:t>Dividends</w:t>
      </w:r>
      <w:r>
        <w:rPr>
          <w:rFonts w:ascii="Arial" w:cs="Arial" w:eastAsia="Arial" w:hAnsi="Arial"/>
          <w:sz w:val="19"/>
          <w:szCs w:val="19"/>
          <w:color w:val="auto"/>
        </w:rPr>
        <w:t>" shall exclude, for the avoidance of doubt, any Excluded Assets).</w:t>
      </w:r>
    </w:p>
    <w:p>
      <w:pPr>
        <w:spacing w:after="0" w:line="93" w:lineRule="exact"/>
        <w:rPr>
          <w:sz w:val="20"/>
          <w:szCs w:val="20"/>
          <w:color w:val="auto"/>
        </w:rPr>
      </w:pPr>
    </w:p>
    <w:p>
      <w:pPr>
        <w:ind w:left="660"/>
        <w:spacing w:after="0"/>
        <w:tabs>
          <w:tab w:leader="none" w:pos="67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Event</w:t>
      </w:r>
      <w:r>
        <w:rPr>
          <w:rFonts w:ascii="Arial" w:cs="Arial" w:eastAsia="Arial" w:hAnsi="Arial"/>
          <w:sz w:val="22"/>
          <w:szCs w:val="22"/>
          <w:color w:val="auto"/>
        </w:rPr>
        <w:t>" has the meaning set out in Clause 0 (</w:t>
      </w:r>
      <w:r>
        <w:rPr>
          <w:rFonts w:ascii="Arial" w:cs="Arial" w:eastAsia="Arial" w:hAnsi="Arial"/>
          <w:sz w:val="22"/>
          <w:szCs w:val="22"/>
          <w:i w:val="1"/>
          <w:iCs w:val="1"/>
          <w:color w:val="auto"/>
        </w:rPr>
        <w:t>14.1</w:t>
      </w:r>
      <w:r>
        <w:rPr>
          <w:sz w:val="20"/>
          <w:szCs w:val="20"/>
          <w:color w:val="auto"/>
        </w:rPr>
        <w:tab/>
      </w:r>
      <w:r>
        <w:rPr>
          <w:rFonts w:ascii="Arial" w:cs="Arial" w:eastAsia="Arial" w:hAnsi="Arial"/>
          <w:sz w:val="19"/>
          <w:szCs w:val="19"/>
          <w:b w:val="1"/>
          <w:bCs w:val="1"/>
          <w:color w:val="auto"/>
        </w:rPr>
        <w:t>Enforceability</w:t>
      </w:r>
      <w:r>
        <w:rPr>
          <w:rFonts w:ascii="Arial" w:cs="Arial" w:eastAsia="Arial" w:hAnsi="Arial"/>
          <w:sz w:val="19"/>
          <w:szCs w:val="19"/>
          <w:color w:val="auto"/>
        </w:rPr>
        <w:t>).</w:t>
      </w:r>
    </w:p>
    <w:p>
      <w:pPr>
        <w:sectPr>
          <w:pgSz w:w="11900" w:h="16887" w:orient="portrait"/>
          <w:cols w:equalWidth="0" w:num="1">
            <w:col w:w="11240"/>
          </w:cols>
          <w:pgMar w:left="320" w:top="125" w:right="339" w:bottom="0" w:gutter="0" w:footer="0" w:header="0"/>
        </w:sectPr>
      </w:pPr>
    </w:p>
    <w:bookmarkStart w:id="563" w:name="page564"/>
    <w:bookmarkEnd w:id="563"/>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Collateral</w:t>
      </w:r>
      <w:r>
        <w:rPr>
          <w:rFonts w:ascii="Arial" w:cs="Arial" w:eastAsia="Arial" w:hAnsi="Arial"/>
          <w:sz w:val="22"/>
          <w:szCs w:val="22"/>
          <w:color w:val="auto"/>
        </w:rPr>
        <w:t>" means financial collateral within the meaning of the Financial Collateral Arrangements Regulations.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Collateral Arrangements Regulations</w:t>
      </w:r>
      <w:r>
        <w:rPr>
          <w:rFonts w:ascii="Arial" w:cs="Arial" w:eastAsia="Arial" w:hAnsi="Arial"/>
          <w:sz w:val="22"/>
          <w:szCs w:val="22"/>
          <w:color w:val="auto"/>
        </w:rPr>
        <w:t>" means the Financial Collateral Arrangements (No.2) Regulations 2003, as amended.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Further Shares</w:t>
      </w:r>
      <w:r>
        <w:rPr>
          <w:rFonts w:ascii="Arial" w:cs="Arial" w:eastAsia="Arial" w:hAnsi="Arial"/>
          <w:sz w:val="22"/>
          <w:szCs w:val="22"/>
          <w:color w:val="auto"/>
        </w:rPr>
        <w:t>" means all Shares (other than the Original Shares and any Shares comprised in any Derived Assets) issued by the Company at any time after the execution of this Deed.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w:t>
      </w:r>
      <w:r>
        <w:rPr>
          <w:rFonts w:ascii="Arial" w:cs="Arial" w:eastAsia="Arial" w:hAnsi="Arial"/>
          <w:sz w:val="22"/>
          <w:szCs w:val="22"/>
          <w:color w:val="auto"/>
        </w:rPr>
        <w:t>" means an Affiliate Guaranty dated as of on or about the date of this Deed between, among others, the Parent and the Collateral Agent.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Act</w:t>
      </w:r>
      <w:r>
        <w:rPr>
          <w:rFonts w:ascii="Arial" w:cs="Arial" w:eastAsia="Arial" w:hAnsi="Arial"/>
          <w:sz w:val="22"/>
          <w:szCs w:val="22"/>
          <w:color w:val="auto"/>
        </w:rPr>
        <w:t>" means the Insolvency Act 1986.</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Insolvency Event</w:t>
      </w:r>
      <w:r>
        <w:rPr>
          <w:rFonts w:ascii="Arial" w:cs="Arial" w:eastAsia="Arial" w:hAnsi="Arial"/>
          <w:sz w:val="21"/>
          <w:szCs w:val="21"/>
          <w:color w:val="auto"/>
        </w:rPr>
        <w:t>" in relation to any person, means: (a) such person is unable or admits inability to pay its debts as they fall due, suspends making payments on any of its debts or, by reason of actual or anticipated financial difficulties, commences negotiations with one or more of its creditors with a view to rescheduling any of its indebtedness (including any composition, assignment or arrangement with any creditor of such person); (b) any resolution is passed or order made for the winding up, dissolution, administration or reorganisation of that person, a moratorium is declared in relation to any indebtedness of that person or an administrator is appointed to that person (other than a solvent liquidation or reorganisation of such person on terms previously approved in writing by the Collateral Agent); (c) the appointment of any liquidator (other than a solvent liquidation or reorganisation of such person on terms previously approved in writing by the Collateral Agent), receiver, administrator, administrative receiver, compulsory manager or other similar officer in respect of that person or any of its assets; or (d) in respect of any person, any analogous procedure or step is taken in any jurisdiction.</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Intercreditor Agreement</w:t>
      </w:r>
      <w:r>
        <w:rPr>
          <w:rFonts w:ascii="Arial" w:cs="Arial" w:eastAsia="Arial" w:hAnsi="Arial"/>
          <w:sz w:val="22"/>
          <w:szCs w:val="22"/>
          <w:color w:val="auto"/>
        </w:rPr>
        <w:t>" means the intercreditor agreement, dated on or about the date of this Deed, among the Collateral Agent, Wells Fargo Bank, National Association, the Parent, Weatherford International Ltd., Weatherford International LLC, and the other grantors of the Parent named therein.</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Agreement</w:t>
      </w:r>
      <w:r>
        <w:rPr>
          <w:rFonts w:ascii="Arial" w:cs="Arial" w:eastAsia="Arial" w:hAnsi="Arial"/>
          <w:sz w:val="22"/>
          <w:szCs w:val="22"/>
          <w:color w:val="auto"/>
        </w:rPr>
        <w:t>" means the letter of credit facility agreement, between, among others, the Parent, the Collateral Agent and the Lenders, dated on or about the date of this Deed.</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w:t>
      </w:r>
      <w:r>
        <w:rPr>
          <w:rFonts w:ascii="Arial" w:cs="Arial" w:eastAsia="Arial" w:hAnsi="Arial"/>
          <w:sz w:val="22"/>
          <w:szCs w:val="22"/>
          <w:color w:val="auto"/>
        </w:rPr>
        <w:t>" means any liability, damages, claim, cost, loss, penalty, expense, demand (or actions in respect thereof) including, without limitation, all charges and fees (professional and otherwise), together with all costs, disbursements and expenses in connection therewith.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LPA</w:t>
      </w:r>
      <w:r>
        <w:rPr>
          <w:rFonts w:ascii="Arial" w:cs="Arial" w:eastAsia="Arial" w:hAnsi="Arial"/>
          <w:sz w:val="22"/>
          <w:szCs w:val="22"/>
          <w:color w:val="auto"/>
        </w:rPr>
        <w:t>" means the Law of Property Act 1925.</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Shares</w:t>
      </w:r>
      <w:r>
        <w:rPr>
          <w:rFonts w:ascii="Arial" w:cs="Arial" w:eastAsia="Arial" w:hAnsi="Arial"/>
          <w:sz w:val="21"/>
          <w:szCs w:val="21"/>
          <w:color w:val="auto"/>
        </w:rPr>
        <w:t>" means the Shares in the Company details of which are set out in Schedule 1 (</w:t>
      </w:r>
      <w:r>
        <w:rPr>
          <w:rFonts w:ascii="Arial" w:cs="Arial" w:eastAsia="Arial" w:hAnsi="Arial"/>
          <w:sz w:val="21"/>
          <w:szCs w:val="21"/>
          <w:i w:val="1"/>
          <w:iCs w:val="1"/>
          <w:color w:val="auto"/>
        </w:rPr>
        <w:t>Original Shares</w:t>
      </w:r>
      <w:r>
        <w:rPr>
          <w:rFonts w:ascii="Arial" w:cs="Arial" w:eastAsia="Arial" w:hAnsi="Arial"/>
          <w:sz w:val="21"/>
          <w:szCs w:val="21"/>
          <w:color w:val="auto"/>
        </w:rPr>
        <w:t>).</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Parent</w:t>
      </w:r>
      <w:r>
        <w:rPr>
          <w:rFonts w:ascii="Arial" w:cs="Arial" w:eastAsia="Arial" w:hAnsi="Arial"/>
          <w:sz w:val="22"/>
          <w:szCs w:val="22"/>
          <w:color w:val="auto"/>
        </w:rPr>
        <w:t>" means Weatherford International Public Limited Company, a public limited company incorporated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Republic of Ireland, with registered number 540406 whose registered office address is 70 Sir John Rogerson's Quay, Dublin 2.</w:t>
      </w:r>
    </w:p>
    <w:p>
      <w:pPr>
        <w:spacing w:after="0" w:line="175"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 in Full</w:t>
      </w:r>
      <w:r>
        <w:rPr>
          <w:rFonts w:ascii="Arial" w:cs="Arial" w:eastAsia="Arial" w:hAnsi="Arial"/>
          <w:sz w:val="19"/>
          <w:szCs w:val="19"/>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the Mortgagor) shall have been paid in full in cash.</w:t>
      </w:r>
    </w:p>
    <w:p>
      <w:pPr>
        <w:spacing w:after="0" w:line="125"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Proceedings</w:t>
      </w:r>
      <w:r>
        <w:rPr>
          <w:rFonts w:ascii="Arial" w:cs="Arial" w:eastAsia="Arial" w:hAnsi="Arial"/>
          <w:sz w:val="19"/>
          <w:szCs w:val="19"/>
          <w:color w:val="auto"/>
        </w:rPr>
        <w:t>" means any proceedings, suit or action arising out of or in connection with any Disputes or otherwise arising out of or in connection with this Deed or the Security (including, without limitation, regarding their respective existence, validity or termination and any non-contractual obligations or liabilities arising in connection with them).</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Receiver</w:t>
      </w:r>
      <w:r>
        <w:rPr>
          <w:rFonts w:ascii="Arial" w:cs="Arial" w:eastAsia="Arial" w:hAnsi="Arial"/>
          <w:sz w:val="22"/>
          <w:szCs w:val="22"/>
          <w:color w:val="auto"/>
        </w:rPr>
        <w:t>" means a receiver and manager or receiver of all or any of the Secured Assets, in each case appointed under this Deed.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Person</w:t>
      </w:r>
      <w:r>
        <w:rPr>
          <w:rFonts w:ascii="Arial" w:cs="Arial" w:eastAsia="Arial" w:hAnsi="Arial"/>
          <w:sz w:val="22"/>
          <w:szCs w:val="22"/>
          <w:color w:val="auto"/>
        </w:rPr>
        <w:t>" means each Receiver and each Delegate and each such person's respective officers, employees and agents.</w:t>
      </w:r>
    </w:p>
    <w:p>
      <w:pPr>
        <w:spacing w:after="0" w:line="162" w:lineRule="exact"/>
        <w:rPr>
          <w:sz w:val="20"/>
          <w:szCs w:val="20"/>
          <w:color w:val="auto"/>
        </w:rPr>
      </w:pPr>
    </w:p>
    <w:p>
      <w:pPr>
        <w:spacing w:after="0"/>
        <w:tabs>
          <w:tab w:leader="none" w:pos="61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Currency</w:t>
      </w:r>
      <w:r>
        <w:rPr>
          <w:rFonts w:ascii="Arial" w:cs="Arial" w:eastAsia="Arial" w:hAnsi="Arial"/>
          <w:sz w:val="22"/>
          <w:szCs w:val="22"/>
          <w:color w:val="auto"/>
        </w:rPr>
        <w:t>" has the meaning set out in Clause 0 (</w:t>
      </w:r>
      <w:r>
        <w:rPr>
          <w:rFonts w:ascii="Arial" w:cs="Arial" w:eastAsia="Arial" w:hAnsi="Arial"/>
          <w:sz w:val="22"/>
          <w:szCs w:val="22"/>
          <w:i w:val="1"/>
          <w:iCs w:val="1"/>
          <w:color w:val="auto"/>
        </w:rPr>
        <w:t>14.3</w:t>
      </w:r>
      <w:r>
        <w:rPr>
          <w:sz w:val="20"/>
          <w:szCs w:val="20"/>
          <w:color w:val="auto"/>
        </w:rPr>
        <w:tab/>
      </w:r>
      <w:r>
        <w:rPr>
          <w:rFonts w:ascii="Arial" w:cs="Arial" w:eastAsia="Arial" w:hAnsi="Arial"/>
          <w:sz w:val="19"/>
          <w:szCs w:val="19"/>
          <w:i w:val="1"/>
          <w:iCs w:val="1"/>
          <w:color w:val="auto"/>
        </w:rPr>
        <w:t xml:space="preserve">Appropriation of Financial </w:t>
      </w:r>
      <w:r>
        <w:rPr>
          <w:rFonts w:ascii="Arial" w:cs="Arial" w:eastAsia="Arial" w:hAnsi="Arial"/>
          <w:sz w:val="19"/>
          <w:szCs w:val="19"/>
          <w:b w:val="1"/>
          <w:bCs w:val="1"/>
          <w:color w:val="auto"/>
        </w:rPr>
        <w:t>Collateral</w:t>
      </w:r>
      <w:r>
        <w:rPr>
          <w:rFonts w:ascii="Arial" w:cs="Arial" w:eastAsia="Arial" w:hAnsi="Arial"/>
          <w:sz w:val="19"/>
          <w:szCs w:val="19"/>
          <w:color w:val="auto"/>
        </w:rPr>
        <w:t>).</w:t>
      </w:r>
    </w:p>
    <w:p>
      <w:pPr>
        <w:spacing w:after="0" w:line="233"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Rights</w:t>
      </w:r>
      <w:r>
        <w:rPr>
          <w:rFonts w:ascii="Arial" w:cs="Arial" w:eastAsia="Arial" w:hAnsi="Arial"/>
          <w:sz w:val="22"/>
          <w:szCs w:val="22"/>
          <w:color w:val="auto"/>
        </w:rPr>
        <w:t>" means rights, benefits, powers, privileges, authorities, discretions, remedies and liberties (in each case, of any nature whatsoever).</w:t>
      </w:r>
    </w:p>
    <w:p>
      <w:pPr>
        <w:sectPr>
          <w:pgSz w:w="11900" w:h="16838" w:orient="portrait"/>
          <w:cols w:equalWidth="0" w:num="1">
            <w:col w:w="10580"/>
          </w:cols>
          <w:pgMar w:left="980" w:top="125" w:right="339" w:bottom="2" w:gutter="0" w:footer="0" w:header="0"/>
        </w:sectPr>
      </w:pPr>
    </w:p>
    <w:bookmarkStart w:id="564" w:name="page565"/>
    <w:bookmarkEnd w:id="564"/>
    <w:p>
      <w:pPr>
        <w:spacing w:after="0" w:line="49"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Assets</w:t>
      </w:r>
      <w:r>
        <w:rPr>
          <w:rFonts w:ascii="Arial" w:cs="Arial" w:eastAsia="Arial" w:hAnsi="Arial"/>
          <w:sz w:val="22"/>
          <w:szCs w:val="22"/>
          <w:color w:val="auto"/>
        </w:rPr>
        <w:t>" means the Original Shares, any Further Shares, any Derived Assets and any Dividends (but "</w:t>
      </w:r>
      <w:r>
        <w:rPr>
          <w:rFonts w:ascii="Arial" w:cs="Arial" w:eastAsia="Arial" w:hAnsi="Arial"/>
          <w:sz w:val="22"/>
          <w:szCs w:val="22"/>
          <w:b w:val="1"/>
          <w:bCs w:val="1"/>
          <w:color w:val="auto"/>
        </w:rPr>
        <w:t>Secured</w:t>
      </w:r>
      <w:r>
        <w:rPr>
          <w:rFonts w:ascii="Arial" w:cs="Arial" w:eastAsia="Arial" w:hAnsi="Arial"/>
          <w:sz w:val="22"/>
          <w:szCs w:val="22"/>
          <w:color w:val="auto"/>
        </w:rPr>
        <w:t xml:space="preserve"> </w:t>
      </w:r>
      <w:r>
        <w:rPr>
          <w:rFonts w:ascii="Arial" w:cs="Arial" w:eastAsia="Arial" w:hAnsi="Arial"/>
          <w:sz w:val="22"/>
          <w:szCs w:val="22"/>
          <w:b w:val="1"/>
          <w:bCs w:val="1"/>
          <w:color w:val="auto"/>
        </w:rPr>
        <w:t>Assets</w:t>
      </w:r>
      <w:r>
        <w:rPr>
          <w:rFonts w:ascii="Arial" w:cs="Arial" w:eastAsia="Arial" w:hAnsi="Arial"/>
          <w:sz w:val="22"/>
          <w:szCs w:val="22"/>
          <w:color w:val="auto"/>
        </w:rPr>
        <w:t>" shall exclude, for the avoidance of doubt, any Excluded Assets).</w:t>
      </w:r>
    </w:p>
    <w:p>
      <w:pPr>
        <w:spacing w:after="0" w:line="162" w:lineRule="exact"/>
        <w:rPr>
          <w:sz w:val="20"/>
          <w:szCs w:val="20"/>
          <w:color w:val="auto"/>
        </w:rPr>
      </w:pPr>
    </w:p>
    <w:p>
      <w:pPr>
        <w:jc w:val="both"/>
        <w:ind w:left="660"/>
        <w:spacing w:after="0" w:line="3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Obligations</w:t>
      </w:r>
      <w:r>
        <w:rPr>
          <w:rFonts w:ascii="Arial" w:cs="Arial" w:eastAsia="Arial" w:hAnsi="Arial"/>
          <w:sz w:val="19"/>
          <w:szCs w:val="19"/>
          <w:color w:val="auto"/>
        </w:rPr>
        <w:t>" has the meaning given to it in the Loan Agreement but, for the avoidance of doubt, shall also include all reasonable and documented legal costs, charges and expenses and any other Loss which the Collateral Agent, any Receiver or any Delegate may incur in enforcing or obtaining, or attempting to enforce or obtain, payment of any such moneys and liabilities to the extent that such costs, charges, expenses and other Losses are of the type which are reimbursable by the Borrowers pursuant to Section 11.03 (</w:t>
      </w:r>
      <w:r>
        <w:rPr>
          <w:rFonts w:ascii="Arial" w:cs="Arial" w:eastAsia="Arial" w:hAnsi="Arial"/>
          <w:sz w:val="19"/>
          <w:szCs w:val="19"/>
          <w:i w:val="1"/>
          <w:iCs w:val="1"/>
          <w:color w:val="auto"/>
        </w:rPr>
        <w:t>Expenses, etc.</w:t>
      </w:r>
      <w:r>
        <w:rPr>
          <w:rFonts w:ascii="Arial" w:cs="Arial" w:eastAsia="Arial" w:hAnsi="Arial"/>
          <w:sz w:val="19"/>
          <w:szCs w:val="19"/>
          <w:color w:val="auto"/>
        </w:rPr>
        <w:t>) of the Loan Agreement.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Parties</w:t>
      </w:r>
      <w:r>
        <w:rPr>
          <w:rFonts w:ascii="Arial" w:cs="Arial" w:eastAsia="Arial" w:hAnsi="Arial"/>
          <w:sz w:val="22"/>
          <w:szCs w:val="22"/>
          <w:color w:val="auto"/>
        </w:rPr>
        <w:t>" has the meaning given to it in the Loan Agreement.</w:t>
      </w:r>
    </w:p>
    <w:p>
      <w:pPr>
        <w:spacing w:after="0" w:line="233"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means any or all of the Security Interests created or expressed to be created, or which may at any time hereafter be created, by or pursuant to this Deed.</w:t>
      </w:r>
    </w:p>
    <w:p>
      <w:pPr>
        <w:spacing w:after="0" w:line="162"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Interest</w:t>
      </w:r>
      <w:r>
        <w:rPr>
          <w:rFonts w:ascii="Arial" w:cs="Arial" w:eastAsia="Arial" w:hAnsi="Arial"/>
          <w:sz w:val="22"/>
          <w:szCs w:val="22"/>
          <w:color w:val="auto"/>
        </w:rPr>
        <w:t>" means any mortgage, fixed or floating charge, sub-mortgage or charge, pledge, lien, assignment by way of security or subject to a proviso for reassignment, encumbrance, hypothecation, any title retention arrangement (other than in respect of goods purchased in the ordinary course of trading), any agreement or arrangement having substantially the same economic or financial effect as any of the foregoing (including any "hold back" or "flawed asset" arrangement) and any security interest or agreement or arrangement analogous to any of the foregoing arising under the laws of any other jurisdiction.</w:t>
      </w:r>
    </w:p>
    <w:p>
      <w:pPr>
        <w:spacing w:after="0" w:line="185"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with respect to the Company, stocks and shares of any kind (but "</w:t>
      </w:r>
      <w:r>
        <w:rPr>
          <w:rFonts w:ascii="Arial" w:cs="Arial" w:eastAsia="Arial" w:hAnsi="Arial"/>
          <w:sz w:val="22"/>
          <w:szCs w:val="22"/>
          <w:b w:val="1"/>
          <w:bCs w:val="1"/>
          <w:color w:val="auto"/>
        </w:rPr>
        <w:t>Shares</w:t>
      </w:r>
      <w:r>
        <w:rPr>
          <w:rFonts w:ascii="Arial" w:cs="Arial" w:eastAsia="Arial" w:hAnsi="Arial"/>
          <w:sz w:val="22"/>
          <w:szCs w:val="22"/>
          <w:color w:val="auto"/>
        </w:rPr>
        <w:t>" shall exclude, for the avoidance of doubt, any Excluded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and "</w:t>
      </w:r>
      <w:r>
        <w:rPr>
          <w:rFonts w:ascii="Arial" w:cs="Arial" w:eastAsia="Arial" w:hAnsi="Arial"/>
          <w:sz w:val="22"/>
          <w:szCs w:val="22"/>
          <w:b w:val="1"/>
          <w:bCs w:val="1"/>
          <w:color w:val="auto"/>
        </w:rPr>
        <w:t>Taxes</w:t>
      </w:r>
      <w:r>
        <w:rPr>
          <w:rFonts w:ascii="Arial" w:cs="Arial" w:eastAsia="Arial" w:hAnsi="Arial"/>
          <w:sz w:val="22"/>
          <w:szCs w:val="22"/>
          <w:color w:val="auto"/>
        </w:rPr>
        <w:t>" has the meaning given to it in the Loan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Parties Act</w:t>
      </w:r>
      <w:r>
        <w:rPr>
          <w:rFonts w:ascii="Arial" w:cs="Arial" w:eastAsia="Arial" w:hAnsi="Arial"/>
          <w:sz w:val="22"/>
          <w:szCs w:val="22"/>
          <w:color w:val="auto"/>
        </w:rPr>
        <w:t>" means the Contracts (Rights of Third Parties) Act 1999.</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Interpretation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this Deed, the following rules of interpretation apply, unless otherwise specified or the context otherwise requires.</w:t>
      </w:r>
    </w:p>
    <w:p>
      <w:pPr>
        <w:spacing w:after="0" w:line="257" w:lineRule="exact"/>
        <w:rPr>
          <w:sz w:val="20"/>
          <w:szCs w:val="20"/>
          <w:color w:val="auto"/>
        </w:rPr>
      </w:pPr>
    </w:p>
    <w:p>
      <w:pPr>
        <w:jc w:val="both"/>
        <w:ind w:left="1300" w:hanging="644"/>
        <w:spacing w:after="0" w:line="266" w:lineRule="auto"/>
        <w:tabs>
          <w:tab w:leader="none" w:pos="1300" w:val="left"/>
        </w:tabs>
        <w:numPr>
          <w:ilvl w:val="1"/>
          <w:numId w:val="622"/>
        </w:numPr>
        <w:rPr>
          <w:rFonts w:ascii="Arial" w:cs="Arial" w:eastAsia="Arial" w:hAnsi="Arial"/>
          <w:sz w:val="18"/>
          <w:szCs w:val="18"/>
          <w:color w:val="auto"/>
        </w:rPr>
      </w:pPr>
      <w:r>
        <w:rPr>
          <w:rFonts w:ascii="Arial" w:cs="Arial" w:eastAsia="Arial" w:hAnsi="Arial"/>
          <w:sz w:val="18"/>
          <w:szCs w:val="18"/>
          <w:b w:val="1"/>
          <w:bCs w:val="1"/>
          <w:color w:val="auto"/>
        </w:rPr>
        <w:t>Person</w:t>
      </w:r>
      <w:r>
        <w:rPr>
          <w:rFonts w:ascii="Arial" w:cs="Arial" w:eastAsia="Arial" w:hAnsi="Arial"/>
          <w:sz w:val="18"/>
          <w:szCs w:val="18"/>
          <w:color w:val="auto"/>
        </w:rPr>
        <w:t>: a reference to a "person" includes any individual, firm, partnership, body corporate, unincorporated association,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agency of a state, local or municipal authority or government body, trust, foundation, joint venture or association (in each case whether or not having separate legal personality).</w:t>
      </w:r>
    </w:p>
    <w:p>
      <w:pPr>
        <w:spacing w:after="0" w:line="175"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622"/>
        </w:numPr>
        <w:rPr>
          <w:rFonts w:ascii="Arial" w:cs="Arial" w:eastAsia="Arial" w:hAnsi="Arial"/>
          <w:sz w:val="18"/>
          <w:szCs w:val="18"/>
          <w:color w:val="auto"/>
        </w:rPr>
      </w:pPr>
      <w:r>
        <w:rPr>
          <w:rFonts w:ascii="Arial" w:cs="Arial" w:eastAsia="Arial" w:hAnsi="Arial"/>
          <w:sz w:val="18"/>
          <w:szCs w:val="18"/>
          <w:b w:val="1"/>
          <w:bCs w:val="1"/>
          <w:color w:val="auto"/>
        </w:rPr>
        <w:t>References to this Deed and other agreements and documents</w:t>
      </w:r>
      <w:r>
        <w:rPr>
          <w:rFonts w:ascii="Arial" w:cs="Arial" w:eastAsia="Arial" w:hAnsi="Arial"/>
          <w:sz w:val="18"/>
          <w:szCs w:val="18"/>
          <w:color w:val="auto"/>
        </w:rPr>
        <w:t>: a reference to this Deed or to another deed, agreement,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(including, without limitation, any share certificate and any Loan Document) is a reference to this Deed or to the relevant other deed, agreement, document or instrument as supplemented, varied, amended, modified, novated or replaced from time to time and to any agreement, deed or document executed pursuant thereto.</w:t>
      </w:r>
    </w:p>
    <w:p>
      <w:pPr>
        <w:spacing w:after="0" w:line="179"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622"/>
        </w:numPr>
        <w:rPr>
          <w:rFonts w:ascii="Arial" w:cs="Arial" w:eastAsia="Arial" w:hAnsi="Arial"/>
          <w:sz w:val="18"/>
          <w:szCs w:val="18"/>
          <w:color w:val="auto"/>
        </w:rPr>
      </w:pPr>
      <w:r>
        <w:rPr>
          <w:rFonts w:ascii="Arial" w:cs="Arial" w:eastAsia="Arial" w:hAnsi="Arial"/>
          <w:sz w:val="18"/>
          <w:szCs w:val="18"/>
          <w:b w:val="1"/>
          <w:bCs w:val="1"/>
          <w:color w:val="auto"/>
        </w:rPr>
        <w:t>Successors, transferees and assigns</w:t>
      </w:r>
      <w:r>
        <w:rPr>
          <w:rFonts w:ascii="Arial" w:cs="Arial" w:eastAsia="Arial" w:hAnsi="Arial"/>
          <w:sz w:val="18"/>
          <w:szCs w:val="18"/>
          <w:color w:val="auto"/>
        </w:rPr>
        <w:t>: a reference to a person (including, without limitation, any party to this Deed, any Secured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party to any Loan Document) shall include reference to its successors, transferees (including by novation) and assigns and any person deriving title under or through it, whether in security or otherwise, any person into which such person may be merged or consolidated, any company resulting from any merger or consolidation of such person and any person succeeding to all or substantially all of the business of that person.</w:t>
      </w:r>
    </w:p>
    <w:p>
      <w:pPr>
        <w:spacing w:after="0" w:line="183"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622"/>
        </w:numPr>
        <w:rPr>
          <w:rFonts w:ascii="Arial" w:cs="Arial" w:eastAsia="Arial" w:hAnsi="Arial"/>
          <w:sz w:val="18"/>
          <w:szCs w:val="18"/>
          <w:color w:val="auto"/>
        </w:rPr>
      </w:pPr>
      <w:r>
        <w:rPr>
          <w:rFonts w:ascii="Arial" w:cs="Arial" w:eastAsia="Arial" w:hAnsi="Arial"/>
          <w:sz w:val="18"/>
          <w:szCs w:val="18"/>
          <w:b w:val="1"/>
          <w:bCs w:val="1"/>
          <w:color w:val="auto"/>
        </w:rPr>
        <w:t>Statutory provisions</w:t>
      </w:r>
      <w:r>
        <w:rPr>
          <w:rFonts w:ascii="Arial" w:cs="Arial" w:eastAsia="Arial" w:hAnsi="Arial"/>
          <w:sz w:val="18"/>
          <w:szCs w:val="18"/>
          <w:color w:val="auto"/>
        </w:rPr>
        <w:t>: a reference to any statute, statutory provision, order, instrument, rule or regulation is to that statute,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order, instrument, rule or regulation as amended or re-enacted from time to time, any provision of which it is a re-enactment or consolidation and any order, instrument or regulation made or issued under it.</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1"/>
          <w:numId w:val="622"/>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headings are for convenience only and shall not affect the interpretation of this Deed.</w:t>
      </w:r>
    </w:p>
    <w:p>
      <w:pPr>
        <w:spacing w:after="0" w:line="225"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622"/>
        </w:numPr>
        <w:rPr>
          <w:rFonts w:ascii="Arial" w:cs="Arial" w:eastAsia="Arial" w:hAnsi="Arial"/>
          <w:sz w:val="18"/>
          <w:szCs w:val="18"/>
          <w:color w:val="auto"/>
        </w:rPr>
      </w:pPr>
      <w:r>
        <w:rPr>
          <w:rFonts w:ascii="Arial" w:cs="Arial" w:eastAsia="Arial" w:hAnsi="Arial"/>
          <w:sz w:val="18"/>
          <w:szCs w:val="18"/>
          <w:b w:val="1"/>
          <w:bCs w:val="1"/>
          <w:color w:val="auto"/>
        </w:rPr>
        <w:t>Clauses, Schedules and Paragraphs</w:t>
      </w:r>
      <w:r>
        <w:rPr>
          <w:rFonts w:ascii="Arial" w:cs="Arial" w:eastAsia="Arial" w:hAnsi="Arial"/>
          <w:sz w:val="18"/>
          <w:szCs w:val="18"/>
          <w:color w:val="auto"/>
        </w:rPr>
        <w:t>: a reference to a Clause is to a clause in this Deed; a reference to a Schedule is to a schedule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Deed; a reference to a Paragraph is to a paragraph of a Schedule; and a reference to this Deed includes a reference to each of its Schedules.</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1"/>
          <w:numId w:val="622"/>
        </w:numPr>
        <w:rPr>
          <w:rFonts w:ascii="Arial" w:cs="Arial" w:eastAsia="Arial" w:hAnsi="Arial"/>
          <w:sz w:val="16"/>
          <w:szCs w:val="16"/>
          <w:color w:val="auto"/>
        </w:rPr>
      </w:pPr>
      <w:r>
        <w:rPr>
          <w:rFonts w:ascii="Arial" w:cs="Arial" w:eastAsia="Arial" w:hAnsi="Arial"/>
          <w:sz w:val="16"/>
          <w:szCs w:val="16"/>
          <w:b w:val="1"/>
          <w:bCs w:val="1"/>
          <w:color w:val="auto"/>
        </w:rPr>
        <w:t>Disposal</w:t>
      </w:r>
      <w:r>
        <w:rPr>
          <w:rFonts w:ascii="Arial" w:cs="Arial" w:eastAsia="Arial" w:hAnsi="Arial"/>
          <w:sz w:val="16"/>
          <w:szCs w:val="16"/>
          <w:color w:val="auto"/>
        </w:rPr>
        <w:t>: a reference to "disposal" includes any of the following, whether by a single transaction or series of transactions whether related</w:t>
      </w:r>
    </w:p>
    <w:p>
      <w:pPr>
        <w:spacing w:after="0" w:line="50" w:lineRule="exact"/>
        <w:rPr>
          <w:rFonts w:ascii="Arial" w:cs="Arial" w:eastAsia="Arial" w:hAnsi="Arial"/>
          <w:sz w:val="16"/>
          <w:szCs w:val="16"/>
          <w:color w:val="auto"/>
        </w:rPr>
      </w:pPr>
    </w:p>
    <w:p>
      <w:pPr>
        <w:jc w:val="both"/>
        <w:ind w:left="1300"/>
        <w:spacing w:after="0" w:line="255" w:lineRule="auto"/>
        <w:rPr>
          <w:rFonts w:ascii="Arial" w:cs="Arial" w:eastAsia="Arial" w:hAnsi="Arial"/>
          <w:sz w:val="16"/>
          <w:szCs w:val="16"/>
          <w:color w:val="auto"/>
        </w:rPr>
      </w:pPr>
      <w:r>
        <w:rPr>
          <w:rFonts w:ascii="Arial" w:cs="Arial" w:eastAsia="Arial" w:hAnsi="Arial"/>
          <w:sz w:val="18"/>
          <w:szCs w:val="18"/>
          <w:color w:val="auto"/>
        </w:rPr>
        <w:t>or not, and whether voluntary or involuntary: a sale, transfer, assignment, loan, parting with any interest in or permitting the use by another person of, the grant of any option to purchase or pre-emption right or other present or future right to acquire or create any interest in, or any other disposal or dealing, and "dispose" shall be construed accordingly.</w:t>
      </w:r>
    </w:p>
    <w:p>
      <w:pPr>
        <w:spacing w:after="0" w:line="185" w:lineRule="exact"/>
        <w:rPr>
          <w:rFonts w:ascii="Arial" w:cs="Arial" w:eastAsia="Arial" w:hAnsi="Arial"/>
          <w:sz w:val="16"/>
          <w:szCs w:val="16"/>
          <w:color w:val="auto"/>
        </w:rPr>
      </w:pPr>
    </w:p>
    <w:p>
      <w:pPr>
        <w:jc w:val="both"/>
        <w:ind w:left="1300" w:hanging="644"/>
        <w:spacing w:after="0" w:line="303" w:lineRule="auto"/>
        <w:tabs>
          <w:tab w:leader="none" w:pos="1300" w:val="left"/>
        </w:tabs>
        <w:numPr>
          <w:ilvl w:val="1"/>
          <w:numId w:val="622"/>
        </w:numPr>
        <w:rPr>
          <w:rFonts w:ascii="Arial" w:cs="Arial" w:eastAsia="Arial" w:hAnsi="Arial"/>
          <w:sz w:val="16"/>
          <w:szCs w:val="16"/>
          <w:color w:val="auto"/>
        </w:rPr>
      </w:pPr>
      <w:r>
        <w:rPr>
          <w:rFonts w:ascii="Arial" w:cs="Arial" w:eastAsia="Arial" w:hAnsi="Arial"/>
          <w:sz w:val="16"/>
          <w:szCs w:val="16"/>
          <w:b w:val="1"/>
          <w:bCs w:val="1"/>
          <w:color w:val="auto"/>
        </w:rPr>
        <w:t>Loan Agreement and Intercreditor Agreement</w:t>
      </w:r>
      <w:r>
        <w:rPr>
          <w:rFonts w:ascii="Arial" w:cs="Arial" w:eastAsia="Arial" w:hAnsi="Arial"/>
          <w:sz w:val="16"/>
          <w:szCs w:val="16"/>
          <w:color w:val="auto"/>
        </w:rPr>
        <w:t>: The undertakings and other obligations of the Mortgagor, Collateral Agent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under this Deed shall at all times be read and construed as subject to the provisions of the Loan Agreement, the Intercreditor Agreement and the Guarantee which shall prevail in case of any conflict. The terms of this Deed shall not operate or be construed so as to prohibit or restrict any transaction or matter that is permitted by the Loan Agreement or the Intercreditor Agreement.</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623"/>
        </w:numPr>
        <w:rPr>
          <w:rFonts w:ascii="Arial" w:cs="Arial" w:eastAsia="Arial" w:hAnsi="Arial"/>
          <w:sz w:val="18"/>
          <w:szCs w:val="18"/>
          <w:color w:val="auto"/>
        </w:rPr>
      </w:pPr>
      <w:r>
        <w:rPr>
          <w:rFonts w:ascii="Arial" w:cs="Arial" w:eastAsia="Arial" w:hAnsi="Arial"/>
          <w:sz w:val="18"/>
          <w:szCs w:val="18"/>
          <w:b w:val="1"/>
          <w:bCs w:val="1"/>
          <w:color w:val="auto"/>
        </w:rPr>
        <w:t>TRUST</w:t>
      </w:r>
    </w:p>
    <w:p>
      <w:pPr>
        <w:spacing w:after="0" w:line="229"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2.1     The Collateral Agent shall hold, and hereby declares that it shall hold, the benefit of the Security and the benefit of all representations, warranties, covenants and undertakings under this Deed on trust for the Secured Parties on and subject to the terms of this Deed and the Mortgagor hereby</w:t>
      </w:r>
    </w:p>
    <w:p>
      <w:pPr>
        <w:sectPr>
          <w:pgSz w:w="11900" w:h="16888" w:orient="portrait"/>
          <w:cols w:equalWidth="0" w:num="1">
            <w:col w:w="11240"/>
          </w:cols>
          <w:pgMar w:left="320" w:top="125" w:right="339" w:bottom="0" w:gutter="0" w:footer="0" w:header="0"/>
        </w:sectPr>
      </w:pPr>
    </w:p>
    <w:bookmarkStart w:id="565" w:name="page566"/>
    <w:bookmarkEnd w:id="565"/>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acknowledges such trusts.</w:t>
      </w:r>
    </w:p>
    <w:p>
      <w:pPr>
        <w:spacing w:after="0" w:line="225" w:lineRule="exact"/>
        <w:rPr>
          <w:sz w:val="20"/>
          <w:szCs w:val="20"/>
          <w:color w:val="auto"/>
        </w:rPr>
      </w:pPr>
    </w:p>
    <w:p>
      <w:pPr>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In this Deed the Collateral Agent acts under the authority of the Secured Parties contained in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 of the Loan Agreement and in accordance with, subject to and with the full benefit of the provisions of such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w:t>
      </w:r>
    </w:p>
    <w:p>
      <w:pPr>
        <w:spacing w:after="0" w:line="142" w:lineRule="exact"/>
        <w:rPr>
          <w:sz w:val="20"/>
          <w:szCs w:val="20"/>
          <w:color w:val="auto"/>
        </w:rPr>
      </w:pPr>
    </w:p>
    <w:p>
      <w:pPr>
        <w:ind w:left="660" w:hanging="652"/>
        <w:spacing w:after="0"/>
        <w:tabs>
          <w:tab w:leader="none" w:pos="660" w:val="left"/>
        </w:tabs>
        <w:numPr>
          <w:ilvl w:val="0"/>
          <w:numId w:val="624"/>
        </w:numPr>
        <w:rPr>
          <w:rFonts w:ascii="Arial" w:cs="Arial" w:eastAsia="Arial" w:hAnsi="Arial"/>
          <w:sz w:val="18"/>
          <w:szCs w:val="18"/>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priority of claims in relation to this Deed and the ABL Equitable Share Mortgage shall be subject to the Intercreditor Agreement. Each Secured Party, of its acceptance of the benefits of this Deed (a) consents to the 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9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167" w:lineRule="exact"/>
        <w:rPr>
          <w:sz w:val="20"/>
          <w:szCs w:val="20"/>
          <w:color w:val="auto"/>
        </w:rPr>
      </w:pPr>
    </w:p>
    <w:p>
      <w:pPr>
        <w:ind w:left="660" w:hanging="652"/>
        <w:spacing w:after="0"/>
        <w:tabs>
          <w:tab w:leader="none" w:pos="660" w:val="left"/>
        </w:tabs>
        <w:numPr>
          <w:ilvl w:val="0"/>
          <w:numId w:val="625"/>
        </w:numPr>
        <w:rPr>
          <w:rFonts w:ascii="Arial" w:cs="Arial" w:eastAsia="Arial" w:hAnsi="Arial"/>
          <w:sz w:val="18"/>
          <w:szCs w:val="18"/>
          <w:color w:val="auto"/>
        </w:rPr>
      </w:pPr>
      <w:r>
        <w:rPr>
          <w:rFonts w:ascii="Arial" w:cs="Arial" w:eastAsia="Arial" w:hAnsi="Arial"/>
          <w:sz w:val="18"/>
          <w:szCs w:val="18"/>
          <w:b w:val="1"/>
          <w:bCs w:val="1"/>
          <w:color w:val="auto"/>
        </w:rPr>
        <w:t>ABL EQUITABLE SHARE MORTGAGE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All security created under this Deed does not affect the security created by the ABL Equitable Share Mortgage.</w:t>
      </w:r>
    </w:p>
    <w:p>
      <w:pPr>
        <w:spacing w:after="0" w:line="22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Notwithstanding any provision of this Deed, provided that the Mortgagor is in compliance with the terms of the ABL Equitable Share Mortgage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Mortgagor will be deemed to have complied with the relevant obligations under this Deed by virtue of its compliance under the ABL Equitable Share Mortgage, provided however that, in the event that the terms of the ABL Equitable Share Mortgage no longer continue to be in full force and effect or the ABL Equitable Share Mortgage is released or discharged (or as otherwise required by the Intercreditor Agreement) the Mortgagor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162" w:lineRule="exact"/>
        <w:rPr>
          <w:sz w:val="20"/>
          <w:szCs w:val="20"/>
          <w:color w:val="auto"/>
        </w:rPr>
      </w:pPr>
    </w:p>
    <w:p>
      <w:pPr>
        <w:ind w:left="660" w:hanging="652"/>
        <w:spacing w:after="0"/>
        <w:tabs>
          <w:tab w:leader="none" w:pos="660" w:val="left"/>
        </w:tabs>
        <w:numPr>
          <w:ilvl w:val="0"/>
          <w:numId w:val="626"/>
        </w:numPr>
        <w:rPr>
          <w:rFonts w:ascii="Arial" w:cs="Arial" w:eastAsia="Arial" w:hAnsi="Arial"/>
          <w:sz w:val="18"/>
          <w:szCs w:val="18"/>
          <w:color w:val="auto"/>
        </w:rPr>
      </w:pPr>
      <w:r>
        <w:rPr>
          <w:rFonts w:ascii="Arial" w:cs="Arial" w:eastAsia="Arial" w:hAnsi="Arial"/>
          <w:sz w:val="18"/>
          <w:szCs w:val="18"/>
          <w:b w:val="1"/>
          <w:bCs w:val="1"/>
          <w:color w:val="auto"/>
        </w:rPr>
        <w:t>COVENANT TO PAY</w:t>
      </w:r>
    </w:p>
    <w:p>
      <w:pPr>
        <w:spacing w:after="0" w:line="235"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Subject to any limits on its liability and any grace periods specifically recorded in the Loan Documents, the Mortgagor covenants with the Collateral Agent to pay and discharge all Secured Obligations which may from time to time be or become due, owing or payable by the Mortgagor (whether as principal or surety and whether or not jointly with another) to or to the order of the Collateral Agent under, pursuant to or in connection with the Loan Agreement, the Guarantee and/or this Deed, as applicable, in each case at the times when, and in the currency or currencies and in the manner in which, they are expressed to be due, owing or payable herein or therein.</w:t>
      </w:r>
    </w:p>
    <w:p>
      <w:pPr>
        <w:spacing w:after="0" w:line="171" w:lineRule="exact"/>
        <w:rPr>
          <w:sz w:val="20"/>
          <w:szCs w:val="20"/>
          <w:color w:val="auto"/>
        </w:rPr>
      </w:pPr>
    </w:p>
    <w:p>
      <w:pPr>
        <w:ind w:left="660" w:hanging="652"/>
        <w:spacing w:after="0"/>
        <w:tabs>
          <w:tab w:leader="none" w:pos="660" w:val="left"/>
        </w:tabs>
        <w:numPr>
          <w:ilvl w:val="0"/>
          <w:numId w:val="627"/>
        </w:numPr>
        <w:rPr>
          <w:rFonts w:ascii="Arial" w:cs="Arial" w:eastAsia="Arial" w:hAnsi="Arial"/>
          <w:sz w:val="18"/>
          <w:szCs w:val="18"/>
          <w:color w:val="auto"/>
        </w:rPr>
      </w:pPr>
      <w:r>
        <w:rPr>
          <w:rFonts w:ascii="Arial" w:cs="Arial" w:eastAsia="Arial" w:hAnsi="Arial"/>
          <w:sz w:val="18"/>
          <w:szCs w:val="18"/>
          <w:b w:val="1"/>
          <w:bCs w:val="1"/>
          <w:color w:val="auto"/>
        </w:rPr>
        <w:t>CREATION OF SECURITY</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Mortgagor, as continuing security for the payment and discharge of the Secured Obligations and with full title guarantee, charges by way of fixed charge all of its Rights, title and interest in and to the Original Shares, all Further Shares, all Derived Assets and all Dividends in favour of the Collateral Agent.</w:t>
      </w:r>
    </w:p>
    <w:p>
      <w:pPr>
        <w:spacing w:after="0" w:line="175" w:lineRule="exact"/>
        <w:rPr>
          <w:sz w:val="20"/>
          <w:szCs w:val="20"/>
          <w:color w:val="auto"/>
        </w:rPr>
      </w:pPr>
    </w:p>
    <w:p>
      <w:pPr>
        <w:ind w:left="660" w:hanging="652"/>
        <w:spacing w:after="0"/>
        <w:tabs>
          <w:tab w:leader="none" w:pos="660" w:val="left"/>
        </w:tabs>
        <w:numPr>
          <w:ilvl w:val="0"/>
          <w:numId w:val="628"/>
        </w:numPr>
        <w:rPr>
          <w:rFonts w:ascii="Arial" w:cs="Arial" w:eastAsia="Arial" w:hAnsi="Arial"/>
          <w:sz w:val="18"/>
          <w:szCs w:val="18"/>
          <w:color w:val="auto"/>
        </w:rPr>
      </w:pPr>
      <w:r>
        <w:rPr>
          <w:rFonts w:ascii="Arial" w:cs="Arial" w:eastAsia="Arial" w:hAnsi="Arial"/>
          <w:sz w:val="18"/>
          <w:szCs w:val="18"/>
          <w:b w:val="1"/>
          <w:bCs w:val="1"/>
          <w:color w:val="auto"/>
        </w:rPr>
        <w:t>COVENANT TO DEPOSIT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Original Shares and Further Shares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Mortgagor shall, promptly after execution of this Deed in the case of the Original Shares, and within 15 Business Days (or such later date as may be agreed upon by the Collateral Agent) of issue of any Further Shares deposit with the Collateral Agent (or other person nominated by the Collateral Agent):</w:t>
      </w:r>
    </w:p>
    <w:p>
      <w:pPr>
        <w:spacing w:after="0" w:line="179" w:lineRule="exact"/>
        <w:rPr>
          <w:sz w:val="20"/>
          <w:szCs w:val="20"/>
          <w:color w:val="auto"/>
        </w:rPr>
      </w:pPr>
    </w:p>
    <w:p>
      <w:pPr>
        <w:ind w:left="1300" w:hanging="644"/>
        <w:spacing w:after="0"/>
        <w:tabs>
          <w:tab w:leader="none" w:pos="130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all share certificates, documents of title and other documentary evidence of ownership in relation to such Shares; and</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629"/>
        </w:numPr>
        <w:rPr>
          <w:rFonts w:ascii="Arial" w:cs="Arial" w:eastAsia="Arial" w:hAnsi="Arial"/>
          <w:sz w:val="17"/>
          <w:szCs w:val="17"/>
          <w:color w:val="auto"/>
        </w:rPr>
      </w:pPr>
      <w:r>
        <w:rPr>
          <w:rFonts w:ascii="Arial" w:cs="Arial" w:eastAsia="Arial" w:hAnsi="Arial"/>
          <w:sz w:val="17"/>
          <w:szCs w:val="17"/>
          <w:color w:val="auto"/>
        </w:rPr>
        <w:t>transfers of such Shares duly executed by the Mortgagor or its nominee with the name of the transferee left blank, or if the Collateral Agent so requires, duly executed by the Mortgagor or its nominee in favour of the Collateral Agent (or its nominee).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Derived Assets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Mortgagor shall promptly and in any event within 15 Business Days (or such later date as may be agreed upon by the Collateral Agent) of the issue, accrual or offer of any Derived Assets, deliver to the Collateral Agent or procure the delivery to the Collateral Agent of:</w:t>
      </w:r>
    </w:p>
    <w:p>
      <w:pPr>
        <w:spacing w:after="0" w:line="179" w:lineRule="exact"/>
        <w:rPr>
          <w:sz w:val="20"/>
          <w:szCs w:val="20"/>
          <w:color w:val="auto"/>
        </w:rPr>
      </w:pPr>
    </w:p>
    <w:p>
      <w:pPr>
        <w:ind w:left="1300" w:right="20" w:hanging="644"/>
        <w:spacing w:after="0" w:line="277" w:lineRule="auto"/>
        <w:tabs>
          <w:tab w:leader="none" w:pos="130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all share certificates, renounceable certificates, letters of allotment, documents of title and other documentary evidence of ownership in relation to the Derived Assets;</w:t>
      </w:r>
    </w:p>
    <w:p>
      <w:pPr>
        <w:sectPr>
          <w:pgSz w:w="11900" w:h="16954" w:orient="portrait"/>
          <w:cols w:equalWidth="0" w:num="1">
            <w:col w:w="11240"/>
          </w:cols>
          <w:pgMar w:left="320" w:top="125" w:right="339" w:bottom="0" w:gutter="0" w:footer="0" w:header="0"/>
        </w:sectPr>
      </w:pP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such documents as are referred to Clauses 0 (</w:t>
      </w:r>
      <w:r>
        <w:rPr>
          <w:rFonts w:ascii="Arial" w:cs="Arial" w:eastAsia="Arial" w:hAnsi="Arial"/>
          <w:sz w:val="15"/>
          <w:szCs w:val="15"/>
          <w:i w:val="1"/>
          <w:iCs w:val="1"/>
          <w:color w:val="auto"/>
        </w:rPr>
        <w:t>7.1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Original Shares and Further </w:t>
      </w:r>
      <w:r>
        <w:rPr>
          <w:rFonts w:ascii="Arial" w:cs="Arial" w:eastAsia="Arial" w:hAnsi="Arial"/>
          <w:sz w:val="18"/>
          <w:szCs w:val="18"/>
          <w:b w:val="1"/>
          <w:bCs w:val="1"/>
          <w:color w:val="auto"/>
        </w:rPr>
        <w:t>Shares</w:t>
      </w:r>
      <w:r>
        <w:rPr>
          <w:rFonts w:ascii="Arial" w:cs="Arial" w:eastAsia="Arial" w:hAnsi="Arial"/>
          <w:sz w:val="18"/>
          <w:szCs w:val="18"/>
          <w:color w:val="auto"/>
        </w:rPr>
        <w:t>) in relation to any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in such Derived Assets; and</w:t>
      </w:r>
    </w:p>
    <w:p>
      <w:pPr>
        <w:sectPr>
          <w:pgSz w:w="11900" w:h="16954" w:orient="portrait"/>
          <w:cols w:equalWidth="0" w:num="2">
            <w:col w:w="5780" w:space="720"/>
            <w:col w:w="4740"/>
          </w:cols>
          <w:pgMar w:left="320" w:top="125" w:right="339" w:bottom="0" w:gutter="0" w:footer="0" w:header="0"/>
          <w:type w:val="continuous"/>
        </w:sectPr>
      </w:pPr>
    </w:p>
    <w:bookmarkStart w:id="566" w:name="page567"/>
    <w:bookmarkEnd w:id="566"/>
    <w:p>
      <w:pPr>
        <w:jc w:val="both"/>
        <w:ind w:left="1300" w:hanging="644"/>
        <w:spacing w:after="0" w:line="263" w:lineRule="auto"/>
        <w:tabs>
          <w:tab w:leader="none" w:pos="130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such other documents as the Collateral Agent may reasonably require to enable the Collateral Agent (or its nominee) or, after the occurrence of an Enforcement Event, any Receiver or any purchaser to be registered as the owner of, or otherwise to obtain legal title to, the Derived Assets in accordance with this Deed.</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632"/>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The Mortgagor shall, at its own cost, promptly take whatever action the Collateral Agent or any Receiver may reasonably require with a view to:</w:t>
      </w:r>
    </w:p>
    <w:p>
      <w:pPr>
        <w:spacing w:after="0" w:line="168" w:lineRule="exact"/>
        <w:rPr>
          <w:sz w:val="20"/>
          <w:szCs w:val="20"/>
          <w:color w:val="auto"/>
        </w:rPr>
      </w:pPr>
    </w:p>
    <w:p>
      <w:pPr>
        <w:ind w:left="1300" w:hanging="644"/>
        <w:spacing w:after="0" w:line="277" w:lineRule="auto"/>
        <w:tabs>
          <w:tab w:leader="none" w:pos="13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creating, preserving, perfecting or protecting any of the Security or the first priority of any of the Security (subject to any Liens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facilitating the enforcement of the Security or the exercise of any Rights vested in the Collateral Agent or any Receiver in connection with this Deed;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177"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including, without limitation, executing such assignments, transfers and conveyances of the Secured Assets (whether in favour of the Collateral Agent,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pacing w:after="0" w:line="181" w:lineRule="exact"/>
        <w:rPr>
          <w:sz w:val="20"/>
          <w:szCs w:val="20"/>
          <w:color w:val="auto"/>
        </w:rPr>
      </w:pPr>
    </w:p>
    <w:p>
      <w:pPr>
        <w:ind w:left="660" w:hanging="652"/>
        <w:spacing w:after="0"/>
        <w:tabs>
          <w:tab w:leader="none" w:pos="660" w:val="left"/>
        </w:tabs>
        <w:numPr>
          <w:ilvl w:val="0"/>
          <w:numId w:val="634"/>
        </w:numPr>
        <w:rPr>
          <w:rFonts w:ascii="Arial" w:cs="Arial" w:eastAsia="Arial" w:hAnsi="Arial"/>
          <w:sz w:val="18"/>
          <w:szCs w:val="18"/>
          <w:color w:val="auto"/>
        </w:rPr>
      </w:pPr>
      <w:r>
        <w:rPr>
          <w:rFonts w:ascii="Arial" w:cs="Arial" w:eastAsia="Arial" w:hAnsi="Arial"/>
          <w:sz w:val="18"/>
          <w:szCs w:val="18"/>
          <w:b w:val="1"/>
          <w:bCs w:val="1"/>
          <w:color w:val="auto"/>
        </w:rPr>
        <w:t>VOTING RIGHTS AND DIVIDENDS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Prior to a Enforcement Event</w:t>
      </w:r>
    </w:p>
    <w:p>
      <w:pPr>
        <w:spacing w:after="0" w:line="229" w:lineRule="exact"/>
        <w:rPr>
          <w:sz w:val="20"/>
          <w:szCs w:val="20"/>
          <w:color w:val="auto"/>
        </w:rPr>
      </w:pPr>
    </w:p>
    <w:p>
      <w:pPr>
        <w:jc w:val="both"/>
        <w:ind w:left="1300" w:hanging="644"/>
        <w:spacing w:after="0" w:line="263" w:lineRule="auto"/>
        <w:tabs>
          <w:tab w:leader="none" w:pos="13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Prior to such time as the Collateral Agent has, following the occurrence of an Enforcement Event, notified the Mortgagor in writing that it has elected to collect any Dividends in accordance with the terms of this Deed, the Mortgagor shall be entitled to receive and retain free from the Security any Dividends paid to it.</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Prior to such time as the Collateral Agent has, following the occurrence of an Enforcement Event, notified the Mortgagor in writing that it has elected to exercise voting and other Rights relating to the Secured Assets in accordance with the terms of this Deed, the Mortgagor shall be entitled to exercise and control the exercise of all voting and other Rights relating to the Secured Assets provided that it shall not exercise any such voting rights or powers in a manner which would diminish the effectiveness or enforceability of the Security Interests created under this Deed in any material respect or restrict the transferability of the Secured Assets by the Collateral Agent or any Relevant Person.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Following an Enforcement Event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and at all times after, the occurrence of any Enforcement Event:</w:t>
      </w:r>
    </w:p>
    <w:p>
      <w:pPr>
        <w:spacing w:after="0" w:line="227" w:lineRule="exact"/>
        <w:rPr>
          <w:sz w:val="20"/>
          <w:szCs w:val="20"/>
          <w:color w:val="auto"/>
        </w:rPr>
      </w:pPr>
    </w:p>
    <w:p>
      <w:pPr>
        <w:jc w:val="both"/>
        <w:ind w:left="1300" w:hanging="644"/>
        <w:spacing w:after="0" w:line="263" w:lineRule="auto"/>
        <w:tabs>
          <w:tab w:leader="none" w:pos="130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at the request of the Collateral Agent, all Dividends shall be paid to and retained by the Collateral Agent or, if appointed, any Receiver and any such monies which may be received by the Mortgagor shall, pending such payment, be segregated from any other property of the Mortgagor and held in trust for the Collateral Agent; and</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the Collateral Agent or, if appointed, any Receiver may, for the purpose of preserving the value of the Security or realising it, direct the exercise of all voting and other Rights relating to the Secured Assets and the Mortgagor shall procure that all voting and other Rights relating to the Secured Assets are exercised in accordance with such instructions as may, from time to time, be given to the Mortgagor by the Collateral Agent, or, if appointed, any Receiver and the Mortgagor shall deliver to the Collateral Agent or, if appointed, any Receiver such forms of proxy or other appropriate forms of authorisation as may be required to enable the Collateral Agent or, as the case may be, Receiver to exercise such voting and other Rights.</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63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35" w:lineRule="exact"/>
        <w:rPr>
          <w:sz w:val="20"/>
          <w:szCs w:val="20"/>
          <w:color w:val="auto"/>
        </w:rPr>
      </w:pPr>
    </w:p>
    <w:p>
      <w:pPr>
        <w:jc w:val="both"/>
        <w:ind w:left="660"/>
        <w:spacing w:after="0" w:line="327" w:lineRule="auto"/>
        <w:rPr>
          <w:sz w:val="20"/>
          <w:szCs w:val="20"/>
          <w:color w:val="auto"/>
        </w:rPr>
      </w:pPr>
      <w:r>
        <w:rPr>
          <w:rFonts w:ascii="Arial" w:cs="Arial" w:eastAsia="Arial" w:hAnsi="Arial"/>
          <w:sz w:val="19"/>
          <w:szCs w:val="19"/>
          <w:color w:val="auto"/>
        </w:rPr>
        <w:t>The Mortgagor represents and warrants to the Collateral Agent that each of the matters set out in Schedule 2 (</w:t>
      </w:r>
      <w:r>
        <w:rPr>
          <w:rFonts w:ascii="Arial" w:cs="Arial" w:eastAsia="Arial" w:hAnsi="Arial"/>
          <w:sz w:val="19"/>
          <w:szCs w:val="19"/>
          <w:i w:val="1"/>
          <w:iCs w:val="1"/>
          <w:color w:val="auto"/>
        </w:rPr>
        <w:t>Assigned</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w:t>
      </w:r>
      <w:r>
        <w:rPr>
          <w:rFonts w:ascii="Arial" w:cs="Arial" w:eastAsia="Arial" w:hAnsi="Arial"/>
          <w:sz w:val="19"/>
          <w:szCs w:val="19"/>
          <w:color w:val="auto"/>
        </w:rPr>
        <w:t>) (save the matters in paragraph 0) is true and correct as at the date hereof. Each representation and warranty 0</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given (and the matters therein true and correct) on the date of each issue of any Shares referred to in it.</w:t>
      </w:r>
    </w:p>
    <w:p>
      <w:pPr>
        <w:spacing w:after="0" w:line="123" w:lineRule="exact"/>
        <w:rPr>
          <w:sz w:val="20"/>
          <w:szCs w:val="20"/>
          <w:color w:val="auto"/>
        </w:rPr>
      </w:pPr>
    </w:p>
    <w:p>
      <w:pPr>
        <w:ind w:left="660" w:hanging="652"/>
        <w:spacing w:after="0"/>
        <w:tabs>
          <w:tab w:leader="none" w:pos="660"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RESTRICTIONS ON DEALINGS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Security</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The Mortgagor may only create, incur, assume or permit to exist a Security Interest on any Secured Asset if it is permitted by Section 8.04 (</w:t>
      </w:r>
      <w:r>
        <w:rPr>
          <w:rFonts w:ascii="Arial" w:cs="Arial" w:eastAsia="Arial" w:hAnsi="Arial"/>
          <w:sz w:val="22"/>
          <w:szCs w:val="22"/>
          <w:i w:val="1"/>
          <w:iCs w:val="1"/>
          <w:color w:val="auto"/>
        </w:rPr>
        <w:t>Liens</w:t>
      </w:r>
      <w:r>
        <w:rPr>
          <w:rFonts w:ascii="Arial" w:cs="Arial" w:eastAsia="Arial" w:hAnsi="Arial"/>
          <w:sz w:val="22"/>
          <w:szCs w:val="22"/>
          <w:color w:val="auto"/>
        </w:rPr>
        <w:t>) of the Loan Agreement.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Disposals</w:t>
      </w:r>
    </w:p>
    <w:p>
      <w:pPr>
        <w:spacing w:after="0" w:line="235" w:lineRule="exact"/>
        <w:rPr>
          <w:sz w:val="20"/>
          <w:szCs w:val="20"/>
          <w:color w:val="auto"/>
        </w:rPr>
      </w:pPr>
    </w:p>
    <w:p>
      <w:pPr>
        <w:ind w:left="660" w:right="20"/>
        <w:spacing w:after="0" w:line="276" w:lineRule="auto"/>
        <w:rPr>
          <w:sz w:val="20"/>
          <w:szCs w:val="20"/>
          <w:color w:val="auto"/>
        </w:rPr>
      </w:pPr>
      <w:r>
        <w:rPr>
          <w:rFonts w:ascii="Arial" w:cs="Arial" w:eastAsia="Arial" w:hAnsi="Arial"/>
          <w:sz w:val="22"/>
          <w:szCs w:val="22"/>
          <w:color w:val="auto"/>
        </w:rPr>
        <w:t>The Mortgagor may only Dispose of any Secured Asset if it is permitted by Section 8.05 (</w:t>
      </w:r>
      <w:r>
        <w:rPr>
          <w:rFonts w:ascii="Arial" w:cs="Arial" w:eastAsia="Arial" w:hAnsi="Arial"/>
          <w:sz w:val="22"/>
          <w:szCs w:val="22"/>
          <w:i w:val="1"/>
          <w:iCs w:val="1"/>
          <w:color w:val="auto"/>
        </w:rPr>
        <w:t>Asset Dispositions</w:t>
      </w:r>
      <w:r>
        <w:rPr>
          <w:rFonts w:ascii="Arial" w:cs="Arial" w:eastAsia="Arial" w:hAnsi="Arial"/>
          <w:sz w:val="22"/>
          <w:szCs w:val="22"/>
          <w:color w:val="auto"/>
        </w:rPr>
        <w:t>) of the Loan Agreement.</w:t>
      </w:r>
    </w:p>
    <w:p>
      <w:pPr>
        <w:sectPr>
          <w:pgSz w:w="11900" w:h="16838" w:orient="portrait"/>
          <w:cols w:equalWidth="0" w:num="1">
            <w:col w:w="11240"/>
          </w:cols>
          <w:pgMar w:left="320" w:top="125" w:right="339" w:bottom="0" w:gutter="0" w:footer="0" w:header="0"/>
        </w:sectPr>
      </w:pPr>
    </w:p>
    <w:p>
      <w:pPr>
        <w:spacing w:after="0" w:line="164" w:lineRule="exact"/>
        <w:rPr>
          <w:sz w:val="20"/>
          <w:szCs w:val="20"/>
          <w:color w:val="auto"/>
        </w:rPr>
      </w:pPr>
    </w:p>
    <w:p>
      <w:pPr>
        <w:ind w:left="660" w:hanging="652"/>
        <w:spacing w:after="0"/>
        <w:tabs>
          <w:tab w:leader="none" w:pos="660" w:val="left"/>
        </w:tabs>
        <w:numPr>
          <w:ilvl w:val="0"/>
          <w:numId w:val="639"/>
        </w:numPr>
        <w:rPr>
          <w:rFonts w:ascii="Arial" w:cs="Arial" w:eastAsia="Arial" w:hAnsi="Arial"/>
          <w:sz w:val="17"/>
          <w:szCs w:val="17"/>
          <w:color w:val="auto"/>
        </w:rPr>
      </w:pPr>
      <w:r>
        <w:rPr>
          <w:rFonts w:ascii="Arial" w:cs="Arial" w:eastAsia="Arial" w:hAnsi="Arial"/>
          <w:sz w:val="17"/>
          <w:szCs w:val="17"/>
          <w:b w:val="1"/>
          <w:bCs w:val="1"/>
          <w:color w:val="auto"/>
        </w:rPr>
        <w:t>COVENANTS</w:t>
      </w:r>
    </w:p>
    <w:p>
      <w:pPr>
        <w:sectPr>
          <w:pgSz w:w="11900" w:h="16838" w:orient="portrait"/>
          <w:cols w:equalWidth="0" w:num="1">
            <w:col w:w="11240"/>
          </w:cols>
          <w:pgMar w:left="320" w:top="125" w:right="339" w:bottom="0" w:gutter="0" w:footer="0" w:header="0"/>
          <w:type w:val="continuous"/>
        </w:sectPr>
      </w:pPr>
    </w:p>
    <w:bookmarkStart w:id="567" w:name="page568"/>
    <w:bookmarkEnd w:id="567"/>
    <w:p>
      <w:pPr>
        <w:ind w:left="660"/>
        <w:spacing w:after="0"/>
        <w:rPr>
          <w:sz w:val="20"/>
          <w:szCs w:val="20"/>
          <w:color w:val="auto"/>
        </w:rPr>
      </w:pPr>
      <w:r>
        <w:rPr>
          <w:rFonts w:ascii="Arial" w:cs="Arial" w:eastAsia="Arial" w:hAnsi="Arial"/>
          <w:sz w:val="21"/>
          <w:szCs w:val="21"/>
          <w:color w:val="auto"/>
        </w:rPr>
        <w:t>The Mortgagor covenants with the Collateral Agent in the terms set out in Schedule 3 (</w:t>
      </w:r>
      <w:r>
        <w:rPr>
          <w:rFonts w:ascii="Arial" w:cs="Arial" w:eastAsia="Arial" w:hAnsi="Arial"/>
          <w:sz w:val="21"/>
          <w:szCs w:val="21"/>
          <w:i w:val="1"/>
          <w:iCs w:val="1"/>
          <w:color w:val="auto"/>
        </w:rPr>
        <w:t>Insurance</w:t>
      </w:r>
      <w:r>
        <w:rPr>
          <w:rFonts w:ascii="Arial" w:cs="Arial" w:eastAsia="Arial" w:hAnsi="Arial"/>
          <w:sz w:val="21"/>
          <w:szCs w:val="21"/>
          <w:color w:val="auto"/>
        </w:rPr>
        <w:t xml:space="preserve"> </w:t>
      </w:r>
      <w:r>
        <w:rPr>
          <w:rFonts w:ascii="Arial" w:cs="Arial" w:eastAsia="Arial" w:hAnsi="Arial"/>
          <w:sz w:val="21"/>
          <w:szCs w:val="21"/>
          <w:b w:val="1"/>
          <w:bCs w:val="1"/>
          <w:color w:val="auto"/>
        </w:rPr>
        <w:t>POLICIES</w:t>
      </w:r>
      <w:r>
        <w:rPr>
          <w:rFonts w:ascii="Arial" w:cs="Arial" w:eastAsia="Arial" w:hAnsi="Arial"/>
          <w:sz w:val="21"/>
          <w:szCs w:val="21"/>
          <w:color w:val="auto"/>
        </w:rPr>
        <w:t>).</w:t>
      </w:r>
    </w:p>
    <w:p>
      <w:pPr>
        <w:spacing w:after="0" w:line="240" w:lineRule="exact"/>
        <w:rPr>
          <w:sz w:val="20"/>
          <w:szCs w:val="20"/>
          <w:color w:val="auto"/>
        </w:rPr>
      </w:pPr>
    </w:p>
    <w:p>
      <w:pPr>
        <w:ind w:left="660" w:hanging="652"/>
        <w:spacing w:after="0"/>
        <w:tabs>
          <w:tab w:leader="none" w:pos="660"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Mortgagor irrevocably and by way of security appoints the Collateral Agent and each Receiver severally to be its attorney (each with full powers of substitution and delegation), on its behalf, in its name or otherwise, and, after the occurrence of an Enforcement Event, at such times and in such manner as the attorney may reasonably think fit:</w:t>
      </w:r>
    </w:p>
    <w:p>
      <w:pPr>
        <w:spacing w:after="0" w:line="184" w:lineRule="exact"/>
        <w:rPr>
          <w:sz w:val="20"/>
          <w:szCs w:val="20"/>
          <w:color w:val="auto"/>
        </w:rPr>
      </w:pPr>
    </w:p>
    <w:p>
      <w:pPr>
        <w:ind w:left="1300" w:hanging="644"/>
        <w:spacing w:after="0"/>
        <w:tabs>
          <w:tab w:leader="none" w:pos="130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to do anything which the Mortgagor is obliged to do under this Deed but has not done in a timely manner;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to do anything which it reasonably considers appropriate in relation to the exercise of any of its Rights under this Deed, the LPA, the Insolvency Act or otherwise,</w:t>
      </w:r>
    </w:p>
    <w:p>
      <w:pPr>
        <w:spacing w:after="0" w:line="177" w:lineRule="exact"/>
        <w:rPr>
          <w:sz w:val="20"/>
          <w:szCs w:val="20"/>
          <w:color w:val="auto"/>
        </w:rPr>
      </w:pPr>
    </w:p>
    <w:p>
      <w:pPr>
        <w:jc w:val="both"/>
        <w:ind w:left="660"/>
        <w:spacing w:after="0" w:line="299" w:lineRule="auto"/>
        <w:rPr>
          <w:sz w:val="20"/>
          <w:szCs w:val="20"/>
          <w:color w:val="auto"/>
        </w:rPr>
      </w:pPr>
      <w:r>
        <w:rPr>
          <w:rFonts w:ascii="Arial" w:cs="Arial" w:eastAsia="Arial" w:hAnsi="Arial"/>
          <w:sz w:val="19"/>
          <w:szCs w:val="19"/>
          <w:color w:val="auto"/>
        </w:rPr>
        <w:t>including, without limitation, the execution and delivery of transfers of any Secured Asset (to the Collateral Agent or otherwise) (but only after an Enforcement Event), the completion of any stock transfer form deposited with the Collateral</w:t>
      </w:r>
    </w:p>
    <w:p>
      <w:pPr>
        <w:jc w:val="both"/>
        <w:ind w:left="660"/>
        <w:spacing w:after="0" w:line="315" w:lineRule="auto"/>
        <w:rPr>
          <w:sz w:val="20"/>
          <w:szCs w:val="20"/>
          <w:color w:val="auto"/>
        </w:rPr>
      </w:pPr>
      <w:r>
        <w:rPr>
          <w:rFonts w:ascii="Arial" w:cs="Arial" w:eastAsia="Arial" w:hAnsi="Arial"/>
          <w:sz w:val="19"/>
          <w:szCs w:val="19"/>
          <w:color w:val="auto"/>
        </w:rPr>
        <w:t>Agent pursuant to Clause 0 (</w:t>
      </w:r>
      <w:r>
        <w:rPr>
          <w:rFonts w:ascii="Arial" w:cs="Arial" w:eastAsia="Arial" w:hAnsi="Arial"/>
          <w:sz w:val="19"/>
          <w:szCs w:val="19"/>
          <w:i w:val="1"/>
          <w:iCs w:val="1"/>
          <w:color w:val="auto"/>
        </w:rPr>
        <w:t>7. Covenant to</w:t>
      </w:r>
      <w:r>
        <w:rPr>
          <w:rFonts w:ascii="Arial" w:cs="Arial" w:eastAsia="Arial" w:hAnsi="Arial"/>
          <w:sz w:val="19"/>
          <w:szCs w:val="19"/>
          <w:color w:val="auto"/>
        </w:rPr>
        <w:t xml:space="preserve"> </w:t>
      </w:r>
      <w:r>
        <w:rPr>
          <w:rFonts w:ascii="Arial" w:cs="Arial" w:eastAsia="Arial" w:hAnsi="Arial"/>
          <w:sz w:val="19"/>
          <w:szCs w:val="19"/>
          <w:b w:val="1"/>
          <w:bCs w:val="1"/>
          <w:color w:val="auto"/>
        </w:rPr>
        <w:t>DEPOSIT</w:t>
      </w:r>
      <w:r>
        <w:rPr>
          <w:rFonts w:ascii="Arial" w:cs="Arial" w:eastAsia="Arial" w:hAnsi="Arial"/>
          <w:sz w:val="19"/>
          <w:szCs w:val="19"/>
          <w:color w:val="auto"/>
        </w:rPr>
        <w:t>) (but only after an Enforcement Event), the giving of any notice relating to all or any of the Secured Assets or Security, the execution of any other document whatsoever and (but only after an Enforcement Event) the exercise of any voting or other Rights of the Mortgagor in its capacity as legal owner of the Original Shares, Further Shares and any other shares comprised in any Derived Asset.</w:t>
      </w:r>
    </w:p>
    <w:p>
      <w:pPr>
        <w:spacing w:after="0" w:line="138"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Mortgagor hereby ratifies and confirms and agrees to ratify and confirm whatever the attorney shall do or purport to do in the exercise or purported exercise of its Rights as attorney.</w:t>
      </w:r>
    </w:p>
    <w:p>
      <w:pPr>
        <w:spacing w:after="0" w:line="166" w:lineRule="exact"/>
        <w:rPr>
          <w:sz w:val="20"/>
          <w:szCs w:val="20"/>
          <w:color w:val="auto"/>
        </w:rPr>
      </w:pPr>
    </w:p>
    <w:p>
      <w:pPr>
        <w:ind w:left="660" w:hanging="652"/>
        <w:spacing w:after="0"/>
        <w:tabs>
          <w:tab w:leader="none" w:pos="660"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Enforceability</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The Security shall, subject to any prohibition or restriction imposed by law, become enforceable upon and at any time after an Event of Default occurs and is continuing (an "</w:t>
      </w:r>
      <w:r>
        <w:rPr>
          <w:rFonts w:ascii="Arial" w:cs="Arial" w:eastAsia="Arial" w:hAnsi="Arial"/>
          <w:sz w:val="22"/>
          <w:szCs w:val="22"/>
          <w:b w:val="1"/>
          <w:bCs w:val="1"/>
          <w:color w:val="auto"/>
        </w:rPr>
        <w:t>Enforcement Event</w:t>
      </w:r>
      <w:r>
        <w:rPr>
          <w:rFonts w:ascii="Arial" w:cs="Arial" w:eastAsia="Arial" w:hAnsi="Arial"/>
          <w:sz w:val="22"/>
          <w:szCs w:val="22"/>
          <w:color w:val="auto"/>
        </w:rPr>
        <w: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Enforcement</w:t>
      </w:r>
    </w:p>
    <w:p>
      <w:pPr>
        <w:spacing w:after="0" w:line="225" w:lineRule="exact"/>
        <w:rPr>
          <w:sz w:val="20"/>
          <w:szCs w:val="20"/>
          <w:color w:val="auto"/>
        </w:rPr>
      </w:pPr>
    </w:p>
    <w:p>
      <w:pPr>
        <w:ind w:left="1300" w:hanging="644"/>
        <w:spacing w:after="0" w:line="282" w:lineRule="auto"/>
        <w:tabs>
          <w:tab w:leader="none" w:pos="130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At any time after the Security has become enforceable in accordance with Clause 0 (</w:t>
      </w:r>
      <w:r>
        <w:rPr>
          <w:rFonts w:ascii="Arial" w:cs="Arial" w:eastAsia="Arial" w:hAnsi="Arial"/>
          <w:sz w:val="18"/>
          <w:szCs w:val="18"/>
          <w:i w:val="1"/>
          <w:iCs w:val="1"/>
          <w:color w:val="auto"/>
        </w:rPr>
        <w:t>14.1</w:t>
      </w:r>
      <w:r>
        <w:rPr>
          <w:rFonts w:ascii="Arial" w:cs="Arial" w:eastAsia="Arial" w:hAnsi="Arial"/>
          <w:sz w:val="18"/>
          <w:szCs w:val="18"/>
          <w:b w:val="1"/>
          <w:bCs w:val="1"/>
          <w:color w:val="auto"/>
        </w:rPr>
        <w:t>Enforceability</w:t>
      </w:r>
      <w:r>
        <w:rPr>
          <w:rFonts w:ascii="Arial" w:cs="Arial" w:eastAsia="Arial" w:hAnsi="Arial"/>
          <w:sz w:val="18"/>
          <w:szCs w:val="18"/>
          <w:color w:val="auto"/>
        </w:rPr>
        <w:t>), the Collateral Agent may (but shall not be obliged to) do any one or more of the following:</w:t>
      </w:r>
    </w:p>
    <w:p>
      <w:pPr>
        <w:spacing w:after="0" w:line="16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take possession of, get in and collect all or any of the Secured Assets, and in particular take any steps necessary to vest all or any of the Secured Assets in the name of the Collateral Agent or its nominee including completing any transfers of any shares comprised in the Secured Assets and receive and retain any dividends;</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exercise all rights conferred on a mortgagee by law including, without limitation, under the LPA (as such rights are varied or extended, where applicable, by this Deed);</w:t>
      </w:r>
    </w:p>
    <w:p>
      <w:pPr>
        <w:spacing w:after="0" w:line="166" w:lineRule="exact"/>
        <w:rPr>
          <w:sz w:val="20"/>
          <w:szCs w:val="20"/>
          <w:color w:val="auto"/>
        </w:rPr>
      </w:pPr>
    </w:p>
    <w:p>
      <w:pPr>
        <w:ind w:left="1300"/>
        <w:spacing w:after="0"/>
        <w:tabs>
          <w:tab w:leader="none" w:pos="2020" w:val="left"/>
          <w:tab w:leader="none" w:pos="59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exercise its rights under Clause 0 (</w:t>
      </w:r>
      <w:r>
        <w:rPr>
          <w:rFonts w:ascii="Arial" w:cs="Arial" w:eastAsia="Arial" w:hAnsi="Arial"/>
          <w:sz w:val="18"/>
          <w:szCs w:val="18"/>
          <w:i w:val="1"/>
          <w:iCs w:val="1"/>
          <w:color w:val="auto"/>
        </w:rPr>
        <w:t>14.3</w:t>
      </w:r>
      <w:r>
        <w:rPr>
          <w:sz w:val="20"/>
          <w:szCs w:val="20"/>
          <w:color w:val="auto"/>
        </w:rPr>
        <w:tab/>
      </w:r>
      <w:r>
        <w:rPr>
          <w:rFonts w:ascii="Arial" w:cs="Arial" w:eastAsia="Arial" w:hAnsi="Arial"/>
          <w:sz w:val="17"/>
          <w:szCs w:val="17"/>
          <w:i w:val="1"/>
          <w:iCs w:val="1"/>
          <w:color w:val="auto"/>
        </w:rPr>
        <w:t xml:space="preserve">Appropriation of Financial </w:t>
      </w:r>
      <w:r>
        <w:rPr>
          <w:rFonts w:ascii="Arial" w:cs="Arial" w:eastAsia="Arial" w:hAnsi="Arial"/>
          <w:sz w:val="17"/>
          <w:szCs w:val="17"/>
          <w:b w:val="1"/>
          <w:bCs w:val="1"/>
          <w:color w:val="auto"/>
        </w:rPr>
        <w:t>Collateral</w:t>
      </w:r>
      <w:r>
        <w:rPr>
          <w:rFonts w:ascii="Arial" w:cs="Arial" w:eastAsia="Arial" w:hAnsi="Arial"/>
          <w:sz w:val="17"/>
          <w:szCs w:val="17"/>
          <w:color w:val="auto"/>
        </w:rPr>
        <w:t>);</w:t>
      </w:r>
    </w:p>
    <w:p>
      <w:pPr>
        <w:spacing w:after="0" w:line="229" w:lineRule="exact"/>
        <w:rPr>
          <w:sz w:val="20"/>
          <w:szCs w:val="20"/>
          <w:color w:val="auto"/>
        </w:rPr>
      </w:pPr>
    </w:p>
    <w:p>
      <w:pPr>
        <w:jc w:val="both"/>
        <w:ind w:left="1960" w:hanging="656"/>
        <w:spacing w:after="0" w:line="279" w:lineRule="auto"/>
        <w:tabs>
          <w:tab w:leader="none" w:pos="196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sell, exchange, convert into money or otherwise dispose of or realise the Secured Assets (whether by public offer or private contract) to any person and for such consideration (whether comprising cash, debentures or other obligations, shares or other valuable consideration of any kind) and on such terms (whether payable or deliverable in a lump sum or by instalments) as it may reasonably think fit, and for this purpose complete any transfers of any of the Secured Assets;</w:t>
      </w:r>
    </w:p>
    <w:p>
      <w:pPr>
        <w:spacing w:after="0" w:line="171" w:lineRule="exact"/>
        <w:rPr>
          <w:rFonts w:ascii="Arial" w:cs="Arial" w:eastAsia="Arial" w:hAnsi="Arial"/>
          <w:sz w:val="17"/>
          <w:szCs w:val="17"/>
          <w:color w:val="auto"/>
        </w:rPr>
      </w:pPr>
    </w:p>
    <w:p>
      <w:pPr>
        <w:ind w:left="1960" w:hanging="656"/>
        <w:spacing w:after="0" w:line="277" w:lineRule="auto"/>
        <w:tabs>
          <w:tab w:leader="none" w:pos="196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following written notice to the Mortgagor, exercise or direct the exercise of all voting and other Rights relating to the Secured Assets in such manner as it may reasonably think fit;</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settle, adjust, refer to arbitration, compromise and arrange any claims, accounts, Disputes, questions and demands relating in any way to the Secured Assets;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bring, prosecute, enforce, defend and abandon actions, suits and Proceedings in relation to the Secured Assets;</w:t>
      </w:r>
    </w:p>
    <w:p>
      <w:pPr>
        <w:spacing w:after="0" w:line="221" w:lineRule="exact"/>
        <w:rPr>
          <w:sz w:val="20"/>
          <w:szCs w:val="20"/>
          <w:color w:val="auto"/>
        </w:rPr>
      </w:pPr>
    </w:p>
    <w:p>
      <w:pPr>
        <w:ind w:left="1300"/>
        <w:spacing w:after="0"/>
        <w:tabs>
          <w:tab w:leader="none" w:pos="2100" w:val="left"/>
          <w:tab w:leader="none" w:pos="598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color w:val="auto"/>
        </w:rPr>
        <w:t>exercise its rights under Clause 0 (</w:t>
      </w:r>
      <w:r>
        <w:rPr>
          <w:rFonts w:ascii="Arial" w:cs="Arial" w:eastAsia="Arial" w:hAnsi="Arial"/>
          <w:sz w:val="18"/>
          <w:szCs w:val="18"/>
          <w:i w:val="1"/>
          <w:iCs w:val="1"/>
          <w:color w:val="auto"/>
        </w:rPr>
        <w:t>15.</w:t>
      </w:r>
      <w:r>
        <w:rPr>
          <w:sz w:val="20"/>
          <w:szCs w:val="20"/>
          <w:color w:val="auto"/>
        </w:rPr>
        <w:tab/>
      </w:r>
      <w:r>
        <w:rPr>
          <w:rFonts w:ascii="Arial" w:cs="Arial" w:eastAsia="Arial" w:hAnsi="Arial"/>
          <w:sz w:val="16"/>
          <w:szCs w:val="16"/>
          <w:i w:val="1"/>
          <w:iCs w:val="1"/>
          <w:color w:val="auto"/>
        </w:rPr>
        <w:t xml:space="preserve">Appointment Of </w:t>
      </w:r>
      <w:r>
        <w:rPr>
          <w:rFonts w:ascii="Arial" w:cs="Arial" w:eastAsia="Arial" w:hAnsi="Arial"/>
          <w:sz w:val="16"/>
          <w:szCs w:val="16"/>
          <w:b w:val="1"/>
          <w:bCs w:val="1"/>
          <w:color w:val="auto"/>
        </w:rPr>
        <w:t>Receivers</w:t>
      </w:r>
      <w:r>
        <w:rPr>
          <w:rFonts w:ascii="Arial" w:cs="Arial" w:eastAsia="Arial" w:hAnsi="Arial"/>
          <w:sz w:val="16"/>
          <w:szCs w:val="16"/>
          <w:color w:val="auto"/>
        </w:rPr>
        <w:t>); and</w:t>
      </w:r>
    </w:p>
    <w:p>
      <w:pPr>
        <w:spacing w:after="0" w:line="229" w:lineRule="exact"/>
        <w:rPr>
          <w:sz w:val="20"/>
          <w:szCs w:val="20"/>
          <w:color w:val="auto"/>
        </w:rPr>
      </w:pPr>
    </w:p>
    <w:p>
      <w:pPr>
        <w:jc w:val="both"/>
        <w:ind w:left="1960" w:hanging="656"/>
        <w:spacing w:after="0" w:line="263" w:lineRule="auto"/>
        <w:tabs>
          <w:tab w:leader="none" w:pos="196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do all such other acts and things it may consider necessary or expedient for the realisation of the Secured Assets, or incidental to the exercise of any of the Rights conferred on it, under or in connection with this Deed or the LPA and to concur in the doing of anything which it has the Right to do and to do any such thing jointly with any other person.</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For the purposes only of section 101 of the LPA, the Secured Obligations shall be deemed to have become due, and the powers conferred by that section (as varied and extended by this Deed) shall be deemed to have arisen immediately upon execution of this Deed.</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Sections 93 and 103 of the LPA shall not apply to this Deed.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color w:val="auto"/>
        </w:rPr>
        <w:t>Appropriation of Financial Collateral</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At any time after the Security has become enforceable in accordance with Clause 0 (</w:t>
      </w:r>
      <w:r>
        <w:rPr>
          <w:rFonts w:ascii="Arial" w:cs="Arial" w:eastAsia="Arial" w:hAnsi="Arial"/>
          <w:sz w:val="18"/>
          <w:szCs w:val="18"/>
          <w:i w:val="1"/>
          <w:iCs w:val="1"/>
          <w:color w:val="auto"/>
        </w:rPr>
        <w:t>14.1</w:t>
      </w:r>
      <w:r>
        <w:rPr>
          <w:rFonts w:ascii="Arial" w:cs="Arial" w:eastAsia="Arial" w:hAnsi="Arial"/>
          <w:sz w:val="18"/>
          <w:szCs w:val="18"/>
          <w:b w:val="1"/>
          <w:bCs w:val="1"/>
          <w:color w:val="auto"/>
        </w:rPr>
        <w:t>Enforceability</w:t>
      </w:r>
      <w:r>
        <w:rPr>
          <w:rFonts w:ascii="Arial" w:cs="Arial" w:eastAsia="Arial" w:hAnsi="Arial"/>
          <w:sz w:val="18"/>
          <w:szCs w:val="18"/>
          <w:color w:val="auto"/>
        </w:rPr>
        <w:t>), the Collateral Agent may, by the giving of written notice to the Mortgagor, appropriate all or any part of the Original Shares, Further Shares, any Shares comprised in any Derived Asset and any other Secured Asset which constitutes Financial Collateral.</w:t>
      </w:r>
    </w:p>
    <w:p>
      <w:pPr>
        <w:sectPr>
          <w:pgSz w:w="11900" w:h="16838" w:orient="portrait"/>
          <w:cols w:equalWidth="0" w:num="1">
            <w:col w:w="11240"/>
          </w:cols>
          <w:pgMar w:left="320" w:top="125" w:right="339" w:bottom="0" w:gutter="0" w:footer="0" w:header="0"/>
        </w:sectPr>
      </w:pPr>
    </w:p>
    <w:bookmarkStart w:id="568" w:name="page569"/>
    <w:bookmarkEnd w:id="568"/>
    <w:p>
      <w:pPr>
        <w:ind w:left="1300" w:hanging="644"/>
        <w:spacing w:after="0"/>
        <w:tabs>
          <w:tab w:leader="none" w:pos="13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If the Collateral Agent exercises that power of appropriation:</w:t>
      </w:r>
    </w:p>
    <w:p>
      <w:pPr>
        <w:spacing w:after="0" w:line="225" w:lineRule="exact"/>
        <w:rPr>
          <w:rFonts w:ascii="Arial" w:cs="Arial" w:eastAsia="Arial" w:hAnsi="Arial"/>
          <w:sz w:val="18"/>
          <w:szCs w:val="18"/>
          <w:color w:val="auto"/>
        </w:rPr>
      </w:pPr>
    </w:p>
    <w:p>
      <w:pPr>
        <w:jc w:val="both"/>
        <w:ind w:left="1960" w:hanging="656"/>
        <w:spacing w:after="0" w:line="257" w:lineRule="auto"/>
        <w:tabs>
          <w:tab w:leader="none" w:pos="1960" w:val="left"/>
        </w:tabs>
        <w:numPr>
          <w:ilvl w:val="2"/>
          <w:numId w:val="648"/>
        </w:numPr>
        <w:rPr>
          <w:rFonts w:ascii="Arial" w:cs="Arial" w:eastAsia="Arial" w:hAnsi="Arial"/>
          <w:sz w:val="18"/>
          <w:szCs w:val="18"/>
          <w:color w:val="auto"/>
        </w:rPr>
      </w:pPr>
      <w:r>
        <w:rPr>
          <w:rFonts w:ascii="Arial" w:cs="Arial" w:eastAsia="Arial" w:hAnsi="Arial"/>
          <w:sz w:val="18"/>
          <w:szCs w:val="18"/>
          <w:color w:val="auto"/>
        </w:rPr>
        <w:t>any Original Shares, Further Shares or Shares comprised in any Derived Asset shall be valued by the Collateral Agent as at the time of exercise of the power; their value shall be the amount of any cash payment which the Collateral Agent reasonably determines would be received on a sale or other disposal of such Shares effected for payment as soon as reasonably possible after that time; and the Collateral Agent will make that determination in a commercially reasonable manner (including by way of an independent valuation); and</w:t>
      </w:r>
    </w:p>
    <w:p>
      <w:pPr>
        <w:spacing w:after="0" w:line="187" w:lineRule="exact"/>
        <w:rPr>
          <w:rFonts w:ascii="Arial" w:cs="Arial" w:eastAsia="Arial" w:hAnsi="Arial"/>
          <w:sz w:val="18"/>
          <w:szCs w:val="18"/>
          <w:color w:val="auto"/>
        </w:rPr>
      </w:pPr>
    </w:p>
    <w:p>
      <w:pPr>
        <w:jc w:val="both"/>
        <w:ind w:left="1960" w:hanging="656"/>
        <w:spacing w:after="0" w:line="301" w:lineRule="auto"/>
        <w:tabs>
          <w:tab w:leader="none" w:pos="1960" w:val="left"/>
        </w:tabs>
        <w:numPr>
          <w:ilvl w:val="2"/>
          <w:numId w:val="648"/>
        </w:numPr>
        <w:rPr>
          <w:rFonts w:ascii="Arial" w:cs="Arial" w:eastAsia="Arial" w:hAnsi="Arial"/>
          <w:sz w:val="16"/>
          <w:szCs w:val="16"/>
          <w:color w:val="auto"/>
        </w:rPr>
      </w:pPr>
      <w:r>
        <w:rPr>
          <w:rFonts w:ascii="Arial" w:cs="Arial" w:eastAsia="Arial" w:hAnsi="Arial"/>
          <w:sz w:val="16"/>
          <w:szCs w:val="16"/>
          <w:color w:val="auto"/>
        </w:rPr>
        <w:t>any Secured Asset appropriated which constitutes Cash and which is not denominated in the currency in which any Secured Obligations which then remain unpaid are required to be paid (the "</w:t>
      </w:r>
      <w:r>
        <w:rPr>
          <w:rFonts w:ascii="Arial" w:cs="Arial" w:eastAsia="Arial" w:hAnsi="Arial"/>
          <w:sz w:val="16"/>
          <w:szCs w:val="16"/>
          <w:b w:val="1"/>
          <w:bCs w:val="1"/>
          <w:color w:val="auto"/>
        </w:rPr>
        <w:t>Required Currency</w:t>
      </w:r>
      <w:r>
        <w:rPr>
          <w:rFonts w:ascii="Arial" w:cs="Arial" w:eastAsia="Arial" w:hAnsi="Arial"/>
          <w:sz w:val="16"/>
          <w:szCs w:val="16"/>
          <w:color w:val="auto"/>
        </w:rPr>
        <w:t>") shall be valued as if it had been converted into the Required Currency on the date of appropriation (or as soon as practicable thereafter) at the rate of exchange at which the Collateral Agent is able, on the relevant day, to purchase the Required Currency with the other.</w:t>
      </w:r>
    </w:p>
    <w:p>
      <w:pPr>
        <w:spacing w:after="0" w:line="153" w:lineRule="exact"/>
        <w:rPr>
          <w:rFonts w:ascii="Arial" w:cs="Arial" w:eastAsia="Arial" w:hAnsi="Arial"/>
          <w:sz w:val="16"/>
          <w:szCs w:val="16"/>
          <w:color w:val="auto"/>
        </w:rPr>
      </w:pPr>
    </w:p>
    <w:p>
      <w:pPr>
        <w:ind w:left="660" w:hanging="652"/>
        <w:spacing w:after="0"/>
        <w:tabs>
          <w:tab w:leader="none" w:pos="66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APPOINTMENT OF RECEIVERS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Appointment and removal</w:t>
      </w:r>
    </w:p>
    <w:p>
      <w:pPr>
        <w:spacing w:after="0" w:line="229" w:lineRule="exact"/>
        <w:rPr>
          <w:sz w:val="20"/>
          <w:szCs w:val="20"/>
          <w:color w:val="auto"/>
        </w:rPr>
      </w:pPr>
    </w:p>
    <w:p>
      <w:pPr>
        <w:jc w:val="both"/>
        <w:ind w:left="660"/>
        <w:spacing w:after="0" w:line="276" w:lineRule="auto"/>
        <w:rPr>
          <w:sz w:val="20"/>
          <w:szCs w:val="20"/>
          <w:color w:val="auto"/>
        </w:rPr>
      </w:pPr>
      <w:r>
        <w:rPr>
          <w:rFonts w:ascii="Arial" w:cs="Arial" w:eastAsia="Arial" w:hAnsi="Arial"/>
          <w:sz w:val="21"/>
          <w:szCs w:val="21"/>
          <w:color w:val="auto"/>
        </w:rPr>
        <w:t>At any time after the Security has become enforceable in accordance with Clause 0 (</w:t>
      </w:r>
      <w:r>
        <w:rPr>
          <w:rFonts w:ascii="Arial" w:cs="Arial" w:eastAsia="Arial" w:hAnsi="Arial"/>
          <w:sz w:val="21"/>
          <w:szCs w:val="21"/>
          <w:i w:val="1"/>
          <w:iCs w:val="1"/>
          <w:color w:val="auto"/>
        </w:rPr>
        <w:t>14.1</w:t>
      </w:r>
      <w:r>
        <w:rPr>
          <w:rFonts w:ascii="Arial" w:cs="Arial" w:eastAsia="Arial" w:hAnsi="Arial"/>
          <w:sz w:val="21"/>
          <w:szCs w:val="21"/>
          <w:color w:val="auto"/>
        </w:rPr>
        <w:t xml:space="preserve"> </w:t>
      </w:r>
      <w:r>
        <w:rPr>
          <w:rFonts w:ascii="Arial" w:cs="Arial" w:eastAsia="Arial" w:hAnsi="Arial"/>
          <w:sz w:val="21"/>
          <w:szCs w:val="21"/>
          <w:b w:val="1"/>
          <w:bCs w:val="1"/>
          <w:color w:val="auto"/>
        </w:rPr>
        <w:t>Enforceability</w:t>
      </w:r>
      <w:r>
        <w:rPr>
          <w:rFonts w:ascii="Arial" w:cs="Arial" w:eastAsia="Arial" w:hAnsi="Arial"/>
          <w:sz w:val="21"/>
          <w:szCs w:val="21"/>
          <w:color w:val="auto"/>
        </w:rPr>
        <w:t>) the Collateral Agent may, by deed or other instrument signed by any manager or officer of the Collateral Agent or by any other person authorised for this purpose by the Collateral Agent, appoint any person or persons to be Receiver or Receivers of all or any part of the Secured Assets, on such terms as the Collateral Agent reasonably thinks fit, and may similarly remove any Receiver (subject, where relevant, to any requirement for a court order) whether or not the Collateral Agent appoints any person in his place and may replace any Receiver.</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More than one Receiver</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If more than one person is appointed as Receiver, the Collateral Agent may give the relevant persons power to act jointly or severally.</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b w:val="1"/>
          <w:bCs w:val="1"/>
          <w:color w:val="auto"/>
        </w:rPr>
        <w:t>Appointment over part of the Secured Assets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any Receiver is appointed over only part of the Secured Assets:</w:t>
      </w:r>
    </w:p>
    <w:p>
      <w:pPr>
        <w:spacing w:after="0" w:line="227" w:lineRule="exact"/>
        <w:rPr>
          <w:sz w:val="20"/>
          <w:szCs w:val="20"/>
          <w:color w:val="auto"/>
        </w:rPr>
      </w:pPr>
    </w:p>
    <w:p>
      <w:pPr>
        <w:ind w:left="1300" w:hanging="644"/>
        <w:spacing w:after="0" w:line="277" w:lineRule="auto"/>
        <w:tabs>
          <w:tab w:leader="none" w:pos="130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references in this Deed to the Rights of a Receiver in relation to Secured Assets shall be construed as references to the relevant part of the Secured Assets;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the Collateral Agent may subsequently extend his appointment (or that of any Receiver replacing him) to any other part of the Secured Assets, or appoint another Receiver over that or any other part of the Secured Assets.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Statutory restrictions</w:t>
      </w:r>
    </w:p>
    <w:p>
      <w:pPr>
        <w:spacing w:after="0" w:line="229" w:lineRule="exact"/>
        <w:rPr>
          <w:sz w:val="20"/>
          <w:szCs w:val="20"/>
          <w:color w:val="auto"/>
        </w:rPr>
      </w:pPr>
    </w:p>
    <w:p>
      <w:pPr>
        <w:ind w:left="1300" w:hanging="644"/>
        <w:spacing w:after="0"/>
        <w:tabs>
          <w:tab w:leader="none" w:pos="13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Section 109(1) of the LPA shall not apply to this Deed.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 Collateral Agent's rights to appoint a Receiver or Receivers hereunder are subject to the restrictions set out in Part III of Schedule A1 to the Insolvency Act.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Agent of the Mortgagor</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Each Receiver shall, so far as the law permits, be the agent of the Mortgagor and the Mortgagor alone shall be responsible for each Receiver's remuneration and for his acts, omissions or defaults, and shall be liable on any contracts or engagements made, entered into or adopted by him and for any Losses incurred by him save, in each case, in circumstances where the liabilities or Losses arises as a direct result of the Receiver’s gross negligence or wilful misconduct.</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or incur any liability (whether to the Mortgagor or any other person) in connection with any Receiver's acts, omissions, defaults, contracts, engagements or Losses save, in each case, in circumstances where the liabilities or Losses arises as a direct result of the Receiver’s gross negligence or wilful misconduct.</w:t>
      </w:r>
    </w:p>
    <w:p>
      <w:pPr>
        <w:spacing w:after="0" w:line="180" w:lineRule="exact"/>
        <w:rPr>
          <w:sz w:val="20"/>
          <w:szCs w:val="20"/>
          <w:color w:val="auto"/>
        </w:rPr>
      </w:pPr>
    </w:p>
    <w:p>
      <w:pPr>
        <w:ind w:left="660"/>
        <w:spacing w:after="0"/>
        <w:tabs>
          <w:tab w:leader="none" w:pos="1300" w:val="left"/>
          <w:tab w:leader="none" w:pos="45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Notwithstanding Clause 00 (</w:t>
      </w:r>
      <w:r>
        <w:rPr>
          <w:rFonts w:ascii="Arial" w:cs="Arial" w:eastAsia="Arial" w:hAnsi="Arial"/>
          <w:sz w:val="18"/>
          <w:szCs w:val="18"/>
          <w:i w:val="1"/>
          <w:iCs w:val="1"/>
          <w:color w:val="auto"/>
        </w:rPr>
        <w:t>15.5</w:t>
      </w:r>
      <w:r>
        <w:rPr>
          <w:sz w:val="20"/>
          <w:szCs w:val="20"/>
          <w:color w:val="auto"/>
        </w:rPr>
        <w:tab/>
      </w:r>
      <w:r>
        <w:rPr>
          <w:rFonts w:ascii="Arial" w:cs="Arial" w:eastAsia="Arial" w:hAnsi="Arial"/>
          <w:sz w:val="17"/>
          <w:szCs w:val="17"/>
          <w:i w:val="1"/>
          <w:iCs w:val="1"/>
          <w:color w:val="auto"/>
        </w:rPr>
        <w:t xml:space="preserve">Agent of the </w:t>
      </w:r>
      <w:r>
        <w:rPr>
          <w:rFonts w:ascii="Arial" w:cs="Arial" w:eastAsia="Arial" w:hAnsi="Arial"/>
          <w:sz w:val="17"/>
          <w:szCs w:val="17"/>
          <w:b w:val="1"/>
          <w:bCs w:val="1"/>
          <w:color w:val="auto"/>
        </w:rPr>
        <w:t>Mortgagor</w:t>
      </w:r>
      <w:r>
        <w:rPr>
          <w:rFonts w:ascii="Arial" w:cs="Arial" w:eastAsia="Arial" w:hAnsi="Arial"/>
          <w:sz w:val="17"/>
          <w:szCs w:val="17"/>
          <w:color w:val="auto"/>
        </w:rPr>
        <w:t>) if a liquidator of the Mortgagor is appointed, the Receiver shall</w:t>
      </w:r>
    </w:p>
    <w:p>
      <w:pPr>
        <w:spacing w:after="0" w:line="27" w:lineRule="exact"/>
        <w:rPr>
          <w:sz w:val="20"/>
          <w:szCs w:val="20"/>
          <w:color w:val="auto"/>
        </w:rPr>
      </w:pPr>
    </w:p>
    <w:p>
      <w:pPr>
        <w:ind w:left="4560"/>
        <w:spacing w:after="0" w:line="260" w:lineRule="auto"/>
        <w:rPr>
          <w:sz w:val="20"/>
          <w:szCs w:val="20"/>
          <w:color w:val="auto"/>
        </w:rPr>
      </w:pPr>
      <w:r>
        <w:rPr>
          <w:rFonts w:ascii="Arial" w:cs="Arial" w:eastAsia="Arial" w:hAnsi="Arial"/>
          <w:sz w:val="18"/>
          <w:szCs w:val="18"/>
          <w:color w:val="auto"/>
        </w:rPr>
        <w:t>thereafter act as principal and not as agent for the Collateral Agent, unless otherwise agreed by the Collateral Agent.</w:t>
      </w:r>
    </w:p>
    <w:p>
      <w:pPr>
        <w:spacing w:after="0" w:line="181" w:lineRule="exact"/>
        <w:rPr>
          <w:sz w:val="20"/>
          <w:szCs w:val="20"/>
          <w:color w:val="auto"/>
        </w:rPr>
      </w:pPr>
    </w:p>
    <w:p>
      <w:pPr>
        <w:ind w:left="660" w:hanging="652"/>
        <w:spacing w:after="0"/>
        <w:tabs>
          <w:tab w:leader="none" w:pos="660" w:val="left"/>
        </w:tabs>
        <w:numPr>
          <w:ilvl w:val="0"/>
          <w:numId w:val="653"/>
        </w:numPr>
        <w:rPr>
          <w:rFonts w:ascii="Arial" w:cs="Arial" w:eastAsia="Arial" w:hAnsi="Arial"/>
          <w:sz w:val="18"/>
          <w:szCs w:val="18"/>
          <w:color w:val="auto"/>
        </w:rPr>
      </w:pPr>
      <w:r>
        <w:rPr>
          <w:rFonts w:ascii="Arial" w:cs="Arial" w:eastAsia="Arial" w:hAnsi="Arial"/>
          <w:sz w:val="18"/>
          <w:szCs w:val="18"/>
          <w:b w:val="1"/>
          <w:bCs w:val="1"/>
          <w:color w:val="auto"/>
        </w:rPr>
        <w:t>RIGHTS OF RECEIVERS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b w:val="1"/>
          <w:bCs w:val="1"/>
          <w:color w:val="auto"/>
        </w:rPr>
        <w:t>General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Receiver appointed under this Deed shall (subject to any contrary provision specified in his appointment) have all the</w:t>
      </w:r>
    </w:p>
    <w:p>
      <w:pPr>
        <w:spacing w:after="0" w:line="56" w:lineRule="exact"/>
        <w:rPr>
          <w:sz w:val="20"/>
          <w:szCs w:val="20"/>
          <w:color w:val="auto"/>
        </w:rPr>
      </w:pPr>
    </w:p>
    <w:p>
      <w:pPr>
        <w:jc w:val="both"/>
        <w:ind w:left="660"/>
        <w:spacing w:after="0" w:line="282" w:lineRule="auto"/>
        <w:rPr>
          <w:sz w:val="20"/>
          <w:szCs w:val="20"/>
          <w:color w:val="auto"/>
        </w:rPr>
      </w:pPr>
      <w:r>
        <w:rPr>
          <w:rFonts w:ascii="Arial" w:cs="Arial" w:eastAsia="Arial" w:hAnsi="Arial"/>
          <w:sz w:val="21"/>
          <w:szCs w:val="21"/>
          <w:color w:val="auto"/>
        </w:rPr>
        <w:t>Rights of the Collateral Agent under Clause 0 (</w:t>
      </w:r>
      <w:r>
        <w:rPr>
          <w:rFonts w:ascii="Arial" w:cs="Arial" w:eastAsia="Arial" w:hAnsi="Arial"/>
          <w:sz w:val="21"/>
          <w:szCs w:val="21"/>
          <w:i w:val="1"/>
          <w:iCs w:val="1"/>
          <w:color w:val="auto"/>
        </w:rPr>
        <w:t>17. Rights of Collateral Agent and Secured</w:t>
      </w:r>
      <w:r>
        <w:rPr>
          <w:rFonts w:ascii="Arial" w:cs="Arial" w:eastAsia="Arial" w:hAnsi="Arial"/>
          <w:sz w:val="21"/>
          <w:szCs w:val="21"/>
          <w:color w:val="auto"/>
        </w:rPr>
        <w:t xml:space="preserve"> </w:t>
      </w:r>
      <w:r>
        <w:rPr>
          <w:rFonts w:ascii="Arial" w:cs="Arial" w:eastAsia="Arial" w:hAnsi="Arial"/>
          <w:sz w:val="21"/>
          <w:szCs w:val="21"/>
          <w:b w:val="1"/>
          <w:bCs w:val="1"/>
          <w:color w:val="auto"/>
        </w:rPr>
        <w:t>PARTIES</w:t>
      </w:r>
      <w:r>
        <w:rPr>
          <w:rFonts w:ascii="Arial" w:cs="Arial" w:eastAsia="Arial" w:hAnsi="Arial"/>
          <w:sz w:val="21"/>
          <w:szCs w:val="21"/>
          <w:color w:val="auto"/>
        </w:rPr>
        <w:t>) (insofar as applicable to a Receiver) and shall exercise the Rights, either in his own name or in the name of the Mortgagor or otherwise and in such manner and upon such terms and conditions as the Receiver reasonably thinks fit:</w:t>
      </w:r>
    </w:p>
    <w:p>
      <w:pPr>
        <w:sectPr>
          <w:pgSz w:w="11900" w:h="16838" w:orient="portrait"/>
          <w:cols w:equalWidth="0" w:num="1">
            <w:col w:w="11240"/>
          </w:cols>
          <w:pgMar w:left="320" w:top="125" w:right="339" w:bottom="0" w:gutter="0" w:footer="0" w:header="0"/>
        </w:sectPr>
      </w:pPr>
    </w:p>
    <w:p>
      <w:pPr>
        <w:spacing w:after="0" w:line="160" w:lineRule="exact"/>
        <w:rPr>
          <w:sz w:val="20"/>
          <w:szCs w:val="20"/>
          <w:color w:val="auto"/>
        </w:rPr>
      </w:pPr>
    </w:p>
    <w:p>
      <w:pPr>
        <w:ind w:left="660"/>
        <w:spacing w:after="0"/>
        <w:tabs>
          <w:tab w:leader="none" w:pos="1300" w:val="left"/>
          <w:tab w:leader="none" w:pos="45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b w:val="1"/>
          <w:bCs w:val="1"/>
          <w:color w:val="auto"/>
        </w:rPr>
        <w:t>Rights under Clause 0 (</w:t>
      </w:r>
      <w:r>
        <w:rPr>
          <w:rFonts w:ascii="Arial" w:cs="Arial" w:eastAsia="Arial" w:hAnsi="Arial"/>
          <w:sz w:val="18"/>
          <w:szCs w:val="18"/>
          <w:b w:val="1"/>
          <w:bCs w:val="1"/>
          <w:i w:val="1"/>
          <w:iCs w:val="1"/>
          <w:color w:val="auto"/>
        </w:rPr>
        <w:t>14.2</w:t>
      </w:r>
      <w:r>
        <w:rPr>
          <w:sz w:val="20"/>
          <w:szCs w:val="20"/>
          <w:color w:val="auto"/>
        </w:rPr>
        <w:tab/>
      </w:r>
      <w:r>
        <w:rPr>
          <w:rFonts w:ascii="Arial" w:cs="Arial" w:eastAsia="Arial" w:hAnsi="Arial"/>
          <w:sz w:val="17"/>
          <w:szCs w:val="17"/>
          <w:b w:val="1"/>
          <w:bCs w:val="1"/>
          <w:color w:val="auto"/>
        </w:rPr>
        <w:t>Enforcement)</w:t>
      </w:r>
      <w:r>
        <w:rPr>
          <w:rFonts w:ascii="Arial" w:cs="Arial" w:eastAsia="Arial" w:hAnsi="Arial"/>
          <w:sz w:val="17"/>
          <w:szCs w:val="17"/>
          <w:color w:val="auto"/>
        </w:rPr>
        <w:t>: to exercise any or all of the Rights conferred upon the Collateral Agent</w:t>
      </w:r>
    </w:p>
    <w:p>
      <w:pPr>
        <w:spacing w:after="0" w:line="27" w:lineRule="exact"/>
        <w:rPr>
          <w:sz w:val="20"/>
          <w:szCs w:val="20"/>
          <w:color w:val="auto"/>
        </w:rPr>
      </w:pPr>
    </w:p>
    <w:p>
      <w:pPr>
        <w:ind w:left="4560"/>
        <w:spacing w:after="0" w:line="260" w:lineRule="auto"/>
        <w:rPr>
          <w:sz w:val="20"/>
          <w:szCs w:val="20"/>
          <w:color w:val="auto"/>
        </w:rPr>
      </w:pPr>
      <w:r>
        <w:rPr>
          <w:rFonts w:ascii="Arial" w:cs="Arial" w:eastAsia="Arial" w:hAnsi="Arial"/>
          <w:sz w:val="18"/>
          <w:szCs w:val="18"/>
          <w:color w:val="auto"/>
        </w:rPr>
        <w:t>under Clause 0 to 0 and under Clause 0, as if reference to "Collateral Agent" in Clause 0 were a reference to "Receiver";</w:t>
      </w:r>
    </w:p>
    <w:p>
      <w:pPr>
        <w:sectPr>
          <w:pgSz w:w="11900" w:h="16838" w:orient="portrait"/>
          <w:cols w:equalWidth="0" w:num="1">
            <w:col w:w="11240"/>
          </w:cols>
          <w:pgMar w:left="320" w:top="125" w:right="339" w:bottom="0" w:gutter="0" w:footer="0" w:header="0"/>
          <w:type w:val="continuous"/>
        </w:sectPr>
      </w:pPr>
    </w:p>
    <w:bookmarkStart w:id="569" w:name="page570"/>
    <w:bookmarkEnd w:id="569"/>
    <w:p>
      <w:pPr>
        <w:ind w:left="1300" w:right="20" w:hanging="644"/>
        <w:spacing w:after="0" w:line="282" w:lineRule="auto"/>
        <w:tabs>
          <w:tab w:leader="none" w:pos="1300" w:val="left"/>
        </w:tabs>
        <w:numPr>
          <w:ilvl w:val="0"/>
          <w:numId w:val="654"/>
        </w:numPr>
        <w:rPr>
          <w:rFonts w:ascii="Arial" w:cs="Arial" w:eastAsia="Arial" w:hAnsi="Arial"/>
          <w:sz w:val="18"/>
          <w:szCs w:val="18"/>
          <w:color w:val="auto"/>
        </w:rPr>
      </w:pPr>
      <w:r>
        <w:rPr>
          <w:rFonts w:ascii="Arial" w:cs="Arial" w:eastAsia="Arial" w:hAnsi="Arial"/>
          <w:sz w:val="18"/>
          <w:szCs w:val="18"/>
          <w:b w:val="1"/>
          <w:bCs w:val="1"/>
          <w:color w:val="auto"/>
        </w:rPr>
        <w:t>Insolvency Act</w:t>
      </w:r>
      <w:r>
        <w:rPr>
          <w:rFonts w:ascii="Arial" w:cs="Arial" w:eastAsia="Arial" w:hAnsi="Arial"/>
          <w:sz w:val="18"/>
          <w:szCs w:val="18"/>
          <w:color w:val="auto"/>
        </w:rPr>
        <w:t>: to exercise all rights set out in Schedule 1 of the Insolvency Act as in force at the date of this Deed (whether or not in</w:t>
      </w:r>
      <w:r>
        <w:rPr>
          <w:rFonts w:ascii="Arial" w:cs="Arial" w:eastAsia="Arial" w:hAnsi="Arial"/>
          <w:sz w:val="18"/>
          <w:szCs w:val="18"/>
          <w:b w:val="1"/>
          <w:bCs w:val="1"/>
          <w:color w:val="auto"/>
        </w:rPr>
        <w:t xml:space="preserve"> </w:t>
      </w:r>
      <w:r>
        <w:rPr>
          <w:rFonts w:ascii="Arial" w:cs="Arial" w:eastAsia="Arial" w:hAnsi="Arial"/>
          <w:sz w:val="18"/>
          <w:szCs w:val="18"/>
          <w:color w:val="auto"/>
        </w:rPr>
        <w:t>force at the date of exercise) and all other powers conferred by law, at the time of exercise, on Receivers;</w:t>
      </w:r>
    </w:p>
    <w:p>
      <w:pPr>
        <w:spacing w:after="0" w:line="161" w:lineRule="exact"/>
        <w:rPr>
          <w:rFonts w:ascii="Arial" w:cs="Arial" w:eastAsia="Arial" w:hAnsi="Arial"/>
          <w:sz w:val="18"/>
          <w:szCs w:val="18"/>
          <w:color w:val="auto"/>
        </w:rPr>
      </w:pPr>
    </w:p>
    <w:p>
      <w:pPr>
        <w:jc w:val="both"/>
        <w:ind w:left="1300" w:hanging="644"/>
        <w:spacing w:after="0" w:line="277" w:lineRule="auto"/>
        <w:tabs>
          <w:tab w:leader="none" w:pos="1300" w:val="left"/>
        </w:tabs>
        <w:numPr>
          <w:ilvl w:val="0"/>
          <w:numId w:val="654"/>
        </w:numPr>
        <w:rPr>
          <w:rFonts w:ascii="Arial" w:cs="Arial" w:eastAsia="Arial" w:hAnsi="Arial"/>
          <w:sz w:val="17"/>
          <w:szCs w:val="17"/>
          <w:color w:val="auto"/>
        </w:rPr>
      </w:pPr>
      <w:r>
        <w:rPr>
          <w:rFonts w:ascii="Arial" w:cs="Arial" w:eastAsia="Arial" w:hAnsi="Arial"/>
          <w:sz w:val="17"/>
          <w:szCs w:val="17"/>
          <w:b w:val="1"/>
          <w:bCs w:val="1"/>
          <w:color w:val="auto"/>
        </w:rPr>
        <w:t>Raise or borrow money</w:t>
      </w:r>
      <w:r>
        <w:rPr>
          <w:rFonts w:ascii="Arial" w:cs="Arial" w:eastAsia="Arial" w:hAnsi="Arial"/>
          <w:sz w:val="17"/>
          <w:szCs w:val="17"/>
          <w:color w:val="auto"/>
        </w:rPr>
        <w:t>: to raise or borrow money, either unsecured or on the security of any Secured Asset (either in priority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or otherwise) for any purpose whatsoever, including, without limitation, for the purpose of exercising any of the Rights conferred upon the Receiver by or pursuant to this Deed or of defraying any costs, charges, Losses, liabilities or expenses (including his remuneration) incurred by or due to the Receiver in the exercise thereof, in each case and at all times, in accordance with its express power to raise or borrow money pursuant to Schedule 1 of the Insolvency Act;</w:t>
      </w:r>
    </w:p>
    <w:p>
      <w:pPr>
        <w:spacing w:after="0" w:line="167" w:lineRule="exact"/>
        <w:rPr>
          <w:rFonts w:ascii="Arial" w:cs="Arial" w:eastAsia="Arial" w:hAnsi="Arial"/>
          <w:sz w:val="17"/>
          <w:szCs w:val="17"/>
          <w:color w:val="auto"/>
        </w:rPr>
      </w:pPr>
    </w:p>
    <w:p>
      <w:pPr>
        <w:jc w:val="both"/>
        <w:ind w:left="1300" w:hanging="644"/>
        <w:spacing w:after="0" w:line="347" w:lineRule="auto"/>
        <w:tabs>
          <w:tab w:leader="none" w:pos="1300" w:val="left"/>
        </w:tabs>
        <w:numPr>
          <w:ilvl w:val="0"/>
          <w:numId w:val="654"/>
        </w:numPr>
        <w:rPr>
          <w:rFonts w:ascii="Arial" w:cs="Arial" w:eastAsia="Arial" w:hAnsi="Arial"/>
          <w:sz w:val="16"/>
          <w:szCs w:val="16"/>
          <w:color w:val="auto"/>
        </w:rPr>
      </w:pPr>
      <w:r>
        <w:rPr>
          <w:rFonts w:ascii="Arial" w:cs="Arial" w:eastAsia="Arial" w:hAnsi="Arial"/>
          <w:sz w:val="16"/>
          <w:szCs w:val="16"/>
          <w:b w:val="1"/>
          <w:bCs w:val="1"/>
          <w:color w:val="auto"/>
        </w:rPr>
        <w:t>Redemption of Security Interests</w:t>
      </w:r>
      <w:r>
        <w:rPr>
          <w:rFonts w:ascii="Arial" w:cs="Arial" w:eastAsia="Arial" w:hAnsi="Arial"/>
          <w:sz w:val="16"/>
          <w:szCs w:val="16"/>
          <w:color w:val="auto"/>
        </w:rPr>
        <w:t>: to redeem any Security Interest (whether or not having priority to the Security) over any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Asset and to settle the accounts of holders of such interests and any accounts so settled shall be conclusive and binding on the Mortgagor;</w:t>
      </w:r>
    </w:p>
    <w:p>
      <w:pPr>
        <w:spacing w:after="0" w:line="115" w:lineRule="exact"/>
        <w:rPr>
          <w:rFonts w:ascii="Arial" w:cs="Arial" w:eastAsia="Arial" w:hAnsi="Arial"/>
          <w:sz w:val="16"/>
          <w:szCs w:val="16"/>
          <w:color w:val="auto"/>
        </w:rPr>
      </w:pPr>
    </w:p>
    <w:p>
      <w:pPr>
        <w:ind w:left="1300" w:right="20" w:hanging="644"/>
        <w:spacing w:after="0" w:line="282" w:lineRule="auto"/>
        <w:tabs>
          <w:tab w:leader="none" w:pos="1300" w:val="left"/>
        </w:tabs>
        <w:numPr>
          <w:ilvl w:val="0"/>
          <w:numId w:val="654"/>
        </w:numPr>
        <w:rPr>
          <w:rFonts w:ascii="Arial" w:cs="Arial" w:eastAsia="Arial" w:hAnsi="Arial"/>
          <w:sz w:val="18"/>
          <w:szCs w:val="18"/>
          <w:color w:val="auto"/>
        </w:rPr>
      </w:pPr>
      <w:r>
        <w:rPr>
          <w:rFonts w:ascii="Arial" w:cs="Arial" w:eastAsia="Arial" w:hAnsi="Arial"/>
          <w:sz w:val="18"/>
          <w:szCs w:val="18"/>
          <w:b w:val="1"/>
          <w:bCs w:val="1"/>
          <w:color w:val="auto"/>
        </w:rPr>
        <w:t>Receipts</w:t>
      </w:r>
      <w:r>
        <w:rPr>
          <w:rFonts w:ascii="Arial" w:cs="Arial" w:eastAsia="Arial" w:hAnsi="Arial"/>
          <w:sz w:val="18"/>
          <w:szCs w:val="18"/>
          <w:color w:val="auto"/>
        </w:rPr>
        <w:t>: to give a valid receipt for any moneys and execute any assurance or thing which may be proper or desirable for realising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Asset;</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654"/>
        </w:numPr>
        <w:rPr>
          <w:rFonts w:ascii="Arial" w:cs="Arial" w:eastAsia="Arial" w:hAnsi="Arial"/>
          <w:sz w:val="18"/>
          <w:szCs w:val="18"/>
          <w:color w:val="auto"/>
        </w:rPr>
      </w:pPr>
      <w:r>
        <w:rPr>
          <w:rFonts w:ascii="Arial" w:cs="Arial" w:eastAsia="Arial" w:hAnsi="Arial"/>
          <w:sz w:val="18"/>
          <w:szCs w:val="18"/>
          <w:b w:val="1"/>
          <w:bCs w:val="1"/>
          <w:color w:val="auto"/>
        </w:rPr>
        <w:t>Delegation</w:t>
      </w:r>
      <w:r>
        <w:rPr>
          <w:rFonts w:ascii="Arial" w:cs="Arial" w:eastAsia="Arial" w:hAnsi="Arial"/>
          <w:sz w:val="18"/>
          <w:szCs w:val="18"/>
          <w:color w:val="auto"/>
        </w:rPr>
        <w:t>: to delegate to any person any Rights exercisable by the Receiver under or in connection with this Deed, either generally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and on such terms as the Receiver reasonably thinks fit; and</w:t>
      </w:r>
    </w:p>
    <w:p>
      <w:pPr>
        <w:spacing w:after="0" w:line="161" w:lineRule="exact"/>
        <w:rPr>
          <w:rFonts w:ascii="Arial" w:cs="Arial" w:eastAsia="Arial" w:hAnsi="Arial"/>
          <w:sz w:val="18"/>
          <w:szCs w:val="18"/>
          <w:color w:val="auto"/>
        </w:rPr>
      </w:pPr>
    </w:p>
    <w:p>
      <w:pPr>
        <w:jc w:val="both"/>
        <w:ind w:left="1300" w:hanging="644"/>
        <w:spacing w:after="0" w:line="314" w:lineRule="auto"/>
        <w:tabs>
          <w:tab w:leader="none" w:pos="1300" w:val="left"/>
        </w:tabs>
        <w:numPr>
          <w:ilvl w:val="0"/>
          <w:numId w:val="654"/>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to do all such other acts and things the Receiver considers necessary or desirable in connection with the exercise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conferred upon the Receiver hereunder or by law and all things the Receiver considers incidental or conducive to the exercise and performance of such Rights and obligations and to do anything which the Receiver has the right to do jointly with any other person.</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Remuneration</w:t>
      </w:r>
    </w:p>
    <w:p>
      <w:pPr>
        <w:spacing w:after="0" w:line="235" w:lineRule="exact"/>
        <w:rPr>
          <w:sz w:val="20"/>
          <w:szCs w:val="20"/>
          <w:color w:val="auto"/>
        </w:rPr>
      </w:pPr>
    </w:p>
    <w:p>
      <w:pPr>
        <w:jc w:val="both"/>
        <w:ind w:left="660"/>
        <w:spacing w:after="0" w:line="308" w:lineRule="auto"/>
        <w:rPr>
          <w:sz w:val="20"/>
          <w:szCs w:val="20"/>
          <w:color w:val="auto"/>
        </w:rPr>
      </w:pPr>
      <w:r>
        <w:rPr>
          <w:rFonts w:ascii="Arial" w:cs="Arial" w:eastAsia="Arial" w:hAnsi="Arial"/>
          <w:sz w:val="19"/>
          <w:szCs w:val="19"/>
          <w:color w:val="auto"/>
        </w:rPr>
        <w:t>Subject to section 36 of the Insolvency Act, the remuneration of any Receiver may be fixed by the Collateral Agent without being limited to the maximum rate specified by section 109(6) of the LPA. Such remuneration shall be payable by the Mortgagor alone. The amount of such remuneration may be debited by the Collateral Agent from any account of the Mortgagor but shall, in any event, form part of the Secured Obligations and accordingly be secured on the Secured Assets under the Security. Such remuneration shall be paid on such terms and in such manner as the Collateral Agent and Receiver may from time to time agree or failing such agreement as the Collateral Agent reasonably determines.</w:t>
      </w:r>
    </w:p>
    <w:p>
      <w:pPr>
        <w:spacing w:after="0" w:line="143" w:lineRule="exact"/>
        <w:rPr>
          <w:sz w:val="20"/>
          <w:szCs w:val="20"/>
          <w:color w:val="auto"/>
        </w:rPr>
      </w:pPr>
    </w:p>
    <w:p>
      <w:pPr>
        <w:ind w:left="660" w:hanging="652"/>
        <w:spacing w:after="0"/>
        <w:tabs>
          <w:tab w:leader="none" w:pos="660" w:val="left"/>
        </w:tabs>
        <w:numPr>
          <w:ilvl w:val="0"/>
          <w:numId w:val="655"/>
        </w:numPr>
        <w:rPr>
          <w:rFonts w:ascii="Arial" w:cs="Arial" w:eastAsia="Arial" w:hAnsi="Arial"/>
          <w:sz w:val="18"/>
          <w:szCs w:val="18"/>
          <w:color w:val="auto"/>
        </w:rPr>
      </w:pPr>
      <w:r>
        <w:rPr>
          <w:rFonts w:ascii="Arial" w:cs="Arial" w:eastAsia="Arial" w:hAnsi="Arial"/>
          <w:sz w:val="18"/>
          <w:szCs w:val="18"/>
          <w:b w:val="1"/>
          <w:bCs w:val="1"/>
          <w:color w:val="auto"/>
        </w:rPr>
        <w:t>RIGHTS OF COLLATERAL AGENT AND SECURED PARTIES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b w:val="1"/>
          <w:bCs w:val="1"/>
          <w:color w:val="auto"/>
        </w:rPr>
        <w:t>Receipts</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The Collateral Agent may give a valid receipt for any moneys and execute any assurance or thing which may be proper or desirable for realising any Secured Asset.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Delegation</w:t>
      </w:r>
    </w:p>
    <w:p>
      <w:pPr>
        <w:spacing w:after="0" w:line="235"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22"/>
          <w:szCs w:val="22"/>
          <w:color w:val="auto"/>
        </w:rPr>
        <w:t>The Collateral Agent may at any time, and from time to time, delegate to any person any Rights exercisable by the Collateral Agent under or in connection with this Deed on such terms and conditions (including power to sub-delegate) as the Collateral Agent thinks fit.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Redemption of prior Security Interests</w:t>
      </w:r>
    </w:p>
    <w:p>
      <w:pPr>
        <w:spacing w:after="0" w:line="235"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The Collateral Agent may, at any time after an Enforcement Event has occurred, redeem any Security Interest having priority to the Security at any time or procure the transfer thereof to the Collateral Agent and may settle the accounts of holders of such interests and any account so settled shall be conclusive and binding on the Mortgagor. All principal monies, interest and Losses of and incidental to such redemption or transfer shall be paid by the Mortgagor to the Collateral Agent promptly on demand.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5"/>
          <w:szCs w:val="15"/>
          <w:b w:val="1"/>
          <w:bCs w:val="1"/>
          <w:color w:val="auto"/>
        </w:rPr>
        <w:t>Suspense account</w:t>
      </w:r>
    </w:p>
    <w:p>
      <w:pPr>
        <w:spacing w:after="0" w:line="235"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5"/>
          <w:szCs w:val="15"/>
          <w:b w:val="1"/>
          <w:bCs w:val="1"/>
          <w:color w:val="auto"/>
        </w:rPr>
        <w:t>New account</w:t>
      </w:r>
    </w:p>
    <w:p>
      <w:pPr>
        <w:spacing w:after="0" w:line="235"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If the Collateral Agent receives notice (actual or constructive) of any subsequent Security Interest (other than any Security Interest permitted under the Loan Agreement) over any Secured Asset, or if an Insolvency Event in relation to the Mortgagor occurs, each Secured Party may open a new account in the name of the Mortgagor (whether or not it allows any existing account to continue), and if it does not do so, it shall be deemed to have done so at the time the Collateral Agent received or was deemed to have received such notice or at the time that the Insolvency Event commenced (such time the "</w:t>
      </w:r>
      <w:r>
        <w:rPr>
          <w:rFonts w:ascii="Arial" w:cs="Arial" w:eastAsia="Arial" w:hAnsi="Arial"/>
          <w:sz w:val="19"/>
          <w:szCs w:val="19"/>
          <w:b w:val="1"/>
          <w:bCs w:val="1"/>
          <w:color w:val="auto"/>
        </w:rPr>
        <w:t>Relevant Time</w:t>
      </w:r>
      <w:r>
        <w:rPr>
          <w:rFonts w:ascii="Arial" w:cs="Arial" w:eastAsia="Arial" w:hAnsi="Arial"/>
          <w:sz w:val="19"/>
          <w:szCs w:val="19"/>
          <w:color w:val="auto"/>
        </w:rPr>
        <w:t>"). Thereafter, all subsequent payments by the Mortgagor to the relevant Secured Party and all payments received by the relevant Secured Party for the account of the Mortgagor, whether received from the Collateral</w:t>
      </w:r>
    </w:p>
    <w:p>
      <w:pPr>
        <w:sectPr>
          <w:pgSz w:w="11900" w:h="16838" w:orient="portrait"/>
          <w:cols w:equalWidth="0" w:num="1">
            <w:col w:w="11240"/>
          </w:cols>
          <w:pgMar w:left="320" w:top="121" w:right="339" w:bottom="0" w:gutter="0" w:footer="0" w:header="0"/>
        </w:sectPr>
      </w:pPr>
    </w:p>
    <w:bookmarkStart w:id="570" w:name="page571"/>
    <w:bookmarkEnd w:id="570"/>
    <w:p>
      <w:pPr>
        <w:jc w:val="both"/>
        <w:ind w:left="660"/>
        <w:spacing w:after="0" w:line="276" w:lineRule="auto"/>
        <w:rPr>
          <w:sz w:val="20"/>
          <w:szCs w:val="20"/>
          <w:color w:val="auto"/>
        </w:rPr>
      </w:pPr>
      <w:r>
        <w:rPr>
          <w:rFonts w:ascii="Arial" w:cs="Arial" w:eastAsia="Arial" w:hAnsi="Arial"/>
          <w:sz w:val="22"/>
          <w:szCs w:val="22"/>
          <w:color w:val="auto"/>
        </w:rPr>
        <w:t>Agent or otherwise, shall be credited or deemed to have been credited to the new account, and shall not operate to reduce the Secured Obligations owing to such Secured Party at the Relevant Time.</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b w:val="1"/>
          <w:bCs w:val="1"/>
          <w:color w:val="auto"/>
        </w:rPr>
        <w:t>Other security and rights</w:t>
      </w:r>
    </w:p>
    <w:p>
      <w:pPr>
        <w:spacing w:after="0" w:line="235"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The Collateral Agent may, at any time, without affecting the Security or the liability of the Mortgagor under this Deed: (a) refrain from applying or enforcing any other moneys, Security Interests or rights held or received by it (or any trustee or agent on its behalf) in respect of any Secured Obligations; or (b) apply and enforce the same in such manner and order as it reasonably sees fit (whether against those amounts or otherwise), and the Mortgagor waives any right it may have of first requiring the Collateral Agent to proceed against any other person, exercise any other rights or take any other steps before exercising any Rights under or pursuant to this Deed.</w:t>
      </w:r>
    </w:p>
    <w:p>
      <w:pPr>
        <w:spacing w:after="0" w:line="171" w:lineRule="exact"/>
        <w:rPr>
          <w:sz w:val="20"/>
          <w:szCs w:val="20"/>
          <w:color w:val="auto"/>
        </w:rPr>
      </w:pPr>
    </w:p>
    <w:p>
      <w:pPr>
        <w:ind w:left="660" w:hanging="652"/>
        <w:spacing w:after="0"/>
        <w:tabs>
          <w:tab w:leader="none" w:pos="660" w:val="left"/>
        </w:tabs>
        <w:numPr>
          <w:ilvl w:val="0"/>
          <w:numId w:val="656"/>
        </w:numPr>
        <w:rPr>
          <w:rFonts w:ascii="Arial" w:cs="Arial" w:eastAsia="Arial" w:hAnsi="Arial"/>
          <w:sz w:val="18"/>
          <w:szCs w:val="18"/>
          <w:color w:val="auto"/>
        </w:rPr>
      </w:pPr>
      <w:r>
        <w:rPr>
          <w:rFonts w:ascii="Arial" w:cs="Arial" w:eastAsia="Arial" w:hAnsi="Arial"/>
          <w:sz w:val="18"/>
          <w:szCs w:val="18"/>
          <w:b w:val="1"/>
          <w:bCs w:val="1"/>
          <w:color w:val="auto"/>
        </w:rPr>
        <w:t>APPLICATION OF MONEYS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Application</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All moneys realised, received or recovered by the Collateral Agent or any Receiver in the exercise of their respective Rights under or in connection with this Deed, shall (subject, in each case, to any claims ranking in priority as a matter of law) be applied in or towards, in the order specified in the Loan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b w:val="1"/>
          <w:bCs w:val="1"/>
          <w:color w:val="auto"/>
        </w:rPr>
        <w:t>Statutory Provisions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Sections 105, 107(2) and 109(8) of the LPA shall not apply to this Deed.</w:t>
      </w:r>
    </w:p>
    <w:p>
      <w:pPr>
        <w:spacing w:after="0" w:line="223" w:lineRule="exact"/>
        <w:rPr>
          <w:sz w:val="20"/>
          <w:szCs w:val="20"/>
          <w:color w:val="auto"/>
        </w:rPr>
      </w:pPr>
    </w:p>
    <w:p>
      <w:pPr>
        <w:ind w:left="660" w:hanging="652"/>
        <w:spacing w:after="0"/>
        <w:tabs>
          <w:tab w:leader="none" w:pos="660" w:val="left"/>
        </w:tabs>
        <w:numPr>
          <w:ilvl w:val="0"/>
          <w:numId w:val="657"/>
        </w:numPr>
        <w:rPr>
          <w:rFonts w:ascii="Arial" w:cs="Arial" w:eastAsia="Arial" w:hAnsi="Arial"/>
          <w:sz w:val="18"/>
          <w:szCs w:val="18"/>
          <w:color w:val="auto"/>
        </w:rPr>
      </w:pPr>
      <w:r>
        <w:rPr>
          <w:rFonts w:ascii="Arial" w:cs="Arial" w:eastAsia="Arial" w:hAnsi="Arial"/>
          <w:sz w:val="18"/>
          <w:szCs w:val="18"/>
          <w:b w:val="1"/>
          <w:bCs w:val="1"/>
          <w:color w:val="auto"/>
        </w:rPr>
        <w:t>LIABILITY OF COLLATERAL AGENT, RECEIVER AND DELEGATES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19.1</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3"/>
              </w:rPr>
              <w:t>No Relevant Person shall, in any circumstances, (whether as mortgagee in possession or otherwise) be liable to the Mortgagor or to any other</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6"/>
              </w:rPr>
              <w:t>person for any Loss arising under or in connection with this Deed or the Security, including, without limitation, any Loss relating to: (a) the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1"/>
              </w:rPr>
              <w:t>enforcement of the Security in accordance with this Deed; or (b) any exercise, purported exercise or non-exercise of any Right under or in relation</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to this Deed or the Security.</w:t>
            </w:r>
          </w:p>
        </w:tc>
      </w:tr>
      <w:tr>
        <w:trPr>
          <w:trHeight w:val="41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19.2</w:t>
            </w:r>
          </w:p>
        </w:tc>
        <w:tc>
          <w:tcPr>
            <w:tcW w:w="1420" w:type="dxa"/>
            <w:vAlign w:val="bottom"/>
          </w:tcPr>
          <w:p>
            <w:pPr>
              <w:ind w:left="300"/>
              <w:spacing w:after="0"/>
              <w:rPr>
                <w:sz w:val="20"/>
                <w:szCs w:val="20"/>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19.</w:t>
            </w:r>
          </w:p>
        </w:tc>
        <w:tc>
          <w:tcPr>
            <w:tcW w:w="9340" w:type="dxa"/>
            <w:vAlign w:val="bottom"/>
          </w:tcPr>
          <w:p>
            <w:pPr>
              <w:ind w:left="180"/>
              <w:spacing w:after="0"/>
              <w:rPr>
                <w:sz w:val="20"/>
                <w:szCs w:val="20"/>
                <w:color w:val="auto"/>
              </w:rPr>
            </w:pPr>
            <w:r>
              <w:rPr>
                <w:rFonts w:ascii="Arial" w:cs="Arial" w:eastAsia="Arial" w:hAnsi="Arial"/>
                <w:sz w:val="18"/>
                <w:szCs w:val="18"/>
                <w:i w:val="1"/>
                <w:iCs w:val="1"/>
                <w:color w:val="auto"/>
                <w:w w:val="96"/>
              </w:rPr>
              <w:t xml:space="preserve">Liability of Collateral Agent, </w:t>
            </w:r>
            <w:r>
              <w:rPr>
                <w:rFonts w:ascii="Arial" w:cs="Arial" w:eastAsia="Arial" w:hAnsi="Arial"/>
                <w:sz w:val="18"/>
                <w:szCs w:val="18"/>
                <w:b w:val="1"/>
                <w:bCs w:val="1"/>
                <w:color w:val="auto"/>
                <w:w w:val="96"/>
              </w:rPr>
              <w:t>RECEIVER</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 shall not apply in respect of any Loss to the extent that it has been found by a</w:t>
            </w:r>
          </w:p>
        </w:tc>
      </w:tr>
      <w:tr>
        <w:trPr>
          <w:trHeight w:val="216"/>
        </w:trPr>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340" w:type="dxa"/>
            <w:vAlign w:val="bottom"/>
          </w:tcPr>
          <w:p>
            <w:pPr>
              <w:ind w:left="180"/>
              <w:spacing w:after="0"/>
              <w:rPr>
                <w:sz w:val="20"/>
                <w:szCs w:val="20"/>
                <w:color w:val="auto"/>
              </w:rPr>
            </w:pPr>
            <w:r>
              <w:rPr>
                <w:rFonts w:ascii="Arial" w:cs="Arial" w:eastAsia="Arial" w:hAnsi="Arial"/>
                <w:sz w:val="18"/>
                <w:szCs w:val="18"/>
                <w:color w:val="auto"/>
                <w:w w:val="92"/>
              </w:rPr>
              <w:t>final non-appealable judgment of a court of competent jurisdiction to have been incurred by reason of the Relevant Person’s</w:t>
            </w:r>
          </w:p>
        </w:tc>
      </w:tr>
      <w:tr>
        <w:trPr>
          <w:trHeight w:val="230"/>
        </w:trPr>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40" w:type="dxa"/>
            <w:vAlign w:val="bottom"/>
          </w:tcPr>
          <w:p>
            <w:pPr>
              <w:ind w:left="180"/>
              <w:spacing w:after="0"/>
              <w:rPr>
                <w:sz w:val="20"/>
                <w:szCs w:val="20"/>
                <w:color w:val="auto"/>
              </w:rPr>
            </w:pPr>
            <w:r>
              <w:rPr>
                <w:rFonts w:ascii="Arial" w:cs="Arial" w:eastAsia="Arial" w:hAnsi="Arial"/>
                <w:sz w:val="18"/>
                <w:szCs w:val="18"/>
                <w:color w:val="auto"/>
              </w:rPr>
              <w:t>gross negligence, wilful misconduct or unlawful conduct.</w:t>
            </w:r>
          </w:p>
        </w:tc>
      </w:tr>
      <w:tr>
        <w:trPr>
          <w:trHeight w:val="41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19.3</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1"/>
              </w:rPr>
              <w:t>The Mortgagor may not take any proceedings against any officer, employee or agent of the Collateral Agent or of any Receiver or of any Delegate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2"/>
              </w:rPr>
              <w:t>in respect of any claim against the Collateral Agent, Receiver or Delegate or in respect of any act or omission of such officer, employee or agent</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1"/>
              </w:rPr>
              <w:t>(save where such act has been found by a final non</w:t>
            </w:r>
            <w:r>
              <w:rPr>
                <w:rFonts w:ascii="MS PGothic" w:cs="MS PGothic" w:eastAsia="MS PGothic" w:hAnsi="MS PGothic"/>
                <w:sz w:val="18"/>
                <w:szCs w:val="18"/>
                <w:color w:val="auto"/>
                <w:w w:val="91"/>
              </w:rPr>
              <w:t>‑</w:t>
            </w:r>
            <w:r>
              <w:rPr>
                <w:rFonts w:ascii="Arial" w:cs="Arial" w:eastAsia="Arial" w:hAnsi="Arial"/>
                <w:sz w:val="18"/>
                <w:szCs w:val="18"/>
                <w:color w:val="auto"/>
                <w:w w:val="91"/>
              </w:rPr>
              <w:t>appealable judgment of a court of competent jurisdiction to have been a direct result of his or</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its gross negligence, wilful misconduct or unlawful conduct), in each case in connection with this Deed.</w:t>
            </w:r>
          </w:p>
        </w:tc>
      </w:tr>
      <w:tr>
        <w:trPr>
          <w:trHeight w:val="414"/>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19.4</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5"/>
              </w:rPr>
              <w:t>Each officer, employee and agent of the Collateral Agent or of any Receiver or Delegate may rely on this Clause 0 (</w:t>
            </w:r>
            <w:r>
              <w:rPr>
                <w:rFonts w:ascii="Arial" w:cs="Arial" w:eastAsia="Arial" w:hAnsi="Arial"/>
                <w:sz w:val="18"/>
                <w:szCs w:val="18"/>
                <w:i w:val="1"/>
                <w:iCs w:val="1"/>
                <w:color w:val="auto"/>
                <w:w w:val="95"/>
              </w:rPr>
              <w:t>19.Liability of Collateral</w:t>
            </w:r>
          </w:p>
        </w:tc>
      </w:tr>
      <w:tr>
        <w:trPr>
          <w:trHeight w:val="234"/>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b w:val="1"/>
                <w:bCs w:val="1"/>
                <w:color w:val="auto"/>
              </w:rPr>
              <w:t>RECEIVER</w:t>
            </w:r>
            <w:r>
              <w:rPr>
                <w:rFonts w:ascii="Arial" w:cs="Arial" w:eastAsia="Arial" w:hAnsi="Arial"/>
                <w:sz w:val="18"/>
                <w:szCs w:val="18"/>
                <w:i w:val="1"/>
                <w:iCs w:val="1"/>
                <w:color w:val="auto"/>
              </w:rPr>
              <w:t xml:space="preserve"> </w:t>
            </w:r>
            <w:r>
              <w:rPr>
                <w:rFonts w:ascii="Arial" w:cs="Arial" w:eastAsia="Arial" w:hAnsi="Arial"/>
                <w:sz w:val="18"/>
                <w:szCs w:val="18"/>
                <w:color w:val="auto"/>
              </w:rPr>
              <w:t>) in accordance with the Third Parties Act (but subject to Clause 0 (</w:t>
            </w:r>
            <w:r>
              <w:rPr>
                <w:rFonts w:ascii="Arial" w:cs="Arial" w:eastAsia="Arial" w:hAnsi="Arial"/>
                <w:sz w:val="18"/>
                <w:szCs w:val="18"/>
                <w:i w:val="1"/>
                <w:iCs w:val="1"/>
                <w:color w:val="auto"/>
              </w:rPr>
              <w:t xml:space="preserve">27.5Third party </w:t>
            </w:r>
            <w:r>
              <w:rPr>
                <w:rFonts w:ascii="Arial" w:cs="Arial" w:eastAsia="Arial" w:hAnsi="Arial"/>
                <w:sz w:val="18"/>
                <w:szCs w:val="18"/>
                <w:b w:val="1"/>
                <w:bCs w:val="1"/>
                <w:color w:val="auto"/>
              </w:rPr>
              <w:t>rights</w:t>
            </w:r>
            <w:r>
              <w:rPr>
                <w:rFonts w:ascii="Arial" w:cs="Arial" w:eastAsia="Arial" w:hAnsi="Arial"/>
                <w:sz w:val="18"/>
                <w:szCs w:val="18"/>
                <w:color w:val="auto"/>
              </w:rPr>
              <w:t>)).</w:t>
            </w:r>
          </w:p>
        </w:tc>
      </w:tr>
    </w:tbl>
    <w:p>
      <w:pPr>
        <w:spacing w:after="0" w:line="198" w:lineRule="exact"/>
        <w:rPr>
          <w:sz w:val="20"/>
          <w:szCs w:val="20"/>
          <w:color w:val="auto"/>
        </w:rPr>
      </w:pPr>
    </w:p>
    <w:p>
      <w:pPr>
        <w:ind w:left="660" w:hanging="652"/>
        <w:spacing w:after="0"/>
        <w:tabs>
          <w:tab w:leader="none" w:pos="660" w:val="left"/>
        </w:tabs>
        <w:numPr>
          <w:ilvl w:val="0"/>
          <w:numId w:val="658"/>
        </w:numPr>
        <w:rPr>
          <w:rFonts w:ascii="Arial" w:cs="Arial" w:eastAsia="Arial" w:hAnsi="Arial"/>
          <w:sz w:val="18"/>
          <w:szCs w:val="18"/>
          <w:color w:val="auto"/>
        </w:rPr>
      </w:pPr>
      <w:r>
        <w:rPr>
          <w:rFonts w:ascii="Arial" w:cs="Arial" w:eastAsia="Arial" w:hAnsi="Arial"/>
          <w:sz w:val="18"/>
          <w:szCs w:val="18"/>
          <w:b w:val="1"/>
          <w:bCs w:val="1"/>
          <w:color w:val="auto"/>
        </w:rPr>
        <w:t>INDEMNITY</w:t>
      </w:r>
    </w:p>
    <w:p>
      <w:pPr>
        <w:spacing w:after="0" w:line="235" w:lineRule="exact"/>
        <w:rPr>
          <w:sz w:val="20"/>
          <w:szCs w:val="20"/>
          <w:color w:val="auto"/>
        </w:rPr>
      </w:pPr>
    </w:p>
    <w:p>
      <w:pPr>
        <w:ind w:left="660"/>
        <w:spacing w:after="0" w:line="299" w:lineRule="auto"/>
        <w:rPr>
          <w:sz w:val="20"/>
          <w:szCs w:val="20"/>
          <w:color w:val="auto"/>
        </w:rPr>
      </w:pPr>
      <w:r>
        <w:rPr>
          <w:rFonts w:ascii="Arial" w:cs="Arial" w:eastAsia="Arial" w:hAnsi="Arial"/>
          <w:sz w:val="19"/>
          <w:szCs w:val="19"/>
          <w:color w:val="auto"/>
        </w:rPr>
        <w:t>The Mortgagor shall indemnify each Relevant Person to the extent that and in the manner in which the Borrowers indemnify the Indemnitees under Section 11.04 (</w:t>
      </w:r>
      <w:r>
        <w:rPr>
          <w:rFonts w:ascii="Arial" w:cs="Arial" w:eastAsia="Arial" w:hAnsi="Arial"/>
          <w:sz w:val="19"/>
          <w:szCs w:val="19"/>
          <w:i w:val="1"/>
          <w:iCs w:val="1"/>
          <w:color w:val="auto"/>
        </w:rPr>
        <w:t>Indemnity</w:t>
      </w:r>
      <w:r>
        <w:rPr>
          <w:rFonts w:ascii="Arial" w:cs="Arial" w:eastAsia="Arial" w:hAnsi="Arial"/>
          <w:sz w:val="19"/>
          <w:szCs w:val="19"/>
          <w:color w:val="auto"/>
        </w:rPr>
        <w:t>) of the Loan Agreement. Each Relevant Person may rely on</w:t>
      </w:r>
    </w:p>
    <w:p>
      <w:pPr>
        <w:ind w:left="660"/>
        <w:spacing w:after="0" w:line="272" w:lineRule="auto"/>
        <w:rPr>
          <w:sz w:val="20"/>
          <w:szCs w:val="20"/>
          <w:color w:val="auto"/>
        </w:rPr>
      </w:pPr>
      <w:r>
        <w:rPr>
          <w:rFonts w:ascii="Arial" w:cs="Arial" w:eastAsia="Arial" w:hAnsi="Arial"/>
          <w:sz w:val="22"/>
          <w:szCs w:val="22"/>
          <w:color w:val="auto"/>
        </w:rPr>
        <w:t>this Clause 0 (</w:t>
      </w:r>
      <w:r>
        <w:rPr>
          <w:rFonts w:ascii="Arial" w:cs="Arial" w:eastAsia="Arial" w:hAnsi="Arial"/>
          <w:sz w:val="22"/>
          <w:szCs w:val="22"/>
          <w:i w:val="1"/>
          <w:iCs w:val="1"/>
          <w:color w:val="auto"/>
        </w:rPr>
        <w:t>20.</w:t>
      </w:r>
      <w:r>
        <w:rPr>
          <w:rFonts w:ascii="Arial" w:cs="Arial" w:eastAsia="Arial" w:hAnsi="Arial"/>
          <w:sz w:val="22"/>
          <w:szCs w:val="22"/>
          <w:color w:val="auto"/>
        </w:rPr>
        <w:t xml:space="preserve"> </w:t>
      </w:r>
      <w:r>
        <w:rPr>
          <w:rFonts w:ascii="Arial" w:cs="Arial" w:eastAsia="Arial" w:hAnsi="Arial"/>
          <w:sz w:val="22"/>
          <w:szCs w:val="22"/>
          <w:b w:val="1"/>
          <w:bCs w:val="1"/>
          <w:color w:val="auto"/>
        </w:rPr>
        <w:t>INDEMNITY</w:t>
      </w:r>
      <w:r>
        <w:rPr>
          <w:rFonts w:ascii="Arial" w:cs="Arial" w:eastAsia="Arial" w:hAnsi="Arial"/>
          <w:sz w:val="22"/>
          <w:szCs w:val="22"/>
          <w:color w:val="auto"/>
        </w:rPr>
        <w:t>) in accordance with the Third Parties Act but subject to Clause 0 (</w:t>
      </w:r>
      <w:r>
        <w:rPr>
          <w:rFonts w:ascii="Arial" w:cs="Arial" w:eastAsia="Arial" w:hAnsi="Arial"/>
          <w:sz w:val="22"/>
          <w:szCs w:val="22"/>
          <w:i w:val="1"/>
          <w:iCs w:val="1"/>
          <w:color w:val="auto"/>
        </w:rPr>
        <w:t>27.5Third party</w:t>
      </w:r>
      <w:r>
        <w:rPr>
          <w:rFonts w:ascii="Arial" w:cs="Arial" w:eastAsia="Arial" w:hAnsi="Arial"/>
          <w:sz w:val="22"/>
          <w:szCs w:val="22"/>
          <w:color w:val="auto"/>
        </w:rPr>
        <w:t xml:space="preserve"> </w:t>
      </w:r>
      <w:r>
        <w:rPr>
          <w:rFonts w:ascii="Arial" w:cs="Arial" w:eastAsia="Arial" w:hAnsi="Arial"/>
          <w:sz w:val="22"/>
          <w:szCs w:val="22"/>
          <w:b w:val="1"/>
          <w:bCs w:val="1"/>
          <w:color w:val="auto"/>
        </w:rPr>
        <w:t>rights</w:t>
      </w:r>
      <w:r>
        <w:rPr>
          <w:rFonts w:ascii="Arial" w:cs="Arial" w:eastAsia="Arial" w:hAnsi="Arial"/>
          <w:sz w:val="22"/>
          <w:szCs w:val="22"/>
          <w:color w:val="auto"/>
        </w:rPr>
        <w:t>).</w:t>
      </w:r>
    </w:p>
    <w:p>
      <w:pPr>
        <w:spacing w:after="0" w:line="168" w:lineRule="exact"/>
        <w:rPr>
          <w:sz w:val="20"/>
          <w:szCs w:val="20"/>
          <w:color w:val="auto"/>
        </w:rPr>
      </w:pPr>
    </w:p>
    <w:p>
      <w:pPr>
        <w:ind w:left="660" w:hanging="652"/>
        <w:spacing w:after="0"/>
        <w:tabs>
          <w:tab w:leader="none" w:pos="660" w:val="left"/>
        </w:tabs>
        <w:numPr>
          <w:ilvl w:val="0"/>
          <w:numId w:val="659"/>
        </w:numPr>
        <w:rPr>
          <w:rFonts w:ascii="Arial" w:cs="Arial" w:eastAsia="Arial" w:hAnsi="Arial"/>
          <w:sz w:val="18"/>
          <w:szCs w:val="18"/>
          <w:color w:val="auto"/>
        </w:rPr>
      </w:pPr>
      <w:r>
        <w:rPr>
          <w:rFonts w:ascii="Arial" w:cs="Arial" w:eastAsia="Arial" w:hAnsi="Arial"/>
          <w:sz w:val="18"/>
          <w:szCs w:val="18"/>
          <w:b w:val="1"/>
          <w:bCs w:val="1"/>
          <w:color w:val="auto"/>
        </w:rPr>
        <w:t>PROTECTION OF THIRD PARTIES</w:t>
      </w:r>
    </w:p>
    <w:p>
      <w:pPr>
        <w:spacing w:after="0" w:line="235"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color w:val="auto"/>
        </w:rPr>
        <w:t>No person (including a purchaser) dealing with the Collateral Agent, any Receiver or any Delegate shall be concerned to enquire: (a) whether any Secured Obligation has become payable or remains outstanding; (b) whether any event has happened upon which any of the Rights exercised or purported to be exercised by the Collateral Agent, any Receiver or any Delegate under or in connection with this Deed, the LPA, the Insolvency Act or otherwise has arisen or become exercisable; (c) whether any consents, regulations, restrictions or directions relating to any such Rights have been obtained or complied with; (d) otherwise as to the propriety, regularity or validity of the exercise or purported exercise of any such Rights; or (e) as to the application of any moneys borrowed or raised or any realisation proceeds and the receipt of the Collateral Agent, Receiver or Delegate shall be an absolute and conclusive discharge to the relevant person.</w:t>
      </w:r>
    </w:p>
    <w:p>
      <w:pPr>
        <w:spacing w:after="0" w:line="144" w:lineRule="exact"/>
        <w:rPr>
          <w:sz w:val="20"/>
          <w:szCs w:val="20"/>
          <w:color w:val="auto"/>
        </w:rPr>
      </w:pPr>
    </w:p>
    <w:p>
      <w:pPr>
        <w:ind w:left="660" w:hanging="652"/>
        <w:spacing w:after="0"/>
        <w:tabs>
          <w:tab w:leader="none" w:pos="660" w:val="left"/>
        </w:tabs>
        <w:numPr>
          <w:ilvl w:val="0"/>
          <w:numId w:val="660"/>
        </w:numPr>
        <w:rPr>
          <w:rFonts w:ascii="Arial" w:cs="Arial" w:eastAsia="Arial" w:hAnsi="Arial"/>
          <w:sz w:val="18"/>
          <w:szCs w:val="18"/>
          <w:color w:val="auto"/>
        </w:rPr>
      </w:pPr>
      <w:r>
        <w:rPr>
          <w:rFonts w:ascii="Arial" w:cs="Arial" w:eastAsia="Arial" w:hAnsi="Arial"/>
          <w:sz w:val="18"/>
          <w:szCs w:val="18"/>
          <w:b w:val="1"/>
          <w:bCs w:val="1"/>
          <w:color w:val="auto"/>
        </w:rPr>
        <w:t>SECURITY CONTINUING, CUMULATIVE AND NOT TO BE AFFECTED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Continuing security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Subject to Clauses 0, 0 and 0 (</w:t>
      </w:r>
      <w:r>
        <w:rPr>
          <w:rFonts w:ascii="Arial" w:cs="Arial" w:eastAsia="Arial" w:hAnsi="Arial"/>
          <w:sz w:val="22"/>
          <w:szCs w:val="22"/>
          <w:i w:val="1"/>
          <w:iCs w:val="1"/>
          <w:color w:val="auto"/>
        </w:rPr>
        <w:t>26. Release of</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w:t>
      </w:r>
      <w:r>
        <w:rPr>
          <w:rFonts w:ascii="Arial" w:cs="Arial" w:eastAsia="Arial" w:hAnsi="Arial"/>
          <w:sz w:val="22"/>
          <w:szCs w:val="22"/>
          <w:color w:val="auto"/>
        </w:rPr>
        <w:t>), the Security shall remain in full force and effect as a continuing security to the Collateral Agent for the Secured Obligations and shall not be satisfied, discharged or affected by any intermediate payment or discharge of all or part of the Secured Obligations or by any other matter or thing whatsoever.</w:t>
      </w:r>
    </w:p>
    <w:p>
      <w:pPr>
        <w:sectPr>
          <w:pgSz w:w="11900" w:h="16838" w:orient="portrait"/>
          <w:cols w:equalWidth="0" w:num="1">
            <w:col w:w="11240"/>
          </w:cols>
          <w:pgMar w:left="320" w:top="131" w:right="339" w:bottom="0" w:gutter="0" w:footer="0" w:header="0"/>
        </w:sectPr>
      </w:pPr>
    </w:p>
    <w:bookmarkStart w:id="571" w:name="page572"/>
    <w:bookmarkEnd w:id="571"/>
    <w:p>
      <w:pPr>
        <w:spacing w:after="0"/>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Security Interests cumulative</w:t>
      </w:r>
    </w:p>
    <w:p>
      <w:pPr>
        <w:spacing w:after="0" w:line="235" w:lineRule="exact"/>
        <w:rPr>
          <w:sz w:val="20"/>
          <w:szCs w:val="20"/>
          <w:color w:val="auto"/>
        </w:rPr>
      </w:pPr>
    </w:p>
    <w:p>
      <w:pPr>
        <w:jc w:val="both"/>
        <w:ind w:left="660"/>
        <w:spacing w:after="0" w:line="284" w:lineRule="auto"/>
        <w:rPr>
          <w:sz w:val="20"/>
          <w:szCs w:val="20"/>
          <w:color w:val="auto"/>
        </w:rPr>
      </w:pPr>
      <w:r>
        <w:rPr>
          <w:rFonts w:ascii="Arial" w:cs="Arial" w:eastAsia="Arial" w:hAnsi="Arial"/>
          <w:sz w:val="21"/>
          <w:szCs w:val="21"/>
          <w:color w:val="auto"/>
        </w:rPr>
        <w:t>The Security is in addition to, and shall not be prejudiced by, any other Security Interest, guarantee, indemnity, right of recourse or any other right which the Collateral Agent or any Secured Party may now or hereafter have in respect of all or any part of the Secured Obligations. No prior Security Interest shall merge with any Security.</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Security not to be affected</w:t>
      </w:r>
    </w:p>
    <w:p>
      <w:pPr>
        <w:spacing w:after="0" w:line="235" w:lineRule="exact"/>
        <w:rPr>
          <w:sz w:val="20"/>
          <w:szCs w:val="20"/>
          <w:color w:val="auto"/>
        </w:rPr>
      </w:pPr>
    </w:p>
    <w:p>
      <w:pPr>
        <w:jc w:val="both"/>
        <w:ind w:left="660"/>
        <w:spacing w:after="0" w:line="300" w:lineRule="auto"/>
        <w:rPr>
          <w:sz w:val="20"/>
          <w:szCs w:val="20"/>
          <w:color w:val="auto"/>
        </w:rPr>
      </w:pPr>
      <w:r>
        <w:rPr>
          <w:rFonts w:ascii="Arial" w:cs="Arial" w:eastAsia="Arial" w:hAnsi="Arial"/>
          <w:sz w:val="19"/>
          <w:szCs w:val="19"/>
          <w:color w:val="auto"/>
        </w:rPr>
        <w:t>Neither the obligations of the Mortgagor under or pursuant to this Deed nor the Security will be prejudiced or affected by any act, omission or thing (whether or not known to the Mortgagor or the Collateral Agent or any Secured Party) which, but for this provision, would reduce, release, prejudice or provide any defence in respect of any of the Mortgagor's obligations under or pursuant to this Deed or the Security including, without limitation: (a) any variation, amendment, novation, supplement, extension, restatement or replacement of, or any waiver or release granted under or in connection with, any Loan Document, any document the obligations under which are secured hereunder, any other security, any guarantee, any indemnity or any other document; (b) any time being given, or any other indulgence or concession being granted, by the Collateral Agent to the Mortgagor or any other person; (c) the taking, variation, compromise, exchange, renewal or release of, or refusal or neglect to perfect, take up or enforce, any rights against, or any Security Interest over assets of, any other person; (d) any non-observance of any formality; (e) any incapacity or lack of power or authority of the Mortgagor or any other person; (f) any change in the constitution, membership, ownership, legal form, name or status of the Mortgagor or any other person; (g) any unenforceability, illegality or invalidity of any obligation of any person under any other deed or document; or (h) any insolvency or similar proceedings; (i) any amalgamation, merger or reconstruction effected by the Collateral Agent with any other person or any sale or transfer of the whole or any part of the undertaking and assets of the Collateral Agent to any other person; (j) the existence of any claim, set-off or other right which the Mortgagor may have at any time against the Collateral Agent or any other person; or (k) the making or absence of any demand for payment of any Obligation by the Collateral Agent or otherwise.</w:t>
      </w:r>
    </w:p>
    <w:p>
      <w:pPr>
        <w:spacing w:after="0" w:line="153" w:lineRule="exact"/>
        <w:rPr>
          <w:sz w:val="20"/>
          <w:szCs w:val="20"/>
          <w:color w:val="auto"/>
        </w:rPr>
      </w:pPr>
    </w:p>
    <w:p>
      <w:pPr>
        <w:ind w:left="660" w:hanging="652"/>
        <w:spacing w:after="0"/>
        <w:tabs>
          <w:tab w:leader="none" w:pos="660" w:val="left"/>
        </w:tabs>
        <w:numPr>
          <w:ilvl w:val="0"/>
          <w:numId w:val="661"/>
        </w:numPr>
        <w:rPr>
          <w:rFonts w:ascii="Arial" w:cs="Arial" w:eastAsia="Arial" w:hAnsi="Arial"/>
          <w:sz w:val="18"/>
          <w:szCs w:val="18"/>
          <w:color w:val="auto"/>
        </w:rPr>
      </w:pPr>
      <w:r>
        <w:rPr>
          <w:rFonts w:ascii="Arial" w:cs="Arial" w:eastAsia="Arial" w:hAnsi="Arial"/>
          <w:sz w:val="18"/>
          <w:szCs w:val="18"/>
          <w:b w:val="1"/>
          <w:bCs w:val="1"/>
          <w:color w:val="auto"/>
        </w:rPr>
        <w:t>CERTIFICATE CONCLUSIVE, ETC</w:t>
      </w:r>
    </w:p>
    <w:p>
      <w:pPr>
        <w:spacing w:after="0" w:line="235"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21"/>
          <w:szCs w:val="21"/>
          <w:color w:val="auto"/>
        </w:rPr>
        <w:t>For all purposes, including any Proceedings, a certificate signed by any officer or manager of the Collateral Agent (or copy thereof) as to the amount of any indebtedness comprised in the Secured Obligations, any applicable rate of interest or any other amount or interest rate for the purpose of this Deed shall, in the absence of manifest error, be conclusive and binding on the Mortgagor and all entries in any accounts maintained by the Collateral Agent for the purposes of this Deed shall be prima facie evidence of the matters to which they relate.</w:t>
      </w:r>
    </w:p>
    <w:p>
      <w:pPr>
        <w:spacing w:after="0" w:line="167" w:lineRule="exact"/>
        <w:rPr>
          <w:sz w:val="20"/>
          <w:szCs w:val="20"/>
          <w:color w:val="auto"/>
        </w:rPr>
      </w:pPr>
    </w:p>
    <w:p>
      <w:pPr>
        <w:ind w:left="660" w:hanging="652"/>
        <w:spacing w:after="0"/>
        <w:tabs>
          <w:tab w:leader="none" w:pos="660"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NO SET-OFF BY MORTGAGOR</w:t>
      </w:r>
    </w:p>
    <w:p>
      <w:pPr>
        <w:spacing w:after="0" w:line="235" w:lineRule="exact"/>
        <w:rPr>
          <w:sz w:val="20"/>
          <w:szCs w:val="20"/>
          <w:color w:val="auto"/>
        </w:rPr>
      </w:pPr>
    </w:p>
    <w:p>
      <w:pPr>
        <w:jc w:val="both"/>
        <w:ind w:left="660"/>
        <w:spacing w:after="0" w:line="279" w:lineRule="auto"/>
        <w:rPr>
          <w:sz w:val="20"/>
          <w:szCs w:val="20"/>
          <w:color w:val="auto"/>
        </w:rPr>
      </w:pPr>
      <w:r>
        <w:rPr>
          <w:rFonts w:ascii="Arial" w:cs="Arial" w:eastAsia="Arial" w:hAnsi="Arial"/>
          <w:sz w:val="21"/>
          <w:szCs w:val="21"/>
          <w:color w:val="auto"/>
        </w:rPr>
        <w:t>The Mortgagor shall not be entitled to, and shall not, set off any obligation owed by the Collateral Agent or any other Secured Party to the Mortgagor against any obligation whether or not matured owed by the Mortgagor to the Collateral Agent or other Secured Party and shall make all payments to be made by it under this Deed in full without any set off, restriction or condition and without any deduction for or on account of any counterclaim.</w:t>
      </w:r>
    </w:p>
    <w:p>
      <w:pPr>
        <w:spacing w:after="0" w:line="163" w:lineRule="exact"/>
        <w:rPr>
          <w:sz w:val="20"/>
          <w:szCs w:val="20"/>
          <w:color w:val="auto"/>
        </w:rPr>
      </w:pPr>
    </w:p>
    <w:p>
      <w:pPr>
        <w:ind w:left="660" w:hanging="652"/>
        <w:spacing w:after="0"/>
        <w:tabs>
          <w:tab w:leader="none" w:pos="660" w:val="left"/>
        </w:tabs>
        <w:numPr>
          <w:ilvl w:val="0"/>
          <w:numId w:val="663"/>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235" w:lineRule="exact"/>
        <w:rPr>
          <w:sz w:val="20"/>
          <w:szCs w:val="20"/>
          <w:color w:val="auto"/>
        </w:rPr>
      </w:pPr>
    </w:p>
    <w:p>
      <w:pPr>
        <w:ind w:left="660"/>
        <w:spacing w:after="0" w:line="301" w:lineRule="auto"/>
        <w:rPr>
          <w:sz w:val="20"/>
          <w:szCs w:val="20"/>
          <w:color w:val="auto"/>
        </w:rPr>
      </w:pPr>
      <w:r>
        <w:rPr>
          <w:rFonts w:ascii="Arial" w:cs="Arial" w:eastAsia="Arial" w:hAnsi="Arial"/>
          <w:sz w:val="21"/>
          <w:szCs w:val="21"/>
          <w:color w:val="auto"/>
        </w:rPr>
        <w:t>The Mortgagor shall pay to the Collateral Agent in relation to this Deed such costs and expenses as are of the type which are reimbursable by the Borrowers pursuant to Section 11.03 (</w:t>
      </w:r>
      <w:r>
        <w:rPr>
          <w:rFonts w:ascii="Arial" w:cs="Arial" w:eastAsia="Arial" w:hAnsi="Arial"/>
          <w:sz w:val="21"/>
          <w:szCs w:val="21"/>
          <w:i w:val="1"/>
          <w:iCs w:val="1"/>
          <w:color w:val="auto"/>
        </w:rPr>
        <w:t>Expenses, Etc.</w:t>
      </w:r>
      <w:r>
        <w:rPr>
          <w:rFonts w:ascii="Arial" w:cs="Arial" w:eastAsia="Arial" w:hAnsi="Arial"/>
          <w:sz w:val="21"/>
          <w:szCs w:val="21"/>
          <w:color w:val="auto"/>
        </w:rPr>
        <w:t>) of the Loan Agreement.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RELEASE OF SECURITY</w:t>
            </w:r>
          </w:p>
        </w:tc>
        <w:tc>
          <w:tcPr>
            <w:tcW w:w="772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26.1</w:t>
            </w:r>
          </w:p>
        </w:tc>
        <w:tc>
          <w:tcPr>
            <w:tcW w:w="3040" w:type="dxa"/>
            <w:vAlign w:val="bottom"/>
          </w:tcPr>
          <w:p>
            <w:pPr>
              <w:ind w:left="300"/>
              <w:spacing w:after="0"/>
              <w:rPr>
                <w:sz w:val="20"/>
                <w:szCs w:val="20"/>
                <w:color w:val="auto"/>
              </w:rPr>
            </w:pPr>
            <w:r>
              <w:rPr>
                <w:rFonts w:ascii="Arial" w:cs="Arial" w:eastAsia="Arial" w:hAnsi="Arial"/>
                <w:sz w:val="18"/>
                <w:szCs w:val="18"/>
                <w:color w:val="auto"/>
              </w:rPr>
              <w:t xml:space="preserve">Subject to Clauses 0 and 0 </w:t>
            </w:r>
            <w:r>
              <w:rPr>
                <w:rFonts w:ascii="Arial" w:cs="Arial" w:eastAsia="Arial" w:hAnsi="Arial"/>
                <w:sz w:val="18"/>
                <w:szCs w:val="18"/>
                <w:i w:val="1"/>
                <w:iCs w:val="1"/>
                <w:color w:val="auto"/>
              </w:rPr>
              <w:t>(26.</w:t>
            </w:r>
          </w:p>
        </w:tc>
        <w:tc>
          <w:tcPr>
            <w:tcW w:w="7720" w:type="dxa"/>
            <w:vAlign w:val="bottom"/>
          </w:tcPr>
          <w:p>
            <w:pPr>
              <w:ind w:left="500"/>
              <w:spacing w:after="0"/>
              <w:rPr>
                <w:sz w:val="20"/>
                <w:szCs w:val="20"/>
                <w:color w:val="auto"/>
              </w:rPr>
            </w:pPr>
            <w:r>
              <w:rPr>
                <w:rFonts w:ascii="Arial" w:cs="Arial" w:eastAsia="Arial" w:hAnsi="Arial"/>
                <w:sz w:val="18"/>
                <w:szCs w:val="18"/>
                <w:i w:val="1"/>
                <w:iCs w:val="1"/>
                <w:color w:val="auto"/>
                <w:w w:val="93"/>
              </w:rPr>
              <w:t xml:space="preserve">Release of </w:t>
            </w:r>
            <w:r>
              <w:rPr>
                <w:rFonts w:ascii="Arial" w:cs="Arial" w:eastAsia="Arial" w:hAnsi="Arial"/>
                <w:sz w:val="18"/>
                <w:szCs w:val="18"/>
                <w:b w:val="1"/>
                <w:bCs w:val="1"/>
                <w:color w:val="auto"/>
                <w:w w:val="93"/>
              </w:rPr>
              <w:t>SECURITY)</w:t>
            </w:r>
            <w:r>
              <w:rPr>
                <w:rFonts w:ascii="Arial" w:cs="Arial" w:eastAsia="Arial" w:hAnsi="Arial"/>
                <w:sz w:val="18"/>
                <w:szCs w:val="18"/>
                <w:color w:val="auto"/>
                <w:w w:val="93"/>
              </w:rPr>
              <w:t>, upon Payment in Full, the Collateral Agent shall, at the request and cost</w:t>
            </w:r>
          </w:p>
        </w:tc>
      </w:tr>
      <w:tr>
        <w:trPr>
          <w:trHeight w:val="216"/>
        </w:trPr>
        <w:tc>
          <w:tcPr>
            <w:tcW w:w="4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w w:val="88"/>
              </w:rPr>
              <w:t>of the Mortgagor, execute such documents and do all such things as may be necessary to release the</w:t>
            </w:r>
          </w:p>
        </w:tc>
      </w:tr>
      <w:tr>
        <w:trPr>
          <w:trHeight w:val="230"/>
        </w:trPr>
        <w:tc>
          <w:tcPr>
            <w:tcW w:w="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Secured Assets from the Security.</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26.2</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5"/>
              </w:rPr>
              <w:t>Notwithstanding anything to the contrary in this Deed (including, without limitation, Clauses 0 and 0 (</w:t>
            </w:r>
            <w:r>
              <w:rPr>
                <w:rFonts w:ascii="Arial" w:cs="Arial" w:eastAsia="Arial" w:hAnsi="Arial"/>
                <w:sz w:val="18"/>
                <w:szCs w:val="18"/>
                <w:i w:val="1"/>
                <w:iCs w:val="1"/>
                <w:color w:val="auto"/>
                <w:w w:val="95"/>
              </w:rPr>
              <w:t>26.Release of</w:t>
            </w:r>
            <w:r>
              <w:rPr>
                <w:rFonts w:ascii="Arial" w:cs="Arial" w:eastAsia="Arial" w:hAnsi="Arial"/>
                <w:sz w:val="18"/>
                <w:szCs w:val="18"/>
                <w:color w:val="auto"/>
                <w:w w:val="95"/>
              </w:rPr>
              <w:t xml:space="preserve"> </w:t>
            </w:r>
            <w:r>
              <w:rPr>
                <w:rFonts w:ascii="Arial" w:cs="Arial" w:eastAsia="Arial" w:hAnsi="Arial"/>
                <w:sz w:val="18"/>
                <w:szCs w:val="18"/>
                <w:b w:val="1"/>
                <w:bCs w:val="1"/>
                <w:color w:val="auto"/>
                <w:w w:val="95"/>
              </w:rPr>
              <w:t>SECURITY</w:t>
            </w:r>
            <w:r>
              <w:rPr>
                <w:rFonts w:ascii="Arial" w:cs="Arial" w:eastAsia="Arial" w:hAnsi="Arial"/>
                <w:sz w:val="18"/>
                <w:szCs w:val="18"/>
                <w:color w:val="auto"/>
                <w:w w:val="95"/>
              </w:rPr>
              <w:t>) hereof), the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8"/>
              </w:rPr>
              <w:t>obligations of the Mortgagor under this Deed shall automatically terminate and the Collateral Agent shall, at the request and cost of the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2"/>
              </w:rPr>
              <w:t>Mortgagor, execute such documents and do all such things as may be necessary to release the Secured Assets from the Security to the extent</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2"/>
              </w:rPr>
              <w:t>provided in and in accordance with Section 11.01(c) (</w:t>
            </w:r>
            <w:r>
              <w:rPr>
                <w:rFonts w:ascii="Arial" w:cs="Arial" w:eastAsia="Arial" w:hAnsi="Arial"/>
                <w:sz w:val="18"/>
                <w:szCs w:val="18"/>
                <w:i w:val="1"/>
                <w:iCs w:val="1"/>
                <w:color w:val="auto"/>
                <w:w w:val="92"/>
              </w:rPr>
              <w:t>Waiver; Amendments; Joinder; Release of Guarantors; Release of Collateral</w:t>
            </w:r>
            <w:r>
              <w:rPr>
                <w:rFonts w:ascii="Arial" w:cs="Arial" w:eastAsia="Arial" w:hAnsi="Arial"/>
                <w:sz w:val="18"/>
                <w:szCs w:val="18"/>
                <w:color w:val="auto"/>
                <w:w w:val="92"/>
              </w:rPr>
              <w:t>) and Section</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i w:val="1"/>
                <w:iCs w:val="1"/>
                <w:color w:val="auto"/>
              </w:rPr>
              <w:t>Release of Guarantors</w:t>
            </w:r>
            <w:r>
              <w:rPr>
                <w:rFonts w:ascii="Arial" w:cs="Arial" w:eastAsia="Arial" w:hAnsi="Arial"/>
                <w:sz w:val="18"/>
                <w:szCs w:val="18"/>
                <w:color w:val="auto"/>
              </w:rPr>
              <w:t>) of the Loan Agreement.</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26.3</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8"/>
              </w:rPr>
              <w:t>If any amount paid by the Mortgagor in respect of the Secured Obligations is capable of being avoided or set aside on the liquidation or</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0"/>
              </w:rPr>
              <w:t>administration of the Mortgagor or otherwise, then for the purposes of this Deed that amount shall not be considered to have been paid. No interest</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shall accrue on any such amount, unless and until such amount is so avoided or set aside.</w:t>
            </w:r>
          </w:p>
        </w:tc>
      </w:tr>
    </w:tbl>
    <w:p>
      <w:pPr>
        <w:spacing w:after="0" w:line="198" w:lineRule="exact"/>
        <w:rPr>
          <w:sz w:val="20"/>
          <w:szCs w:val="20"/>
          <w:color w:val="auto"/>
        </w:rPr>
      </w:pPr>
    </w:p>
    <w:p>
      <w:pPr>
        <w:ind w:left="660" w:hanging="652"/>
        <w:spacing w:after="0"/>
        <w:tabs>
          <w:tab w:leader="none" w:pos="660"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b w:val="1"/>
          <w:bCs w:val="1"/>
          <w:color w:val="auto"/>
        </w:rPr>
        <w:t>Remedies and waivers</w:t>
      </w:r>
    </w:p>
    <w:p>
      <w:pPr>
        <w:sectPr>
          <w:pgSz w:w="11900" w:h="16838" w:orient="portrait"/>
          <w:cols w:equalWidth="0" w:num="1">
            <w:col w:w="11240"/>
          </w:cols>
          <w:pgMar w:left="320" w:top="121" w:right="339" w:bottom="0" w:gutter="0" w:footer="0" w:header="0"/>
        </w:sectPr>
      </w:pPr>
    </w:p>
    <w:p>
      <w:pPr>
        <w:spacing w:after="0" w:line="235" w:lineRule="exact"/>
        <w:rPr>
          <w:sz w:val="20"/>
          <w:szCs w:val="20"/>
          <w:color w:val="auto"/>
        </w:rPr>
      </w:pPr>
    </w:p>
    <w:p>
      <w:pPr>
        <w:ind w:left="660"/>
        <w:spacing w:after="0" w:line="358" w:lineRule="auto"/>
        <w:rPr>
          <w:sz w:val="20"/>
          <w:szCs w:val="20"/>
          <w:color w:val="auto"/>
        </w:rPr>
      </w:pPr>
      <w:r>
        <w:rPr>
          <w:rFonts w:ascii="Arial" w:cs="Arial" w:eastAsia="Arial" w:hAnsi="Arial"/>
          <w:sz w:val="19"/>
          <w:szCs w:val="19"/>
          <w:color w:val="auto"/>
        </w:rPr>
        <w:t>No failure to exercise or delay in exercising any right, power or remedy provided by law or under this Deed shall operate to impair the same or be construed as a waiver of it. No single or partial exercise of any such right, power or remedy shall</w:t>
      </w:r>
    </w:p>
    <w:p>
      <w:pPr>
        <w:sectPr>
          <w:pgSz w:w="11900" w:h="16838" w:orient="portrait"/>
          <w:cols w:equalWidth="0" w:num="1">
            <w:col w:w="11240"/>
          </w:cols>
          <w:pgMar w:left="320" w:top="121" w:right="339" w:bottom="0" w:gutter="0" w:footer="0" w:header="0"/>
          <w:type w:val="continuous"/>
        </w:sectPr>
      </w:pPr>
    </w:p>
    <w:bookmarkStart w:id="572" w:name="page573"/>
    <w:bookmarkEnd w:id="572"/>
    <w:p>
      <w:pPr>
        <w:jc w:val="both"/>
        <w:ind w:left="660"/>
        <w:spacing w:after="0" w:line="262" w:lineRule="auto"/>
        <w:rPr>
          <w:sz w:val="20"/>
          <w:szCs w:val="20"/>
          <w:color w:val="auto"/>
        </w:rPr>
      </w:pPr>
      <w:r>
        <w:rPr>
          <w:rFonts w:ascii="Arial" w:cs="Arial" w:eastAsia="Arial" w:hAnsi="Arial"/>
          <w:sz w:val="22"/>
          <w:szCs w:val="22"/>
          <w:color w:val="auto"/>
        </w:rPr>
        <w:t>preclude or restrict any further or other exercise of the same or the exercise of any other right, power or remedy. No waiver of any such right, power or remedy shall constitute a waiver of any other right, power or remedy. Except as expressly provided in this Deed, the rights, powers and remedies provided in this Deed are cumulative and not exclusive of any rights provided by law.</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5"/>
          <w:szCs w:val="15"/>
          <w:b w:val="1"/>
          <w:bCs w:val="1"/>
          <w:color w:val="auto"/>
        </w:rPr>
        <w:t>Variations and consents</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No consent, variation or waiver in respect of any provision of this Deed shall be effective unless it is agreed in writing and signed by or on behalf of each of the parties to this Deed.</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Invalidity and severability</w:t>
      </w:r>
    </w:p>
    <w:p>
      <w:pPr>
        <w:spacing w:after="0" w:line="235" w:lineRule="exact"/>
        <w:rPr>
          <w:sz w:val="20"/>
          <w:szCs w:val="20"/>
          <w:color w:val="auto"/>
        </w:rPr>
      </w:pPr>
    </w:p>
    <w:p>
      <w:pPr>
        <w:jc w:val="both"/>
        <w:ind w:left="660"/>
        <w:spacing w:after="0" w:line="279" w:lineRule="auto"/>
        <w:rPr>
          <w:sz w:val="20"/>
          <w:szCs w:val="20"/>
          <w:color w:val="auto"/>
        </w:rPr>
      </w:pPr>
      <w:r>
        <w:rPr>
          <w:rFonts w:ascii="Arial" w:cs="Arial" w:eastAsia="Arial" w:hAnsi="Arial"/>
          <w:sz w:val="21"/>
          <w:szCs w:val="21"/>
          <w:color w:val="auto"/>
        </w:rPr>
        <w:t>If any provision of this Deed is or becomes or is found by a court or other competent authority to be illegal, invalid or unenforceable in any respect, in whole or in part, under any law of any jurisdiction, that shall not affect or impair the legality, validity and enforceability in that jurisdiction of any other provision of this Deed or the legality, validity or enforceability in any other jurisdiction of that provision or any other provision of this Deed.</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b w:val="1"/>
          <w:bCs w:val="1"/>
          <w:color w:val="auto"/>
        </w:rPr>
        <w:t>Counterparts</w:t>
      </w:r>
    </w:p>
    <w:p>
      <w:pPr>
        <w:spacing w:after="0" w:line="235" w:lineRule="exact"/>
        <w:rPr>
          <w:sz w:val="20"/>
          <w:szCs w:val="20"/>
          <w:color w:val="auto"/>
        </w:rPr>
      </w:pPr>
    </w:p>
    <w:p>
      <w:pPr>
        <w:jc w:val="both"/>
        <w:ind w:left="660"/>
        <w:spacing w:after="0" w:line="317" w:lineRule="auto"/>
        <w:rPr>
          <w:sz w:val="20"/>
          <w:szCs w:val="20"/>
          <w:color w:val="auto"/>
        </w:rPr>
      </w:pPr>
      <w:r>
        <w:rPr>
          <w:rFonts w:ascii="Arial" w:cs="Arial" w:eastAsia="Arial" w:hAnsi="Arial"/>
          <w:sz w:val="19"/>
          <w:szCs w:val="19"/>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where relevant, delivered, shall constitute an original of this Deed or the relevant variation or waiver, but all the counterparts together shall constitute one and the same instrument.</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6"/>
          <w:szCs w:val="16"/>
          <w:b w:val="1"/>
          <w:bCs w:val="1"/>
          <w:color w:val="auto"/>
        </w:rPr>
        <w:t>Third party rights</w:t>
      </w:r>
    </w:p>
    <w:p>
      <w:pPr>
        <w:spacing w:after="0" w:line="235" w:lineRule="exact"/>
        <w:rPr>
          <w:sz w:val="20"/>
          <w:szCs w:val="20"/>
          <w:color w:val="auto"/>
        </w:rPr>
      </w:pPr>
    </w:p>
    <w:p>
      <w:pPr>
        <w:jc w:val="both"/>
        <w:ind w:left="660"/>
        <w:spacing w:after="0" w:line="311" w:lineRule="auto"/>
        <w:rPr>
          <w:sz w:val="20"/>
          <w:szCs w:val="20"/>
          <w:color w:val="auto"/>
        </w:rPr>
      </w:pPr>
      <w:r>
        <w:rPr>
          <w:rFonts w:ascii="Arial" w:cs="Arial" w:eastAsia="Arial" w:hAnsi="Arial"/>
          <w:sz w:val="19"/>
          <w:szCs w:val="19"/>
          <w:color w:val="auto"/>
        </w:rPr>
        <w:t>Except for each Secured Party who is not party to this Deed and as otherwise specifically provided herein a person who is not party to this Deed has no right under the Third Parties Act to enforce any provision of this Deed. Each Secured Party (who is not party to this Deed) may enforce and enjoy the benefits of the provisions of Clauses 0 (</w:t>
      </w:r>
      <w:r>
        <w:rPr>
          <w:rFonts w:ascii="Arial" w:cs="Arial" w:eastAsia="Arial" w:hAnsi="Arial"/>
          <w:sz w:val="19"/>
          <w:szCs w:val="19"/>
          <w:i w:val="1"/>
          <w:iCs w:val="1"/>
          <w:color w:val="auto"/>
        </w:rPr>
        <w:t>17.Rights of Collateral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Agent and Secured </w:t>
      </w:r>
      <w:r>
        <w:rPr>
          <w:rFonts w:ascii="Arial" w:cs="Arial" w:eastAsia="Arial" w:hAnsi="Arial"/>
          <w:sz w:val="19"/>
          <w:szCs w:val="19"/>
          <w:b w:val="1"/>
          <w:bCs w:val="1"/>
          <w:color w:val="auto"/>
        </w:rPr>
        <w:t>PARTIES</w:t>
      </w:r>
      <w:r>
        <w:rPr>
          <w:rFonts w:ascii="Arial" w:cs="Arial" w:eastAsia="Arial" w:hAnsi="Arial"/>
          <w:sz w:val="19"/>
          <w:szCs w:val="19"/>
          <w:color w:val="auto"/>
        </w:rPr>
        <w:t>), 0 (</w:t>
      </w:r>
      <w:r>
        <w:rPr>
          <w:rFonts w:ascii="Arial" w:cs="Arial" w:eastAsia="Arial" w:hAnsi="Arial"/>
          <w:sz w:val="19"/>
          <w:szCs w:val="19"/>
          <w:i w:val="1"/>
          <w:iCs w:val="1"/>
          <w:color w:val="auto"/>
        </w:rPr>
        <w:t>20.</w:t>
      </w:r>
      <w:r>
        <w:rPr>
          <w:rFonts w:ascii="Arial" w:cs="Arial" w:eastAsia="Arial" w:hAnsi="Arial"/>
          <w:sz w:val="19"/>
          <w:szCs w:val="19"/>
          <w:b w:val="1"/>
          <w:bCs w:val="1"/>
          <w:color w:val="auto"/>
        </w:rPr>
        <w:t>INDEMNITY</w:t>
      </w:r>
      <w:r>
        <w:rPr>
          <w:rFonts w:ascii="Arial" w:cs="Arial" w:eastAsia="Arial" w:hAnsi="Arial"/>
          <w:sz w:val="19"/>
          <w:szCs w:val="19"/>
          <w:color w:val="auto"/>
        </w:rPr>
        <w:t>) and 0 (</w:t>
      </w:r>
      <w:r>
        <w:rPr>
          <w:rFonts w:ascii="Arial" w:cs="Arial" w:eastAsia="Arial" w:hAnsi="Arial"/>
          <w:sz w:val="19"/>
          <w:szCs w:val="19"/>
          <w:i w:val="1"/>
          <w:iCs w:val="1"/>
          <w:color w:val="auto"/>
        </w:rPr>
        <w:t xml:space="preserve">25.Costs and </w:t>
      </w:r>
      <w:r>
        <w:rPr>
          <w:rFonts w:ascii="Arial" w:cs="Arial" w:eastAsia="Arial" w:hAnsi="Arial"/>
          <w:sz w:val="19"/>
          <w:szCs w:val="19"/>
          <w:b w:val="1"/>
          <w:bCs w:val="1"/>
          <w:color w:val="auto"/>
        </w:rPr>
        <w:t>EXPENSES</w:t>
      </w:r>
      <w:r>
        <w:rPr>
          <w:rFonts w:ascii="Arial" w:cs="Arial" w:eastAsia="Arial" w:hAnsi="Arial"/>
          <w:sz w:val="19"/>
          <w:szCs w:val="19"/>
          <w:color w:val="auto"/>
        </w:rPr>
        <w:t>) of this Deed. This does not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affect any right or remedy of a third </w:t>
      </w:r>
      <w:r>
        <w:rPr>
          <w:rFonts w:ascii="Arial" w:cs="Arial" w:eastAsia="Arial" w:hAnsi="Arial"/>
          <w:sz w:val="19"/>
          <w:szCs w:val="19"/>
          <w:i w:val="1"/>
          <w:iCs w:val="1"/>
          <w:color w:val="auto"/>
        </w:rPr>
        <w:t>party</w:t>
      </w:r>
      <w:r>
        <w:rPr>
          <w:rFonts w:ascii="Arial" w:cs="Arial" w:eastAsia="Arial" w:hAnsi="Arial"/>
          <w:sz w:val="19"/>
          <w:szCs w:val="19"/>
          <w:color w:val="auto"/>
        </w:rPr>
        <w:t xml:space="preserve"> which exists or is available other than under the Third Parties Act.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6"/>
          <w:szCs w:val="16"/>
          <w:b w:val="1"/>
          <w:bCs w:val="1"/>
          <w:color w:val="auto"/>
        </w:rPr>
        <w:t>Entire agreement</w:t>
      </w:r>
    </w:p>
    <w:p>
      <w:pPr>
        <w:spacing w:after="0" w:line="235"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This Deed together with the other Loan Documents constitutes the entire agreement and understanding between the parties relating to their subject matter. Accordingly this Deed supersedes all prior oral or written agreements, representations or warranties. Any liabilities for and any remedies in respect of any such agreements, representations or warranties made are excluded, save only in respect of such as are expressly made or repeated in this Deed or in the other Loan Documents. No party has entered into this Deed or any other Loan Document in reliance on any oral or written agreement, representation or warranty of any other party or any other person which is not made or repeated in this Deed or any other Loan Document. Nothing in this Clause shall operate to exclude liability for any fraudulent statement or act.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5"/>
          <w:szCs w:val="15"/>
          <w:b w:val="1"/>
          <w:bCs w:val="1"/>
          <w:color w:val="auto"/>
        </w:rPr>
        <w:t>Conflicts</w:t>
      </w:r>
    </w:p>
    <w:p>
      <w:pPr>
        <w:spacing w:after="0" w:line="229"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Subject to Clause 0 (</w:t>
      </w:r>
      <w:r>
        <w:rPr>
          <w:rFonts w:ascii="Arial" w:cs="Arial" w:eastAsia="Arial" w:hAnsi="Arial"/>
          <w:sz w:val="22"/>
          <w:szCs w:val="22"/>
          <w:i w:val="1"/>
          <w:iCs w:val="1"/>
          <w:color w:val="auto"/>
        </w:rPr>
        <w:t>1.2</w:t>
      </w:r>
      <w:r>
        <w:rPr>
          <w:rFonts w:ascii="Arial" w:cs="Arial" w:eastAsia="Arial" w:hAnsi="Arial"/>
          <w:sz w:val="22"/>
          <w:szCs w:val="22"/>
          <w:color w:val="auto"/>
        </w:rPr>
        <w:t xml:space="preserve"> </w:t>
      </w:r>
      <w:r>
        <w:rPr>
          <w:rFonts w:ascii="Arial" w:cs="Arial" w:eastAsia="Arial" w:hAnsi="Arial"/>
          <w:sz w:val="22"/>
          <w:szCs w:val="22"/>
          <w:b w:val="1"/>
          <w:bCs w:val="1"/>
          <w:color w:val="auto"/>
        </w:rPr>
        <w:t>Interpretation</w:t>
      </w:r>
      <w:r>
        <w:rPr>
          <w:rFonts w:ascii="Arial" w:cs="Arial" w:eastAsia="Arial" w:hAnsi="Arial"/>
          <w:sz w:val="22"/>
          <w:szCs w:val="22"/>
          <w:color w:val="auto"/>
        </w:rPr>
        <w:t>), if there is any conflict or inconsistency between the provisions of this Deed and any other Loan Document, the provisions of this Deed shall prevail.</w:t>
      </w:r>
    </w:p>
    <w:p>
      <w:pPr>
        <w:spacing w:after="0" w:line="157" w:lineRule="exact"/>
        <w:rPr>
          <w:sz w:val="20"/>
          <w:szCs w:val="20"/>
          <w:color w:val="auto"/>
        </w:rPr>
      </w:pPr>
    </w:p>
    <w:p>
      <w:pPr>
        <w:ind w:left="660" w:hanging="652"/>
        <w:spacing w:after="0"/>
        <w:tabs>
          <w:tab w:leader="none" w:pos="660"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ASSIGNMENT, ETC</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The Collateral Agent may, at any time, in accordance with the Loan Agreement, assign, mortgage, charge, grant a trust over or otherwise dispose of all or any of its rights and benefits under this Deed.</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The Mortgagor shall not assign, charge, grant a trust over or otherwise dispose of all or any of its rights and benefits under this Deed, except as permitted under the Loan Agreement.</w:t>
      </w:r>
    </w:p>
    <w:p>
      <w:pPr>
        <w:spacing w:after="0" w:line="166" w:lineRule="exact"/>
        <w:rPr>
          <w:sz w:val="20"/>
          <w:szCs w:val="20"/>
          <w:color w:val="auto"/>
        </w:rPr>
      </w:pPr>
    </w:p>
    <w:p>
      <w:pPr>
        <w:ind w:left="660" w:hanging="652"/>
        <w:spacing w:after="0"/>
        <w:tabs>
          <w:tab w:leader="none" w:pos="660" w:val="left"/>
        </w:tabs>
        <w:numPr>
          <w:ilvl w:val="0"/>
          <w:numId w:val="666"/>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Any notice or other communication under this Deed shall be made in accordance with the provisions set out in the Loan Agreement. Any notice delivered to the Parent or the Borrowers on behalf of the Mortgagor shall be deemed to have been delivered to the Mortgagor.</w:t>
      </w:r>
    </w:p>
    <w:p>
      <w:pPr>
        <w:spacing w:after="0" w:line="175" w:lineRule="exact"/>
        <w:rPr>
          <w:sz w:val="20"/>
          <w:szCs w:val="20"/>
          <w:color w:val="auto"/>
        </w:rPr>
      </w:pPr>
    </w:p>
    <w:p>
      <w:pPr>
        <w:ind w:left="660" w:hanging="652"/>
        <w:spacing w:after="0"/>
        <w:tabs>
          <w:tab w:leader="none" w:pos="660" w:val="left"/>
        </w:tabs>
        <w:numPr>
          <w:ilvl w:val="0"/>
          <w:numId w:val="667"/>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Governing law</w:t>
      </w:r>
    </w:p>
    <w:p>
      <w:pPr>
        <w:sectPr>
          <w:pgSz w:w="11900" w:h="16838" w:orient="portrait"/>
          <w:cols w:equalWidth="0" w:num="1">
            <w:col w:w="11240"/>
          </w:cols>
          <w:pgMar w:left="320" w:top="131" w:right="339" w:bottom="0" w:gutter="0" w:footer="0" w:header="0"/>
        </w:sectPr>
      </w:pP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This Deed (including any non-contractual obligations or liabilities arising out of it or in connection with it) is governed by and is to be construed in accordance with English law.</w:t>
      </w:r>
    </w:p>
    <w:p>
      <w:pPr>
        <w:sectPr>
          <w:pgSz w:w="11900" w:h="16838" w:orient="portrait"/>
          <w:cols w:equalWidth="0" w:num="1">
            <w:col w:w="11240"/>
          </w:cols>
          <w:pgMar w:left="320" w:top="131" w:right="339" w:bottom="0" w:gutter="0" w:footer="0" w:header="0"/>
          <w:type w:val="continuous"/>
        </w:sectPr>
      </w:pPr>
    </w:p>
    <w:bookmarkStart w:id="573" w:name="page574"/>
    <w:bookmarkEnd w:id="573"/>
    <w:p>
      <w:pPr>
        <w:spacing w:after="0"/>
        <w:tabs>
          <w:tab w:leader="none" w:pos="6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1300" w:hanging="644"/>
        <w:spacing w:after="0"/>
        <w:tabs>
          <w:tab w:leader="none" w:pos="130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English courts have non-exclusive jurisdiction to hear and determine any Proceedings and to settle any Disputes and each party irrevocably submits to the jurisdiction of the English courts;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any judgment in Proceedings taken in any such court shall be conclusive and binding on it and may be enforced in any other jurisdiction.</w:t>
      </w:r>
    </w:p>
    <w:p>
      <w:pPr>
        <w:spacing w:after="0" w:line="170"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668"/>
        </w:numPr>
        <w:rPr>
          <w:rFonts w:ascii="Arial" w:cs="Arial" w:eastAsia="Arial" w:hAnsi="Arial"/>
          <w:sz w:val="16"/>
          <w:szCs w:val="16"/>
          <w:color w:val="auto"/>
        </w:rPr>
      </w:pPr>
      <w:r>
        <w:rPr>
          <w:rFonts w:ascii="Arial" w:cs="Arial" w:eastAsia="Arial" w:hAnsi="Arial"/>
          <w:sz w:val="16"/>
          <w:szCs w:val="16"/>
          <w:color w:val="auto"/>
        </w:rPr>
        <w:t>Each party also irrevocably waives (and irrevocably agrees not to raise) any objection which it might at any time have on the ground of forum non conveniens or on any other ground to Proceedings being taken in any court referred to in this Clause 0 (</w:t>
      </w:r>
      <w:r>
        <w:rPr>
          <w:rFonts w:ascii="Arial" w:cs="Arial" w:eastAsia="Arial" w:hAnsi="Arial"/>
          <w:sz w:val="16"/>
          <w:szCs w:val="16"/>
          <w:i w:val="1"/>
          <w:iCs w:val="1"/>
          <w:color w:val="auto"/>
        </w:rPr>
        <w:t>30.Governing Law and</w:t>
      </w:r>
    </w:p>
    <w:p>
      <w:pPr>
        <w:ind w:left="1300"/>
        <w:spacing w:after="0"/>
        <w:rPr>
          <w:rFonts w:ascii="Arial" w:cs="Arial" w:eastAsia="Arial" w:hAnsi="Arial"/>
          <w:sz w:val="16"/>
          <w:szCs w:val="16"/>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Nothing in this Clause 0 shall limit any party's right to take Proceedings against the other party in any other jurisdiction or in more than one jurisdiction concurrently.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This jurisdiction agreement is not concluded for the benefit of only one party.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Deed has been executed as a deed and is delivered on the date stated at the top of page one.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[S</w:t>
      </w:r>
      <w:r>
        <w:rPr>
          <w:rFonts w:ascii="Arial" w:cs="Arial" w:eastAsia="Arial" w:hAnsi="Arial"/>
          <w:sz w:val="22"/>
          <w:szCs w:val="22"/>
          <w:i w:val="1"/>
          <w:iCs w:val="1"/>
          <w:color w:val="auto"/>
        </w:rPr>
        <w:t>ignature pages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4" w:name="page575"/>
    <w:bookmarkEnd w:id="574"/>
    <w:p>
      <w:pPr>
        <w:spacing w:after="0" w:line="273" w:lineRule="auto"/>
        <w:rPr>
          <w:sz w:val="20"/>
          <w:szCs w:val="20"/>
          <w:color w:val="auto"/>
        </w:rPr>
      </w:pPr>
      <w:r>
        <w:rPr>
          <w:rFonts w:ascii="Arial" w:cs="Arial" w:eastAsia="Arial" w:hAnsi="Arial"/>
          <w:sz w:val="21"/>
          <w:szCs w:val="21"/>
          <w:color w:val="auto"/>
        </w:rPr>
        <w:t xml:space="preserve">Executed as deed by </w:t>
      </w:r>
      <w:r>
        <w:rPr>
          <w:rFonts w:ascii="Arial" w:cs="Arial" w:eastAsia="Arial" w:hAnsi="Arial"/>
          <w:sz w:val="21"/>
          <w:szCs w:val="21"/>
          <w:b w:val="1"/>
          <w:bCs w:val="1"/>
          <w:color w:val="auto"/>
        </w:rPr>
        <w:t>WEATHERFORD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EURASIA LIMITED </w:t>
      </w:r>
      <w:r>
        <w:rPr>
          <w:rFonts w:ascii="Arial" w:cs="Arial" w:eastAsia="Arial" w:hAnsi="Arial"/>
          <w:sz w:val="21"/>
          <w:szCs w:val="21"/>
          <w:color w:val="auto"/>
        </w:rPr>
        <w:t>acting by a director,</w:t>
      </w:r>
    </w:p>
    <w:p>
      <w:pPr>
        <w:spacing w:after="0" w:line="1"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color w:val="auto"/>
        </w:rPr>
        <w:t>in the presence of:</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Arial" w:cs="Arial" w:eastAsia="Arial" w:hAnsi="Arial"/>
          <w:sz w:val="19"/>
          <w:szCs w:val="19"/>
          <w:i w:val="1"/>
          <w:iCs w:val="1"/>
          <w:color w:val="auto"/>
        </w:rPr>
        <w:t>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Occupation</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770255</wp:posOffset>
            </wp:positionV>
            <wp:extent cx="71323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60" w:space="140"/>
            <w:col w:w="6239"/>
          </w:cols>
          <w:pgMar w:left="320" w:top="125" w:right="1440" w:bottom="1440" w:gutter="0" w:footer="0" w:header="0"/>
        </w:sectPr>
      </w:pPr>
    </w:p>
    <w:bookmarkStart w:id="575" w:name="page576"/>
    <w:bookmarkEnd w:id="575"/>
    <w:p>
      <w:pPr>
        <w:spacing w:after="0"/>
        <w:rPr>
          <w:sz w:val="20"/>
          <w:szCs w:val="20"/>
          <w:color w:val="auto"/>
        </w:rPr>
      </w:pPr>
      <w:r>
        <w:rPr>
          <w:rFonts w:ascii="Arial" w:cs="Arial" w:eastAsia="Arial" w:hAnsi="Arial"/>
          <w:sz w:val="21"/>
          <w:szCs w:val="21"/>
          <w:b w:val="1"/>
          <w:bCs w:val="1"/>
          <w:color w:val="auto"/>
        </w:rPr>
        <w:t>COLLATERAL AGENT</w:t>
      </w:r>
    </w:p>
    <w:p>
      <w:pPr>
        <w:sectPr>
          <w:pgSz w:w="11900" w:h="16838" w:orient="portrait"/>
          <w:cols w:equalWidth="0" w:num="1">
            <w:col w:w="10139"/>
          </w:cols>
          <w:pgMar w:left="320" w:top="395" w:right="1440" w:bottom="1440" w:gutter="0" w:footer="0" w:header="0"/>
        </w:sectPr>
      </w:pPr>
    </w:p>
    <w:p>
      <w:pPr>
        <w:spacing w:after="0" w:line="299" w:lineRule="exact"/>
        <w:rPr>
          <w:sz w:val="20"/>
          <w:szCs w:val="20"/>
          <w:color w:val="auto"/>
        </w:rPr>
      </w:pPr>
    </w:p>
    <w:p>
      <w:pPr>
        <w:spacing w:after="0"/>
        <w:tabs>
          <w:tab w:leader="none" w:pos="4360" w:val="left"/>
        </w:tabs>
        <w:rPr>
          <w:sz w:val="20"/>
          <w:szCs w:val="20"/>
          <w:color w:val="auto"/>
        </w:rPr>
      </w:pPr>
      <w:r>
        <w:rPr>
          <w:rFonts w:ascii="Arial" w:cs="Arial" w:eastAsia="Arial" w:hAnsi="Arial"/>
          <w:sz w:val="22"/>
          <w:szCs w:val="22"/>
          <w:color w:val="auto"/>
        </w:rPr>
        <w:t xml:space="preserve">Executed as a deed by </w:t>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 COMPANY AMERICAS</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acting by ...........................................................</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who, in accordance with the laws of the territory</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in which Deutsche Bank Trust Company Americas</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is incorporated, is/are acting under its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62" w:lineRule="exact"/>
        <w:rPr>
          <w:sz w:val="20"/>
          <w:szCs w:val="20"/>
          <w:color w:val="auto"/>
        </w:rPr>
      </w:pPr>
    </w:p>
    <w:p>
      <w:pPr>
        <w:sectPr>
          <w:pgSz w:w="11900" w:h="16838" w:orient="portrait"/>
          <w:cols w:equalWidth="0" w:num="4">
            <w:col w:w="4460" w:space="120"/>
            <w:col w:w="120" w:space="40"/>
            <w:col w:w="80" w:space="120"/>
            <w:col w:w="5199"/>
          </w:cols>
          <w:pgMar w:left="320" w:top="395" w:right="1440"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5" w:right="1440" w:bottom="1440" w:gutter="0" w:footer="0" w:header="0"/>
          <w:type w:val="continuous"/>
        </w:sectPr>
      </w:pPr>
    </w:p>
    <w:bookmarkStart w:id="576" w:name="page577"/>
    <w:bookmarkEnd w:id="576"/>
    <w:p>
      <w:pPr>
        <w:jc w:val="center"/>
        <w:ind w:right="-59"/>
        <w:spacing w:after="0"/>
        <w:rPr>
          <w:sz w:val="20"/>
          <w:szCs w:val="20"/>
          <w:color w:val="auto"/>
        </w:rPr>
      </w:pPr>
      <w:r>
        <w:rPr>
          <w:rFonts w:ascii="Arial" w:cs="Arial" w:eastAsia="Arial" w:hAnsi="Arial"/>
          <w:sz w:val="22"/>
          <w:szCs w:val="22"/>
          <w:b w:val="1"/>
          <w:bCs w:val="1"/>
          <w:color w:val="auto"/>
        </w:rPr>
        <w:t>SCHEDULE 1</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ORIGINAL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163830</wp:posOffset>
            </wp:positionV>
            <wp:extent cx="7132320" cy="7200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ectPr>
          <w:pgSz w:w="11900" w:h="16838" w:orient="portrait"/>
          <w:cols w:equalWidth="0" w:num="1">
            <w:col w:w="11060"/>
          </w:cols>
          <w:pgMar w:left="380" w:top="125" w:right="45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Weatherford U.K. Limited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Class of Shares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Ordinary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Nominal Value of each</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Certificate number(s)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 holder as at</w:t>
            </w:r>
          </w:p>
        </w:tc>
      </w:tr>
      <w:tr>
        <w:trPr>
          <w:trHeight w:val="220"/>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7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8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the date hereof</w:t>
            </w:r>
          </w:p>
        </w:tc>
      </w:tr>
      <w:tr>
        <w:trPr>
          <w:trHeight w:val="216"/>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w:t>
            </w:r>
          </w:p>
        </w:tc>
        <w:tc>
          <w:tcPr>
            <w:tcW w:w="178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1,825</w:t>
            </w:r>
          </w:p>
        </w:tc>
        <w:tc>
          <w:tcPr>
            <w:tcW w:w="190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rPr>
              <w:t>3</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Weatherford Eurasia</w:t>
            </w:r>
          </w:p>
        </w:tc>
      </w:tr>
      <w:tr>
        <w:trPr>
          <w:trHeight w:val="230"/>
        </w:trPr>
        <w:tc>
          <w:tcPr>
            <w:tcW w:w="17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40" w:type="dxa"/>
            <w:vAlign w:val="bottom"/>
          </w:tcPr>
          <w:p>
            <w:pPr>
              <w:jc w:val="center"/>
              <w:ind w:left="10"/>
              <w:spacing w:after="0"/>
              <w:rPr>
                <w:sz w:val="20"/>
                <w:szCs w:val="20"/>
                <w:color w:val="auto"/>
              </w:rPr>
            </w:pPr>
            <w:r>
              <w:rPr>
                <w:rFonts w:ascii="Arial" w:cs="Arial" w:eastAsia="Arial" w:hAnsi="Arial"/>
                <w:sz w:val="18"/>
                <w:szCs w:val="18"/>
                <w:color w:val="auto"/>
                <w:w w:val="99"/>
              </w:rPr>
              <w:t>Limited</w:t>
            </w:r>
          </w:p>
        </w:tc>
      </w:tr>
      <w:tr>
        <w:trPr>
          <w:trHeight w:val="243"/>
        </w:trPr>
        <w:tc>
          <w:tcPr>
            <w:tcW w:w="17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308610</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3">
            <w:col w:w="1900" w:space="340"/>
            <w:col w:w="1180" w:space="340"/>
            <w:col w:w="7300"/>
          </w:cols>
          <w:pgMar w:left="380" w:top="125" w:right="459" w:bottom="1440" w:gutter="0" w:footer="0" w:header="0"/>
          <w:type w:val="continuous"/>
        </w:sectPr>
      </w:pPr>
    </w:p>
    <w:bookmarkStart w:id="577" w:name="page578"/>
    <w:bookmarkEnd w:id="577"/>
    <w:p>
      <w:pPr>
        <w:jc w:val="center"/>
        <w:ind w:right="-11"/>
        <w:spacing w:after="0"/>
        <w:rPr>
          <w:sz w:val="20"/>
          <w:szCs w:val="20"/>
          <w:color w:val="auto"/>
        </w:rPr>
      </w:pPr>
      <w:r>
        <w:rPr>
          <w:rFonts w:ascii="Arial" w:cs="Arial" w:eastAsia="Arial" w:hAnsi="Arial"/>
          <w:sz w:val="22"/>
          <w:szCs w:val="22"/>
          <w:b w:val="1"/>
          <w:bCs w:val="1"/>
          <w:color w:val="auto"/>
        </w:rPr>
        <w:t>SCHEDULE 2</w:t>
      </w:r>
    </w:p>
    <w:p>
      <w:pPr>
        <w:spacing w:after="0" w:line="200" w:lineRule="exact"/>
        <w:rPr>
          <w:sz w:val="20"/>
          <w:szCs w:val="20"/>
          <w:color w:val="auto"/>
        </w:rPr>
      </w:pP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ind w:left="652" w:hanging="652"/>
        <w:spacing w:after="0"/>
        <w:tabs>
          <w:tab w:leader="none" w:pos="652" w:val="left"/>
        </w:tabs>
        <w:numPr>
          <w:ilvl w:val="0"/>
          <w:numId w:val="669"/>
        </w:numPr>
        <w:rPr>
          <w:rFonts w:ascii="Arial" w:cs="Arial" w:eastAsia="Arial" w:hAnsi="Arial"/>
          <w:sz w:val="18"/>
          <w:szCs w:val="18"/>
          <w:color w:val="010000"/>
        </w:rPr>
      </w:pPr>
      <w:r>
        <w:rPr>
          <w:rFonts w:ascii="Arial" w:cs="Arial" w:eastAsia="Arial" w:hAnsi="Arial"/>
          <w:sz w:val="18"/>
          <w:szCs w:val="18"/>
          <w:b w:val="1"/>
          <w:bCs w:val="1"/>
          <w:color w:val="auto"/>
        </w:rPr>
        <w:t>Status of Shares</w:t>
      </w:r>
    </w:p>
    <w:p>
      <w:pPr>
        <w:spacing w:after="0" w:line="23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The Original Shares:</w:t>
      </w:r>
    </w:p>
    <w:p>
      <w:pPr>
        <w:spacing w:after="0" w:line="227" w:lineRule="exact"/>
        <w:rPr>
          <w:sz w:val="20"/>
          <w:szCs w:val="20"/>
          <w:color w:val="auto"/>
        </w:rPr>
      </w:pPr>
    </w:p>
    <w:p>
      <w:pPr>
        <w:ind w:left="1292" w:hanging="644"/>
        <w:spacing w:after="0"/>
        <w:tabs>
          <w:tab w:leader="none" w:pos="1292" w:val="left"/>
        </w:tabs>
        <w:numPr>
          <w:ilvl w:val="1"/>
          <w:numId w:val="670"/>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292" w:hanging="644"/>
        <w:spacing w:after="0"/>
        <w:tabs>
          <w:tab w:leader="none" w:pos="1292" w:val="left"/>
        </w:tabs>
        <w:numPr>
          <w:ilvl w:val="1"/>
          <w:numId w:val="670"/>
        </w:numPr>
        <w:rPr>
          <w:rFonts w:ascii="Arial" w:cs="Arial" w:eastAsia="Arial" w:hAnsi="Arial"/>
          <w:sz w:val="16"/>
          <w:szCs w:val="16"/>
          <w:color w:val="010000"/>
        </w:rPr>
      </w:pPr>
      <w:r>
        <w:rPr>
          <w:rFonts w:ascii="Arial" w:cs="Arial" w:eastAsia="Arial" w:hAnsi="Arial"/>
          <w:sz w:val="16"/>
          <w:szCs w:val="16"/>
          <w:color w:val="auto"/>
        </w:rPr>
        <w:t>are free from any restrictions or conditions on transfer or rights of pre-emption, except as otherwise permitted by the Loan Agreement;</w:t>
      </w:r>
    </w:p>
    <w:p>
      <w:pPr>
        <w:spacing w:after="0" w:line="248" w:lineRule="exact"/>
        <w:rPr>
          <w:rFonts w:ascii="Arial" w:cs="Arial" w:eastAsia="Arial" w:hAnsi="Arial"/>
          <w:sz w:val="16"/>
          <w:szCs w:val="16"/>
          <w:color w:val="010000"/>
        </w:rPr>
      </w:pPr>
    </w:p>
    <w:p>
      <w:pPr>
        <w:ind w:left="1292" w:hanging="644"/>
        <w:spacing w:after="0"/>
        <w:tabs>
          <w:tab w:leader="none" w:pos="1292" w:val="left"/>
        </w:tabs>
        <w:numPr>
          <w:ilvl w:val="1"/>
          <w:numId w:val="670"/>
        </w:numPr>
        <w:rPr>
          <w:rFonts w:ascii="Arial" w:cs="Arial" w:eastAsia="Arial" w:hAnsi="Arial"/>
          <w:sz w:val="18"/>
          <w:szCs w:val="18"/>
          <w:color w:val="010000"/>
        </w:rPr>
      </w:pPr>
      <w:r>
        <w:rPr>
          <w:rFonts w:ascii="Arial" w:cs="Arial" w:eastAsia="Arial" w:hAnsi="Arial"/>
          <w:sz w:val="18"/>
          <w:szCs w:val="18"/>
          <w:color w:val="auto"/>
        </w:rPr>
        <w:t>are fully paid, and no moneys or liabilities are outstanding in respect of any of them; and</w:t>
      </w:r>
    </w:p>
    <w:p>
      <w:pPr>
        <w:spacing w:after="0" w:line="225" w:lineRule="exact"/>
        <w:rPr>
          <w:rFonts w:ascii="Arial" w:cs="Arial" w:eastAsia="Arial" w:hAnsi="Arial"/>
          <w:sz w:val="18"/>
          <w:szCs w:val="18"/>
          <w:color w:val="010000"/>
        </w:rPr>
      </w:pPr>
    </w:p>
    <w:p>
      <w:pPr>
        <w:ind w:left="1292" w:hanging="644"/>
        <w:spacing w:after="0"/>
        <w:tabs>
          <w:tab w:leader="none" w:pos="1292" w:val="left"/>
        </w:tabs>
        <w:numPr>
          <w:ilvl w:val="1"/>
          <w:numId w:val="670"/>
        </w:numPr>
        <w:rPr>
          <w:rFonts w:ascii="Arial" w:cs="Arial" w:eastAsia="Arial" w:hAnsi="Arial"/>
          <w:sz w:val="18"/>
          <w:szCs w:val="18"/>
          <w:color w:val="010000"/>
        </w:rPr>
      </w:pPr>
      <w:r>
        <w:rPr>
          <w:rFonts w:ascii="Arial" w:cs="Arial" w:eastAsia="Arial" w:hAnsi="Arial"/>
          <w:sz w:val="18"/>
          <w:szCs w:val="18"/>
          <w:color w:val="auto"/>
        </w:rPr>
        <w:t>represent the whole of the issued share capital of the Company.</w:t>
      </w:r>
    </w:p>
    <w:p>
      <w:pPr>
        <w:spacing w:after="0" w:line="221" w:lineRule="exact"/>
        <w:rPr>
          <w:rFonts w:ascii="Arial" w:cs="Arial" w:eastAsia="Arial" w:hAnsi="Arial"/>
          <w:sz w:val="18"/>
          <w:szCs w:val="18"/>
          <w:color w:val="010000"/>
        </w:rPr>
      </w:pPr>
    </w:p>
    <w:p>
      <w:pPr>
        <w:ind w:left="652" w:hanging="652"/>
        <w:spacing w:after="0"/>
        <w:tabs>
          <w:tab w:leader="none" w:pos="652" w:val="left"/>
        </w:tabs>
        <w:numPr>
          <w:ilvl w:val="0"/>
          <w:numId w:val="671"/>
        </w:numPr>
        <w:rPr>
          <w:rFonts w:ascii="Arial" w:cs="Arial" w:eastAsia="Arial" w:hAnsi="Arial"/>
          <w:sz w:val="18"/>
          <w:szCs w:val="18"/>
          <w:color w:val="010000"/>
        </w:rPr>
      </w:pPr>
      <w:r>
        <w:rPr>
          <w:rFonts w:ascii="Arial" w:cs="Arial" w:eastAsia="Arial" w:hAnsi="Arial"/>
          <w:sz w:val="18"/>
          <w:szCs w:val="18"/>
          <w:b w:val="1"/>
          <w:bCs w:val="1"/>
          <w:color w:val="auto"/>
        </w:rPr>
        <w:t>Further Shares</w:t>
      </w:r>
    </w:p>
    <w:p>
      <w:pPr>
        <w:spacing w:after="0" w:line="23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All Further Shares and any Shares comprised in any Derived Assets:</w:t>
      </w:r>
    </w:p>
    <w:p>
      <w:pPr>
        <w:spacing w:after="0" w:line="227" w:lineRule="exact"/>
        <w:rPr>
          <w:sz w:val="20"/>
          <w:szCs w:val="20"/>
          <w:color w:val="auto"/>
        </w:rPr>
      </w:pPr>
    </w:p>
    <w:p>
      <w:pPr>
        <w:ind w:left="1292" w:hanging="644"/>
        <w:spacing w:after="0"/>
        <w:tabs>
          <w:tab w:leader="none" w:pos="1292" w:val="left"/>
        </w:tabs>
        <w:numPr>
          <w:ilvl w:val="0"/>
          <w:numId w:val="672"/>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292" w:hanging="644"/>
        <w:spacing w:after="0" w:line="184" w:lineRule="exact"/>
        <w:tabs>
          <w:tab w:leader="none" w:pos="1292" w:val="left"/>
        </w:tabs>
        <w:numPr>
          <w:ilvl w:val="0"/>
          <w:numId w:val="672"/>
        </w:numPr>
        <w:rPr>
          <w:rFonts w:ascii="Arial" w:cs="Arial" w:eastAsia="Arial" w:hAnsi="Arial"/>
          <w:sz w:val="16"/>
          <w:szCs w:val="16"/>
          <w:color w:val="010000"/>
        </w:rPr>
      </w:pPr>
      <w:r>
        <w:rPr>
          <w:rFonts w:ascii="Arial" w:cs="Arial" w:eastAsia="Arial" w:hAnsi="Arial"/>
          <w:sz w:val="16"/>
          <w:szCs w:val="16"/>
          <w:color w:val="auto"/>
        </w:rPr>
        <w:t>are free from any restrictions or conditions on transfer or rights of pre</w:t>
      </w:r>
      <w:r>
        <w:rPr>
          <w:rFonts w:ascii="MS PGothic" w:cs="MS PGothic" w:eastAsia="MS PGothic" w:hAnsi="MS PGothic"/>
          <w:sz w:val="16"/>
          <w:szCs w:val="16"/>
          <w:color w:val="auto"/>
        </w:rPr>
        <w:t>‑</w:t>
      </w:r>
      <w:r>
        <w:rPr>
          <w:rFonts w:ascii="Arial" w:cs="Arial" w:eastAsia="Arial" w:hAnsi="Arial"/>
          <w:sz w:val="16"/>
          <w:szCs w:val="16"/>
          <w:color w:val="auto"/>
        </w:rPr>
        <w:t>emption, except as otherwise permitted by the Loan Agreement;</w:t>
      </w:r>
    </w:p>
    <w:p>
      <w:pPr>
        <w:spacing w:after="0" w:line="248" w:lineRule="exact"/>
        <w:rPr>
          <w:rFonts w:ascii="Arial" w:cs="Arial" w:eastAsia="Arial" w:hAnsi="Arial"/>
          <w:sz w:val="16"/>
          <w:szCs w:val="16"/>
          <w:color w:val="010000"/>
        </w:rPr>
      </w:pPr>
    </w:p>
    <w:p>
      <w:pPr>
        <w:ind w:left="1292" w:hanging="644"/>
        <w:spacing w:after="0"/>
        <w:tabs>
          <w:tab w:leader="none" w:pos="1292" w:val="left"/>
        </w:tabs>
        <w:numPr>
          <w:ilvl w:val="0"/>
          <w:numId w:val="672"/>
        </w:numPr>
        <w:rPr>
          <w:rFonts w:ascii="Arial" w:cs="Arial" w:eastAsia="Arial" w:hAnsi="Arial"/>
          <w:sz w:val="18"/>
          <w:szCs w:val="18"/>
          <w:color w:val="010000"/>
        </w:rPr>
      </w:pPr>
      <w:r>
        <w:rPr>
          <w:rFonts w:ascii="Arial" w:cs="Arial" w:eastAsia="Arial" w:hAnsi="Arial"/>
          <w:sz w:val="18"/>
          <w:szCs w:val="18"/>
          <w:color w:val="auto"/>
        </w:rPr>
        <w:t>are fully paid, and no monies or liabilities are outstanding in respect of any of them; and</w:t>
      </w:r>
    </w:p>
    <w:p>
      <w:pPr>
        <w:spacing w:after="0" w:line="231" w:lineRule="exact"/>
        <w:rPr>
          <w:sz w:val="20"/>
          <w:szCs w:val="20"/>
          <w:color w:val="auto"/>
        </w:rPr>
      </w:pPr>
    </w:p>
    <w:p>
      <w:pPr>
        <w:ind w:left="652" w:right="20"/>
        <w:spacing w:after="0" w:line="358" w:lineRule="auto"/>
        <w:rPr>
          <w:sz w:val="20"/>
          <w:szCs w:val="20"/>
          <w:color w:val="auto"/>
        </w:rPr>
      </w:pPr>
      <w:r>
        <w:rPr>
          <w:rFonts w:ascii="Arial" w:cs="Arial" w:eastAsia="Arial" w:hAnsi="Arial"/>
          <w:sz w:val="19"/>
          <w:szCs w:val="19"/>
          <w:color w:val="auto"/>
        </w:rPr>
        <w:t>together with the Original Shares, any Further Shares and Shares comprised in any Derived Assets previously issued represent the whole of the issued share capital of the Company except as otherwise permitted by the Loan Agreement.</w:t>
      </w:r>
    </w:p>
    <w:p>
      <w:pPr>
        <w:spacing w:after="0" w:line="94" w:lineRule="exact"/>
        <w:rPr>
          <w:sz w:val="20"/>
          <w:szCs w:val="20"/>
          <w:color w:val="auto"/>
        </w:rPr>
      </w:pPr>
    </w:p>
    <w:p>
      <w:pPr>
        <w:ind w:left="652" w:hanging="652"/>
        <w:spacing w:after="0"/>
        <w:tabs>
          <w:tab w:leader="none" w:pos="652" w:val="left"/>
        </w:tabs>
        <w:numPr>
          <w:ilvl w:val="0"/>
          <w:numId w:val="673"/>
        </w:numPr>
        <w:rPr>
          <w:rFonts w:ascii="Arial" w:cs="Arial" w:eastAsia="Arial" w:hAnsi="Arial"/>
          <w:sz w:val="18"/>
          <w:szCs w:val="18"/>
          <w:color w:val="010000"/>
        </w:rPr>
      </w:pPr>
      <w:r>
        <w:rPr>
          <w:rFonts w:ascii="Arial" w:cs="Arial" w:eastAsia="Arial" w:hAnsi="Arial"/>
          <w:sz w:val="18"/>
          <w:szCs w:val="18"/>
          <w:b w:val="1"/>
          <w:bCs w:val="1"/>
          <w:color w:val="auto"/>
        </w:rPr>
        <w:t>PSC Register</w:t>
      </w:r>
    </w:p>
    <w:p>
      <w:pPr>
        <w:spacing w:after="0" w:line="229" w:lineRule="exact"/>
        <w:rPr>
          <w:rFonts w:ascii="Arial" w:cs="Arial" w:eastAsia="Arial" w:hAnsi="Arial"/>
          <w:sz w:val="18"/>
          <w:szCs w:val="18"/>
          <w:color w:val="010000"/>
        </w:rPr>
      </w:pPr>
    </w:p>
    <w:p>
      <w:pPr>
        <w:ind w:left="1292" w:hanging="644"/>
        <w:spacing w:after="0" w:line="277" w:lineRule="auto"/>
        <w:tabs>
          <w:tab w:leader="none" w:pos="1292" w:val="left"/>
        </w:tabs>
        <w:numPr>
          <w:ilvl w:val="1"/>
          <w:numId w:val="673"/>
        </w:numPr>
        <w:rPr>
          <w:rFonts w:ascii="Arial" w:cs="Arial" w:eastAsia="Arial" w:hAnsi="Arial"/>
          <w:sz w:val="18"/>
          <w:szCs w:val="18"/>
          <w:color w:val="010000"/>
        </w:rPr>
      </w:pPr>
      <w:r>
        <w:rPr>
          <w:rFonts w:ascii="Arial" w:cs="Arial" w:eastAsia="Arial" w:hAnsi="Arial"/>
          <w:sz w:val="18"/>
          <w:szCs w:val="18"/>
          <w:color w:val="auto"/>
        </w:rPr>
        <w:t>The Mortgagor represents and warrants that it has not issued and does not intend to issue any warning notice or restrictions notice under Schedule 1B of the Companies Act 2006 in respect of any Shares which constitute Secured Asset; and</w:t>
      </w:r>
    </w:p>
    <w:p>
      <w:pPr>
        <w:spacing w:after="0" w:line="170" w:lineRule="exact"/>
        <w:rPr>
          <w:rFonts w:ascii="Arial" w:cs="Arial" w:eastAsia="Arial" w:hAnsi="Arial"/>
          <w:sz w:val="18"/>
          <w:szCs w:val="18"/>
          <w:color w:val="010000"/>
        </w:rPr>
      </w:pPr>
    </w:p>
    <w:p>
      <w:pPr>
        <w:ind w:left="1292" w:hanging="644"/>
        <w:spacing w:after="0" w:line="277" w:lineRule="auto"/>
        <w:tabs>
          <w:tab w:leader="none" w:pos="1292" w:val="left"/>
        </w:tabs>
        <w:numPr>
          <w:ilvl w:val="1"/>
          <w:numId w:val="673"/>
        </w:numPr>
        <w:rPr>
          <w:rFonts w:ascii="Arial" w:cs="Arial" w:eastAsia="Arial" w:hAnsi="Arial"/>
          <w:sz w:val="18"/>
          <w:szCs w:val="18"/>
          <w:color w:val="010000"/>
        </w:rPr>
      </w:pPr>
      <w:r>
        <w:rPr>
          <w:rFonts w:ascii="Arial" w:cs="Arial" w:eastAsia="Arial" w:hAnsi="Arial"/>
          <w:sz w:val="18"/>
          <w:szCs w:val="18"/>
          <w:color w:val="auto"/>
        </w:rPr>
        <w:t>the Mortgagor has not received any warning notice or restrictions notice under Schedule 1B of the Companies Act 2006 in respect of any Shares which constitute Secured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578" w:name="page579"/>
    <w:bookmarkEnd w:id="578"/>
    <w:p>
      <w:pPr>
        <w:jc w:val="center"/>
        <w:ind w:right="312"/>
        <w:spacing w:after="0"/>
        <w:rPr>
          <w:sz w:val="20"/>
          <w:szCs w:val="20"/>
          <w:color w:val="auto"/>
        </w:rPr>
      </w:pPr>
      <w:r>
        <w:rPr>
          <w:rFonts w:ascii="Arial" w:cs="Arial" w:eastAsia="Arial" w:hAnsi="Arial"/>
          <w:sz w:val="22"/>
          <w:szCs w:val="22"/>
          <w:b w:val="1"/>
          <w:bCs w:val="1"/>
          <w:color w:val="auto"/>
        </w:rPr>
        <w:t>SCHEDULE 3</w:t>
      </w:r>
    </w:p>
    <w:p>
      <w:pPr>
        <w:spacing w:after="0" w:line="200" w:lineRule="exact"/>
        <w:rPr>
          <w:sz w:val="20"/>
          <w:szCs w:val="20"/>
          <w:color w:val="auto"/>
        </w:rPr>
      </w:pPr>
    </w:p>
    <w:p>
      <w:pPr>
        <w:spacing w:after="0" w:line="35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COVENANTS</w:t>
      </w:r>
    </w:p>
    <w:p>
      <w:pPr>
        <w:spacing w:after="0" w:line="229" w:lineRule="exact"/>
        <w:rPr>
          <w:sz w:val="20"/>
          <w:szCs w:val="20"/>
          <w:color w:val="auto"/>
        </w:rPr>
      </w:pPr>
    </w:p>
    <w:p>
      <w:pPr>
        <w:ind w:left="328" w:hanging="328"/>
        <w:spacing w:after="0"/>
        <w:tabs>
          <w:tab w:leader="none" w:pos="328" w:val="left"/>
        </w:tabs>
        <w:numPr>
          <w:ilvl w:val="0"/>
          <w:numId w:val="67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and Rights of Pre-emption</w:t>
      </w:r>
    </w:p>
    <w:p>
      <w:pPr>
        <w:spacing w:after="0" w:line="235" w:lineRule="exact"/>
        <w:rPr>
          <w:sz w:val="20"/>
          <w:szCs w:val="20"/>
          <w:color w:val="auto"/>
        </w:rPr>
      </w:pPr>
    </w:p>
    <w:p>
      <w:pPr>
        <w:jc w:val="both"/>
        <w:ind w:left="328" w:right="20"/>
        <w:spacing w:after="0" w:line="266" w:lineRule="auto"/>
        <w:rPr>
          <w:sz w:val="20"/>
          <w:szCs w:val="20"/>
          <w:color w:val="auto"/>
        </w:rPr>
      </w:pPr>
      <w:r>
        <w:rPr>
          <w:rFonts w:ascii="Arial" w:cs="Arial" w:eastAsia="Arial" w:hAnsi="Arial"/>
          <w:sz w:val="22"/>
          <w:szCs w:val="22"/>
          <w:color w:val="auto"/>
        </w:rPr>
        <w:t>The Mortgagor shall ensure that the Original Shares, any Further Shares and any Shares comprised in any Derived Assets are and remain free from any restriction on transfer or rights of pre-emption, except as otherwise permitted by the Loan Agreement.</w:t>
      </w:r>
    </w:p>
    <w:p>
      <w:pPr>
        <w:spacing w:after="0" w:line="175" w:lineRule="exact"/>
        <w:rPr>
          <w:sz w:val="20"/>
          <w:szCs w:val="20"/>
          <w:color w:val="auto"/>
        </w:rPr>
      </w:pPr>
    </w:p>
    <w:p>
      <w:pPr>
        <w:ind w:left="328" w:hanging="328"/>
        <w:spacing w:after="0"/>
        <w:tabs>
          <w:tab w:leader="none" w:pos="328" w:val="left"/>
        </w:tabs>
        <w:numPr>
          <w:ilvl w:val="0"/>
          <w:numId w:val="675"/>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235" w:lineRule="exact"/>
        <w:rPr>
          <w:sz w:val="20"/>
          <w:szCs w:val="20"/>
          <w:color w:val="auto"/>
        </w:rPr>
      </w:pPr>
    </w:p>
    <w:p>
      <w:pPr>
        <w:ind w:left="328"/>
        <w:spacing w:after="0" w:line="276" w:lineRule="auto"/>
        <w:rPr>
          <w:sz w:val="20"/>
          <w:szCs w:val="20"/>
          <w:color w:val="auto"/>
        </w:rPr>
      </w:pPr>
      <w:r>
        <w:rPr>
          <w:rFonts w:ascii="Arial" w:cs="Arial" w:eastAsia="Arial" w:hAnsi="Arial"/>
          <w:sz w:val="22"/>
          <w:szCs w:val="22"/>
          <w:color w:val="auto"/>
        </w:rPr>
        <w:t>The Mortgagor shall not permit the articles of association of the Company to be amended or modified in any way that would adversely affect in any material respect the Security created pursuant to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398780</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5" w:right="339" w:bottom="1440" w:gutter="0" w:footer="0" w:header="0"/>
        </w:sectPr>
      </w:pPr>
    </w:p>
    <w:bookmarkStart w:id="579" w:name="page580"/>
    <w:bookmarkEnd w:id="579"/>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DATED _________________,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EURASIA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29" w:lineRule="exact"/>
        <w:rPr>
          <w:sz w:val="20"/>
          <w:szCs w:val="20"/>
          <w:color w:val="auto"/>
        </w:rPr>
      </w:pPr>
    </w:p>
    <w:p>
      <w:pPr>
        <w:jc w:val="center"/>
        <w:spacing w:after="0" w:line="221" w:lineRule="exact"/>
        <w:rPr>
          <w:sz w:val="20"/>
          <w:szCs w:val="20"/>
          <w:color w:val="auto"/>
        </w:rPr>
      </w:pPr>
      <w:r>
        <w:rPr>
          <w:rFonts w:ascii="MS PGothic" w:cs="MS PGothic" w:eastAsia="MS PGothic" w:hAnsi="MS PGothic"/>
          <w:sz w:val="22"/>
          <w:szCs w:val="22"/>
          <w:color w:val="auto"/>
        </w:rPr>
        <w:t>‑ and ‑</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TRUST COMPANY AMERICAS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DEED OF CHARGE AND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80"/>
        <w:spacing w:after="0" w:line="276" w:lineRule="auto"/>
        <w:rPr>
          <w:sz w:val="20"/>
          <w:szCs w:val="20"/>
          <w:color w:val="auto"/>
        </w:rPr>
      </w:pPr>
      <w:r>
        <w:rPr>
          <w:rFonts w:ascii="Arial" w:cs="Arial" w:eastAsia="Arial" w:hAnsi="Arial"/>
          <w:sz w:val="22"/>
          <w:szCs w:val="22"/>
          <w:i w:val="1"/>
          <w:iCs w:val="1"/>
          <w:color w:val="auto"/>
        </w:rPr>
        <w:t>This Deed of Charge and Assignment is entered into subject to the terms of the Intercreditor Agreement dated on or around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1067435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424180</wp:posOffset>
            </wp:positionV>
            <wp:extent cx="1200150" cy="50546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00150" cy="5054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0" w:name="page581"/>
    <w:bookmarkEnd w:id="580"/>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9060" w:type="dxa"/>
            <w:vAlign w:val="bottom"/>
          </w:tcPr>
          <w:p>
            <w:pPr>
              <w:spacing w:after="0"/>
              <w:rPr>
                <w:sz w:val="20"/>
                <w:szCs w:val="20"/>
                <w:color w:val="auto"/>
              </w:rPr>
            </w:pPr>
          </w:p>
        </w:tc>
        <w:tc>
          <w:tcPr>
            <w:tcW w:w="1360" w:type="dxa"/>
            <w:vAlign w:val="bottom"/>
            <w:gridSpan w:val="2"/>
          </w:tcPr>
          <w:p>
            <w:pPr>
              <w:ind w:left="66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DEFINITIONS AND INTERPRETATION</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9060" w:type="dxa"/>
            <w:vAlign w:val="bottom"/>
          </w:tcPr>
          <w:p>
            <w:pPr>
              <w:ind w:left="300"/>
              <w:spacing w:after="0"/>
              <w:rPr>
                <w:sz w:val="20"/>
                <w:szCs w:val="20"/>
                <w:color w:val="auto"/>
              </w:rPr>
            </w:pPr>
            <w:r>
              <w:rPr>
                <w:rFonts w:ascii="Arial" w:cs="Arial" w:eastAsia="Arial" w:hAnsi="Arial"/>
                <w:sz w:val="18"/>
                <w:szCs w:val="18"/>
                <w:color w:val="auto"/>
              </w:rPr>
              <w:t>TRUST</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3.</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INTERCREDITOR AGREEMENT</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9060" w:type="dxa"/>
            <w:vAlign w:val="bottom"/>
          </w:tcPr>
          <w:p>
            <w:pPr>
              <w:ind w:left="300"/>
              <w:spacing w:after="0"/>
              <w:rPr>
                <w:sz w:val="20"/>
                <w:szCs w:val="20"/>
                <w:color w:val="auto"/>
              </w:rPr>
            </w:pPr>
            <w:r>
              <w:rPr>
                <w:rFonts w:ascii="Arial" w:cs="Arial" w:eastAsia="Arial" w:hAnsi="Arial"/>
                <w:sz w:val="18"/>
                <w:szCs w:val="18"/>
                <w:color w:val="auto"/>
              </w:rPr>
              <w:t>ABL DEED OF CHARGE AND ASSIGNMENT</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5.</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COVENANT TO PAY</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6.</w:t>
            </w:r>
          </w:p>
        </w:tc>
        <w:tc>
          <w:tcPr>
            <w:tcW w:w="9060" w:type="dxa"/>
            <w:vAlign w:val="bottom"/>
          </w:tcPr>
          <w:p>
            <w:pPr>
              <w:ind w:left="300"/>
              <w:spacing w:after="0"/>
              <w:rPr>
                <w:sz w:val="20"/>
                <w:szCs w:val="20"/>
                <w:color w:val="auto"/>
              </w:rPr>
            </w:pPr>
            <w:r>
              <w:rPr>
                <w:rFonts w:ascii="Arial" w:cs="Arial" w:eastAsia="Arial" w:hAnsi="Arial"/>
                <w:sz w:val="18"/>
                <w:szCs w:val="18"/>
                <w:color w:val="auto"/>
              </w:rPr>
              <w:t>SECURITY</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7.</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REDEMPTION OF SECURITY</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8.</w:t>
            </w:r>
          </w:p>
        </w:tc>
        <w:tc>
          <w:tcPr>
            <w:tcW w:w="906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9.</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COVENANTS RELATING TO ASSETS – PERFECTION, RESTRICTIONS ON DEALINGS, PROTECTION</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w:t>
            </w:r>
          </w:p>
        </w:tc>
        <w:tc>
          <w:tcPr>
            <w:tcW w:w="9060" w:type="dxa"/>
            <w:vAlign w:val="bottom"/>
          </w:tcPr>
          <w:p>
            <w:pPr>
              <w:ind w:left="300"/>
              <w:spacing w:after="0"/>
              <w:rPr>
                <w:sz w:val="20"/>
                <w:szCs w:val="20"/>
                <w:color w:val="auto"/>
              </w:rPr>
            </w:pPr>
            <w:r>
              <w:rPr>
                <w:rFonts w:ascii="Arial" w:cs="Arial" w:eastAsia="Arial" w:hAnsi="Arial"/>
                <w:sz w:val="18"/>
                <w:szCs w:val="18"/>
                <w:color w:val="auto"/>
              </w:rPr>
              <w:t>GENERAL COVENANTS</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11.</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CRYSTALLISATION OF FLOATING CHARGE</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9060" w:type="dxa"/>
            <w:vAlign w:val="bottom"/>
          </w:tcPr>
          <w:p>
            <w:pPr>
              <w:ind w:left="300"/>
              <w:spacing w:after="0"/>
              <w:rPr>
                <w:sz w:val="20"/>
                <w:szCs w:val="20"/>
                <w:color w:val="auto"/>
              </w:rPr>
            </w:pPr>
            <w:r>
              <w:rPr>
                <w:rFonts w:ascii="Arial" w:cs="Arial" w:eastAsia="Arial" w:hAnsi="Arial"/>
                <w:sz w:val="18"/>
                <w:szCs w:val="18"/>
                <w:color w:val="auto"/>
              </w:rPr>
              <w:t>ENFORCEMENT</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13.</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CONTINUING SECURITY, OTHER SECURITY ETC.</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9060" w:type="dxa"/>
            <w:vAlign w:val="bottom"/>
          </w:tcPr>
          <w:p>
            <w:pPr>
              <w:ind w:left="300"/>
              <w:spacing w:after="0"/>
              <w:rPr>
                <w:sz w:val="20"/>
                <w:szCs w:val="20"/>
                <w:color w:val="auto"/>
              </w:rPr>
            </w:pPr>
            <w:r>
              <w:rPr>
                <w:rFonts w:ascii="Arial" w:cs="Arial" w:eastAsia="Arial" w:hAnsi="Arial"/>
                <w:sz w:val="18"/>
                <w:szCs w:val="18"/>
                <w:color w:val="auto"/>
              </w:rPr>
              <w:t>FURTHER ASSURANCES, POWER OF ATTORNEY, ETC.</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15.</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THE COLLATERAL AGENT'S RIGHTS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16.</w:t>
            </w:r>
          </w:p>
        </w:tc>
        <w:tc>
          <w:tcPr>
            <w:tcW w:w="9060" w:type="dxa"/>
            <w:vAlign w:val="bottom"/>
          </w:tcPr>
          <w:p>
            <w:pPr>
              <w:ind w:left="300"/>
              <w:spacing w:after="0"/>
              <w:rPr>
                <w:sz w:val="20"/>
                <w:szCs w:val="20"/>
                <w:color w:val="auto"/>
              </w:rPr>
            </w:pPr>
            <w:r>
              <w:rPr>
                <w:rFonts w:ascii="Arial" w:cs="Arial" w:eastAsia="Arial" w:hAnsi="Arial"/>
                <w:sz w:val="18"/>
                <w:szCs w:val="18"/>
                <w:color w:val="auto"/>
              </w:rPr>
              <w:t>APPOINTMENT OF ADMINISTRATOR</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17.</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RECEIVER</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18.</w:t>
            </w:r>
          </w:p>
        </w:tc>
        <w:tc>
          <w:tcPr>
            <w:tcW w:w="9060" w:type="dxa"/>
            <w:vAlign w:val="bottom"/>
          </w:tcPr>
          <w:p>
            <w:pPr>
              <w:ind w:left="300"/>
              <w:spacing w:after="0"/>
              <w:rPr>
                <w:sz w:val="20"/>
                <w:szCs w:val="20"/>
                <w:color w:val="auto"/>
              </w:rPr>
            </w:pPr>
            <w:r>
              <w:rPr>
                <w:rFonts w:ascii="Arial" w:cs="Arial" w:eastAsia="Arial" w:hAnsi="Arial"/>
                <w:sz w:val="18"/>
                <w:szCs w:val="18"/>
                <w:color w:val="auto"/>
              </w:rPr>
              <w:t>APPLICATION OF MONEYS</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19.</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PROTECTION OF THIRD PARTIES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w:t>
            </w:r>
          </w:p>
        </w:tc>
        <w:tc>
          <w:tcPr>
            <w:tcW w:w="9060" w:type="dxa"/>
            <w:vAlign w:val="bottom"/>
          </w:tcPr>
          <w:p>
            <w:pPr>
              <w:ind w:left="300"/>
              <w:spacing w:after="0"/>
              <w:rPr>
                <w:sz w:val="20"/>
                <w:szCs w:val="20"/>
                <w:color w:val="auto"/>
              </w:rPr>
            </w:pPr>
            <w:r>
              <w:rPr>
                <w:rFonts w:ascii="Arial" w:cs="Arial" w:eastAsia="Arial" w:hAnsi="Arial"/>
                <w:sz w:val="18"/>
                <w:szCs w:val="18"/>
                <w:color w:val="auto"/>
              </w:rPr>
              <w:t>PROTECTION OF COLLATERAL AGENT AND RECEIVER</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21.</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COSTS, EXPENSES AND INDEMNITY</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9060" w:type="dxa"/>
            <w:vAlign w:val="bottom"/>
          </w:tcPr>
          <w:p>
            <w:pPr>
              <w:ind w:left="300"/>
              <w:spacing w:after="0"/>
              <w:rPr>
                <w:sz w:val="20"/>
                <w:szCs w:val="20"/>
                <w:color w:val="auto"/>
              </w:rPr>
            </w:pPr>
            <w:r>
              <w:rPr>
                <w:rFonts w:ascii="Arial" w:cs="Arial" w:eastAsia="Arial" w:hAnsi="Arial"/>
                <w:sz w:val="18"/>
                <w:szCs w:val="18"/>
                <w:color w:val="auto"/>
              </w:rPr>
              <w:t>CONSENTS, VARIATIONS, WAIVERS AND RIGHTS</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23.</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PARTIAL INVALIDITY</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906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25.</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THIRD PARTIES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26.</w:t>
            </w:r>
          </w:p>
        </w:tc>
        <w:tc>
          <w:tcPr>
            <w:tcW w:w="9060" w:type="dxa"/>
            <w:vAlign w:val="bottom"/>
          </w:tcPr>
          <w:p>
            <w:pPr>
              <w:ind w:left="300"/>
              <w:spacing w:after="0"/>
              <w:rPr>
                <w:sz w:val="20"/>
                <w:szCs w:val="20"/>
                <w:color w:val="auto"/>
              </w:rPr>
            </w:pPr>
            <w:r>
              <w:rPr>
                <w:rFonts w:ascii="Arial" w:cs="Arial" w:eastAsia="Arial" w:hAnsi="Arial"/>
                <w:sz w:val="18"/>
                <w:szCs w:val="18"/>
                <w:color w:val="auto"/>
              </w:rPr>
              <w:t>DETERMINATIONS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27.</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ASSIGNMENT</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28.</w:t>
            </w:r>
          </w:p>
        </w:tc>
        <w:tc>
          <w:tcPr>
            <w:tcW w:w="9060" w:type="dxa"/>
            <w:vAlign w:val="bottom"/>
          </w:tcPr>
          <w:p>
            <w:pPr>
              <w:ind w:left="300"/>
              <w:spacing w:after="0"/>
              <w:rPr>
                <w:sz w:val="20"/>
                <w:szCs w:val="20"/>
                <w:color w:val="auto"/>
              </w:rPr>
            </w:pPr>
            <w:r>
              <w:rPr>
                <w:rFonts w:ascii="Arial" w:cs="Arial" w:eastAsia="Arial" w:hAnsi="Arial"/>
                <w:sz w:val="18"/>
                <w:szCs w:val="18"/>
                <w:color w:val="auto"/>
              </w:rPr>
              <w:t>NOTICES</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29.</w:t>
            </w:r>
          </w:p>
        </w:tc>
        <w:tc>
          <w:tcPr>
            <w:tcW w:w="9060" w:type="dxa"/>
            <w:vAlign w:val="bottom"/>
            <w:shd w:val="clear" w:color="auto" w:fill="C6F4F9"/>
          </w:tcPr>
          <w:p>
            <w:pPr>
              <w:ind w:left="300"/>
              <w:spacing w:after="0"/>
              <w:rPr>
                <w:sz w:val="20"/>
                <w:szCs w:val="20"/>
                <w:color w:val="auto"/>
              </w:rPr>
            </w:pPr>
            <w:r>
              <w:rPr>
                <w:rFonts w:ascii="Arial" w:cs="Arial" w:eastAsia="Arial" w:hAnsi="Arial"/>
                <w:sz w:val="18"/>
                <w:szCs w:val="18"/>
                <w:color w:val="auto"/>
              </w:rPr>
              <w:t>GOVERNING LAW AND JURISDICTION</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SCHEDULE 1 BANK ACCOUNTS</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PART 1 – GENERAL BANK ACCOUNTS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PART 2 – COLLECTION BANK ACCOUNT</w:t>
            </w: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2 ASSIGNED AGREEMENTS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SCHEDULE 3 INSURANCE POLICIES</w:t>
            </w: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4 FORM OF NOTICE OF CHARGE OF BANK ACCOUNTS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PART 1 – FORM OF NOTICE OF CHARGE FOR GENERAL BANK ACCOUNTS</w:t>
            </w: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PART 2 – FORM OF NOTICE OF CHARGE FOR COLLECTION BANK ACCOUNTS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SCHEDULE 5 FORM OF NOTICE OF CHARGE OF ASSIGNED AGREEMENTS</w:t>
            </w: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6 FORM OF NOTICE OF CHARGE OF INSURANCE POLICIES</w:t>
            </w:r>
          </w:p>
        </w:tc>
        <w:tc>
          <w:tcPr>
            <w:tcW w:w="13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84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81" w:name="page582"/>
    <w:bookmarkEnd w:id="581"/>
    <w:p>
      <w:pPr>
        <w:spacing w:after="0"/>
        <w:rPr>
          <w:sz w:val="20"/>
          <w:szCs w:val="20"/>
          <w:color w:val="auto"/>
        </w:rPr>
      </w:pPr>
      <w:r>
        <w:rPr>
          <w:rFonts w:ascii="Arial" w:cs="Arial" w:eastAsia="Arial" w:hAnsi="Arial"/>
          <w:sz w:val="22"/>
          <w:szCs w:val="22"/>
          <w:b w:val="1"/>
          <w:bCs w:val="1"/>
          <w:color w:val="auto"/>
        </w:rPr>
        <w:t xml:space="preserve">THIS DEED OF CHARGE AND ASSIGNMENT </w:t>
      </w:r>
      <w:r>
        <w:rPr>
          <w:rFonts w:ascii="Arial" w:cs="Arial" w:eastAsia="Arial" w:hAnsi="Arial"/>
          <w:sz w:val="22"/>
          <w:szCs w:val="22"/>
          <w:color w:val="auto"/>
        </w:rPr>
        <w:t>is made on ______________,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9" w:lineRule="exact"/>
        <w:rPr>
          <w:sz w:val="20"/>
          <w:szCs w:val="20"/>
          <w:color w:val="auto"/>
        </w:rPr>
      </w:pPr>
    </w:p>
    <w:p>
      <w:pPr>
        <w:ind w:left="660" w:hanging="652"/>
        <w:spacing w:after="0" w:line="282" w:lineRule="auto"/>
        <w:tabs>
          <w:tab w:leader="none" w:pos="660" w:val="left"/>
        </w:tabs>
        <w:numPr>
          <w:ilvl w:val="0"/>
          <w:numId w:val="676"/>
        </w:numPr>
        <w:rPr>
          <w:rFonts w:ascii="Arial" w:cs="Arial" w:eastAsia="Arial" w:hAnsi="Arial"/>
          <w:sz w:val="18"/>
          <w:szCs w:val="18"/>
          <w:color w:val="auto"/>
        </w:rPr>
      </w:pPr>
      <w:r>
        <w:rPr>
          <w:rFonts w:ascii="Arial" w:cs="Arial" w:eastAsia="Arial" w:hAnsi="Arial"/>
          <w:sz w:val="18"/>
          <w:szCs w:val="18"/>
          <w:b w:val="1"/>
          <w:bCs w:val="1"/>
          <w:color w:val="auto"/>
        </w:rPr>
        <w:t>WEATHERFORD EURASIA LIMITED</w:t>
      </w:r>
      <w:r>
        <w:rPr>
          <w:rFonts w:ascii="Arial" w:cs="Arial" w:eastAsia="Arial" w:hAnsi="Arial"/>
          <w:sz w:val="18"/>
          <w:szCs w:val="18"/>
          <w:color w:val="auto"/>
        </w:rPr>
        <w:t>, a limited company incorporated in England and Wales under registered number 02440463,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Weatherford Gotham Road, East Leake, Loughborough, Leicestershire LE12 6JX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676"/>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color w:val="auto"/>
        </w:rPr>
        <w:t>(the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left="660" w:hanging="652"/>
        <w:spacing w:after="0"/>
        <w:tabs>
          <w:tab w:leader="none" w:pos="66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Under the Loan Agreement (as defined below) the Lenders have granted to the Borrowers a letter of credit line facility (the "</w:t>
      </w:r>
      <w:r>
        <w:rPr>
          <w:rFonts w:ascii="Arial" w:cs="Arial" w:eastAsia="Arial" w:hAnsi="Arial"/>
          <w:sz w:val="17"/>
          <w:szCs w:val="17"/>
          <w:b w:val="1"/>
          <w:bCs w:val="1"/>
          <w:i w:val="1"/>
          <w:iCs w:val="1"/>
          <w:color w:val="auto"/>
        </w:rPr>
        <w:t>Facility</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Company, have guaranteed the obligations of the Borrowers under the Loan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It is a requirement under the Loan Agreement that obligations of the Company under the Guarantee are secured by this Deed.</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Company has agreed to mortgage, assign and charge by way of security all of its right, title, interest and benefit in, to and under its assets, rights, revenues and undertaking (except any Excluded Assets) in favour of the Collateral Agent as security for the Secured Obligations, subject to and in accordance with the terms and conditions of this Deed (each as defined below).</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Company's board of directors has concluded after due consideration of all relevant circumstances that entering into this Deed is in the best interests of and for the benefit of the Company for the purposes of its business.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AND THIS DEED PROVIDES </w:t>
      </w:r>
      <w:r>
        <w:rPr>
          <w:rFonts w:ascii="Arial" w:cs="Arial" w:eastAsia="Arial" w:hAnsi="Arial"/>
          <w:sz w:val="22"/>
          <w:szCs w:val="22"/>
          <w:color w:val="auto"/>
        </w:rPr>
        <w:t>as follows:</w:t>
      </w:r>
    </w:p>
    <w:p>
      <w:pPr>
        <w:spacing w:after="0" w:line="229" w:lineRule="exact"/>
        <w:rPr>
          <w:sz w:val="20"/>
          <w:szCs w:val="20"/>
          <w:color w:val="auto"/>
        </w:rPr>
      </w:pPr>
    </w:p>
    <w:p>
      <w:pPr>
        <w:ind w:left="660" w:hanging="652"/>
        <w:spacing w:after="0"/>
        <w:tabs>
          <w:tab w:leader="none" w:pos="660" w:val="left"/>
        </w:tabs>
        <w:numPr>
          <w:ilvl w:val="0"/>
          <w:numId w:val="678"/>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Capitalised words and phrases used but not defined in this Deed shall have the meanings set out in the Loan Agreement and the following words and expressions have the meanings set out below:</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Deed of Charge</w:t>
            </w:r>
          </w:p>
        </w:tc>
        <w:tc>
          <w:tcPr>
            <w:tcW w:w="4420" w:type="dxa"/>
            <w:vAlign w:val="bottom"/>
          </w:tcPr>
          <w:p>
            <w:pPr>
              <w:ind w:left="720"/>
              <w:spacing w:after="0"/>
              <w:rPr>
                <w:sz w:val="20"/>
                <w:szCs w:val="20"/>
                <w:color w:val="auto"/>
              </w:rPr>
            </w:pPr>
            <w:r>
              <w:rPr>
                <w:rFonts w:ascii="Arial" w:cs="Arial" w:eastAsia="Arial" w:hAnsi="Arial"/>
                <w:sz w:val="18"/>
                <w:szCs w:val="18"/>
                <w:color w:val="auto"/>
                <w:w w:val="91"/>
              </w:rPr>
              <w:t>means a deed of charge and assignment dated on</w:t>
            </w:r>
          </w:p>
        </w:tc>
        <w:tc>
          <w:tcPr>
            <w:tcW w:w="3640" w:type="dxa"/>
            <w:vAlign w:val="bottom"/>
          </w:tcPr>
          <w:p>
            <w:pPr>
              <w:spacing w:after="0"/>
              <w:rPr>
                <w:sz w:val="18"/>
                <w:szCs w:val="18"/>
                <w:color w:val="auto"/>
              </w:rPr>
            </w:pPr>
          </w:p>
        </w:tc>
      </w:tr>
      <w:tr>
        <w:trPr>
          <w:trHeight w:val="220"/>
        </w:trPr>
        <w:tc>
          <w:tcPr>
            <w:tcW w:w="2520" w:type="dxa"/>
            <w:vAlign w:val="bottom"/>
          </w:tcPr>
          <w:p>
            <w:pPr>
              <w:spacing w:after="0"/>
              <w:rPr>
                <w:sz w:val="20"/>
                <w:szCs w:val="20"/>
                <w:color w:val="auto"/>
              </w:rPr>
            </w:pPr>
            <w:r>
              <w:rPr>
                <w:rFonts w:ascii="Arial" w:cs="Arial" w:eastAsia="Arial" w:hAnsi="Arial"/>
                <w:sz w:val="18"/>
                <w:szCs w:val="18"/>
                <w:b w:val="1"/>
                <w:bCs w:val="1"/>
                <w:color w:val="auto"/>
              </w:rPr>
              <w:t>and Assignment</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4"/>
              </w:rPr>
              <w:t>or about the date hereof between, amongst others, the Company and Wells Fargo Bank, National</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0"/>
              </w:rPr>
              <w:t>Association as collateral agent, granted pursuant to an asset based loan credit agreement dated on or</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4"/>
              </w:rPr>
              <w:t>around  the  date  of  this  Deed  between,  amongst  others,  Weatherford  International  Ltd.  and</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7"/>
              </w:rPr>
              <w:t>Weatherford International, LLC as borrowers, the lenders party thereto, and Wells Fargo Bank,</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National Association as collateral agent;</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means any person or persons for the time being acting as administrator of the Company pursuant to</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the provisions of the Insolvency Act;</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88"/>
              </w:rPr>
              <w:t>means property, assets, rights, revenues, income, uncalled capital, licences, business and undertakings</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1"/>
              </w:rPr>
              <w:t>and any interest therein, in each case whatsoever and wheresoever situated, present and future (but</w:t>
            </w:r>
          </w:p>
        </w:tc>
      </w:tr>
      <w:tr>
        <w:trPr>
          <w:trHeight w:val="230"/>
        </w:trPr>
        <w:tc>
          <w:tcPr>
            <w:tcW w:w="2520" w:type="dxa"/>
            <w:vAlign w:val="bottom"/>
          </w:tcPr>
          <w:p>
            <w:pPr>
              <w:spacing w:after="0"/>
              <w:rPr>
                <w:sz w:val="20"/>
                <w:szCs w:val="20"/>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rPr>
              <w:t>shall exclude, for the avoidance of doubt, the Excluded Assets);</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Assets</w:t>
            </w:r>
            <w:r>
              <w:rPr>
                <w:rFonts w:ascii="Arial" w:cs="Arial" w:eastAsia="Arial" w:hAnsi="Arial"/>
                <w:sz w:val="18"/>
                <w:szCs w:val="18"/>
                <w:color w:val="auto"/>
              </w:rPr>
              <w:t>"</w:t>
            </w:r>
          </w:p>
        </w:tc>
        <w:tc>
          <w:tcPr>
            <w:tcW w:w="4420" w:type="dxa"/>
            <w:vAlign w:val="bottom"/>
          </w:tcPr>
          <w:p>
            <w:pPr>
              <w:ind w:left="720"/>
              <w:spacing w:after="0"/>
              <w:rPr>
                <w:sz w:val="20"/>
                <w:szCs w:val="20"/>
                <w:color w:val="auto"/>
              </w:rPr>
            </w:pPr>
            <w:r>
              <w:rPr>
                <w:rFonts w:ascii="Arial" w:cs="Arial" w:eastAsia="Arial" w:hAnsi="Arial"/>
                <w:sz w:val="18"/>
                <w:szCs w:val="18"/>
                <w:color w:val="auto"/>
              </w:rPr>
              <w:t>has the meaning set out in Clause 0 (</w:t>
            </w:r>
            <w:r>
              <w:rPr>
                <w:rFonts w:ascii="Arial" w:cs="Arial" w:eastAsia="Arial" w:hAnsi="Arial"/>
                <w:sz w:val="18"/>
                <w:szCs w:val="18"/>
                <w:i w:val="1"/>
                <w:iCs w:val="1"/>
                <w:color w:val="auto"/>
              </w:rPr>
              <w:t>6.4</w:t>
            </w: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Agreements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5"/>
              </w:rPr>
              <w:t>means each agreement specified in Schedule 2 (</w:t>
            </w:r>
            <w:r>
              <w:rPr>
                <w:rFonts w:ascii="Arial" w:cs="Arial" w:eastAsia="Arial" w:hAnsi="Arial"/>
                <w:sz w:val="18"/>
                <w:szCs w:val="18"/>
                <w:i w:val="1"/>
                <w:iCs w:val="1"/>
                <w:color w:val="auto"/>
                <w:w w:val="95"/>
              </w:rPr>
              <w:t>Assigned Agreements</w:t>
            </w:r>
            <w:r>
              <w:rPr>
                <w:rFonts w:ascii="Arial" w:cs="Arial" w:eastAsia="Arial" w:hAnsi="Arial"/>
                <w:sz w:val="18"/>
                <w:szCs w:val="18"/>
                <w:color w:val="auto"/>
                <w:w w:val="95"/>
              </w:rPr>
              <w:t>) together with each other</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0"/>
              </w:rPr>
              <w:t>agreement supplementing or amending or novating or replacing the same designated as an Assigned</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Agreement;</w:t>
            </w:r>
          </w:p>
        </w:tc>
        <w:tc>
          <w:tcPr>
            <w:tcW w:w="3640" w:type="dxa"/>
            <w:vAlign w:val="bottom"/>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Accounts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rPr>
              <w:t>means the General Bank Accounts and the Collection Bank Accounts;</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Debts</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1"/>
              </w:rPr>
              <w:t>means all book and other debts (including rents) and other moneys, liabilities and monetary claims of</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3"/>
              </w:rPr>
              <w:t>any nature whatsoever now or hereafter due, owing or payable to the Company (including moneys,</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5"/>
              </w:rPr>
              <w:t>liabilities and claims deriving from or in relation to any Investments, any contract or agreement to</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which the Company is party, or any other Assets or rights of the Company, and including the benefit</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6"/>
              </w:rPr>
              <w:t>of any judgment or order to pay money and any amounts due or owing from any government or</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3"/>
              </w:rPr>
              <w:t>governmental agency including in respect of Taxes) and all other rights of the Company to receive</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3"/>
              </w:rPr>
              <w:t>money (but excluding all moneys now or hereafter standing to the credit of any account held by the</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Company with any bank) and any proceeds thereof; and the benefit of (including the proceeds of all</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0"/>
              </w:rPr>
              <w:t>claims under) all rights, Security Interests, securities, guarantees, indemnities, negotiable instruments,</w:t>
            </w:r>
          </w:p>
        </w:tc>
      </w:tr>
      <w:tr>
        <w:trPr>
          <w:trHeight w:val="212"/>
        </w:trPr>
        <w:tc>
          <w:tcPr>
            <w:tcW w:w="2520" w:type="dxa"/>
            <w:vAlign w:val="bottom"/>
          </w:tcPr>
          <w:p>
            <w:pPr>
              <w:spacing w:after="0"/>
              <w:rPr>
                <w:sz w:val="18"/>
                <w:szCs w:val="18"/>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6"/>
              </w:rPr>
              <w:t>letters of credit and Insurances of any nature whatsoever now or hereafter owned or held by the</w:t>
            </w:r>
          </w:p>
        </w:tc>
      </w:tr>
      <w:tr>
        <w:trPr>
          <w:trHeight w:val="220"/>
        </w:trPr>
        <w:tc>
          <w:tcPr>
            <w:tcW w:w="2520" w:type="dxa"/>
            <w:vAlign w:val="bottom"/>
          </w:tcPr>
          <w:p>
            <w:pPr>
              <w:spacing w:after="0"/>
              <w:rPr>
                <w:sz w:val="19"/>
                <w:szCs w:val="19"/>
                <w:color w:val="auto"/>
              </w:rPr>
            </w:pP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4"/>
              </w:rPr>
              <w:t>Company in relation to any of the foregoing (but "</w:t>
            </w:r>
            <w:r>
              <w:rPr>
                <w:rFonts w:ascii="Arial" w:cs="Arial" w:eastAsia="Arial" w:hAnsi="Arial"/>
                <w:sz w:val="18"/>
                <w:szCs w:val="18"/>
                <w:b w:val="1"/>
                <w:bCs w:val="1"/>
                <w:color w:val="auto"/>
                <w:w w:val="94"/>
              </w:rPr>
              <w:t>Book Debts</w:t>
            </w:r>
            <w:r>
              <w:rPr>
                <w:rFonts w:ascii="Arial" w:cs="Arial" w:eastAsia="Arial" w:hAnsi="Arial"/>
                <w:sz w:val="18"/>
                <w:szCs w:val="18"/>
                <w:color w:val="auto"/>
                <w:w w:val="94"/>
              </w:rPr>
              <w:t>" shall exclude, for the avoidance of</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doubt, the Excluded Assets);</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2"/>
              </w:rPr>
              <w:t>means any day (other than a Saturday or Sunday) on which banks are open for business in London</w:t>
            </w:r>
          </w:p>
        </w:tc>
      </w:tr>
      <w:tr>
        <w:trPr>
          <w:trHeight w:val="230"/>
        </w:trPr>
        <w:tc>
          <w:tcPr>
            <w:tcW w:w="2520" w:type="dxa"/>
            <w:vAlign w:val="bottom"/>
          </w:tcPr>
          <w:p>
            <w:pPr>
              <w:spacing w:after="0"/>
              <w:rPr>
                <w:sz w:val="20"/>
                <w:szCs w:val="20"/>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and New York City;</w:t>
            </w:r>
          </w:p>
        </w:tc>
        <w:tc>
          <w:tcPr>
            <w:tcW w:w="3640" w:type="dxa"/>
            <w:vAlign w:val="bottom"/>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w:t>
            </w:r>
          </w:p>
        </w:tc>
        <w:tc>
          <w:tcPr>
            <w:tcW w:w="8060" w:type="dxa"/>
            <w:vAlign w:val="bottom"/>
            <w:gridSpan w:val="2"/>
          </w:tcPr>
          <w:p>
            <w:pPr>
              <w:ind w:left="720"/>
              <w:spacing w:after="0"/>
              <w:rPr>
                <w:sz w:val="20"/>
                <w:szCs w:val="20"/>
                <w:color w:val="auto"/>
              </w:rPr>
            </w:pPr>
            <w:r>
              <w:rPr>
                <w:rFonts w:ascii="Arial" w:cs="Arial" w:eastAsia="Arial" w:hAnsi="Arial"/>
                <w:sz w:val="18"/>
                <w:szCs w:val="18"/>
                <w:color w:val="auto"/>
                <w:w w:val="96"/>
              </w:rPr>
              <w:t>means cash within the meaning of Financial Collateral Arrangements (No. 2) Regulations 2003;</w:t>
            </w:r>
          </w:p>
        </w:tc>
      </w:tr>
    </w:tbl>
    <w:p>
      <w:pPr>
        <w:sectPr>
          <w:pgSz w:w="11900" w:h="16838" w:orient="portrait"/>
          <w:cols w:equalWidth="0" w:num="1">
            <w:col w:w="11240"/>
          </w:cols>
          <w:pgMar w:left="320" w:top="125" w:right="339" w:bottom="0" w:gutter="0" w:footer="0" w:header="0"/>
        </w:sectPr>
      </w:pPr>
    </w:p>
    <w:bookmarkStart w:id="582" w:name="page583"/>
    <w:bookmarkEnd w:id="582"/>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Centre of Main Interests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Assets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Collection Account Banks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Collection Account Notice</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Collection Bank Accounts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Claims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collateral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instrument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Assets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Fixtures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 Assets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Account Banks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Bank Accounts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left="4"/>
        <w:spacing w:after="0" w:line="277" w:lineRule="auto"/>
        <w:rPr>
          <w:sz w:val="20"/>
          <w:szCs w:val="20"/>
          <w:color w:val="auto"/>
        </w:rPr>
      </w:pPr>
      <w:r>
        <w:rPr>
          <w:rFonts w:ascii="Arial" w:cs="Arial" w:eastAsia="Arial" w:hAnsi="Arial"/>
          <w:sz w:val="18"/>
          <w:szCs w:val="18"/>
          <w:color w:val="auto"/>
        </w:rPr>
        <w:t>means, in relation to a person, its centre of main interests within the meaning of the EC Regulation on Insolvency Proceedings 2000;</w:t>
      </w:r>
    </w:p>
    <w:p>
      <w:pPr>
        <w:spacing w:after="0" w:line="170"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means all Assets from time to time subject or expressed or intended to be subject to the Charges (whether fixed or floating) under or pursuant to this Deed, and "</w:t>
      </w:r>
      <w:r>
        <w:rPr>
          <w:rFonts w:ascii="Arial" w:cs="Arial" w:eastAsia="Arial" w:hAnsi="Arial"/>
          <w:sz w:val="18"/>
          <w:szCs w:val="18"/>
          <w:b w:val="1"/>
          <w:bCs w:val="1"/>
          <w:color w:val="auto"/>
        </w:rPr>
        <w:t>Charged Assets</w:t>
      </w:r>
      <w:r>
        <w:rPr>
          <w:rFonts w:ascii="Arial" w:cs="Arial" w:eastAsia="Arial" w:hAnsi="Arial"/>
          <w:sz w:val="18"/>
          <w:szCs w:val="18"/>
          <w:color w:val="auto"/>
        </w:rPr>
        <w:t>" includes any part of any of them and any right, title, interest or benefit therein or in respect thereof (but shall exclude, for the avoidance of doubt, the Excluded Assets);</w:t>
      </w:r>
    </w:p>
    <w:p>
      <w:pPr>
        <w:spacing w:after="0" w:line="187"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means any or all of the Security Interests created or expressed to be created, or which may now or hereafter be created or expressed to be created, by or pursuant to this Deed, including any further Security Interests created pursuant to Clause 0 (14.</w:t>
      </w:r>
      <w:r>
        <w:rPr>
          <w:rFonts w:ascii="Arial" w:cs="Arial" w:eastAsia="Arial" w:hAnsi="Arial"/>
          <w:sz w:val="18"/>
          <w:szCs w:val="18"/>
          <w:i w:val="1"/>
          <w:iCs w:val="1"/>
          <w:color w:val="auto"/>
        </w:rPr>
        <w:t>Further Assurances, Power of Attorney,</w:t>
      </w:r>
      <w:r>
        <w:rPr>
          <w:rFonts w:ascii="Arial" w:cs="Arial" w:eastAsia="Arial" w:hAnsi="Arial"/>
          <w:sz w:val="18"/>
          <w:szCs w:val="18"/>
          <w:color w:val="auto"/>
        </w:rPr>
        <w:t xml:space="preserve"> </w:t>
      </w:r>
      <w:r>
        <w:rPr>
          <w:rFonts w:ascii="Arial" w:cs="Arial" w:eastAsia="Arial" w:hAnsi="Arial"/>
          <w:sz w:val="18"/>
          <w:szCs w:val="18"/>
          <w:b w:val="1"/>
          <w:bCs w:val="1"/>
          <w:color w:val="auto"/>
        </w:rPr>
        <w:t>ETC.</w:t>
      </w:r>
      <w:r>
        <w:rPr>
          <w:rFonts w:ascii="Arial" w:cs="Arial" w:eastAsia="Arial" w:hAnsi="Arial"/>
          <w:sz w:val="18"/>
          <w:szCs w:val="18"/>
          <w:color w:val="auto"/>
        </w:rPr>
        <w:t>) or Clause 0 (</w:t>
      </w:r>
      <w:r>
        <w:rPr>
          <w:rFonts w:ascii="Arial" w:cs="Arial" w:eastAsia="Arial" w:hAnsi="Arial"/>
          <w:sz w:val="18"/>
          <w:szCs w:val="18"/>
          <w:i w:val="1"/>
          <w:iCs w:val="1"/>
          <w:color w:val="auto"/>
        </w:rPr>
        <w:t>6.9Excluded</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8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means the account banks listed in Part 2 of Schedule 1 (</w:t>
      </w:r>
      <w:r>
        <w:rPr>
          <w:rFonts w:ascii="Arial" w:cs="Arial" w:eastAsia="Arial" w:hAnsi="Arial"/>
          <w:sz w:val="18"/>
          <w:szCs w:val="18"/>
          <w:i w:val="1"/>
          <w:iCs w:val="1"/>
          <w:color w:val="auto"/>
        </w:rPr>
        <w:t>Collection Bank Account</w:t>
      </w:r>
      <w:r>
        <w:rPr>
          <w:rFonts w:ascii="Arial" w:cs="Arial" w:eastAsia="Arial" w:hAnsi="Arial"/>
          <w:sz w:val="18"/>
          <w:szCs w:val="18"/>
          <w:color w:val="auto"/>
        </w:rPr>
        <w:t>) under the column "</w:t>
      </w:r>
      <w:r>
        <w:rPr>
          <w:rFonts w:ascii="Arial" w:cs="Arial" w:eastAsia="Arial" w:hAnsi="Arial"/>
          <w:sz w:val="18"/>
          <w:szCs w:val="18"/>
          <w:i w:val="1"/>
          <w:iCs w:val="1"/>
          <w:color w:val="auto"/>
        </w:rPr>
        <w:t>Account Bank</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a notice in the form set out in Part 2 of Schedule 4 (</w:t>
      </w:r>
      <w:r>
        <w:rPr>
          <w:rFonts w:ascii="Arial" w:cs="Arial" w:eastAsia="Arial" w:hAnsi="Arial"/>
          <w:sz w:val="18"/>
          <w:szCs w:val="18"/>
          <w:i w:val="1"/>
          <w:iCs w:val="1"/>
          <w:color w:val="auto"/>
        </w:rPr>
        <w:t>Form of Notice of Charge for Collection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Bank Accounts </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means the accounts listed in Part 2 of Schedule 1 (</w:t>
      </w:r>
      <w:r>
        <w:rPr>
          <w:rFonts w:ascii="Arial" w:cs="Arial" w:eastAsia="Arial" w:hAnsi="Arial"/>
          <w:sz w:val="18"/>
          <w:szCs w:val="18"/>
          <w:i w:val="1"/>
          <w:iCs w:val="1"/>
          <w:color w:val="auto"/>
        </w:rPr>
        <w:t>Collection Bank Account</w:t>
      </w:r>
      <w:r>
        <w:rPr>
          <w:rFonts w:ascii="Arial" w:cs="Arial" w:eastAsia="Arial" w:hAnsi="Arial"/>
          <w:sz w:val="18"/>
          <w:szCs w:val="18"/>
          <w:color w:val="auto"/>
        </w:rPr>
        <w:t>) held by the Company with the bank or banks specified in Part 2 of Schedule 1 (</w:t>
      </w:r>
      <w:r>
        <w:rPr>
          <w:rFonts w:ascii="Arial" w:cs="Arial" w:eastAsia="Arial" w:hAnsi="Arial"/>
          <w:sz w:val="18"/>
          <w:szCs w:val="18"/>
          <w:i w:val="1"/>
          <w:iCs w:val="1"/>
          <w:color w:val="auto"/>
        </w:rPr>
        <w:t>Collection Bank Account</w:t>
      </w:r>
      <w:r>
        <w:rPr>
          <w:rFonts w:ascii="Arial" w:cs="Arial" w:eastAsia="Arial" w:hAnsi="Arial"/>
          <w:sz w:val="18"/>
          <w:szCs w:val="18"/>
          <w:color w:val="auto"/>
        </w:rPr>
        <w:t>) and any other bank account maintained by the Company with any financial institution as the Collateral Agent may from time to time designate in writing as a Collection Bank Account, including in each case any redesignation or renewal thereof and all balances now or hereafter standing to the credit of any such account including all interest from time to time thereon, the debt represented thereby and all rights in relation thereto (but "</w:t>
      </w:r>
      <w:r>
        <w:rPr>
          <w:rFonts w:ascii="Arial" w:cs="Arial" w:eastAsia="Arial" w:hAnsi="Arial"/>
          <w:sz w:val="18"/>
          <w:szCs w:val="18"/>
          <w:b w:val="1"/>
          <w:bCs w:val="1"/>
          <w:color w:val="auto"/>
        </w:rPr>
        <w:t>Collection Bank Accounts</w:t>
      </w:r>
      <w:r>
        <w:rPr>
          <w:rFonts w:ascii="Arial" w:cs="Arial" w:eastAsia="Arial" w:hAnsi="Arial"/>
          <w:sz w:val="18"/>
          <w:szCs w:val="18"/>
          <w:color w:val="auto"/>
        </w:rPr>
        <w:t>" shall exclude, for the avoidance of doubt, the Excluded Assets);</w:t>
      </w:r>
    </w:p>
    <w:p>
      <w:pPr>
        <w:spacing w:after="0" w:line="192"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credit claims within the meaning of the Financial Collateral Arrangements (No 2) Regulations 2003;</w:t>
      </w:r>
    </w:p>
    <w:p>
      <w:pPr>
        <w:spacing w:after="0" w:line="170"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means a delegate or subdelegate appointed pursuant to Clause 0 (</w:t>
      </w:r>
      <w:r>
        <w:rPr>
          <w:rFonts w:ascii="Arial" w:cs="Arial" w:eastAsia="Arial" w:hAnsi="Arial"/>
          <w:sz w:val="18"/>
          <w:szCs w:val="18"/>
          <w:i w:val="1"/>
          <w:iCs w:val="1"/>
          <w:color w:val="auto"/>
        </w:rPr>
        <w:t>15.The Collateral Agent's</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any disputes which may arise out of or in connection with this Deed (including regarding its existence, validity or termination);</w:t>
      </w:r>
    </w:p>
    <w:p>
      <w:pPr>
        <w:spacing w:after="0" w:line="166" w:lineRule="exact"/>
        <w:rPr>
          <w:sz w:val="20"/>
          <w:szCs w:val="20"/>
          <w:color w:val="auto"/>
        </w:rPr>
      </w:pPr>
    </w:p>
    <w:p>
      <w:pPr>
        <w:ind w:left="4"/>
        <w:spacing w:after="0"/>
        <w:tabs>
          <w:tab w:leader="none" w:pos="3864" w:val="left"/>
        </w:tabs>
        <w:rPr>
          <w:sz w:val="20"/>
          <w:szCs w:val="20"/>
          <w:color w:val="auto"/>
        </w:rPr>
      </w:pPr>
      <w:r>
        <w:rPr>
          <w:rFonts w:ascii="Arial" w:cs="Arial" w:eastAsia="Arial" w:hAnsi="Arial"/>
          <w:sz w:val="18"/>
          <w:szCs w:val="18"/>
          <w:color w:val="auto"/>
        </w:rPr>
        <w:t>has the meaning set out in Clause 0 (</w:t>
      </w:r>
      <w:r>
        <w:rPr>
          <w:rFonts w:ascii="Arial" w:cs="Arial" w:eastAsia="Arial" w:hAnsi="Arial"/>
          <w:sz w:val="18"/>
          <w:szCs w:val="18"/>
          <w:i w:val="1"/>
          <w:iCs w:val="1"/>
          <w:color w:val="auto"/>
        </w:rPr>
        <w:t>12.</w:t>
      </w:r>
      <w:r>
        <w:rPr>
          <w:sz w:val="20"/>
          <w:szCs w:val="20"/>
          <w:color w:val="auto"/>
        </w:rPr>
        <w:tab/>
      </w:r>
      <w:r>
        <w:rPr>
          <w:rFonts w:ascii="Arial" w:cs="Arial" w:eastAsia="Arial" w:hAnsi="Arial"/>
          <w:sz w:val="18"/>
          <w:szCs w:val="18"/>
          <w:b w:val="1"/>
          <w:bCs w:val="1"/>
          <w:color w:val="auto"/>
        </w:rPr>
        <w:t>ENFORCEMENT</w:t>
      </w:r>
      <w:r>
        <w:rPr>
          <w:rFonts w:ascii="Arial" w:cs="Arial" w:eastAsia="Arial" w:hAnsi="Arial"/>
          <w:sz w:val="18"/>
          <w:szCs w:val="18"/>
          <w:color w:val="auto"/>
        </w:rPr>
        <w:t>);</w:t>
      </w:r>
    </w:p>
    <w:p>
      <w:pPr>
        <w:spacing w:after="0" w:line="229" w:lineRule="exact"/>
        <w:rPr>
          <w:sz w:val="20"/>
          <w:szCs w:val="20"/>
          <w:color w:val="auto"/>
        </w:rPr>
      </w:pPr>
    </w:p>
    <w:p>
      <w:pPr>
        <w:jc w:val="both"/>
        <w:ind w:left="4"/>
        <w:spacing w:after="0" w:line="272" w:lineRule="auto"/>
        <w:rPr>
          <w:sz w:val="20"/>
          <w:szCs w:val="20"/>
          <w:color w:val="auto"/>
        </w:rPr>
      </w:pPr>
      <w:r>
        <w:rPr>
          <w:rFonts w:ascii="Arial" w:cs="Arial" w:eastAsia="Arial" w:hAnsi="Arial"/>
          <w:sz w:val="17"/>
          <w:szCs w:val="17"/>
          <w:color w:val="auto"/>
        </w:rPr>
        <w:t>means plant, machinery, equipment (including office equipment), vehicles, computers and other chattels of any kind (but excluding any from time to time which are part of the Company's stock in trade or work in progress) now or hereafter owned by the Company or in its possession and all proceeds of sale or other disposal thereof, all moneys paid or payable in respect thereof, rights under any agreement, Security Interest or guarantee in relation thereto and all other rights in relation thereto, and "</w:t>
      </w:r>
      <w:r>
        <w:rPr>
          <w:rFonts w:ascii="Arial" w:cs="Arial" w:eastAsia="Arial" w:hAnsi="Arial"/>
          <w:sz w:val="17"/>
          <w:szCs w:val="17"/>
          <w:b w:val="1"/>
          <w:bCs w:val="1"/>
          <w:color w:val="auto"/>
        </w:rPr>
        <w:t>Equipment</w:t>
      </w:r>
      <w:r>
        <w:rPr>
          <w:rFonts w:ascii="Arial" w:cs="Arial" w:eastAsia="Arial" w:hAnsi="Arial"/>
          <w:sz w:val="17"/>
          <w:szCs w:val="17"/>
          <w:color w:val="auto"/>
        </w:rPr>
        <w:t>" includes any part of any of them (but "</w:t>
      </w:r>
      <w:r>
        <w:rPr>
          <w:rFonts w:ascii="Arial" w:cs="Arial" w:eastAsia="Arial" w:hAnsi="Arial"/>
          <w:sz w:val="17"/>
          <w:szCs w:val="17"/>
          <w:b w:val="1"/>
          <w:bCs w:val="1"/>
          <w:color w:val="auto"/>
        </w:rPr>
        <w:t>Equipment</w:t>
      </w:r>
      <w:r>
        <w:rPr>
          <w:rFonts w:ascii="Arial" w:cs="Arial" w:eastAsia="Arial" w:hAnsi="Arial"/>
          <w:sz w:val="17"/>
          <w:szCs w:val="17"/>
          <w:color w:val="auto"/>
        </w:rPr>
        <w:t>" shall exclude, for the avoidance of doubt, the Excluded Assets);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means:</w:t>
      </w:r>
    </w:p>
    <w:p>
      <w:pPr>
        <w:spacing w:after="0" w:line="225" w:lineRule="exact"/>
        <w:rPr>
          <w:sz w:val="20"/>
          <w:szCs w:val="20"/>
          <w:color w:val="auto"/>
        </w:rPr>
      </w:pPr>
    </w:p>
    <w:p>
      <w:pPr>
        <w:ind w:left="644" w:hanging="644"/>
        <w:spacing w:after="0" w:line="342" w:lineRule="auto"/>
        <w:tabs>
          <w:tab w:leader="none" w:pos="644" w:val="left"/>
        </w:tabs>
        <w:numPr>
          <w:ilvl w:val="0"/>
          <w:numId w:val="679"/>
        </w:numPr>
        <w:rPr>
          <w:rFonts w:ascii="Arial" w:cs="Arial" w:eastAsia="Arial" w:hAnsi="Arial"/>
          <w:sz w:val="16"/>
          <w:szCs w:val="16"/>
          <w:color w:val="auto"/>
        </w:rPr>
      </w:pPr>
      <w:r>
        <w:rPr>
          <w:rFonts w:ascii="Arial" w:cs="Arial" w:eastAsia="Arial" w:hAnsi="Arial"/>
          <w:sz w:val="16"/>
          <w:szCs w:val="16"/>
          <w:color w:val="auto"/>
        </w:rPr>
        <w:t>shares and other Assets charged in favour of the Collateral Agent pursuant to an Equitable Share Mortgage of even date herewith between the Company and the Collateral Agent; and</w:t>
      </w:r>
    </w:p>
    <w:p>
      <w:pPr>
        <w:spacing w:after="0" w:line="119" w:lineRule="exact"/>
        <w:rPr>
          <w:rFonts w:ascii="Arial" w:cs="Arial" w:eastAsia="Arial" w:hAnsi="Arial"/>
          <w:sz w:val="16"/>
          <w:szCs w:val="16"/>
          <w:color w:val="auto"/>
        </w:rPr>
      </w:pPr>
    </w:p>
    <w:p>
      <w:pPr>
        <w:ind w:left="644" w:hanging="644"/>
        <w:spacing w:after="0"/>
        <w:tabs>
          <w:tab w:leader="none" w:pos="644" w:val="left"/>
        </w:tabs>
        <w:numPr>
          <w:ilvl w:val="0"/>
          <w:numId w:val="67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Excluded Assets</w:t>
      </w:r>
      <w:r>
        <w:rPr>
          <w:rFonts w:ascii="Arial" w:cs="Arial" w:eastAsia="Arial" w:hAnsi="Arial"/>
          <w:sz w:val="18"/>
          <w:szCs w:val="18"/>
          <w:color w:val="auto"/>
        </w:rPr>
        <w:t>" as defined in the Loan Agreement;</w:t>
      </w:r>
    </w:p>
    <w:p>
      <w:pPr>
        <w:spacing w:after="0" w:line="229"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financial collateral within the meaning of the Financial Collateral Arrangements (No. 2) Regulations 2003, as amended;</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a financial instrument within the meaning of the Financial Collateral Arrangements (No. 2) Regulations 2003;</w:t>
      </w:r>
    </w:p>
    <w:p>
      <w:pPr>
        <w:spacing w:after="0" w:line="170" w:lineRule="exact"/>
        <w:rPr>
          <w:sz w:val="20"/>
          <w:szCs w:val="20"/>
          <w:color w:val="auto"/>
        </w:rPr>
      </w:pPr>
    </w:p>
    <w:p>
      <w:pPr>
        <w:jc w:val="both"/>
        <w:ind w:left="4"/>
        <w:spacing w:after="0" w:line="308" w:lineRule="auto"/>
        <w:rPr>
          <w:sz w:val="20"/>
          <w:szCs w:val="20"/>
          <w:color w:val="auto"/>
        </w:rPr>
      </w:pPr>
      <w:r>
        <w:rPr>
          <w:rFonts w:ascii="Arial" w:cs="Arial" w:eastAsia="Arial" w:hAnsi="Arial"/>
          <w:sz w:val="17"/>
          <w:szCs w:val="17"/>
          <w:color w:val="auto"/>
        </w:rPr>
        <w:t>means any part or parts of the Charged Assets effectively charged by way of fixed Security Interests or effectively mortgaged or assigned by way of fixed Security Interests under this Deed;</w:t>
      </w:r>
    </w:p>
    <w:p>
      <w:pPr>
        <w:spacing w:after="0" w:line="146"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fixtures, fittings and fixed plant, machinery and equipment (including trade fixtures and fittings);</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means any part or parts of the Charged Assets subject to the floating charge contained in Clause 0 (</w:t>
      </w:r>
      <w:r>
        <w:rPr>
          <w:rFonts w:ascii="Arial" w:cs="Arial" w:eastAsia="Arial" w:hAnsi="Arial"/>
          <w:sz w:val="18"/>
          <w:szCs w:val="18"/>
          <w:i w:val="1"/>
          <w:iCs w:val="1"/>
          <w:color w:val="auto"/>
        </w:rPr>
        <w:t>6.5Floating</w:t>
      </w:r>
      <w:r>
        <w:rPr>
          <w:rFonts w:ascii="Arial" w:cs="Arial" w:eastAsia="Arial" w:hAnsi="Arial"/>
          <w:sz w:val="18"/>
          <w:szCs w:val="18"/>
          <w:color w:val="auto"/>
        </w:rPr>
        <w:t xml:space="preserve"> </w:t>
      </w:r>
      <w:r>
        <w:rPr>
          <w:rFonts w:ascii="Arial" w:cs="Arial" w:eastAsia="Arial" w:hAnsi="Arial"/>
          <w:sz w:val="18"/>
          <w:szCs w:val="18"/>
          <w:b w:val="1"/>
          <w:bCs w:val="1"/>
          <w:color w:val="auto"/>
        </w:rPr>
        <w:t>Charge</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 xml:space="preserve">means the account banks listed in Part 1 of Schedule 1 (General </w:t>
      </w:r>
      <w:r>
        <w:rPr>
          <w:rFonts w:ascii="Arial" w:cs="Arial" w:eastAsia="Arial" w:hAnsi="Arial"/>
          <w:sz w:val="18"/>
          <w:szCs w:val="18"/>
          <w:i w:val="1"/>
          <w:iCs w:val="1"/>
          <w:color w:val="auto"/>
        </w:rPr>
        <w:t>Bank Accounts</w:t>
      </w:r>
      <w:r>
        <w:rPr>
          <w:rFonts w:ascii="Arial" w:cs="Arial" w:eastAsia="Arial" w:hAnsi="Arial"/>
          <w:sz w:val="18"/>
          <w:szCs w:val="18"/>
          <w:color w:val="auto"/>
        </w:rPr>
        <w:t>) under the heading "</w:t>
      </w:r>
      <w:r>
        <w:rPr>
          <w:rFonts w:ascii="Arial" w:cs="Arial" w:eastAsia="Arial" w:hAnsi="Arial"/>
          <w:sz w:val="18"/>
          <w:szCs w:val="18"/>
          <w:i w:val="1"/>
          <w:iCs w:val="1"/>
          <w:color w:val="auto"/>
        </w:rPr>
        <w:t>Account Bank</w:t>
      </w:r>
      <w:r>
        <w:rPr>
          <w:rFonts w:ascii="Arial" w:cs="Arial" w:eastAsia="Arial" w:hAnsi="Arial"/>
          <w:sz w:val="18"/>
          <w:szCs w:val="18"/>
          <w:color w:val="auto"/>
        </w:rPr>
        <w:t>";</w:t>
      </w:r>
    </w:p>
    <w:p>
      <w:pPr>
        <w:spacing w:after="0" w:line="170" w:lineRule="exact"/>
        <w:rPr>
          <w:sz w:val="20"/>
          <w:szCs w:val="20"/>
          <w:color w:val="auto"/>
        </w:rPr>
      </w:pPr>
    </w:p>
    <w:p>
      <w:pPr>
        <w:jc w:val="both"/>
        <w:ind w:left="4"/>
        <w:spacing w:after="0" w:line="301" w:lineRule="auto"/>
        <w:rPr>
          <w:sz w:val="20"/>
          <w:szCs w:val="20"/>
          <w:color w:val="auto"/>
        </w:rPr>
      </w:pPr>
      <w:r>
        <w:rPr>
          <w:rFonts w:ascii="Arial" w:cs="Arial" w:eastAsia="Arial" w:hAnsi="Arial"/>
          <w:sz w:val="16"/>
          <w:szCs w:val="16"/>
          <w:color w:val="auto"/>
        </w:rPr>
        <w:t xml:space="preserve">means the accounts listed in Part 1 of Schedule 1 (General </w:t>
      </w:r>
      <w:r>
        <w:rPr>
          <w:rFonts w:ascii="Arial" w:cs="Arial" w:eastAsia="Arial" w:hAnsi="Arial"/>
          <w:sz w:val="16"/>
          <w:szCs w:val="16"/>
          <w:i w:val="1"/>
          <w:iCs w:val="1"/>
          <w:color w:val="auto"/>
        </w:rPr>
        <w:t>Bank Accounts</w:t>
      </w:r>
      <w:r>
        <w:rPr>
          <w:rFonts w:ascii="Arial" w:cs="Arial" w:eastAsia="Arial" w:hAnsi="Arial"/>
          <w:sz w:val="16"/>
          <w:szCs w:val="16"/>
          <w:color w:val="auto"/>
        </w:rPr>
        <w:t xml:space="preserve">) held by the Company with the bank or banks specified in Part 1 of Schedule 1 (General </w:t>
      </w:r>
      <w:r>
        <w:rPr>
          <w:rFonts w:ascii="Arial" w:cs="Arial" w:eastAsia="Arial" w:hAnsi="Arial"/>
          <w:sz w:val="16"/>
          <w:szCs w:val="16"/>
          <w:i w:val="1"/>
          <w:iCs w:val="1"/>
          <w:color w:val="auto"/>
        </w:rPr>
        <w:t>Bank Accounts</w:t>
      </w:r>
      <w:r>
        <w:rPr>
          <w:rFonts w:ascii="Arial" w:cs="Arial" w:eastAsia="Arial" w:hAnsi="Arial"/>
          <w:sz w:val="16"/>
          <w:szCs w:val="16"/>
          <w:color w:val="auto"/>
        </w:rPr>
        <w:t>) and any other bank account maintained by the Company with any financial institution as the Collateral Agent may from time to time designate in writing as a General Bank Account, including in each case any</w:t>
      </w:r>
    </w:p>
    <w:p>
      <w:pPr>
        <w:sectPr>
          <w:pgSz w:w="11900" w:h="16838" w:orient="portrait"/>
          <w:cols w:equalWidth="0" w:num="2">
            <w:col w:w="2516" w:space="720"/>
            <w:col w:w="7344"/>
          </w:cols>
          <w:pgMar w:left="980" w:top="121" w:right="339" w:bottom="0" w:gutter="0" w:footer="0" w:header="0"/>
        </w:sectPr>
      </w:pPr>
    </w:p>
    <w:bookmarkStart w:id="583" w:name="page584"/>
    <w:bookmarkEnd w:id="583"/>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1"/>
              </w:rPr>
              <w:t>redesignation or renewal thereof and all balances now or hereafter standing to the credit of any such</w:t>
            </w:r>
          </w:p>
        </w:tc>
      </w:tr>
      <w:tr>
        <w:trPr>
          <w:trHeight w:val="212"/>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1"/>
              </w:rPr>
              <w:t>account including all interest from time to time thereon, the debt represented thereby and all rights in</w:t>
            </w:r>
          </w:p>
        </w:tc>
      </w:tr>
      <w:tr>
        <w:trPr>
          <w:trHeight w:val="220"/>
        </w:trPr>
        <w:tc>
          <w:tcPr>
            <w:tcW w:w="2780" w:type="dxa"/>
            <w:vAlign w:val="bottom"/>
          </w:tcPr>
          <w:p>
            <w:pPr>
              <w:spacing w:after="0"/>
              <w:rPr>
                <w:sz w:val="19"/>
                <w:szCs w:val="19"/>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9"/>
              </w:rPr>
              <w:t>relation thereto (but "</w:t>
            </w:r>
            <w:r>
              <w:rPr>
                <w:rFonts w:ascii="Arial" w:cs="Arial" w:eastAsia="Arial" w:hAnsi="Arial"/>
                <w:sz w:val="18"/>
                <w:szCs w:val="18"/>
                <w:b w:val="1"/>
                <w:bCs w:val="1"/>
                <w:color w:val="auto"/>
                <w:w w:val="99"/>
              </w:rPr>
              <w:t>General Bank Accounts</w:t>
            </w:r>
            <w:r>
              <w:rPr>
                <w:rFonts w:ascii="Arial" w:cs="Arial" w:eastAsia="Arial" w:hAnsi="Arial"/>
                <w:sz w:val="18"/>
                <w:szCs w:val="18"/>
                <w:color w:val="auto"/>
                <w:w w:val="99"/>
              </w:rPr>
              <w:t>" shall exclude, for the avoidance of doubt, the</w:t>
            </w:r>
          </w:p>
        </w:tc>
      </w:tr>
      <w:tr>
        <w:trPr>
          <w:trHeight w:val="230"/>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Excluded Assets);</w:t>
            </w:r>
          </w:p>
        </w:tc>
      </w:tr>
      <w:tr>
        <w:trPr>
          <w:trHeight w:val="418"/>
        </w:trPr>
        <w:tc>
          <w:tcPr>
            <w:tcW w:w="278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4"/>
              </w:rPr>
              <w:t>means an Affiliate Guaranty dated on or around the date of this Deed between, among others, the</w:t>
            </w:r>
          </w:p>
        </w:tc>
      </w:tr>
      <w:tr>
        <w:trPr>
          <w:trHeight w:val="230"/>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Parent and the Collateral Agent;</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means a holding company within the meaning of section 1159 of the Companies Act 2006;</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Act</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means the Insolvency Act 1986;</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in relation to any person, means:</w:t>
            </w:r>
          </w:p>
        </w:tc>
      </w:tr>
      <w:tr>
        <w:trPr>
          <w:trHeight w:val="418"/>
        </w:trPr>
        <w:tc>
          <w:tcPr>
            <w:tcW w:w="2780" w:type="dxa"/>
            <w:vAlign w:val="bottom"/>
          </w:tcPr>
          <w:p>
            <w:pPr>
              <w:spacing w:after="0"/>
              <w:rPr>
                <w:sz w:val="24"/>
                <w:szCs w:val="24"/>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(a)</w:t>
            </w:r>
          </w:p>
        </w:tc>
        <w:tc>
          <w:tcPr>
            <w:tcW w:w="6880" w:type="dxa"/>
            <w:vAlign w:val="bottom"/>
          </w:tcPr>
          <w:p>
            <w:pPr>
              <w:ind w:left="180"/>
              <w:spacing w:after="0"/>
              <w:rPr>
                <w:sz w:val="20"/>
                <w:szCs w:val="20"/>
                <w:color w:val="auto"/>
              </w:rPr>
            </w:pPr>
            <w:r>
              <w:rPr>
                <w:rFonts w:ascii="Arial" w:cs="Arial" w:eastAsia="Arial" w:hAnsi="Arial"/>
                <w:sz w:val="18"/>
                <w:szCs w:val="18"/>
                <w:color w:val="auto"/>
                <w:w w:val="92"/>
              </w:rPr>
              <w:t>such person is unable or admits inability to pay its debts as they fall due, suspends making</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7"/>
              </w:rPr>
              <w:t>payments on any of its debts or, by reason of actual or anticipated financial difficulties,</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1"/>
              </w:rPr>
              <w:t>commences negotiations with one or more of its creditors with a view to rescheduling any of</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1"/>
              </w:rPr>
              <w:t>its indebtedness (including any composition, assignment or arrangement with any creditor of</w:t>
            </w:r>
          </w:p>
        </w:tc>
      </w:tr>
      <w:tr>
        <w:trPr>
          <w:trHeight w:val="230"/>
        </w:trPr>
        <w:tc>
          <w:tcPr>
            <w:tcW w:w="2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such person);</w:t>
            </w:r>
          </w:p>
        </w:tc>
      </w:tr>
      <w:tr>
        <w:trPr>
          <w:trHeight w:val="418"/>
        </w:trPr>
        <w:tc>
          <w:tcPr>
            <w:tcW w:w="2780" w:type="dxa"/>
            <w:vAlign w:val="bottom"/>
          </w:tcPr>
          <w:p>
            <w:pPr>
              <w:spacing w:after="0"/>
              <w:rPr>
                <w:sz w:val="24"/>
                <w:szCs w:val="24"/>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(b)</w:t>
            </w:r>
          </w:p>
        </w:tc>
        <w:tc>
          <w:tcPr>
            <w:tcW w:w="6880" w:type="dxa"/>
            <w:vAlign w:val="bottom"/>
          </w:tcPr>
          <w:p>
            <w:pPr>
              <w:ind w:left="180"/>
              <w:spacing w:after="0"/>
              <w:rPr>
                <w:sz w:val="20"/>
                <w:szCs w:val="20"/>
                <w:color w:val="auto"/>
              </w:rPr>
            </w:pPr>
            <w:r>
              <w:rPr>
                <w:rFonts w:ascii="Arial" w:cs="Arial" w:eastAsia="Arial" w:hAnsi="Arial"/>
                <w:sz w:val="18"/>
                <w:szCs w:val="18"/>
                <w:color w:val="auto"/>
                <w:w w:val="95"/>
              </w:rPr>
              <w:t>any resolution is passed or order made for the winding up, dissolution, administration or</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4"/>
              </w:rPr>
              <w:t>reorganisation of that person, a moratorium is declared in relation to any indebtedness of</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0"/>
              </w:rPr>
              <w:t>that person or an administrator is appointed to that person (other than a solvent liquidation or</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6"/>
              </w:rPr>
              <w:t>reorganisation of such person on terms previously approved in writing by the Collateral</w:t>
            </w:r>
          </w:p>
        </w:tc>
      </w:tr>
      <w:tr>
        <w:trPr>
          <w:trHeight w:val="230"/>
        </w:trPr>
        <w:tc>
          <w:tcPr>
            <w:tcW w:w="2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Agent);</w:t>
            </w:r>
          </w:p>
        </w:tc>
      </w:tr>
      <w:tr>
        <w:trPr>
          <w:trHeight w:val="418"/>
        </w:trPr>
        <w:tc>
          <w:tcPr>
            <w:tcW w:w="2780" w:type="dxa"/>
            <w:vAlign w:val="bottom"/>
          </w:tcPr>
          <w:p>
            <w:pPr>
              <w:spacing w:after="0"/>
              <w:rPr>
                <w:sz w:val="24"/>
                <w:szCs w:val="24"/>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(c)</w:t>
            </w:r>
          </w:p>
        </w:tc>
        <w:tc>
          <w:tcPr>
            <w:tcW w:w="6880" w:type="dxa"/>
            <w:vAlign w:val="bottom"/>
          </w:tcPr>
          <w:p>
            <w:pPr>
              <w:ind w:left="180"/>
              <w:spacing w:after="0"/>
              <w:rPr>
                <w:sz w:val="20"/>
                <w:szCs w:val="20"/>
                <w:color w:val="auto"/>
              </w:rPr>
            </w:pPr>
            <w:r>
              <w:rPr>
                <w:rFonts w:ascii="Arial" w:cs="Arial" w:eastAsia="Arial" w:hAnsi="Arial"/>
                <w:sz w:val="18"/>
                <w:szCs w:val="18"/>
                <w:color w:val="auto"/>
                <w:w w:val="92"/>
              </w:rPr>
              <w:t>the appointment of any liquidator (other than a solvent liquidation or reorganisation of such</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5"/>
              </w:rPr>
              <w:t>person  on  terms  previously  approved  in  writing  by  the  Collateral  Agent),  receiver,</w:t>
            </w: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w w:val="99"/>
              </w:rPr>
              <w:t>administrator, administrative receiver, compulsory manager or other similar officer in</w:t>
            </w:r>
          </w:p>
        </w:tc>
      </w:tr>
      <w:tr>
        <w:trPr>
          <w:trHeight w:val="230"/>
        </w:trPr>
        <w:tc>
          <w:tcPr>
            <w:tcW w:w="2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respect of that person or any of its assets; or</w:t>
            </w:r>
          </w:p>
        </w:tc>
      </w:tr>
      <w:tr>
        <w:trPr>
          <w:trHeight w:val="432"/>
        </w:trPr>
        <w:tc>
          <w:tcPr>
            <w:tcW w:w="2780" w:type="dxa"/>
            <w:vAlign w:val="bottom"/>
          </w:tcPr>
          <w:p>
            <w:pPr>
              <w:spacing w:after="0"/>
              <w:rPr>
                <w:sz w:val="24"/>
                <w:szCs w:val="24"/>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(d)</w:t>
            </w:r>
          </w:p>
        </w:tc>
        <w:tc>
          <w:tcPr>
            <w:tcW w:w="6880" w:type="dxa"/>
            <w:vAlign w:val="bottom"/>
          </w:tcPr>
          <w:p>
            <w:pPr>
              <w:ind w:left="180"/>
              <w:spacing w:after="0"/>
              <w:rPr>
                <w:sz w:val="20"/>
                <w:szCs w:val="20"/>
                <w:color w:val="auto"/>
              </w:rPr>
            </w:pPr>
            <w:r>
              <w:rPr>
                <w:rFonts w:ascii="Arial" w:cs="Arial" w:eastAsia="Arial" w:hAnsi="Arial"/>
                <w:sz w:val="18"/>
                <w:szCs w:val="18"/>
                <w:color w:val="auto"/>
                <w:w w:val="98"/>
              </w:rPr>
              <w:t>in respect of any person, any analogous procedure or step is taken in any jurisdiction.</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Rules</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means the Insolvency Rules 2016;</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means contracts or policies of insurance or indemnity of any kind (including life insurance or</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0"/>
              </w:rPr>
              <w:t>assurance) now or hereafter taken out by or on behalf of the Company or (to the extent of its interest)</w:t>
            </w:r>
          </w:p>
        </w:tc>
      </w:tr>
      <w:tr>
        <w:trPr>
          <w:trHeight w:val="212"/>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0"/>
              </w:rPr>
              <w:t>in which the Company has any interest, and all rights in relation thereto, proceeds thereof, claims and</w:t>
            </w:r>
          </w:p>
        </w:tc>
      </w:tr>
      <w:tr>
        <w:trPr>
          <w:trHeight w:val="220"/>
        </w:trPr>
        <w:tc>
          <w:tcPr>
            <w:tcW w:w="2780" w:type="dxa"/>
            <w:vAlign w:val="bottom"/>
          </w:tcPr>
          <w:p>
            <w:pPr>
              <w:spacing w:after="0"/>
              <w:rPr>
                <w:sz w:val="19"/>
                <w:szCs w:val="19"/>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0"/>
              </w:rPr>
              <w:t>returns of premium in respect thereof (but "</w:t>
            </w:r>
            <w:r>
              <w:rPr>
                <w:rFonts w:ascii="Arial" w:cs="Arial" w:eastAsia="Arial" w:hAnsi="Arial"/>
                <w:sz w:val="18"/>
                <w:szCs w:val="18"/>
                <w:b w:val="1"/>
                <w:bCs w:val="1"/>
                <w:color w:val="auto"/>
                <w:w w:val="90"/>
              </w:rPr>
              <w:t>Insurances</w:t>
            </w:r>
            <w:r>
              <w:rPr>
                <w:rFonts w:ascii="Arial" w:cs="Arial" w:eastAsia="Arial" w:hAnsi="Arial"/>
                <w:sz w:val="18"/>
                <w:szCs w:val="18"/>
                <w:color w:val="auto"/>
                <w:w w:val="90"/>
              </w:rPr>
              <w:t>" shall exclude, for the avoidance of doubt, the</w:t>
            </w:r>
          </w:p>
        </w:tc>
      </w:tr>
      <w:tr>
        <w:trPr>
          <w:trHeight w:val="230"/>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Excluded Assets);</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3"/>
              </w:rPr>
              <w:t>means the intercreditor agreement, dated on or around the date of this Deed, among the Collateral</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5"/>
              </w:rPr>
              <w:t>Agent,  Wells  Fargo  Bank,  National  Association,  the  Parent,  Weatherford  International  Ltd.,</w:t>
            </w:r>
          </w:p>
        </w:tc>
      </w:tr>
      <w:tr>
        <w:trPr>
          <w:trHeight w:val="230"/>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Weatherford International LLC, and the other grantors of the Parent named therein;</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w:t>
            </w:r>
          </w:p>
        </w:tc>
        <w:tc>
          <w:tcPr>
            <w:tcW w:w="780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means patents, registered designs, copyrights, inventions, semi</w:t>
            </w:r>
            <w:r>
              <w:rPr>
                <w:rFonts w:ascii="MS PGothic" w:cs="MS PGothic" w:eastAsia="MS PGothic" w:hAnsi="MS PGothic"/>
                <w:sz w:val="18"/>
                <w:szCs w:val="18"/>
                <w:color w:val="auto"/>
                <w:w w:val="90"/>
              </w:rPr>
              <w:t>‑</w:t>
            </w:r>
            <w:r>
              <w:rPr>
                <w:rFonts w:ascii="Arial" w:cs="Arial" w:eastAsia="Arial" w:hAnsi="Arial"/>
                <w:sz w:val="18"/>
                <w:szCs w:val="18"/>
                <w:color w:val="auto"/>
                <w:w w:val="90"/>
              </w:rPr>
              <w:t>conductor topography rights, rights in</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3"/>
              </w:rPr>
              <w:t>designs, rights in trade marks and service marks, business names and trade names, get up, logos,</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3"/>
              </w:rPr>
              <w:t>domain names, moral rights, rights in confidential information, rights in know</w:t>
            </w:r>
            <w:r>
              <w:rPr>
                <w:rFonts w:ascii="MS PGothic" w:cs="MS PGothic" w:eastAsia="MS PGothic" w:hAnsi="MS PGothic"/>
                <w:sz w:val="18"/>
                <w:szCs w:val="18"/>
                <w:color w:val="auto"/>
                <w:w w:val="93"/>
              </w:rPr>
              <w:t>‑</w:t>
            </w:r>
            <w:r>
              <w:rPr>
                <w:rFonts w:ascii="Arial" w:cs="Arial" w:eastAsia="Arial" w:hAnsi="Arial"/>
                <w:sz w:val="18"/>
                <w:szCs w:val="18"/>
                <w:color w:val="auto"/>
                <w:w w:val="93"/>
              </w:rPr>
              <w:t>how, database rights,</w:t>
            </w:r>
          </w:p>
        </w:tc>
      </w:tr>
      <w:tr>
        <w:trPr>
          <w:trHeight w:val="216"/>
        </w:trPr>
        <w:tc>
          <w:tcPr>
            <w:tcW w:w="27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w w:val="99"/>
              </w:rPr>
              <w:t>rights</w:t>
            </w:r>
          </w:p>
        </w:tc>
        <w:tc>
          <w:tcPr>
            <w:tcW w:w="6880" w:type="dxa"/>
            <w:vAlign w:val="bottom"/>
          </w:tcPr>
          <w:p>
            <w:pPr>
              <w:ind w:left="60"/>
              <w:spacing w:after="0"/>
              <w:rPr>
                <w:sz w:val="20"/>
                <w:szCs w:val="20"/>
                <w:color w:val="auto"/>
              </w:rPr>
            </w:pPr>
            <w:r>
              <w:rPr>
                <w:rFonts w:ascii="Arial" w:cs="Arial" w:eastAsia="Arial" w:hAnsi="Arial"/>
                <w:sz w:val="18"/>
                <w:szCs w:val="18"/>
                <w:color w:val="auto"/>
                <w:w w:val="96"/>
              </w:rPr>
              <w:t>protecting  goodwill,  or  reputation  and  any  interests  (including  by  way  of  licence  or</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line="207" w:lineRule="exact"/>
              <w:rPr>
                <w:sz w:val="20"/>
                <w:szCs w:val="20"/>
                <w:color w:val="auto"/>
              </w:rPr>
            </w:pPr>
            <w:r>
              <w:rPr>
                <w:rFonts w:ascii="Arial" w:cs="Arial" w:eastAsia="Arial" w:hAnsi="Arial"/>
                <w:sz w:val="18"/>
                <w:szCs w:val="18"/>
                <w:color w:val="auto"/>
              </w:rPr>
              <w:t>sub</w:t>
            </w:r>
            <w:r>
              <w:rPr>
                <w:rFonts w:ascii="MS PGothic" w:cs="MS PGothic" w:eastAsia="MS PGothic" w:hAnsi="MS PGothic"/>
                <w:sz w:val="18"/>
                <w:szCs w:val="18"/>
                <w:color w:val="auto"/>
              </w:rPr>
              <w:t>‑</w:t>
            </w:r>
            <w:r>
              <w:rPr>
                <w:rFonts w:ascii="Arial" w:cs="Arial" w:eastAsia="Arial" w:hAnsi="Arial"/>
                <w:sz w:val="18"/>
                <w:szCs w:val="18"/>
                <w:color w:val="auto"/>
              </w:rPr>
              <w:t>licence) in any of the foregoing, and any other intellectual property rights and interests</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5"/>
              </w:rPr>
              <w:t>whatsoever now or hereafter owned by the Company or in which it has any interest, in each case</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1"/>
              </w:rPr>
              <w:t>whether registered or not and including all applications, rights to apply for and rights to use the same</w:t>
            </w:r>
          </w:p>
        </w:tc>
      </w:tr>
      <w:tr>
        <w:trPr>
          <w:trHeight w:val="212"/>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2"/>
              </w:rPr>
              <w:t>and all fees, royalties and other rights of every kind relating to or deriving from any of the same (but</w:t>
            </w:r>
          </w:p>
        </w:tc>
      </w:tr>
      <w:tr>
        <w:trPr>
          <w:trHeight w:val="234"/>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Intellectual Property Rights</w:t>
            </w:r>
            <w:r>
              <w:rPr>
                <w:rFonts w:ascii="Arial" w:cs="Arial" w:eastAsia="Arial" w:hAnsi="Arial"/>
                <w:sz w:val="18"/>
                <w:szCs w:val="18"/>
                <w:color w:val="auto"/>
                <w:w w:val="96"/>
              </w:rPr>
              <w:t>" shall exclude, for the avoidance of doubt, the Excluded Assets);</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2"/>
              </w:rPr>
              <w:t>means shares, stocks, bonds, notes, certificates of deposit, debenture stocks, loan stocks and other</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4"/>
              </w:rPr>
              <w:t>securities or investments of any kind and all rights relating to any of the foregoing (including rights</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6"/>
              </w:rPr>
              <w:t>relating to any of the same which are deposited with, registered in the name of or credited to an</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3"/>
              </w:rPr>
              <w:t>account with any clearing system or house, depositary, custodian, nominee, controller, investment</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0"/>
              </w:rPr>
              <w:t>manager or other similar person or their nominee, in each case whether or not on a fungible basis and</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2"/>
              </w:rPr>
              <w:t>including all rights against such person); warrants, options or other rights to subscribe for, purchase,</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3"/>
              </w:rPr>
              <w:t>call for delivery of, redeem, convert other securities or investments into or otherwise to acquire any</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8"/>
              </w:rPr>
              <w:t>of the foregoing; and units in a unit trust scheme (as defined in section 237(1) of the Financial</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7"/>
              </w:rPr>
              <w:t>Services and Markets Act 2000); together in each case with all rights in respect thereof and all</w:t>
            </w:r>
          </w:p>
        </w:tc>
      </w:tr>
      <w:tr>
        <w:trPr>
          <w:trHeight w:val="212"/>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5"/>
              </w:rPr>
              <w:t>dividends, interest, cash or other distributions, accretions or Investments in respect of or deriving</w:t>
            </w:r>
          </w:p>
        </w:tc>
      </w:tr>
      <w:tr>
        <w:trPr>
          <w:trHeight w:val="216"/>
        </w:trPr>
        <w:tc>
          <w:tcPr>
            <w:tcW w:w="2780" w:type="dxa"/>
            <w:vAlign w:val="bottom"/>
          </w:tcPr>
          <w:p>
            <w:pPr>
              <w:spacing w:after="0"/>
              <w:rPr>
                <w:sz w:val="18"/>
                <w:szCs w:val="18"/>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1"/>
              </w:rPr>
              <w:t>from any of the foregoing, and "</w:t>
            </w:r>
            <w:r>
              <w:rPr>
                <w:rFonts w:ascii="Arial" w:cs="Arial" w:eastAsia="Arial" w:hAnsi="Arial"/>
                <w:sz w:val="18"/>
                <w:szCs w:val="18"/>
                <w:b w:val="1"/>
                <w:bCs w:val="1"/>
                <w:color w:val="auto"/>
                <w:w w:val="91"/>
              </w:rPr>
              <w:t>Investments</w:t>
            </w:r>
            <w:r>
              <w:rPr>
                <w:rFonts w:ascii="Arial" w:cs="Arial" w:eastAsia="Arial" w:hAnsi="Arial"/>
                <w:sz w:val="18"/>
                <w:szCs w:val="18"/>
                <w:color w:val="auto"/>
                <w:w w:val="91"/>
              </w:rPr>
              <w:t>" means any of the foregoing including any part of them</w:t>
            </w:r>
          </w:p>
        </w:tc>
      </w:tr>
      <w:tr>
        <w:trPr>
          <w:trHeight w:val="234"/>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(but "</w:t>
            </w:r>
            <w:r>
              <w:rPr>
                <w:rFonts w:ascii="Arial" w:cs="Arial" w:eastAsia="Arial" w:hAnsi="Arial"/>
                <w:sz w:val="18"/>
                <w:szCs w:val="18"/>
                <w:b w:val="1"/>
                <w:bCs w:val="1"/>
                <w:color w:val="auto"/>
              </w:rPr>
              <w:t>Investments</w:t>
            </w:r>
            <w:r>
              <w:rPr>
                <w:rFonts w:ascii="Arial" w:cs="Arial" w:eastAsia="Arial" w:hAnsi="Arial"/>
                <w:sz w:val="18"/>
                <w:szCs w:val="18"/>
                <w:color w:val="auto"/>
              </w:rPr>
              <w:t>" shall exclude, for the avoidance of doubt, the Excluded Assets);</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 of Property Act</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means the Law of Property Act 1925;</w:t>
            </w:r>
          </w:p>
        </w:tc>
      </w:tr>
      <w:tr>
        <w:trPr>
          <w:trHeight w:val="414"/>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Legally Mortgaged Property</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3"/>
              </w:rPr>
              <w:t>means any Real Property which may in future be legally mortgaged or charged by the Company to</w:t>
            </w:r>
          </w:p>
        </w:tc>
      </w:tr>
      <w:tr>
        <w:trPr>
          <w:trHeight w:val="220"/>
        </w:trPr>
        <w:tc>
          <w:tcPr>
            <w:tcW w:w="2780" w:type="dxa"/>
            <w:vAlign w:val="bottom"/>
          </w:tcPr>
          <w:p>
            <w:pPr>
              <w:spacing w:after="0"/>
              <w:rPr>
                <w:sz w:val="19"/>
                <w:szCs w:val="19"/>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3"/>
              </w:rPr>
              <w:t>the Collateral Agent by or pursuant to this Deed, and "</w:t>
            </w:r>
            <w:r>
              <w:rPr>
                <w:rFonts w:ascii="Arial" w:cs="Arial" w:eastAsia="Arial" w:hAnsi="Arial"/>
                <w:sz w:val="18"/>
                <w:szCs w:val="18"/>
                <w:b w:val="1"/>
                <w:bCs w:val="1"/>
                <w:color w:val="auto"/>
                <w:w w:val="93"/>
              </w:rPr>
              <w:t>Legally Mortgaged Property</w:t>
            </w:r>
            <w:r>
              <w:rPr>
                <w:rFonts w:ascii="Arial" w:cs="Arial" w:eastAsia="Arial" w:hAnsi="Arial"/>
                <w:sz w:val="18"/>
                <w:szCs w:val="18"/>
                <w:color w:val="auto"/>
                <w:w w:val="93"/>
              </w:rPr>
              <w:t>" includes any</w:t>
            </w:r>
          </w:p>
        </w:tc>
      </w:tr>
      <w:tr>
        <w:trPr>
          <w:trHeight w:val="230"/>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part of any such Real Property;</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w:t>
            </w: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w w:val="91"/>
              </w:rPr>
              <w:t>means the letter of credit facility agreement, between, among others, the Parent, the Collateral Agent</w:t>
            </w:r>
          </w:p>
        </w:tc>
      </w:tr>
      <w:tr>
        <w:trPr>
          <w:trHeight w:val="230"/>
        </w:trPr>
        <w:tc>
          <w:tcPr>
            <w:tcW w:w="2780" w:type="dxa"/>
            <w:vAlign w:val="bottom"/>
          </w:tcPr>
          <w:p>
            <w:pPr>
              <w:spacing w:after="0"/>
              <w:rPr>
                <w:sz w:val="20"/>
                <w:szCs w:val="20"/>
                <w:color w:val="auto"/>
              </w:rPr>
            </w:pPr>
          </w:p>
        </w:tc>
        <w:tc>
          <w:tcPr>
            <w:tcW w:w="7800" w:type="dxa"/>
            <w:vAlign w:val="bottom"/>
            <w:gridSpan w:val="2"/>
          </w:tcPr>
          <w:p>
            <w:pPr>
              <w:ind w:left="460"/>
              <w:spacing w:after="0"/>
              <w:rPr>
                <w:sz w:val="20"/>
                <w:szCs w:val="20"/>
                <w:color w:val="auto"/>
              </w:rPr>
            </w:pPr>
            <w:r>
              <w:rPr>
                <w:rFonts w:ascii="Arial" w:cs="Arial" w:eastAsia="Arial" w:hAnsi="Arial"/>
                <w:sz w:val="18"/>
                <w:szCs w:val="18"/>
                <w:color w:val="auto"/>
              </w:rPr>
              <w:t>and the Lenders, dated on or around the date of this Deed;</w:t>
            </w:r>
          </w:p>
        </w:tc>
      </w:tr>
    </w:tbl>
    <w:p>
      <w:pPr>
        <w:sectPr>
          <w:pgSz w:w="11900" w:h="16838" w:orient="portrait"/>
          <w:cols w:equalWidth="0" w:num="1">
            <w:col w:w="10580"/>
          </w:cols>
          <w:pgMar w:left="980" w:top="125" w:right="339" w:bottom="0" w:gutter="0" w:footer="0" w:header="0"/>
        </w:sectPr>
      </w:pPr>
    </w:p>
    <w:bookmarkStart w:id="584" w:name="page585"/>
    <w:bookmarkEnd w:id="584"/>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any liability, damages, claim, cost, loss, penalty, expense, demand (or actions in respect thereof) including, legal, accounting or other charges, fees, costs, disbursements and expenses in connection therewith;</w:t>
      </w:r>
    </w:p>
    <w:p>
      <w:pPr>
        <w:spacing w:after="0" w:line="180" w:lineRule="exact"/>
        <w:rPr>
          <w:sz w:val="20"/>
          <w:szCs w:val="20"/>
          <w:color w:val="auto"/>
        </w:rPr>
      </w:pPr>
    </w:p>
    <w:p>
      <w:pPr>
        <w:sectPr>
          <w:pgSz w:w="11900" w:h="16838" w:orient="portrait"/>
          <w:cols w:equalWidth="0" w:num="2">
            <w:col w:w="2520" w:space="720"/>
            <w:col w:w="7340"/>
          </w:cols>
          <w:pgMar w:left="980" w:top="121" w:right="339" w:bottom="0" w:gutter="0" w:footer="0" w:header="0"/>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Real Property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Real Property located in the United States of America, Canada or the United Kingdom owned by the Company with a net book value in excess of US$10,000,000 and that is not an Excluded Asset;</w:t>
      </w:r>
    </w:p>
    <w:p>
      <w:pPr>
        <w:spacing w:after="0" w:line="180"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Investments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Investments from time to time subject or expressed to be subject to the Charges, and "</w:t>
      </w:r>
      <w:r>
        <w:rPr>
          <w:rFonts w:ascii="Arial" w:cs="Arial" w:eastAsia="Arial" w:hAnsi="Arial"/>
          <w:sz w:val="18"/>
          <w:szCs w:val="18"/>
          <w:b w:val="1"/>
          <w:bCs w:val="1"/>
          <w:color w:val="auto"/>
        </w:rPr>
        <w:t>Mortgaged Investments</w:t>
      </w:r>
      <w:r>
        <w:rPr>
          <w:rFonts w:ascii="Arial" w:cs="Arial" w:eastAsia="Arial" w:hAnsi="Arial"/>
          <w:sz w:val="18"/>
          <w:szCs w:val="18"/>
          <w:color w:val="auto"/>
        </w:rPr>
        <w:t>" includes any part of any of them;</w:t>
      </w:r>
    </w:p>
    <w:p>
      <w:pPr>
        <w:spacing w:after="0" w:line="166"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Weatherford International Public Limited Company, a public limited company incorporated in the Republic of Ireland, with registered number 540406 whose registered office address is 70 Sir John Rogerson's Quay, Dublin 2;</w:t>
      </w:r>
    </w:p>
    <w:p>
      <w:pPr>
        <w:spacing w:after="0" w:line="180"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in Full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means the Commitments have expired or been terminated and the principal of and interest on each Loan and all fees payable hereunder and all other amounts payable under the Loan Documents (other than contingent indemnification obligations as to which no claim has been received by the Company) shall have been paid in full in cash;</w:t>
      </w:r>
    </w:p>
    <w:p>
      <w:pPr>
        <w:spacing w:after="0" w:line="183"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Proceedings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any proceedings, suits or actions arising out of or in connection with any Disputes or otherwise arising out of or in connection with this Deed (including regarding its existence, validity or termination);</w:t>
      </w:r>
    </w:p>
    <w:p>
      <w:pPr>
        <w:spacing w:after="0" w:line="180"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means freehold property in England and Wales and any other land or buildings anywhere in the world, any estate or interest therein and any reference to "</w:t>
      </w:r>
      <w:r>
        <w:rPr>
          <w:rFonts w:ascii="Arial" w:cs="Arial" w:eastAsia="Arial" w:hAnsi="Arial"/>
          <w:sz w:val="18"/>
          <w:szCs w:val="18"/>
          <w:b w:val="1"/>
          <w:bCs w:val="1"/>
          <w:color w:val="auto"/>
        </w:rPr>
        <w:t>Real Property</w:t>
      </w:r>
      <w:r>
        <w:rPr>
          <w:rFonts w:ascii="Arial" w:cs="Arial" w:eastAsia="Arial" w:hAnsi="Arial"/>
          <w:sz w:val="18"/>
          <w:szCs w:val="18"/>
          <w:color w:val="auto"/>
        </w:rPr>
        <w:t>" includes a reference to all rights from time to time attached or appurtenant thereto and all buildings and Fixtures from time to time therein or thereon;</w:t>
      </w:r>
    </w:p>
    <w:p>
      <w:pPr>
        <w:spacing w:after="0" w:line="183"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color w:val="auto"/>
        </w:rPr>
        <w:t>includes a manager, a receiver and manager and an "</w:t>
      </w:r>
      <w:r>
        <w:rPr>
          <w:rFonts w:ascii="Arial" w:cs="Arial" w:eastAsia="Arial" w:hAnsi="Arial"/>
          <w:sz w:val="18"/>
          <w:szCs w:val="18"/>
          <w:b w:val="1"/>
          <w:bCs w:val="1"/>
          <w:color w:val="auto"/>
        </w:rPr>
        <w:t>administrative receiver</w:t>
      </w:r>
      <w:r>
        <w:rPr>
          <w:rFonts w:ascii="Arial" w:cs="Arial" w:eastAsia="Arial" w:hAnsi="Arial"/>
          <w:sz w:val="18"/>
          <w:szCs w:val="18"/>
          <w:color w:val="auto"/>
        </w:rPr>
        <w:t>" as defined by Section 251 of the Insolvency Act;</w:t>
      </w:r>
    </w:p>
    <w:p>
      <w:pPr>
        <w:spacing w:after="0" w:line="162"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a receiver appointed under this Deed or pursuant to any applicable law, and includes more than one such receiver and any substituted receiver but not an administrative receiver as defined in Section 251 of the Insolvency Act;</w:t>
      </w:r>
    </w:p>
    <w:p>
      <w:pPr>
        <w:spacing w:after="0" w:line="184" w:lineRule="exact"/>
        <w:rPr>
          <w:sz w:val="20"/>
          <w:szCs w:val="20"/>
          <w:color w:val="auto"/>
        </w:rPr>
      </w:pPr>
    </w:p>
    <w:p>
      <w:pPr>
        <w:sectPr>
          <w:pgSz w:w="11900" w:h="16838" w:orient="portrait"/>
          <w:cols w:equalWidth="0" w:num="2">
            <w:col w:w="2520" w:space="720"/>
            <w:col w:w="7340"/>
          </w:cols>
          <w:pgMar w:left="98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0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Rights</w:t>
            </w:r>
            <w:r>
              <w:rPr>
                <w:rFonts w:ascii="Arial" w:cs="Arial" w:eastAsia="Arial" w:hAnsi="Arial"/>
                <w:sz w:val="22"/>
                <w:szCs w:val="22"/>
                <w:color w:val="auto"/>
              </w:rPr>
              <w:t>"</w:t>
            </w:r>
          </w:p>
        </w:tc>
        <w:tc>
          <w:tcPr>
            <w:tcW w:w="1540" w:type="dxa"/>
            <w:vAlign w:val="bottom"/>
          </w:tcPr>
          <w:p>
            <w:pPr>
              <w:ind w:left="20"/>
              <w:spacing w:after="0"/>
              <w:rPr>
                <w:sz w:val="20"/>
                <w:szCs w:val="20"/>
                <w:color w:val="auto"/>
              </w:rPr>
            </w:pPr>
            <w:r>
              <w:rPr>
                <w:rFonts w:ascii="Arial" w:cs="Arial" w:eastAsia="Arial" w:hAnsi="Arial"/>
                <w:sz w:val="22"/>
                <w:szCs w:val="22"/>
                <w:color w:val="auto"/>
              </w:rPr>
              <w:t>means:</w:t>
            </w:r>
          </w:p>
        </w:tc>
        <w:tc>
          <w:tcPr>
            <w:tcW w:w="460" w:type="dxa"/>
            <w:vAlign w:val="bottom"/>
          </w:tcPr>
          <w:p>
            <w:pPr>
              <w:spacing w:after="0"/>
              <w:rPr>
                <w:sz w:val="23"/>
                <w:szCs w:val="23"/>
                <w:color w:val="auto"/>
              </w:rPr>
            </w:pPr>
          </w:p>
        </w:tc>
        <w:tc>
          <w:tcPr>
            <w:tcW w:w="6520" w:type="dxa"/>
            <w:vAlign w:val="bottom"/>
          </w:tcPr>
          <w:p>
            <w:pPr>
              <w:spacing w:after="0"/>
              <w:rPr>
                <w:sz w:val="23"/>
                <w:szCs w:val="23"/>
                <w:color w:val="auto"/>
              </w:rPr>
            </w:pPr>
          </w:p>
        </w:tc>
      </w:tr>
      <w:tr>
        <w:trPr>
          <w:trHeight w:val="216"/>
        </w:trPr>
        <w:tc>
          <w:tcPr>
            <w:tcW w:w="2060" w:type="dxa"/>
            <w:vAlign w:val="bottom"/>
          </w:tcPr>
          <w:p>
            <w:pPr>
              <w:spacing w:after="0"/>
              <w:rPr>
                <w:sz w:val="18"/>
                <w:szCs w:val="18"/>
                <w:color w:val="auto"/>
              </w:rPr>
            </w:pPr>
          </w:p>
        </w:tc>
        <w:tc>
          <w:tcPr>
            <w:tcW w:w="1540" w:type="dxa"/>
            <w:vAlign w:val="bottom"/>
          </w:tcPr>
          <w:p>
            <w:pPr>
              <w:ind w:left="1240"/>
              <w:spacing w:after="0"/>
              <w:rPr>
                <w:sz w:val="20"/>
                <w:szCs w:val="20"/>
                <w:color w:val="auto"/>
              </w:rPr>
            </w:pPr>
            <w:r>
              <w:rPr>
                <w:rFonts w:ascii="Arial" w:cs="Arial" w:eastAsia="Arial" w:hAnsi="Arial"/>
                <w:sz w:val="18"/>
                <w:szCs w:val="18"/>
                <w:color w:val="auto"/>
              </w:rPr>
              <w:t>(c)</w:t>
            </w: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w w:val="93"/>
              </w:rPr>
              <w:t>all dividends, distributions and other income paid or payable on a Investment, together with</w:t>
            </w:r>
          </w:p>
        </w:tc>
      </w:tr>
      <w:tr>
        <w:trPr>
          <w:trHeight w:val="216"/>
        </w:trPr>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w w:val="91"/>
              </w:rPr>
              <w:t>all shares or other property derived from any Investment and all other allotments, accretions,</w:t>
            </w:r>
          </w:p>
        </w:tc>
      </w:tr>
      <w:tr>
        <w:trPr>
          <w:trHeight w:val="216"/>
        </w:trPr>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w w:val="95"/>
              </w:rPr>
              <w:t>rights, benefits and advantages of all kinds accruing, offered or otherwise derived from or</w:t>
            </w:r>
          </w:p>
        </w:tc>
      </w:tr>
      <w:tr>
        <w:trPr>
          <w:trHeight w:val="216"/>
        </w:trPr>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w w:val="92"/>
              </w:rPr>
              <w:t>incidental to that Investment (whether by way of conversion, redemption, bonus, preference,</w:t>
            </w:r>
          </w:p>
        </w:tc>
      </w:tr>
      <w:tr>
        <w:trPr>
          <w:trHeight w:val="230"/>
        </w:trPr>
        <w:tc>
          <w:tcPr>
            <w:tcW w:w="2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option or otherwise);</w:t>
            </w:r>
          </w:p>
        </w:tc>
      </w:tr>
      <w:tr>
        <w:trPr>
          <w:trHeight w:val="432"/>
        </w:trPr>
        <w:tc>
          <w:tcPr>
            <w:tcW w:w="2060" w:type="dxa"/>
            <w:vAlign w:val="bottom"/>
          </w:tcPr>
          <w:p>
            <w:pPr>
              <w:spacing w:after="0"/>
              <w:rPr>
                <w:sz w:val="24"/>
                <w:szCs w:val="24"/>
                <w:color w:val="auto"/>
              </w:rPr>
            </w:pPr>
          </w:p>
        </w:tc>
        <w:tc>
          <w:tcPr>
            <w:tcW w:w="1540" w:type="dxa"/>
            <w:vAlign w:val="bottom"/>
          </w:tcPr>
          <w:p>
            <w:pPr>
              <w:ind w:left="1240"/>
              <w:spacing w:after="0"/>
              <w:rPr>
                <w:sz w:val="20"/>
                <w:szCs w:val="20"/>
                <w:color w:val="auto"/>
              </w:rPr>
            </w:pPr>
            <w:r>
              <w:rPr>
                <w:rFonts w:ascii="Arial" w:cs="Arial" w:eastAsia="Arial" w:hAnsi="Arial"/>
                <w:sz w:val="18"/>
                <w:szCs w:val="18"/>
                <w:color w:val="auto"/>
              </w:rPr>
              <w:t>(d)</w:t>
            </w: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in relation to any other Charged Assets:</w:t>
            </w:r>
          </w:p>
        </w:tc>
      </w:tr>
      <w:tr>
        <w:trPr>
          <w:trHeight w:val="432"/>
        </w:trPr>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w:t>
            </w:r>
          </w:p>
        </w:tc>
        <w:tc>
          <w:tcPr>
            <w:tcW w:w="6520" w:type="dxa"/>
            <w:vAlign w:val="bottom"/>
          </w:tcPr>
          <w:p>
            <w:pPr>
              <w:ind w:left="140"/>
              <w:spacing w:after="0"/>
              <w:rPr>
                <w:sz w:val="20"/>
                <w:szCs w:val="20"/>
                <w:color w:val="auto"/>
              </w:rPr>
            </w:pPr>
            <w:r>
              <w:rPr>
                <w:rFonts w:ascii="Arial" w:cs="Arial" w:eastAsia="Arial" w:hAnsi="Arial"/>
                <w:sz w:val="18"/>
                <w:szCs w:val="18"/>
                <w:color w:val="auto"/>
              </w:rPr>
              <w:t>the proceeds of sale, transfer or other disposition of any part of that asset;</w:t>
            </w:r>
          </w:p>
        </w:tc>
      </w:tr>
      <w:tr>
        <w:trPr>
          <w:trHeight w:val="418"/>
        </w:trPr>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(ii)</w:t>
            </w:r>
          </w:p>
        </w:tc>
        <w:tc>
          <w:tcPr>
            <w:tcW w:w="6520" w:type="dxa"/>
            <w:vAlign w:val="bottom"/>
          </w:tcPr>
          <w:p>
            <w:pPr>
              <w:ind w:left="140"/>
              <w:spacing w:after="0"/>
              <w:rPr>
                <w:sz w:val="20"/>
                <w:szCs w:val="20"/>
                <w:color w:val="auto"/>
              </w:rPr>
            </w:pPr>
            <w:r>
              <w:rPr>
                <w:rFonts w:ascii="Arial" w:cs="Arial" w:eastAsia="Arial" w:hAnsi="Arial"/>
                <w:sz w:val="18"/>
                <w:szCs w:val="18"/>
                <w:color w:val="auto"/>
                <w:w w:val="91"/>
              </w:rPr>
              <w:t>all rights under any licence, agreement for sale or agreement for lease in respect of that</w:t>
            </w:r>
          </w:p>
        </w:tc>
      </w:tr>
      <w:tr>
        <w:trPr>
          <w:trHeight w:val="230"/>
        </w:trPr>
        <w:tc>
          <w:tcPr>
            <w:tcW w:w="2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asset;</w:t>
            </w:r>
          </w:p>
        </w:tc>
      </w:tr>
      <w:tr>
        <w:trPr>
          <w:trHeight w:val="418"/>
        </w:trPr>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980" w:type="dxa"/>
            <w:vAlign w:val="bottom"/>
            <w:gridSpan w:val="2"/>
          </w:tcPr>
          <w:p>
            <w:pPr>
              <w:ind w:left="100"/>
              <w:spacing w:after="0"/>
              <w:rPr>
                <w:sz w:val="20"/>
                <w:szCs w:val="20"/>
                <w:color w:val="auto"/>
              </w:rPr>
            </w:pPr>
            <w:r>
              <w:rPr>
                <w:rFonts w:ascii="Arial" w:cs="Arial" w:eastAsia="Arial" w:hAnsi="Arial"/>
                <w:sz w:val="18"/>
                <w:szCs w:val="18"/>
                <w:color w:val="auto"/>
                <w:w w:val="95"/>
              </w:rPr>
              <w:t>(iii)   all rights, process, benefits, claims, causes of action, contracts, warranties, remedies,</w:t>
            </w:r>
          </w:p>
        </w:tc>
      </w:tr>
      <w:tr>
        <w:trPr>
          <w:trHeight w:val="216"/>
        </w:trPr>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w w:val="92"/>
              </w:rPr>
              <w:t>security, guarantee, indemnities or covenants for title in respect of or derived from that</w:t>
            </w:r>
          </w:p>
        </w:tc>
      </w:tr>
      <w:tr>
        <w:trPr>
          <w:trHeight w:val="230"/>
        </w:trPr>
        <w:tc>
          <w:tcPr>
            <w:tcW w:w="2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asset; and/or</w:t>
            </w:r>
          </w:p>
        </w:tc>
      </w:tr>
      <w:tr>
        <w:trPr>
          <w:trHeight w:val="432"/>
        </w:trPr>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980" w:type="dxa"/>
            <w:vAlign w:val="bottom"/>
            <w:gridSpan w:val="2"/>
          </w:tcPr>
          <w:p>
            <w:pPr>
              <w:ind w:left="100"/>
              <w:spacing w:after="0"/>
              <w:rPr>
                <w:sz w:val="20"/>
                <w:szCs w:val="20"/>
                <w:color w:val="auto"/>
              </w:rPr>
            </w:pPr>
            <w:r>
              <w:rPr>
                <w:rFonts w:ascii="Arial" w:cs="Arial" w:eastAsia="Arial" w:hAnsi="Arial"/>
                <w:sz w:val="18"/>
                <w:szCs w:val="18"/>
                <w:color w:val="auto"/>
              </w:rPr>
              <w:t>(iv)   any income, moneys and proceeds paid or payable in respect of that asset;</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Relevant Charged Assets</w:t>
            </w:r>
            <w:r>
              <w:rPr>
                <w:rFonts w:ascii="Arial" w:cs="Arial" w:eastAsia="Arial" w:hAnsi="Arial"/>
                <w:sz w:val="18"/>
                <w:szCs w:val="18"/>
                <w:color w:val="auto"/>
                <w:w w:val="88"/>
              </w:rPr>
              <w:t>"</w:t>
            </w: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2"/>
              </w:rPr>
              <w:t>means such part or parts of the Charged Assets in respect of which a Receiver has been appointed;</w:t>
            </w: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w:t>
            </w: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0"/>
              </w:rPr>
              <w:t>means, as to any Person, any law, treaty, rule or regulation or determination of an arbitrator or a court</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0"/>
              </w:rPr>
              <w:t>or other Governmental Authority, in each case applicable to or binding upon such Person or any of its</w:t>
            </w:r>
          </w:p>
        </w:tc>
      </w:tr>
      <w:tr>
        <w:trPr>
          <w:trHeight w:val="230"/>
        </w:trPr>
        <w:tc>
          <w:tcPr>
            <w:tcW w:w="2060" w:type="dxa"/>
            <w:vAlign w:val="bottom"/>
          </w:tcPr>
          <w:p>
            <w:pPr>
              <w:spacing w:after="0"/>
              <w:rPr>
                <w:sz w:val="20"/>
                <w:szCs w:val="20"/>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rPr>
              <w:t>property or to which such Person or any of its property is subject;</w:t>
            </w: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w:t>
            </w: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1"/>
              </w:rPr>
              <w:t>has the meaning given to it in the Loan Agreement but, for the avoidance of doubt, shall also include</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2"/>
              </w:rPr>
              <w:t>all legal and other costs, charges and expenses and any other Loss which the Collateral Agent, any</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1"/>
              </w:rPr>
              <w:t>other Secured Party, any Receiver or any Delegate may incur in enforcing or obtaining, or attempting</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3"/>
              </w:rPr>
              <w:t>to enforce or obtain, payment of any such moneys and liabilities to the extent such costs, charges,</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1"/>
              </w:rPr>
              <w:t>expenses and other Losses are of the type reimbursable by the Borrowers pursuant to Section 11.03</w:t>
            </w:r>
          </w:p>
        </w:tc>
      </w:tr>
      <w:tr>
        <w:trPr>
          <w:trHeight w:val="230"/>
        </w:trPr>
        <w:tc>
          <w:tcPr>
            <w:tcW w:w="2060" w:type="dxa"/>
            <w:vAlign w:val="bottom"/>
          </w:tcPr>
          <w:p>
            <w:pPr>
              <w:spacing w:after="0"/>
              <w:rPr>
                <w:sz w:val="20"/>
                <w:szCs w:val="20"/>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w:t>
            </w: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rPr>
              <w:t>has the meaning given to it in the Loan Agreement;</w:t>
            </w: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w:t>
            </w:r>
          </w:p>
        </w:tc>
        <w:tc>
          <w:tcPr>
            <w:tcW w:w="8520" w:type="dxa"/>
            <w:vAlign w:val="bottom"/>
            <w:gridSpan w:val="3"/>
          </w:tcPr>
          <w:p>
            <w:pPr>
              <w:ind w:left="1180"/>
              <w:spacing w:after="0" w:line="207" w:lineRule="exact"/>
              <w:rPr>
                <w:sz w:val="20"/>
                <w:szCs w:val="20"/>
                <w:color w:val="auto"/>
              </w:rPr>
            </w:pPr>
            <w:r>
              <w:rPr>
                <w:rFonts w:ascii="Arial" w:cs="Arial" w:eastAsia="Arial" w:hAnsi="Arial"/>
                <w:sz w:val="18"/>
                <w:szCs w:val="18"/>
                <w:color w:val="auto"/>
                <w:w w:val="95"/>
              </w:rPr>
              <w:t>means any mortgage or sub</w:t>
            </w:r>
            <w:r>
              <w:rPr>
                <w:rFonts w:ascii="MS PGothic" w:cs="MS PGothic" w:eastAsia="MS PGothic" w:hAnsi="MS PGothic"/>
                <w:sz w:val="18"/>
                <w:szCs w:val="18"/>
                <w:color w:val="auto"/>
                <w:w w:val="95"/>
              </w:rPr>
              <w:t>‑</w:t>
            </w:r>
            <w:r>
              <w:rPr>
                <w:rFonts w:ascii="Arial" w:cs="Arial" w:eastAsia="Arial" w:hAnsi="Arial"/>
                <w:sz w:val="18"/>
                <w:szCs w:val="18"/>
                <w:color w:val="auto"/>
                <w:w w:val="95"/>
              </w:rPr>
              <w:t>mortgage, standard security, fixed or floating charge or sub</w:t>
            </w:r>
            <w:r>
              <w:rPr>
                <w:rFonts w:ascii="MS PGothic" w:cs="MS PGothic" w:eastAsia="MS PGothic" w:hAnsi="MS PGothic"/>
                <w:sz w:val="18"/>
                <w:szCs w:val="18"/>
                <w:color w:val="auto"/>
                <w:w w:val="95"/>
              </w:rPr>
              <w:t>‑</w:t>
            </w:r>
            <w:r>
              <w:rPr>
                <w:rFonts w:ascii="Arial" w:cs="Arial" w:eastAsia="Arial" w:hAnsi="Arial"/>
                <w:sz w:val="18"/>
                <w:szCs w:val="18"/>
                <w:color w:val="auto"/>
                <w:w w:val="95"/>
              </w:rPr>
              <w:t>charge,</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5"/>
              </w:rPr>
              <w:t>pledge, lien, assignment or assignation by way of security or subject to a proviso for redemption,</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6"/>
              </w:rPr>
              <w:t>encumbrance, hypothecation, retention of title, or other security interest whatsoever howsoever</w:t>
            </w:r>
          </w:p>
        </w:tc>
      </w:tr>
      <w:tr>
        <w:trPr>
          <w:trHeight w:val="216"/>
        </w:trPr>
        <w:tc>
          <w:tcPr>
            <w:tcW w:w="2060" w:type="dxa"/>
            <w:vAlign w:val="bottom"/>
          </w:tcPr>
          <w:p>
            <w:pPr>
              <w:spacing w:after="0"/>
              <w:rPr>
                <w:sz w:val="18"/>
                <w:szCs w:val="18"/>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4"/>
              </w:rPr>
              <w:t>created or arising and its equivalent or analogue whatever called in any other jurisdiction, and any</w:t>
            </w:r>
          </w:p>
        </w:tc>
      </w:tr>
      <w:tr>
        <w:trPr>
          <w:trHeight w:val="230"/>
        </w:trPr>
        <w:tc>
          <w:tcPr>
            <w:tcW w:w="2060" w:type="dxa"/>
            <w:vAlign w:val="bottom"/>
          </w:tcPr>
          <w:p>
            <w:pPr>
              <w:spacing w:after="0"/>
              <w:rPr>
                <w:sz w:val="20"/>
                <w:szCs w:val="20"/>
                <w:color w:val="auto"/>
              </w:rPr>
            </w:pPr>
          </w:p>
        </w:tc>
        <w:tc>
          <w:tcPr>
            <w:tcW w:w="8520" w:type="dxa"/>
            <w:vAlign w:val="bottom"/>
            <w:gridSpan w:val="3"/>
          </w:tcPr>
          <w:p>
            <w:pPr>
              <w:ind w:left="1180"/>
              <w:spacing w:after="0"/>
              <w:rPr>
                <w:sz w:val="20"/>
                <w:szCs w:val="20"/>
                <w:color w:val="auto"/>
              </w:rPr>
            </w:pPr>
            <w:r>
              <w:rPr>
                <w:rFonts w:ascii="Arial" w:cs="Arial" w:eastAsia="Arial" w:hAnsi="Arial"/>
                <w:sz w:val="18"/>
                <w:szCs w:val="18"/>
                <w:color w:val="auto"/>
                <w:w w:val="93"/>
              </w:rPr>
              <w:t>agreement or arrangement having substantially the same economic or financial effect as any of the</w:t>
            </w:r>
          </w:p>
        </w:tc>
      </w:tr>
    </w:tbl>
    <w:p>
      <w:pPr>
        <w:sectPr>
          <w:pgSz w:w="11900" w:h="16838" w:orient="portrait"/>
          <w:cols w:equalWidth="0" w:num="1">
            <w:col w:w="10580"/>
          </w:cols>
          <w:pgMar w:left="980" w:top="121" w:right="339" w:bottom="0" w:gutter="0" w:footer="0" w:header="0"/>
          <w:type w:val="continuous"/>
        </w:sectPr>
      </w:pPr>
    </w:p>
    <w:bookmarkStart w:id="585" w:name="page586"/>
    <w:bookmarkEnd w:id="5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Deed, unless otherwise specified:</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Arial" w:cs="Arial" w:eastAsia="Arial" w:hAnsi="Arial"/>
          <w:sz w:val="18"/>
          <w:szCs w:val="18"/>
          <w:color w:val="auto"/>
        </w:rPr>
        <w:t>foregoing (including any "</w:t>
      </w:r>
      <w:r>
        <w:rPr>
          <w:rFonts w:ascii="Arial" w:cs="Arial" w:eastAsia="Arial" w:hAnsi="Arial"/>
          <w:sz w:val="18"/>
          <w:szCs w:val="18"/>
          <w:b w:val="1"/>
          <w:bCs w:val="1"/>
          <w:color w:val="auto"/>
        </w:rPr>
        <w:t>hold back</w:t>
      </w:r>
      <w:r>
        <w:rPr>
          <w:rFonts w:ascii="Arial" w:cs="Arial" w:eastAsia="Arial" w:hAnsi="Arial"/>
          <w:sz w:val="18"/>
          <w:szCs w:val="18"/>
          <w:color w:val="auto"/>
        </w:rPr>
        <w:t>" or "</w:t>
      </w:r>
      <w:r>
        <w:rPr>
          <w:rFonts w:ascii="Arial" w:cs="Arial" w:eastAsia="Arial" w:hAnsi="Arial"/>
          <w:sz w:val="18"/>
          <w:szCs w:val="18"/>
          <w:b w:val="1"/>
          <w:bCs w:val="1"/>
          <w:color w:val="auto"/>
        </w:rPr>
        <w:t>flawed asset</w:t>
      </w:r>
      <w:r>
        <w:rPr>
          <w:rFonts w:ascii="Arial" w:cs="Arial" w:eastAsia="Arial" w:hAnsi="Arial"/>
          <w:sz w:val="18"/>
          <w:szCs w:val="18"/>
          <w:color w:val="auto"/>
        </w:rPr>
        <w:t>" arrangement) and any secured interest, agreement or arrangement analogous to any of the foregoing arising under the laws of any other jurisdiction;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has the meaning given to it in the Loan Agreement and "</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Taxation</w:t>
      </w:r>
      <w:r>
        <w:rPr>
          <w:rFonts w:ascii="Arial" w:cs="Arial" w:eastAsia="Arial" w:hAnsi="Arial"/>
          <w:sz w:val="18"/>
          <w:szCs w:val="18"/>
          <w:color w:val="auto"/>
        </w:rPr>
        <w:t>" shall be construed accordingly;</w:t>
      </w:r>
    </w:p>
    <w:p>
      <w:pPr>
        <w:spacing w:after="0" w:line="572" w:lineRule="exact"/>
        <w:rPr>
          <w:sz w:val="20"/>
          <w:szCs w:val="20"/>
          <w:color w:val="auto"/>
        </w:rPr>
      </w:pPr>
    </w:p>
    <w:p>
      <w:pPr>
        <w:sectPr>
          <w:pgSz w:w="11900" w:h="16838" w:orient="portrait"/>
          <w:cols w:equalWidth="0" w:num="2">
            <w:col w:w="3560" w:space="340"/>
            <w:col w:w="7340"/>
          </w:cols>
          <w:pgMar w:left="320" w:top="121" w:right="339" w:bottom="0" w:gutter="0" w:footer="0" w:header="0"/>
        </w:sectPr>
      </w:pPr>
    </w:p>
    <w:p>
      <w:pPr>
        <w:spacing w:after="0" w:line="21" w:lineRule="exact"/>
        <w:rPr>
          <w:sz w:val="20"/>
          <w:szCs w:val="20"/>
          <w:color w:val="auto"/>
        </w:rPr>
      </w:pPr>
    </w:p>
    <w:p>
      <w:pPr>
        <w:jc w:val="both"/>
        <w:ind w:left="1300" w:hanging="644"/>
        <w:spacing w:after="0" w:line="258" w:lineRule="auto"/>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references to the neuter or to any gender include both genders and the neuter, references to a "</w:t>
      </w:r>
      <w:r>
        <w:rPr>
          <w:rFonts w:ascii="Arial" w:cs="Arial" w:eastAsia="Arial" w:hAnsi="Arial"/>
          <w:sz w:val="18"/>
          <w:szCs w:val="18"/>
          <w:b w:val="1"/>
          <w:bCs w:val="1"/>
          <w:color w:val="auto"/>
        </w:rPr>
        <w:t>company</w:t>
      </w:r>
      <w:r>
        <w:rPr>
          <w:rFonts w:ascii="Arial" w:cs="Arial" w:eastAsia="Arial" w:hAnsi="Arial"/>
          <w:sz w:val="18"/>
          <w:szCs w:val="18"/>
          <w:color w:val="auto"/>
        </w:rPr>
        <w:t>" shall be construed so as to include any company, corporation or other body corporate, wherever and however incorporated or established, and references to a "</w:t>
      </w:r>
      <w:r>
        <w:rPr>
          <w:rFonts w:ascii="Arial" w:cs="Arial" w:eastAsia="Arial" w:hAnsi="Arial"/>
          <w:sz w:val="18"/>
          <w:szCs w:val="18"/>
          <w:b w:val="1"/>
          <w:bCs w:val="1"/>
          <w:color w:val="auto"/>
        </w:rPr>
        <w:t>person</w:t>
      </w:r>
      <w:r>
        <w:rPr>
          <w:rFonts w:ascii="Arial" w:cs="Arial" w:eastAsia="Arial" w:hAnsi="Arial"/>
          <w:sz w:val="18"/>
          <w:szCs w:val="18"/>
          <w:color w:val="auto"/>
        </w:rPr>
        <w:t>" include any individual, firm, partnership, body corporate, unincorporated association, government, state or agency of a state, local or municipal authority or government body, trust, foundation, joint venture or association (in each case whether or not having separate legal personality);</w:t>
      </w:r>
    </w:p>
    <w:p>
      <w:pPr>
        <w:spacing w:after="0" w:line="187" w:lineRule="exact"/>
        <w:rPr>
          <w:rFonts w:ascii="Arial" w:cs="Arial" w:eastAsia="Arial" w:hAnsi="Arial"/>
          <w:sz w:val="18"/>
          <w:szCs w:val="18"/>
          <w:color w:val="auto"/>
        </w:rPr>
      </w:pPr>
    </w:p>
    <w:p>
      <w:pPr>
        <w:jc w:val="both"/>
        <w:ind w:left="1300" w:hanging="644"/>
        <w:spacing w:after="0" w:line="220" w:lineRule="exact"/>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references to parties, Clauses, sub</w:t>
      </w:r>
      <w:r>
        <w:rPr>
          <w:rFonts w:ascii="MS PGothic" w:cs="MS PGothic" w:eastAsia="MS PGothic" w:hAnsi="MS PGothic"/>
          <w:sz w:val="18"/>
          <w:szCs w:val="18"/>
          <w:color w:val="auto"/>
        </w:rPr>
        <w:t>‑</w:t>
      </w:r>
      <w:r>
        <w:rPr>
          <w:rFonts w:ascii="Arial" w:cs="Arial" w:eastAsia="Arial" w:hAnsi="Arial"/>
          <w:sz w:val="18"/>
          <w:szCs w:val="18"/>
          <w:color w:val="auto"/>
        </w:rPr>
        <w:t>Clauses, paragraphs, sub</w:t>
      </w:r>
      <w:r>
        <w:rPr>
          <w:rFonts w:ascii="MS PGothic" w:cs="MS PGothic" w:eastAsia="MS PGothic" w:hAnsi="MS PGothic"/>
          <w:sz w:val="18"/>
          <w:szCs w:val="18"/>
          <w:color w:val="auto"/>
        </w:rPr>
        <w:t>‑</w:t>
      </w:r>
      <w:r>
        <w:rPr>
          <w:rFonts w:ascii="Arial" w:cs="Arial" w:eastAsia="Arial" w:hAnsi="Arial"/>
          <w:sz w:val="18"/>
          <w:szCs w:val="18"/>
          <w:color w:val="auto"/>
        </w:rPr>
        <w:t>paragraphs and Schedules, Exhibits and Annexures are to Clauses, sub</w:t>
      </w:r>
      <w:r>
        <w:rPr>
          <w:rFonts w:ascii="MS PGothic" w:cs="MS PGothic" w:eastAsia="MS PGothic" w:hAnsi="MS PGothic"/>
          <w:sz w:val="18"/>
          <w:szCs w:val="18"/>
          <w:color w:val="auto"/>
        </w:rPr>
        <w:t>‑</w:t>
      </w:r>
      <w:r>
        <w:rPr>
          <w:rFonts w:ascii="Arial" w:cs="Arial" w:eastAsia="Arial" w:hAnsi="Arial"/>
          <w:sz w:val="18"/>
          <w:szCs w:val="18"/>
          <w:color w:val="auto"/>
        </w:rPr>
        <w:t>Clauses and paragraphs and sub</w:t>
      </w:r>
      <w:r>
        <w:rPr>
          <w:rFonts w:ascii="MS PGothic" w:cs="MS PGothic" w:eastAsia="MS PGothic" w:hAnsi="MS PGothic"/>
          <w:sz w:val="18"/>
          <w:szCs w:val="18"/>
          <w:color w:val="auto"/>
        </w:rPr>
        <w:t>‑</w:t>
      </w:r>
      <w:r>
        <w:rPr>
          <w:rFonts w:ascii="Arial" w:cs="Arial" w:eastAsia="Arial" w:hAnsi="Arial"/>
          <w:sz w:val="18"/>
          <w:szCs w:val="18"/>
          <w:color w:val="auto"/>
        </w:rPr>
        <w:t>paragraphs of, and the parties and Schedules to, this Deed, and references to this Deed include a reference to each of its Schedules, Exhibits and Annexures;</w:t>
      </w:r>
    </w:p>
    <w:p>
      <w:pPr>
        <w:spacing w:after="0" w:line="204"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 reference to this Deed, an agreement or other document is a reference to this Deed, that agreement or document as supplemented, amended, novated or replaced from time to time in accordance with its terms, and to any agreement, deed or document executed pursuant thereto;</w:t>
      </w:r>
    </w:p>
    <w:p>
      <w:pPr>
        <w:spacing w:after="0" w:line="179"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include</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 general words introduced by the word "</w:t>
      </w:r>
      <w:r>
        <w:rPr>
          <w:rFonts w:ascii="Arial" w:cs="Arial" w:eastAsia="Arial" w:hAnsi="Arial"/>
          <w:sz w:val="18"/>
          <w:szCs w:val="18"/>
          <w:b w:val="1"/>
          <w:bCs w:val="1"/>
          <w:color w:val="auto"/>
        </w:rPr>
        <w:t>other</w:t>
      </w:r>
      <w:r>
        <w:rPr>
          <w:rFonts w:ascii="Arial" w:cs="Arial" w:eastAsia="Arial" w:hAnsi="Arial"/>
          <w:sz w:val="18"/>
          <w:szCs w:val="18"/>
          <w:color w:val="auto"/>
        </w:rPr>
        <w:t>" are not to be given a restrictive meaning by reason of the fact that they are preceded by words indicating a particular class of acts, matters or things, and general words are not to be given a restrictive meaning by reason of the fact that they are followed by particular examples intended to be embraced by the general words;</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a reference to a "</w:t>
      </w:r>
      <w:r>
        <w:rPr>
          <w:rFonts w:ascii="Arial" w:cs="Arial" w:eastAsia="Arial" w:hAnsi="Arial"/>
          <w:sz w:val="17"/>
          <w:szCs w:val="17"/>
          <w:b w:val="1"/>
          <w:bCs w:val="1"/>
          <w:color w:val="auto"/>
        </w:rPr>
        <w:t>day</w:t>
      </w:r>
      <w:r>
        <w:rPr>
          <w:rFonts w:ascii="Arial" w:cs="Arial" w:eastAsia="Arial" w:hAnsi="Arial"/>
          <w:sz w:val="17"/>
          <w:szCs w:val="17"/>
          <w:color w:val="auto"/>
        </w:rPr>
        <w:t>" means a period of 24 hours running for midnight to midnight; a reference to a time of day is to London time;</w:t>
      </w:r>
    </w:p>
    <w:p>
      <w:pPr>
        <w:spacing w:after="0" w:line="240" w:lineRule="exact"/>
        <w:rPr>
          <w:rFonts w:ascii="Arial" w:cs="Arial" w:eastAsia="Arial" w:hAnsi="Arial"/>
          <w:sz w:val="17"/>
          <w:szCs w:val="17"/>
          <w:color w:val="auto"/>
        </w:rPr>
      </w:pPr>
    </w:p>
    <w:p>
      <w:pPr>
        <w:ind w:left="1300" w:hanging="644"/>
        <w:spacing w:after="0"/>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headings are for convenience only and shall not affect the interpretation of this Deed;</w:t>
      </w:r>
    </w:p>
    <w:p>
      <w:pPr>
        <w:spacing w:after="0" w:line="225" w:lineRule="exact"/>
        <w:rPr>
          <w:rFonts w:ascii="Arial" w:cs="Arial" w:eastAsia="Arial" w:hAnsi="Arial"/>
          <w:sz w:val="18"/>
          <w:szCs w:val="18"/>
          <w:color w:val="auto"/>
        </w:rPr>
      </w:pPr>
    </w:p>
    <w:p>
      <w:pPr>
        <w:jc w:val="both"/>
        <w:ind w:left="1300" w:hanging="644"/>
        <w:spacing w:after="0" w:line="220" w:lineRule="exact"/>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 reference to the provision of any statute, statutory provision, order, instrument, rule or regulation is to that provision as amended or re</w:t>
      </w:r>
      <w:r>
        <w:rPr>
          <w:rFonts w:ascii="MS PGothic" w:cs="MS PGothic" w:eastAsia="MS PGothic" w:hAnsi="MS PGothic"/>
          <w:sz w:val="18"/>
          <w:szCs w:val="18"/>
          <w:color w:val="auto"/>
        </w:rPr>
        <w:t>‑</w:t>
      </w:r>
      <w:r>
        <w:rPr>
          <w:rFonts w:ascii="Arial" w:cs="Arial" w:eastAsia="Arial" w:hAnsi="Arial"/>
          <w:sz w:val="18"/>
          <w:szCs w:val="18"/>
          <w:color w:val="auto"/>
        </w:rPr>
        <w:t>enacted from time to time, any provision of which it is a re</w:t>
      </w:r>
      <w:r>
        <w:rPr>
          <w:rFonts w:ascii="MS PGothic" w:cs="MS PGothic" w:eastAsia="MS PGothic" w:hAnsi="MS PGothic"/>
          <w:sz w:val="18"/>
          <w:szCs w:val="18"/>
          <w:color w:val="auto"/>
        </w:rPr>
        <w:t>‑</w:t>
      </w:r>
      <w:r>
        <w:rPr>
          <w:rFonts w:ascii="Arial" w:cs="Arial" w:eastAsia="Arial" w:hAnsi="Arial"/>
          <w:sz w:val="18"/>
          <w:szCs w:val="18"/>
          <w:color w:val="auto"/>
        </w:rPr>
        <w:t>enactment or consolidation and any order, instrument, rule or regulation at any time made or issued under it;</w:t>
      </w:r>
    </w:p>
    <w:p>
      <w:pPr>
        <w:spacing w:after="0" w:line="200"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word "</w:t>
      </w:r>
      <w:r>
        <w:rPr>
          <w:rFonts w:ascii="Arial" w:cs="Arial" w:eastAsia="Arial" w:hAnsi="Arial"/>
          <w:sz w:val="18"/>
          <w:szCs w:val="18"/>
          <w:b w:val="1"/>
          <w:bCs w:val="1"/>
          <w:color w:val="auto"/>
        </w:rPr>
        <w:t>vary</w:t>
      </w:r>
      <w:r>
        <w:rPr>
          <w:rFonts w:ascii="Arial" w:cs="Arial" w:eastAsia="Arial" w:hAnsi="Arial"/>
          <w:sz w:val="18"/>
          <w:szCs w:val="18"/>
          <w:color w:val="auto"/>
        </w:rPr>
        <w:t>" shall be construed to include amend, modify and supplement, and "</w:t>
      </w:r>
      <w:r>
        <w:rPr>
          <w:rFonts w:ascii="Arial" w:cs="Arial" w:eastAsia="Arial" w:hAnsi="Arial"/>
          <w:sz w:val="18"/>
          <w:szCs w:val="18"/>
          <w:b w:val="1"/>
          <w:bCs w:val="1"/>
          <w:color w:val="auto"/>
        </w:rPr>
        <w:t>variation</w:t>
      </w:r>
      <w:r>
        <w:rPr>
          <w:rFonts w:ascii="Arial" w:cs="Arial" w:eastAsia="Arial" w:hAnsi="Arial"/>
          <w:sz w:val="18"/>
          <w:szCs w:val="18"/>
          <w:color w:val="auto"/>
        </w:rPr>
        <w:t>" and other cognate terms shall be construed accordingly;</w:t>
      </w:r>
    </w:p>
    <w:p>
      <w:pPr>
        <w:spacing w:after="0" w:line="16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 reference to a person shall include references to his permitted successors, transferees (including by novation) and assigns and any person deriving title under or through him, whether in security or otherwise; and any person into which such person may be merged or consolidated, or any company resulting from any merger, conversion or consolidation or any person succeeding to substantially all of the business of that person; and</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is to the lawful currency for the time being of the United States of America;</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 document expressed to be "</w:t>
      </w:r>
      <w:r>
        <w:rPr>
          <w:rFonts w:ascii="Arial" w:cs="Arial" w:eastAsia="Arial" w:hAnsi="Arial"/>
          <w:sz w:val="18"/>
          <w:szCs w:val="18"/>
          <w:b w:val="1"/>
          <w:bCs w:val="1"/>
          <w:color w:val="auto"/>
        </w:rPr>
        <w:t>in the agreed form</w:t>
      </w:r>
      <w:r>
        <w:rPr>
          <w:rFonts w:ascii="Arial" w:cs="Arial" w:eastAsia="Arial" w:hAnsi="Arial"/>
          <w:sz w:val="18"/>
          <w:szCs w:val="18"/>
          <w:color w:val="auto"/>
        </w:rPr>
        <w:t>" means a document in a form which has been agreed by the parties and a copy of which has been identified as such and initialled by or on behalf of each of the parties; and</w:t>
      </w:r>
    </w:p>
    <w:p>
      <w:pPr>
        <w:spacing w:after="0" w:line="16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rights</w:t>
      </w:r>
      <w:r>
        <w:rPr>
          <w:rFonts w:ascii="Arial" w:cs="Arial" w:eastAsia="Arial" w:hAnsi="Arial"/>
          <w:sz w:val="18"/>
          <w:szCs w:val="18"/>
          <w:color w:val="auto"/>
        </w:rPr>
        <w:t>" includes rights, remedies, benefits, authorities, powers, privileges, discretions, claims, remedies, liberties, easements, quasi-easements and appurtenances (in each case, of any nature whatsoever whether under this Deed, by statute, at law or in equity) or otherwise howsoever.</w:t>
      </w:r>
    </w:p>
    <w:p>
      <w:pPr>
        <w:spacing w:after="0" w:line="18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undertakings and other obligations of the Company, Collateral Agent or any other person under this Deed shall at all times be read and construed as subject to the provisions of the Intercreditor Agreement, Loan Agreement and the Guarantee which shall prevail in case of any conflict. Subject to this and to Clause 0 (</w:t>
      </w:r>
      <w:r>
        <w:rPr>
          <w:rFonts w:ascii="Arial" w:cs="Arial" w:eastAsia="Arial" w:hAnsi="Arial"/>
          <w:sz w:val="18"/>
          <w:szCs w:val="18"/>
          <w:i w:val="1"/>
          <w:iCs w:val="1"/>
          <w:color w:val="auto"/>
        </w:rPr>
        <w:t>1.Definitions and</w:t>
      </w:r>
      <w:r>
        <w:rPr>
          <w:rFonts w:ascii="Arial" w:cs="Arial" w:eastAsia="Arial" w:hAnsi="Arial"/>
          <w:sz w:val="18"/>
          <w:szCs w:val="18"/>
          <w:color w:val="auto"/>
        </w:rPr>
        <w:t xml:space="preserve"> </w:t>
      </w:r>
      <w:r>
        <w:rPr>
          <w:rFonts w:ascii="Arial" w:cs="Arial" w:eastAsia="Arial" w:hAnsi="Arial"/>
          <w:sz w:val="18"/>
          <w:szCs w:val="18"/>
          <w:b w:val="1"/>
          <w:bCs w:val="1"/>
          <w:color w:val="auto"/>
        </w:rPr>
        <w:t>INTERPRETATION</w:t>
      </w:r>
      <w:r>
        <w:rPr>
          <w:rFonts w:ascii="Arial" w:cs="Arial" w:eastAsia="Arial" w:hAnsi="Arial"/>
          <w:sz w:val="18"/>
          <w:szCs w:val="18"/>
          <w:color w:val="auto"/>
        </w:rPr>
        <w:t>), if there is any conflict or inconsistency between the provisions of this Deed and any other Loan Document, the provisions of this Deed shall prevail.</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terms of this Deed shall not operate or be construed so as to prohibit or restrict any transaction or matter that is permitted by the Loan Agreement.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For the purpose of section 2 of the Law of Property (Miscellaneous Provisions) Act 1989, this Deed incorporates all the terms of the Loan Agreement and the other Loan Documents.</w:t>
      </w:r>
    </w:p>
    <w:p>
      <w:pPr>
        <w:spacing w:after="0" w:line="166" w:lineRule="exact"/>
        <w:rPr>
          <w:sz w:val="20"/>
          <w:szCs w:val="20"/>
          <w:color w:val="auto"/>
        </w:rPr>
      </w:pPr>
    </w:p>
    <w:p>
      <w:pPr>
        <w:ind w:left="660" w:hanging="652"/>
        <w:spacing w:after="0"/>
        <w:tabs>
          <w:tab w:leader="none" w:pos="660" w:val="left"/>
        </w:tabs>
        <w:numPr>
          <w:ilvl w:val="0"/>
          <w:numId w:val="681"/>
        </w:numPr>
        <w:rPr>
          <w:rFonts w:ascii="Arial" w:cs="Arial" w:eastAsia="Arial" w:hAnsi="Arial"/>
          <w:sz w:val="18"/>
          <w:szCs w:val="18"/>
          <w:color w:val="auto"/>
        </w:rPr>
      </w:pPr>
      <w:r>
        <w:rPr>
          <w:rFonts w:ascii="Arial" w:cs="Arial" w:eastAsia="Arial" w:hAnsi="Arial"/>
          <w:sz w:val="18"/>
          <w:szCs w:val="18"/>
          <w:b w:val="1"/>
          <w:bCs w:val="1"/>
          <w:color w:val="auto"/>
        </w:rPr>
        <w:t>TRUST</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Collateral Agent shall hold, and hereby declares that it shall hold, the benefit of the Charges and the benefit of all representations, warranties, covenants and undertakings under this Deed on trust for the Secured Parties on and subject to the terms of this Deed and the Company hereby acknowledges such trusts.</w:t>
      </w:r>
    </w:p>
    <w:p>
      <w:pPr>
        <w:spacing w:after="0" w:line="184"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In this Deed the Collateral Agent acts under the authority of the Secured Parties contained in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 of the Loan Agreement and in accordance with, subject to and with the full benefit of the provisions of such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w:t>
      </w:r>
    </w:p>
    <w:p>
      <w:pPr>
        <w:spacing w:after="0" w:line="142" w:lineRule="exact"/>
        <w:rPr>
          <w:sz w:val="20"/>
          <w:szCs w:val="20"/>
          <w:color w:val="auto"/>
        </w:rPr>
      </w:pPr>
    </w:p>
    <w:p>
      <w:pPr>
        <w:ind w:left="660" w:hanging="652"/>
        <w:spacing w:after="0"/>
        <w:tabs>
          <w:tab w:leader="none" w:pos="660" w:val="left"/>
        </w:tabs>
        <w:numPr>
          <w:ilvl w:val="0"/>
          <w:numId w:val="682"/>
        </w:numPr>
        <w:rPr>
          <w:rFonts w:ascii="Arial" w:cs="Arial" w:eastAsia="Arial" w:hAnsi="Arial"/>
          <w:sz w:val="18"/>
          <w:szCs w:val="18"/>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spacing w:after="0"/>
        <w:tabs>
          <w:tab w:leader="none" w:pos="640" w:val="left"/>
          <w:tab w:leader="none" w:pos="4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Reference is made to the Intercreditor Agreement.</w:t>
      </w:r>
      <w:r>
        <w:rPr>
          <w:sz w:val="20"/>
          <w:szCs w:val="20"/>
          <w:color w:val="auto"/>
        </w:rPr>
        <w:tab/>
      </w:r>
      <w:r>
        <w:rPr>
          <w:rFonts w:ascii="Arial" w:cs="Arial" w:eastAsia="Arial" w:hAnsi="Arial"/>
          <w:sz w:val="17"/>
          <w:szCs w:val="17"/>
          <w:color w:val="auto"/>
        </w:rPr>
        <w:t>Each Secured Party, of its acceptance of the benefits of this Deed (a) consents to the</w:t>
      </w:r>
    </w:p>
    <w:p>
      <w:pPr>
        <w:sectPr>
          <w:pgSz w:w="11900" w:h="16838" w:orient="portrait"/>
          <w:cols w:equalWidth="0" w:num="1">
            <w:col w:w="11240"/>
          </w:cols>
          <w:pgMar w:left="320" w:top="121" w:right="339" w:bottom="0" w:gutter="0" w:footer="0" w:header="0"/>
          <w:type w:val="continuous"/>
        </w:sectPr>
      </w:pPr>
    </w:p>
    <w:bookmarkStart w:id="586" w:name="page587"/>
    <w:bookmarkEnd w:id="586"/>
    <w:p>
      <w:pPr>
        <w:jc w:val="both"/>
        <w:ind w:left="660"/>
        <w:spacing w:after="0" w:line="275" w:lineRule="auto"/>
        <w:rPr>
          <w:sz w:val="20"/>
          <w:szCs w:val="20"/>
          <w:color w:val="auto"/>
        </w:rPr>
      </w:pPr>
      <w:r>
        <w:rPr>
          <w:rFonts w:ascii="Arial" w:cs="Arial" w:eastAsia="Arial" w:hAnsi="Arial"/>
          <w:sz w:val="17"/>
          <w:szCs w:val="17"/>
          <w:color w:val="auto"/>
        </w:rPr>
        <w:t>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7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167" w:lineRule="exact"/>
        <w:rPr>
          <w:sz w:val="20"/>
          <w:szCs w:val="20"/>
          <w:color w:val="auto"/>
        </w:rPr>
      </w:pPr>
    </w:p>
    <w:p>
      <w:pPr>
        <w:ind w:left="660" w:hanging="652"/>
        <w:spacing w:after="0"/>
        <w:tabs>
          <w:tab w:leader="none" w:pos="660" w:val="left"/>
        </w:tabs>
        <w:numPr>
          <w:ilvl w:val="0"/>
          <w:numId w:val="683"/>
        </w:numPr>
        <w:rPr>
          <w:rFonts w:ascii="Arial" w:cs="Arial" w:eastAsia="Arial" w:hAnsi="Arial"/>
          <w:sz w:val="18"/>
          <w:szCs w:val="18"/>
          <w:color w:val="auto"/>
        </w:rPr>
      </w:pPr>
      <w:r>
        <w:rPr>
          <w:rFonts w:ascii="Arial" w:cs="Arial" w:eastAsia="Arial" w:hAnsi="Arial"/>
          <w:sz w:val="18"/>
          <w:szCs w:val="18"/>
          <w:b w:val="1"/>
          <w:bCs w:val="1"/>
          <w:color w:val="auto"/>
        </w:rPr>
        <w:t>ABL DEED OF CHARGE AND ASSIGNMENT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All security created under this Deed does not affect the security created by the ABL Deed of Charge and Assignment.</w:t>
      </w:r>
    </w:p>
    <w:p>
      <w:pPr>
        <w:spacing w:after="0" w:line="22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Notwithstanding any provision of this Deed, provided that the Company is in compliance with the terms of the ABL Deed of Charge and Assignment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Company will be deemed to have complied with the relevant obligations under this Deed by virtue of its compliance under the ABL Deed of Charge and Assignment, provided however that, in the event that the terms of the ABL Deed of Charge and Assignment no longer continue to be in full force and effect or the ABL Deed of Charge and Assignment is released or discharged (or as otherwise required by the Intercreditor Agreement) the Company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162" w:lineRule="exact"/>
        <w:rPr>
          <w:sz w:val="20"/>
          <w:szCs w:val="20"/>
          <w:color w:val="auto"/>
        </w:rPr>
      </w:pPr>
    </w:p>
    <w:p>
      <w:pPr>
        <w:ind w:left="660" w:hanging="652"/>
        <w:spacing w:after="0"/>
        <w:tabs>
          <w:tab w:leader="none" w:pos="660" w:val="left"/>
        </w:tabs>
        <w:numPr>
          <w:ilvl w:val="0"/>
          <w:numId w:val="684"/>
        </w:numPr>
        <w:rPr>
          <w:rFonts w:ascii="Arial" w:cs="Arial" w:eastAsia="Arial" w:hAnsi="Arial"/>
          <w:sz w:val="18"/>
          <w:szCs w:val="18"/>
          <w:color w:val="auto"/>
        </w:rPr>
      </w:pPr>
      <w:r>
        <w:rPr>
          <w:rFonts w:ascii="Arial" w:cs="Arial" w:eastAsia="Arial" w:hAnsi="Arial"/>
          <w:sz w:val="18"/>
          <w:szCs w:val="18"/>
          <w:b w:val="1"/>
          <w:bCs w:val="1"/>
          <w:color w:val="auto"/>
        </w:rPr>
        <w:t>COVENANT TO PAY</w:t>
      </w:r>
    </w:p>
    <w:p>
      <w:pPr>
        <w:spacing w:after="0" w:line="235" w:lineRule="exact"/>
        <w:rPr>
          <w:sz w:val="20"/>
          <w:szCs w:val="20"/>
          <w:color w:val="auto"/>
        </w:rPr>
      </w:pPr>
    </w:p>
    <w:p>
      <w:pPr>
        <w:jc w:val="both"/>
        <w:ind w:left="660"/>
        <w:spacing w:after="0" w:line="308" w:lineRule="auto"/>
        <w:rPr>
          <w:sz w:val="20"/>
          <w:szCs w:val="20"/>
          <w:color w:val="auto"/>
        </w:rPr>
      </w:pPr>
      <w:r>
        <w:rPr>
          <w:rFonts w:ascii="Arial" w:cs="Arial" w:eastAsia="Arial" w:hAnsi="Arial"/>
          <w:sz w:val="19"/>
          <w:szCs w:val="19"/>
          <w:color w:val="auto"/>
        </w:rPr>
        <w:t>Subject to any limits on its liability and any grace periods specifically recorded in the Loan Documents, the Company covenants with the Collateral Agent duly and punctually to pay or discharge all Secured Obligations which may from time to time be or become due, owing, incurred or payable by the Company (whether as principal or surety and whether or not jointly with another) to or to the order of the Collateral Agent under, pursuant to or in connection with the Loan Agreement and/or this Deed, as applicable, in each case at the times when, and in the currency or currencies and in the manner in which, they are expressed to be due, owing, incurred or payable herein or therein.</w:t>
      </w:r>
    </w:p>
    <w:p>
      <w:pPr>
        <w:spacing w:after="0" w:line="143" w:lineRule="exact"/>
        <w:rPr>
          <w:sz w:val="20"/>
          <w:szCs w:val="20"/>
          <w:color w:val="auto"/>
        </w:rPr>
      </w:pPr>
    </w:p>
    <w:p>
      <w:pPr>
        <w:ind w:left="660" w:hanging="652"/>
        <w:spacing w:after="0"/>
        <w:tabs>
          <w:tab w:leader="none" w:pos="660" w:val="left"/>
        </w:tabs>
        <w:numPr>
          <w:ilvl w:val="0"/>
          <w:numId w:val="685"/>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Real Property</w:t>
      </w:r>
    </w:p>
    <w:p>
      <w:pPr>
        <w:spacing w:after="0" w:line="229" w:lineRule="exact"/>
        <w:rPr>
          <w:sz w:val="20"/>
          <w:szCs w:val="20"/>
          <w:color w:val="auto"/>
        </w:rPr>
      </w:pPr>
    </w:p>
    <w:p>
      <w:pPr>
        <w:jc w:val="both"/>
        <w:ind w:left="660"/>
        <w:spacing w:after="0" w:line="330" w:lineRule="auto"/>
        <w:rPr>
          <w:sz w:val="20"/>
          <w:szCs w:val="20"/>
          <w:color w:val="auto"/>
        </w:rPr>
      </w:pPr>
      <w:r>
        <w:rPr>
          <w:rFonts w:ascii="Arial" w:cs="Arial" w:eastAsia="Arial" w:hAnsi="Arial"/>
          <w:sz w:val="19"/>
          <w:szCs w:val="19"/>
          <w:color w:val="auto"/>
        </w:rPr>
        <w:t>Subject to Clause 0 (</w:t>
      </w:r>
      <w:r>
        <w:rPr>
          <w:rFonts w:ascii="Arial" w:cs="Arial" w:eastAsia="Arial" w:hAnsi="Arial"/>
          <w:sz w:val="19"/>
          <w:szCs w:val="19"/>
          <w:i w:val="1"/>
          <w:iCs w:val="1"/>
          <w:color w:val="auto"/>
        </w:rPr>
        <w:t>6.9 Excluded</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the Company hereby charges by way of fixed continuing security to and in favour of the Collateral Agent for the payment and discharge of the Secured Obligations all its right, title, interest and benefit from time to time, present and future, in and to all of its present and future Material Real Property.</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Mortgages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Subject to Clause 0 (</w:t>
      </w:r>
      <w:r>
        <w:rPr>
          <w:rFonts w:ascii="Arial" w:cs="Arial" w:eastAsia="Arial" w:hAnsi="Arial"/>
          <w:sz w:val="22"/>
          <w:szCs w:val="22"/>
          <w:i w:val="1"/>
          <w:iCs w:val="1"/>
          <w:color w:val="auto"/>
        </w:rPr>
        <w:t>6.9 Excluded</w:t>
      </w:r>
      <w:r>
        <w:rPr>
          <w:rFonts w:ascii="Arial" w:cs="Arial" w:eastAsia="Arial" w:hAnsi="Arial"/>
          <w:sz w:val="22"/>
          <w:szCs w:val="22"/>
          <w:color w:val="auto"/>
        </w:rPr>
        <w:t xml:space="preserve"> </w:t>
      </w:r>
      <w:r>
        <w:rPr>
          <w:rFonts w:ascii="Arial" w:cs="Arial" w:eastAsia="Arial" w:hAnsi="Arial"/>
          <w:sz w:val="22"/>
          <w:szCs w:val="22"/>
          <w:b w:val="1"/>
          <w:bCs w:val="1"/>
          <w:color w:val="auto"/>
        </w:rPr>
        <w:t>Property</w:t>
      </w:r>
      <w:r>
        <w:rPr>
          <w:rFonts w:ascii="Arial" w:cs="Arial" w:eastAsia="Arial" w:hAnsi="Arial"/>
          <w:sz w:val="22"/>
          <w:szCs w:val="22"/>
          <w:color w:val="auto"/>
        </w:rPr>
        <w:t>), the Company hereby assigns by way of fixed continuing mortgage to and in favour of the Collateral Agent for the payment and discharge of the Secured Obligations all its right, title, interest and benefit from time to time, present and future, in, to, under and in respect of each of all its present and future Investments.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Fixed Charges</w:t>
      </w:r>
    </w:p>
    <w:p>
      <w:pPr>
        <w:spacing w:after="0" w:line="229"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Subject to Clause 0 (</w:t>
      </w:r>
      <w:r>
        <w:rPr>
          <w:rFonts w:ascii="Arial" w:cs="Arial" w:eastAsia="Arial" w:hAnsi="Arial"/>
          <w:sz w:val="21"/>
          <w:szCs w:val="21"/>
          <w:i w:val="1"/>
          <w:iCs w:val="1"/>
          <w:color w:val="auto"/>
        </w:rPr>
        <w:t>6.9 Excluded</w:t>
      </w:r>
      <w:r>
        <w:rPr>
          <w:rFonts w:ascii="Arial" w:cs="Arial" w:eastAsia="Arial" w:hAnsi="Arial"/>
          <w:sz w:val="21"/>
          <w:szCs w:val="21"/>
          <w:color w:val="auto"/>
        </w:rPr>
        <w:t xml:space="preserve"> </w:t>
      </w:r>
      <w:r>
        <w:rPr>
          <w:rFonts w:ascii="Arial" w:cs="Arial" w:eastAsia="Arial" w:hAnsi="Arial"/>
          <w:sz w:val="21"/>
          <w:szCs w:val="21"/>
          <w:b w:val="1"/>
          <w:bCs w:val="1"/>
          <w:color w:val="auto"/>
        </w:rPr>
        <w:t>Property</w:t>
      </w:r>
      <w:r>
        <w:rPr>
          <w:rFonts w:ascii="Arial" w:cs="Arial" w:eastAsia="Arial" w:hAnsi="Arial"/>
          <w:sz w:val="21"/>
          <w:szCs w:val="21"/>
          <w:color w:val="auto"/>
        </w:rPr>
        <w:t>), the Company hereby charges by way of fixed continuing security to and in favour of the Collateral Agent for the payment and discharge of the Secured Obligations all its right, title, interest and benefit from time to time, present and future, in, to and in respect of each of the following:</w:t>
      </w:r>
    </w:p>
    <w:p>
      <w:pPr>
        <w:spacing w:after="0" w:line="159" w:lineRule="exact"/>
        <w:rPr>
          <w:sz w:val="20"/>
          <w:szCs w:val="20"/>
          <w:color w:val="auto"/>
        </w:rPr>
      </w:pPr>
    </w:p>
    <w:p>
      <w:pPr>
        <w:ind w:left="1300" w:hanging="644"/>
        <w:spacing w:after="0" w:line="277" w:lineRule="auto"/>
        <w:tabs>
          <w:tab w:leader="none" w:pos="130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all funds from time to time standing to the credit of a Bank Account, together with all entitlements to interest and other Related Rights from time to time accruing to or arising in connection with sums;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86"/>
        </w:numPr>
        <w:rPr>
          <w:rFonts w:ascii="Arial" w:cs="Arial" w:eastAsia="Arial" w:hAnsi="Arial"/>
          <w:sz w:val="16"/>
          <w:szCs w:val="16"/>
          <w:color w:val="auto"/>
        </w:rPr>
      </w:pPr>
      <w:r>
        <w:rPr>
          <w:rFonts w:ascii="Arial" w:cs="Arial" w:eastAsia="Arial" w:hAnsi="Arial"/>
          <w:sz w:val="16"/>
          <w:szCs w:val="16"/>
          <w:color w:val="auto"/>
        </w:rPr>
        <w:t>all present and future Book Debts and all its other present and future negotiable instruments (other than any which are Investments);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all present and future Equipment and all corresponding Related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all present and future Intellectual Property Rights and all corresponding Related Rights;</w:t>
      </w:r>
    </w:p>
    <w:p>
      <w:pPr>
        <w:spacing w:after="0" w:line="225"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686"/>
        </w:numPr>
        <w:rPr>
          <w:rFonts w:ascii="Arial" w:cs="Arial" w:eastAsia="Arial" w:hAnsi="Arial"/>
          <w:sz w:val="16"/>
          <w:szCs w:val="16"/>
          <w:color w:val="auto"/>
        </w:rPr>
      </w:pPr>
      <w:r>
        <w:rPr>
          <w:rFonts w:ascii="Arial" w:cs="Arial" w:eastAsia="Arial" w:hAnsi="Arial"/>
          <w:sz w:val="16"/>
          <w:szCs w:val="16"/>
          <w:color w:val="auto"/>
        </w:rPr>
        <w:t>all its present and future goodwill, present and future uncalled capital (if any) and the benefit of all present and future licences, consents and authorisations (statutory or otherwise) held or to be held by it in connection with its business or the use of any Charged Assets (but excluding any licence requiring the licensor's consent to the creation of Security Interests under the Deed if such consent has not been obtained) and the right to receive all compensation payable in respect thereof (but excluding, in all cases, the Excluded Assets); and</w:t>
      </w:r>
    </w:p>
    <w:p>
      <w:pPr>
        <w:sectPr>
          <w:pgSz w:w="11900" w:h="16838" w:orient="portrait"/>
          <w:cols w:equalWidth="0" w:num="1">
            <w:col w:w="11240"/>
          </w:cols>
          <w:pgMar w:left="320" w:top="125" w:right="339" w:bottom="0" w:gutter="0" w:footer="0" w:header="0"/>
        </w:sectPr>
      </w:pP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6"/>
          <w:szCs w:val="16"/>
          <w:color w:val="auto"/>
        </w:rPr>
        <w:t>if not effectively assigned by Clause 0 (</w:t>
      </w:r>
      <w:r>
        <w:rPr>
          <w:rFonts w:ascii="Arial" w:cs="Arial" w:eastAsia="Arial" w:hAnsi="Arial"/>
          <w:sz w:val="16"/>
          <w:szCs w:val="16"/>
          <w:i w:val="1"/>
          <w:iCs w:val="1"/>
          <w:color w:val="auto"/>
        </w:rPr>
        <w:t>6.4</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all its rights, title and interest in (and claims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Agreements and all corresponding Related Rights.</w:t>
      </w:r>
    </w:p>
    <w:p>
      <w:pPr>
        <w:sectPr>
          <w:pgSz w:w="11900" w:h="16838" w:orient="portrait"/>
          <w:cols w:equalWidth="0" w:num="2">
            <w:col w:w="5120" w:space="720"/>
            <w:col w:w="5400"/>
          </w:cols>
          <w:pgMar w:left="320" w:top="125" w:right="339" w:bottom="0" w:gutter="0" w:footer="0" w:header="0"/>
          <w:type w:val="continuous"/>
        </w:sectPr>
      </w:pPr>
    </w:p>
    <w:bookmarkStart w:id="587" w:name="page588"/>
    <w:bookmarkEnd w:id="587"/>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6.4</w:t>
            </w:r>
          </w:p>
        </w:tc>
        <w:tc>
          <w:tcPr>
            <w:tcW w:w="30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Assignment</w:t>
            </w:r>
          </w:p>
        </w:tc>
        <w:tc>
          <w:tcPr>
            <w:tcW w:w="776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(a)</w:t>
            </w:r>
          </w:p>
        </w:tc>
        <w:tc>
          <w:tcPr>
            <w:tcW w:w="2400" w:type="dxa"/>
            <w:vAlign w:val="bottom"/>
          </w:tcPr>
          <w:p>
            <w:pPr>
              <w:ind w:left="240"/>
              <w:spacing w:after="0"/>
              <w:rPr>
                <w:sz w:val="20"/>
                <w:szCs w:val="20"/>
                <w:color w:val="auto"/>
              </w:rPr>
            </w:pPr>
            <w:r>
              <w:rPr>
                <w:rFonts w:ascii="Arial" w:cs="Arial" w:eastAsia="Arial" w:hAnsi="Arial"/>
                <w:sz w:val="18"/>
                <w:szCs w:val="18"/>
                <w:color w:val="auto"/>
              </w:rPr>
              <w:t>Subject to Clause 0 (</w:t>
            </w:r>
            <w:r>
              <w:rPr>
                <w:rFonts w:ascii="Arial" w:cs="Arial" w:eastAsia="Arial" w:hAnsi="Arial"/>
                <w:sz w:val="18"/>
                <w:szCs w:val="18"/>
                <w:i w:val="1"/>
                <w:iCs w:val="1"/>
                <w:color w:val="auto"/>
              </w:rPr>
              <w:t>6.9</w:t>
            </w:r>
          </w:p>
        </w:tc>
        <w:tc>
          <w:tcPr>
            <w:tcW w:w="7760" w:type="dxa"/>
            <w:vAlign w:val="bottom"/>
          </w:tcPr>
          <w:p>
            <w:pPr>
              <w:ind w:left="420"/>
              <w:spacing w:after="0"/>
              <w:rPr>
                <w:sz w:val="20"/>
                <w:szCs w:val="20"/>
                <w:color w:val="auto"/>
              </w:rPr>
            </w:pPr>
            <w:r>
              <w:rPr>
                <w:rFonts w:ascii="Arial" w:cs="Arial" w:eastAsia="Arial" w:hAnsi="Arial"/>
                <w:sz w:val="18"/>
                <w:szCs w:val="18"/>
                <w:i w:val="1"/>
                <w:iCs w:val="1"/>
                <w:color w:val="auto"/>
                <w:w w:val="95"/>
              </w:rPr>
              <w:t xml:space="preserve">Excluded  </w:t>
            </w:r>
            <w:r>
              <w:rPr>
                <w:rFonts w:ascii="Arial" w:cs="Arial" w:eastAsia="Arial" w:hAnsi="Arial"/>
                <w:sz w:val="18"/>
                <w:szCs w:val="18"/>
                <w:b w:val="1"/>
                <w:bCs w:val="1"/>
                <w:color w:val="auto"/>
                <w:w w:val="95"/>
              </w:rPr>
              <w:t>Property</w:t>
            </w:r>
            <w:r>
              <w:rPr>
                <w:rFonts w:ascii="Arial" w:cs="Arial" w:eastAsia="Arial" w:hAnsi="Arial"/>
                <w:sz w:val="18"/>
                <w:szCs w:val="18"/>
                <w:color w:val="auto"/>
                <w:w w:val="95"/>
              </w:rPr>
              <w:t>)  below,  as  further  continuing  security  for  the  payment  of  the  Secured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w w:val="93"/>
              </w:rPr>
              <w:t>Obligations, the Company assigns absolutely with full title guarantee to the Collateral Agent for the</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w w:val="95"/>
              </w:rPr>
              <w:t>benefit of the Secured Parties all its rights, title and interest, both present and future, from time to</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time in and to each of the following assets:</w:t>
            </w:r>
          </w:p>
        </w:tc>
      </w:tr>
    </w:tbl>
    <w:p>
      <w:pPr>
        <w:spacing w:after="0" w:line="202" w:lineRule="exact"/>
        <w:rPr>
          <w:sz w:val="20"/>
          <w:szCs w:val="20"/>
          <w:color w:val="auto"/>
        </w:rPr>
      </w:pPr>
    </w:p>
    <w:p>
      <w:pPr>
        <w:ind w:left="1960" w:hanging="656"/>
        <w:spacing w:after="0"/>
        <w:tabs>
          <w:tab w:leader="none" w:pos="196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proceeds of any Insurances and all Related Rights;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Assigned Agreements and all proceeds and claims arising from them,</w:t>
      </w:r>
    </w:p>
    <w:p>
      <w:pPr>
        <w:spacing w:after="0" w:line="225" w:lineRule="exact"/>
        <w:rPr>
          <w:sz w:val="20"/>
          <w:szCs w:val="20"/>
          <w:color w:val="auto"/>
        </w:rPr>
      </w:pPr>
    </w:p>
    <w:p>
      <w:pPr>
        <w:jc w:val="both"/>
        <w:ind w:left="1300"/>
        <w:spacing w:after="0" w:line="269" w:lineRule="auto"/>
        <w:rPr>
          <w:sz w:val="20"/>
          <w:szCs w:val="20"/>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Assigned Assets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upon the Payment in Full, the Collateral Agent will re-assign the relevant Assigned Assets to the Company (or as it shall direct) without delay and in a manner satisfactory to the Company (acting reasonably).</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5820" w:type="dxa"/>
            <w:vAlign w:val="bottom"/>
          </w:tcPr>
          <w:p>
            <w:pPr>
              <w:ind w:left="220"/>
              <w:spacing w:after="0"/>
              <w:rPr>
                <w:sz w:val="20"/>
                <w:szCs w:val="20"/>
                <w:color w:val="auto"/>
              </w:rPr>
            </w:pPr>
            <w:r>
              <w:rPr>
                <w:rFonts w:ascii="Arial" w:cs="Arial" w:eastAsia="Arial" w:hAnsi="Arial"/>
                <w:sz w:val="18"/>
                <w:szCs w:val="18"/>
                <w:color w:val="auto"/>
              </w:rPr>
              <w:t>To the extent that any Assigned Asset described in Clause 00 (</w:t>
            </w:r>
            <w:r>
              <w:rPr>
                <w:rFonts w:ascii="Arial" w:cs="Arial" w:eastAsia="Arial" w:hAnsi="Arial"/>
                <w:sz w:val="18"/>
                <w:szCs w:val="18"/>
                <w:i w:val="1"/>
                <w:iCs w:val="1"/>
                <w:color w:val="auto"/>
              </w:rPr>
              <w:t>6.4</w:t>
            </w:r>
          </w:p>
        </w:tc>
        <w:tc>
          <w:tcPr>
            <w:tcW w:w="4320" w:type="dxa"/>
            <w:vAlign w:val="bottom"/>
            <w:gridSpan w:val="4"/>
          </w:tcPr>
          <w:p>
            <w:pPr>
              <w:ind w:left="880"/>
              <w:spacing w:after="0"/>
              <w:rPr>
                <w:sz w:val="20"/>
                <w:szCs w:val="20"/>
                <w:color w:val="auto"/>
              </w:rPr>
            </w:pPr>
            <w:r>
              <w:rPr>
                <w:rFonts w:ascii="Arial" w:cs="Arial" w:eastAsia="Arial" w:hAnsi="Arial"/>
                <w:sz w:val="18"/>
                <w:szCs w:val="18"/>
                <w:b w:val="1"/>
                <w:bCs w:val="1"/>
                <w:color w:val="auto"/>
                <w:w w:val="89"/>
              </w:rPr>
              <w:t>Assignment</w:t>
            </w:r>
            <w:r>
              <w:rPr>
                <w:rFonts w:ascii="Arial" w:cs="Arial" w:eastAsia="Arial" w:hAnsi="Arial"/>
                <w:sz w:val="18"/>
                <w:szCs w:val="18"/>
                <w:color w:val="auto"/>
                <w:w w:val="89"/>
              </w:rPr>
              <w:t>) is not assignable, the assignment</w:t>
            </w: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Arial" w:cs="Arial" w:eastAsia="Arial" w:hAnsi="Arial"/>
                <w:sz w:val="18"/>
                <w:szCs w:val="18"/>
                <w:color w:val="auto"/>
                <w:w w:val="99"/>
              </w:rPr>
              <w:t>which  that  clause  purports</w:t>
            </w:r>
          </w:p>
        </w:tc>
        <w:tc>
          <w:tcPr>
            <w:tcW w:w="260" w:type="dxa"/>
            <w:vAlign w:val="bottom"/>
          </w:tcPr>
          <w:p>
            <w:pPr>
              <w:ind w:left="40"/>
              <w:spacing w:after="0"/>
              <w:rPr>
                <w:sz w:val="20"/>
                <w:szCs w:val="20"/>
                <w:color w:val="auto"/>
              </w:rPr>
            </w:pPr>
            <w:r>
              <w:rPr>
                <w:rFonts w:ascii="Arial" w:cs="Arial" w:eastAsia="Arial" w:hAnsi="Arial"/>
                <w:sz w:val="18"/>
                <w:szCs w:val="18"/>
                <w:color w:val="auto"/>
              </w:rPr>
              <w:t>to</w:t>
            </w:r>
          </w:p>
        </w:tc>
        <w:tc>
          <w:tcPr>
            <w:tcW w:w="580" w:type="dxa"/>
            <w:vAlign w:val="bottom"/>
          </w:tcPr>
          <w:p>
            <w:pPr>
              <w:ind w:left="60"/>
              <w:spacing w:after="0"/>
              <w:rPr>
                <w:sz w:val="20"/>
                <w:szCs w:val="20"/>
                <w:color w:val="auto"/>
              </w:rPr>
            </w:pPr>
            <w:r>
              <w:rPr>
                <w:rFonts w:ascii="Arial" w:cs="Arial" w:eastAsia="Arial" w:hAnsi="Arial"/>
                <w:sz w:val="18"/>
                <w:szCs w:val="18"/>
                <w:color w:val="auto"/>
              </w:rPr>
              <w:t>effect</w:t>
            </w:r>
          </w:p>
        </w:tc>
        <w:tc>
          <w:tcPr>
            <w:tcW w:w="360" w:type="dxa"/>
            <w:vAlign w:val="bottom"/>
          </w:tcPr>
          <w:p>
            <w:pPr>
              <w:ind w:left="20"/>
              <w:spacing w:after="0"/>
              <w:rPr>
                <w:sz w:val="20"/>
                <w:szCs w:val="20"/>
                <w:color w:val="auto"/>
              </w:rPr>
            </w:pPr>
            <w:r>
              <w:rPr>
                <w:rFonts w:ascii="Arial" w:cs="Arial" w:eastAsia="Arial" w:hAnsi="Arial"/>
                <w:sz w:val="18"/>
                <w:szCs w:val="18"/>
                <w:color w:val="auto"/>
                <w:w w:val="86"/>
              </w:rPr>
              <w:t>shall</w:t>
            </w: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Arial" w:cs="Arial" w:eastAsia="Arial" w:hAnsi="Arial"/>
                <w:sz w:val="18"/>
                <w:szCs w:val="18"/>
                <w:color w:val="auto"/>
                <w:w w:val="97"/>
              </w:rPr>
              <w:t>operate as an assignment of</w:t>
            </w:r>
          </w:p>
        </w:tc>
        <w:tc>
          <w:tcPr>
            <w:tcW w:w="260" w:type="dxa"/>
            <w:vAlign w:val="bottom"/>
          </w:tcPr>
          <w:p>
            <w:pPr>
              <w:ind w:left="40"/>
              <w:spacing w:after="0"/>
              <w:rPr>
                <w:sz w:val="20"/>
                <w:szCs w:val="20"/>
                <w:color w:val="auto"/>
              </w:rPr>
            </w:pPr>
            <w:r>
              <w:rPr>
                <w:rFonts w:ascii="Arial" w:cs="Arial" w:eastAsia="Arial" w:hAnsi="Arial"/>
                <w:sz w:val="18"/>
                <w:szCs w:val="18"/>
                <w:color w:val="auto"/>
              </w:rPr>
              <w:t>all</w:t>
            </w:r>
          </w:p>
        </w:tc>
        <w:tc>
          <w:tcPr>
            <w:tcW w:w="580" w:type="dxa"/>
            <w:vAlign w:val="bottom"/>
          </w:tcPr>
          <w:p>
            <w:pPr>
              <w:ind w:left="60"/>
              <w:spacing w:after="0"/>
              <w:rPr>
                <w:sz w:val="20"/>
                <w:szCs w:val="20"/>
                <w:color w:val="auto"/>
              </w:rPr>
            </w:pPr>
            <w:r>
              <w:rPr>
                <w:rFonts w:ascii="Arial" w:cs="Arial" w:eastAsia="Arial" w:hAnsi="Arial"/>
                <w:sz w:val="18"/>
                <w:szCs w:val="18"/>
                <w:color w:val="auto"/>
                <w:w w:val="83"/>
              </w:rPr>
              <w:t>present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and</w:t>
            </w: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320" w:type="dxa"/>
            <w:vAlign w:val="bottom"/>
            <w:gridSpan w:val="4"/>
          </w:tcPr>
          <w:p>
            <w:pPr>
              <w:ind w:left="880"/>
              <w:spacing w:after="0"/>
              <w:rPr>
                <w:sz w:val="20"/>
                <w:szCs w:val="20"/>
                <w:color w:val="auto"/>
              </w:rPr>
            </w:pPr>
            <w:r>
              <w:rPr>
                <w:rFonts w:ascii="Arial" w:cs="Arial" w:eastAsia="Arial" w:hAnsi="Arial"/>
                <w:sz w:val="18"/>
                <w:szCs w:val="18"/>
                <w:color w:val="auto"/>
                <w:w w:val="91"/>
              </w:rPr>
              <w:t>future rights and claims of the Company to any</w:t>
            </w:r>
          </w:p>
        </w:tc>
      </w:tr>
      <w:tr>
        <w:trPr>
          <w:trHeight w:val="230"/>
        </w:trPr>
        <w:tc>
          <w:tcPr>
            <w:tcW w:w="4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120" w:type="dxa"/>
            <w:vAlign w:val="bottom"/>
          </w:tcPr>
          <w:p>
            <w:pPr>
              <w:ind w:left="880"/>
              <w:spacing w:after="0"/>
              <w:rPr>
                <w:sz w:val="20"/>
                <w:szCs w:val="20"/>
                <w:color w:val="auto"/>
              </w:rPr>
            </w:pPr>
            <w:r>
              <w:rPr>
                <w:rFonts w:ascii="Arial" w:cs="Arial" w:eastAsia="Arial" w:hAnsi="Arial"/>
                <w:sz w:val="18"/>
                <w:szCs w:val="18"/>
                <w:color w:val="auto"/>
                <w:w w:val="94"/>
              </w:rPr>
              <w:t>proceeds of such Insurances.</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Floating Charge</w:t>
      </w:r>
    </w:p>
    <w:p>
      <w:pPr>
        <w:spacing w:after="0" w:line="235"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The Company hereby charges by way of floating charge and by way of further continuing security to and in favour of the Collateral Agent for the discharge and payment of the Secured Obligations all its right, title, interest and benefit from time to time, present and future, in, to, under and in respect of all its Assets (including all stock in trade), including any expressed to be charged by any of the foregoing provisions of this Clause 0 (</w:t>
      </w:r>
      <w:r>
        <w:rPr>
          <w:rFonts w:ascii="Arial" w:cs="Arial" w:eastAsia="Arial" w:hAnsi="Arial"/>
          <w:sz w:val="21"/>
          <w:szCs w:val="21"/>
          <w:i w:val="1"/>
          <w:iCs w:val="1"/>
          <w:color w:val="auto"/>
        </w:rPr>
        <w:t>6.</w:t>
      </w:r>
      <w:r>
        <w:rPr>
          <w:rFonts w:ascii="Arial" w:cs="Arial" w:eastAsia="Arial" w:hAnsi="Arial"/>
          <w:sz w:val="21"/>
          <w:szCs w:val="21"/>
          <w:b w:val="1"/>
          <w:bCs w:val="1"/>
          <w:color w:val="auto"/>
        </w:rPr>
        <w:t>SECURITY</w:t>
      </w:r>
      <w:r>
        <w:rPr>
          <w:rFonts w:ascii="Arial" w:cs="Arial" w:eastAsia="Arial" w:hAnsi="Arial"/>
          <w:sz w:val="21"/>
          <w:szCs w:val="21"/>
          <w:color w:val="auto"/>
        </w:rPr>
        <w:t>). The floating charge created by this Clause 0 (</w:t>
      </w:r>
      <w:r>
        <w:rPr>
          <w:rFonts w:ascii="Arial" w:cs="Arial" w:eastAsia="Arial" w:hAnsi="Arial"/>
          <w:sz w:val="21"/>
          <w:szCs w:val="21"/>
          <w:i w:val="1"/>
          <w:iCs w:val="1"/>
          <w:color w:val="auto"/>
        </w:rPr>
        <w:t>6.5Floating</w:t>
      </w:r>
      <w:r>
        <w:rPr>
          <w:rFonts w:ascii="Arial" w:cs="Arial" w:eastAsia="Arial" w:hAnsi="Arial"/>
          <w:sz w:val="21"/>
          <w:szCs w:val="21"/>
          <w:color w:val="auto"/>
        </w:rPr>
        <w:t xml:space="preserve"> </w:t>
      </w:r>
      <w:r>
        <w:rPr>
          <w:rFonts w:ascii="Arial" w:cs="Arial" w:eastAsia="Arial" w:hAnsi="Arial"/>
          <w:sz w:val="21"/>
          <w:szCs w:val="21"/>
          <w:b w:val="1"/>
          <w:bCs w:val="1"/>
          <w:color w:val="auto"/>
        </w:rPr>
        <w:t>Charge</w:t>
      </w:r>
      <w:r>
        <w:rPr>
          <w:rFonts w:ascii="Arial" w:cs="Arial" w:eastAsia="Arial" w:hAnsi="Arial"/>
          <w:sz w:val="21"/>
          <w:szCs w:val="21"/>
          <w:color w:val="auto"/>
        </w:rPr>
        <w:t>) shall rank behind all the fixed Security Interests created by or pursuant to this Deed to the extent that they are valid and effective as fixed Security Interests but shall rank in priority to any other Security Interests hereafter created by the Company.</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color w:val="auto"/>
        </w:rPr>
        <w:t>Collection Bank Accounts</w:t>
      </w:r>
    </w:p>
    <w:p>
      <w:pPr>
        <w:spacing w:after="0" w:line="229" w:lineRule="exact"/>
        <w:rPr>
          <w:sz w:val="20"/>
          <w:szCs w:val="20"/>
          <w:color w:val="auto"/>
        </w:rPr>
      </w:pPr>
    </w:p>
    <w:p>
      <w:pPr>
        <w:ind w:left="1300" w:right="20" w:hanging="644"/>
        <w:spacing w:after="0" w:line="277" w:lineRule="auto"/>
        <w:tabs>
          <w:tab w:leader="none" w:pos="130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The Company shall maintain the Collection Bank Accounts pursuant to and in accordance with Section 3.01(e) (</w:t>
      </w:r>
      <w:r>
        <w:rPr>
          <w:rFonts w:ascii="Arial" w:cs="Arial" w:eastAsia="Arial" w:hAnsi="Arial"/>
          <w:sz w:val="18"/>
          <w:szCs w:val="18"/>
          <w:i w:val="1"/>
          <w:iCs w:val="1"/>
          <w:color w:val="auto"/>
        </w:rPr>
        <w:t>Letters of Credit</w:t>
      </w:r>
      <w:r>
        <w:rPr>
          <w:rFonts w:ascii="Arial" w:cs="Arial" w:eastAsia="Arial" w:hAnsi="Arial"/>
          <w:sz w:val="18"/>
          <w:szCs w:val="18"/>
          <w:color w:val="auto"/>
        </w:rPr>
        <w:t>) of the Loan Agreement with the Collection Account Banks.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The Collateral Agent shall have sole signing rights in relation to each Collection Bank Account.</w:t>
      </w:r>
    </w:p>
    <w:p>
      <w:pPr>
        <w:sectPr>
          <w:pgSz w:w="11900" w:h="16838" w:orient="portrait"/>
          <w:cols w:equalWidth="0" w:num="1">
            <w:col w:w="11240"/>
          </w:cols>
          <w:pgMar w:left="320" w:top="121" w:right="339" w:bottom="16"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Subject to Clause 0 (</w:t>
      </w:r>
      <w:r>
        <w:rPr>
          <w:rFonts w:ascii="Arial" w:cs="Arial" w:eastAsia="Arial" w:hAnsi="Arial"/>
          <w:sz w:val="16"/>
          <w:szCs w:val="16"/>
          <w:i w:val="1"/>
          <w:iCs w:val="1"/>
          <w:color w:val="auto"/>
        </w:rPr>
        <w:t>6.6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Collection Bank </w:t>
      </w:r>
      <w:r>
        <w:rPr>
          <w:rFonts w:ascii="Arial" w:cs="Arial" w:eastAsia="Arial" w:hAnsi="Arial"/>
          <w:sz w:val="18"/>
          <w:szCs w:val="18"/>
          <w:b w:val="1"/>
          <w:bCs w:val="1"/>
          <w:color w:val="auto"/>
        </w:rPr>
        <w:t>Accounts</w:t>
      </w:r>
      <w:r>
        <w:rPr>
          <w:rFonts w:ascii="Arial" w:cs="Arial" w:eastAsia="Arial" w:hAnsi="Arial"/>
          <w:sz w:val="18"/>
          <w:szCs w:val="18"/>
          <w:color w:val="auto"/>
        </w:rPr>
        <w:t>) below, the Collateral Agent and the Company acknowledge and agree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application of amounts standing to the credit of any Collection Bank Account shall be governed by the terms of the Loan Agreement and the Intercreditor Agreement.</w:t>
      </w:r>
    </w:p>
    <w:p>
      <w:pPr>
        <w:spacing w:after="0" w:line="180" w:lineRule="exact"/>
        <w:rPr>
          <w:sz w:val="20"/>
          <w:szCs w:val="20"/>
          <w:color w:val="auto"/>
        </w:rPr>
      </w:pPr>
    </w:p>
    <w:p>
      <w:pPr>
        <w:sectPr>
          <w:pgSz w:w="11900" w:h="16838" w:orient="portrait"/>
          <w:cols w:equalWidth="0" w:num="3">
            <w:col w:w="860" w:space="460"/>
            <w:col w:w="1860" w:space="720"/>
            <w:col w:w="7340"/>
          </w:cols>
          <w:pgMar w:left="320" w:top="121" w:right="339" w:bottom="16" w:gutter="0" w:footer="0" w:header="0"/>
          <w:type w:val="continuous"/>
        </w:sectPr>
      </w:pPr>
    </w:p>
    <w:p>
      <w:pPr>
        <w:ind w:left="1300" w:hanging="644"/>
        <w:spacing w:after="0"/>
        <w:tabs>
          <w:tab w:leader="none" w:pos="130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The Company shall not be entitled to:</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make, or direct the making of, any payments or withdrawals from any Collection Bank Account;</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direct the Collection Account Banks as regards the operation of any Collection Bank Account (whether as to payments from the Collection Bank Accounts or otherwise howsoever); and/or</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close any of its Collection Bank Accounts or agree to any variation of the rights or terms and conditions attaching to any of its Collection Bank Accounts,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without the prior written consent of the Collateral Agent (acting in its absolute discretion).</w:t>
      </w:r>
    </w:p>
    <w:p>
      <w:pPr>
        <w:spacing w:after="0" w:line="227" w:lineRule="exact"/>
        <w:rPr>
          <w:sz w:val="20"/>
          <w:szCs w:val="20"/>
          <w:color w:val="auto"/>
        </w:rPr>
      </w:pPr>
    </w:p>
    <w:p>
      <w:pPr>
        <w:ind w:left="1300" w:right="20" w:hanging="644"/>
        <w:spacing w:after="0" w:line="277" w:lineRule="auto"/>
        <w:tabs>
          <w:tab w:leader="none" w:pos="13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Company shall as soon as reasonably practicable after becoming aware of any change in any identifying details of any of its Collection Bank Accounts (including its account number and sort code), provide details thereof to the Collateral Agent.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Company irrevocably and unconditionally authorises the Collateral Agent, without prior notice, from time to time to debit any Collection Bank Account in accordance with the terms of the Loan Agreement.</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Company shall, promptly after execution of this Deed, execute and deliver to the Collateral Agent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187"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690"/>
        </w:numPr>
        <w:rPr>
          <w:rFonts w:ascii="Arial" w:cs="Arial" w:eastAsia="Arial" w:hAnsi="Arial"/>
          <w:sz w:val="16"/>
          <w:szCs w:val="16"/>
          <w:color w:val="auto"/>
        </w:rPr>
      </w:pPr>
      <w:r>
        <w:rPr>
          <w:rFonts w:ascii="Arial" w:cs="Arial" w:eastAsia="Arial" w:hAnsi="Arial"/>
          <w:sz w:val="16"/>
          <w:szCs w:val="16"/>
          <w:color w:val="auto"/>
        </w:rPr>
        <w:t>On the date of opening or acquiring a Collection Bank Account, serve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b w:val="1"/>
          <w:bCs w:val="1"/>
          <w:color w:val="auto"/>
        </w:rPr>
        <w:t>General Bank Accounts</w:t>
      </w:r>
    </w:p>
    <w:p>
      <w:pPr>
        <w:sectPr>
          <w:pgSz w:w="11900" w:h="16838" w:orient="portrait"/>
          <w:cols w:equalWidth="0" w:num="1">
            <w:col w:w="11240"/>
          </w:cols>
          <w:pgMar w:left="320" w:top="121" w:right="339" w:bottom="16" w:gutter="0" w:footer="0" w:header="0"/>
          <w:type w:val="continuous"/>
        </w:sectPr>
      </w:pPr>
    </w:p>
    <w:bookmarkStart w:id="588" w:name="page589"/>
    <w:bookmarkEnd w:id="588"/>
    <w:p>
      <w:pPr>
        <w:jc w:val="both"/>
        <w:ind w:left="660"/>
        <w:spacing w:after="0" w:line="261" w:lineRule="auto"/>
        <w:rPr>
          <w:sz w:val="20"/>
          <w:szCs w:val="20"/>
          <w:color w:val="auto"/>
        </w:rPr>
      </w:pPr>
      <w:r>
        <w:rPr>
          <w:rFonts w:ascii="Arial" w:cs="Arial" w:eastAsia="Arial" w:hAnsi="Arial"/>
          <w:sz w:val="22"/>
          <w:szCs w:val="22"/>
          <w:color w:val="auto"/>
        </w:rPr>
        <w:t>Upon (and following) the occurrence of any Enforcement Event the Company shall, upon receipt of notice from the Collateral Agent, (a) cease to be entitled to make, or direct the making of, any payments or withdrawals from any General Bank Account without the prior written consent of the Collateral Agent and (b) cease to be entitled to direct the General Account Banks as regards the operation of the Accounts (whether as to payments from the Accounts or otherwise howsoever).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b w:val="1"/>
          <w:bCs w:val="1"/>
          <w:color w:val="auto"/>
        </w:rPr>
        <w:t>Full Title Guarantee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mortgage, assignment, charge or other disposition in favour of the Collateral Agent referred to in the previous</w:t>
      </w:r>
    </w:p>
    <w:p>
      <w:pPr>
        <w:spacing w:after="0" w:line="56"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22"/>
          <w:szCs w:val="22"/>
          <w:color w:val="auto"/>
        </w:rPr>
        <w:t>provisions of this Clause 0 (</w:t>
      </w:r>
      <w:r>
        <w:rPr>
          <w:rFonts w:ascii="Arial" w:cs="Arial" w:eastAsia="Arial" w:hAnsi="Arial"/>
          <w:sz w:val="22"/>
          <w:szCs w:val="22"/>
          <w:i w:val="1"/>
          <w:iCs w:val="1"/>
          <w:color w:val="auto"/>
        </w:rPr>
        <w:t>6.</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w:t>
      </w:r>
      <w:r>
        <w:rPr>
          <w:rFonts w:ascii="Arial" w:cs="Arial" w:eastAsia="Arial" w:hAnsi="Arial"/>
          <w:sz w:val="22"/>
          <w:szCs w:val="22"/>
          <w:color w:val="auto"/>
        </w:rPr>
        <w:t>) is made with full title guarantee in accordance with the Law of Property (Miscellaneous Provisions) Act 1994.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6.9</w:t>
            </w:r>
          </w:p>
        </w:tc>
        <w:tc>
          <w:tcPr>
            <w:tcW w:w="62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Excluded Property</w:t>
            </w:r>
          </w:p>
        </w:tc>
        <w:tc>
          <w:tcPr>
            <w:tcW w:w="4600" w:type="dxa"/>
            <w:vAlign w:val="bottom"/>
          </w:tcPr>
          <w:p>
            <w:pPr>
              <w:spacing w:after="0"/>
              <w:rPr>
                <w:sz w:val="20"/>
                <w:szCs w:val="20"/>
                <w:color w:val="auto"/>
              </w:rPr>
            </w:pPr>
          </w:p>
        </w:tc>
      </w:tr>
      <w:tr>
        <w:trPr>
          <w:trHeight w:val="472"/>
        </w:trPr>
        <w:tc>
          <w:tcPr>
            <w:tcW w:w="440" w:type="dxa"/>
            <w:vAlign w:val="bottom"/>
          </w:tcPr>
          <w:p>
            <w:pPr>
              <w:spacing w:after="0"/>
              <w:rPr>
                <w:sz w:val="24"/>
                <w:szCs w:val="24"/>
                <w:color w:val="auto"/>
              </w:rPr>
            </w:pPr>
          </w:p>
        </w:tc>
        <w:tc>
          <w:tcPr>
            <w:tcW w:w="6200" w:type="dxa"/>
            <w:vAlign w:val="bottom"/>
            <w:gridSpan w:val="2"/>
          </w:tcPr>
          <w:p>
            <w:pPr>
              <w:ind w:left="220"/>
              <w:spacing w:after="0"/>
              <w:rPr>
                <w:sz w:val="20"/>
                <w:szCs w:val="20"/>
                <w:color w:val="auto"/>
              </w:rPr>
            </w:pPr>
            <w:r>
              <w:rPr>
                <w:rFonts w:ascii="Arial" w:cs="Arial" w:eastAsia="Arial" w:hAnsi="Arial"/>
                <w:sz w:val="22"/>
                <w:szCs w:val="22"/>
                <w:color w:val="auto"/>
                <w:w w:val="93"/>
              </w:rPr>
              <w:t>There shall be excluded from the security created by Clause 0 (</w:t>
            </w:r>
            <w:r>
              <w:rPr>
                <w:rFonts w:ascii="Arial" w:cs="Arial" w:eastAsia="Arial" w:hAnsi="Arial"/>
                <w:sz w:val="22"/>
                <w:szCs w:val="22"/>
                <w:i w:val="1"/>
                <w:iCs w:val="1"/>
                <w:color w:val="auto"/>
                <w:w w:val="93"/>
              </w:rPr>
              <w:t>6.</w:t>
            </w:r>
          </w:p>
        </w:tc>
        <w:tc>
          <w:tcPr>
            <w:tcW w:w="4600" w:type="dxa"/>
            <w:vAlign w:val="bottom"/>
          </w:tcPr>
          <w:p>
            <w:pPr>
              <w:ind w:left="280"/>
              <w:spacing w:after="0"/>
              <w:rPr>
                <w:sz w:val="20"/>
                <w:szCs w:val="20"/>
                <w:color w:val="auto"/>
              </w:rPr>
            </w:pPr>
            <w:r>
              <w:rPr>
                <w:rFonts w:ascii="Arial" w:cs="Arial" w:eastAsia="Arial" w:hAnsi="Arial"/>
                <w:sz w:val="22"/>
                <w:szCs w:val="22"/>
                <w:b w:val="1"/>
                <w:bCs w:val="1"/>
                <w:color w:val="auto"/>
                <w:w w:val="92"/>
              </w:rPr>
              <w:t>SECURITY</w:t>
            </w:r>
            <w:r>
              <w:rPr>
                <w:rFonts w:ascii="Arial" w:cs="Arial" w:eastAsia="Arial" w:hAnsi="Arial"/>
                <w:sz w:val="22"/>
                <w:szCs w:val="22"/>
                <w:color w:val="auto"/>
                <w:w w:val="92"/>
              </w:rPr>
              <w:t>) and from the operation of Clause 0</w:t>
            </w:r>
          </w:p>
        </w:tc>
      </w:tr>
      <w:tr>
        <w:trPr>
          <w:trHeight w:val="280"/>
        </w:trPr>
        <w:tc>
          <w:tcPr>
            <w:tcW w:w="44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w:t>
            </w:r>
          </w:p>
        </w:tc>
        <w:tc>
          <w:tcPr>
            <w:tcW w:w="9980" w:type="dxa"/>
            <w:vAlign w:val="bottom"/>
            <w:gridSpan w:val="2"/>
          </w:tcPr>
          <w:p>
            <w:pPr>
              <w:ind w:left="280"/>
              <w:spacing w:after="0"/>
              <w:rPr>
                <w:sz w:val="20"/>
                <w:szCs w:val="20"/>
                <w:color w:val="auto"/>
              </w:rPr>
            </w:pPr>
            <w:r>
              <w:rPr>
                <w:rFonts w:ascii="Arial" w:cs="Arial" w:eastAsia="Arial" w:hAnsi="Arial"/>
                <w:sz w:val="22"/>
                <w:szCs w:val="22"/>
                <w:i w:val="1"/>
                <w:iCs w:val="1"/>
                <w:color w:val="auto"/>
              </w:rPr>
              <w:t xml:space="preserve">Further Assurances, Power of Attorney, </w:t>
            </w:r>
            <w:r>
              <w:rPr>
                <w:rFonts w:ascii="Arial" w:cs="Arial" w:eastAsia="Arial" w:hAnsi="Arial"/>
                <w:sz w:val="22"/>
                <w:szCs w:val="22"/>
                <w:b w:val="1"/>
                <w:bCs w:val="1"/>
                <w:color w:val="auto"/>
              </w:rPr>
              <w:t>ETC.</w:t>
            </w:r>
            <w:r>
              <w:rPr>
                <w:rFonts w:ascii="Arial" w:cs="Arial" w:eastAsia="Arial" w:hAnsi="Arial"/>
                <w:sz w:val="22"/>
                <w:szCs w:val="22"/>
                <w:color w:val="auto"/>
              </w:rPr>
              <w:t>) any Excluded Asset of the Company.</w:t>
            </w:r>
          </w:p>
        </w:tc>
      </w:tr>
    </w:tbl>
    <w:p>
      <w:pPr>
        <w:spacing w:after="0" w:line="201" w:lineRule="exact"/>
        <w:rPr>
          <w:sz w:val="20"/>
          <w:szCs w:val="20"/>
          <w:color w:val="auto"/>
        </w:rPr>
      </w:pPr>
    </w:p>
    <w:p>
      <w:pPr>
        <w:ind w:left="660" w:hanging="652"/>
        <w:spacing w:after="0"/>
        <w:tabs>
          <w:tab w:leader="none" w:pos="660" w:val="left"/>
        </w:tabs>
        <w:numPr>
          <w:ilvl w:val="0"/>
          <w:numId w:val="691"/>
        </w:numPr>
        <w:rPr>
          <w:rFonts w:ascii="Arial" w:cs="Arial" w:eastAsia="Arial" w:hAnsi="Arial"/>
          <w:sz w:val="18"/>
          <w:szCs w:val="18"/>
          <w:color w:val="auto"/>
        </w:rPr>
      </w:pPr>
      <w:r>
        <w:rPr>
          <w:rFonts w:ascii="Arial" w:cs="Arial" w:eastAsia="Arial" w:hAnsi="Arial"/>
          <w:sz w:val="18"/>
          <w:szCs w:val="18"/>
          <w:b w:val="1"/>
          <w:bCs w:val="1"/>
          <w:color w:val="auto"/>
        </w:rPr>
        <w:t>REDEMPTION OF SECURITY</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Payment in Full, the Collateral Agent,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w:t>
      </w:r>
    </w:p>
    <w:p>
      <w:pPr>
        <w:spacing w:after="0" w:line="18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Notwithstanding the foregoing, the obligations of the Company under this Deed shall automatically terminate and the Collateral Agent,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 in each case, to the extent provided in and in accordance with Section 11.01(c) (</w:t>
      </w:r>
      <w:r>
        <w:rPr>
          <w:rFonts w:ascii="Arial" w:cs="Arial" w:eastAsia="Arial" w:hAnsi="Arial"/>
          <w:sz w:val="17"/>
          <w:szCs w:val="17"/>
          <w:i w:val="1"/>
          <w:iCs w:val="1"/>
          <w:color w:val="auto"/>
        </w:rPr>
        <w:t>Waiver; Amendments; Joinder; Release of Guarantors; Release of Collateral</w:t>
      </w:r>
      <w:r>
        <w:rPr>
          <w:rFonts w:ascii="Arial" w:cs="Arial" w:eastAsia="Arial" w:hAnsi="Arial"/>
          <w:sz w:val="17"/>
          <w:szCs w:val="17"/>
          <w:color w:val="auto"/>
        </w:rPr>
        <w:t>) and Section 11.23 (</w:t>
      </w:r>
      <w:r>
        <w:rPr>
          <w:rFonts w:ascii="Arial" w:cs="Arial" w:eastAsia="Arial" w:hAnsi="Arial"/>
          <w:sz w:val="17"/>
          <w:szCs w:val="17"/>
          <w:i w:val="1"/>
          <w:iCs w:val="1"/>
          <w:color w:val="auto"/>
        </w:rPr>
        <w:t>Release of Guarantors</w:t>
      </w:r>
      <w:r>
        <w:rPr>
          <w:rFonts w:ascii="Arial" w:cs="Arial" w:eastAsia="Arial" w:hAnsi="Arial"/>
          <w:sz w:val="17"/>
          <w:szCs w:val="17"/>
          <w:color w:val="auto"/>
        </w:rPr>
        <w:t>) of the Loan Agreement.</w:t>
      </w:r>
    </w:p>
    <w:p>
      <w:pPr>
        <w:spacing w:after="0" w:line="174" w:lineRule="exact"/>
        <w:rPr>
          <w:sz w:val="20"/>
          <w:szCs w:val="20"/>
          <w:color w:val="auto"/>
        </w:rPr>
      </w:pPr>
    </w:p>
    <w:p>
      <w:pPr>
        <w:ind w:left="660" w:hanging="652"/>
        <w:spacing w:after="0"/>
        <w:tabs>
          <w:tab w:leader="none" w:pos="660" w:val="left"/>
        </w:tabs>
        <w:numPr>
          <w:ilvl w:val="0"/>
          <w:numId w:val="692"/>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Company represents and warrants to the Collateral Agent that as of the date of this Deed:</w:t>
      </w:r>
    </w:p>
    <w:p>
      <w:pPr>
        <w:spacing w:after="0" w:line="225" w:lineRule="exact"/>
        <w:rPr>
          <w:sz w:val="20"/>
          <w:szCs w:val="20"/>
          <w:color w:val="auto"/>
        </w:rPr>
      </w:pPr>
    </w:p>
    <w:p>
      <w:pPr>
        <w:ind w:left="1300" w:right="20" w:hanging="644"/>
        <w:spacing w:after="0" w:line="277" w:lineRule="auto"/>
        <w:tabs>
          <w:tab w:leader="none" w:pos="13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it is a limited company duly incorporated and existing under the Companies Act 1948 and has the power and authority to own its Assets and to carry on its business and operations as now conducted;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it has the power to enter into, and perform and comply with all the obligations expressed to be assumed by it under, this Deed, and to create the Charges;</w:t>
      </w:r>
    </w:p>
    <w:p>
      <w:pPr>
        <w:spacing w:after="0" w:line="170"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all corporate authority and any other actions, conditions and things whatsoever required to be obtained, taken, fulfilled and done (including the obtaining of any necessary consents) in order to enable the Company lawfully to enter into, and perform and comply with all the obligations expressed to be assumed by it under, this Deed, to ensure that those obligations are valid, legal, binding and enforceable, to permit the creation of the Charges in accordance with this Deed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the obligations of the Company under this Deed and (subject to all necessary registrations thereof being made) the Charges are valid, legal, binding and enforceable and, in the case of the Charges, have first priority and ranking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2"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693"/>
        </w:numPr>
        <w:rPr>
          <w:rFonts w:ascii="Arial" w:cs="Arial" w:eastAsia="Arial" w:hAnsi="Arial"/>
          <w:sz w:val="16"/>
          <w:szCs w:val="16"/>
          <w:color w:val="auto"/>
        </w:rPr>
      </w:pPr>
      <w:r>
        <w:rPr>
          <w:rFonts w:ascii="Arial" w:cs="Arial" w:eastAsia="Arial" w:hAnsi="Arial"/>
          <w:sz w:val="16"/>
          <w:szCs w:val="16"/>
          <w:color w:val="auto"/>
        </w:rPr>
        <w:t>its entry into, and performance of and compliance with the obligations expressed to be assumed by it under this Deed, and the creation of the Charges under this Deed, do not and will not (i) breach or violate any applicable Requirement of Law, (ii) result in any breach or violation of, or constitute a default under, or result in the creation or imposition of (or the obligation to create or impose) any Lien prohibited under the Loan Agreement upon any of its property or assets pursuant to the terms of any indenture, agreement or other instrument to which it is party or by which any of its property or assets are bound or to which it is subject, except for breaches, violations and defaults that would not have a Material Adverse Effect, or (iii) violate any provision of its organisational documents or by-laws;</w:t>
      </w:r>
    </w:p>
    <w:p>
      <w:pPr>
        <w:spacing w:after="0" w:line="164"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(save to the extent disclosed to the Collateral Agent in writing prior to the date of this Deed) it has good and valid rights in or the power to transfer the Assets expressed to be mortgaged, assigned or charged by it under this Deed;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no Security Interest (other than the Charges) or claim exists on, over or in respect of any of the Assets, except those claims permitted by the Loan Agreement;</w:t>
      </w:r>
    </w:p>
    <w:p>
      <w:pPr>
        <w:spacing w:after="0" w:line="170" w:lineRule="exact"/>
        <w:rPr>
          <w:rFonts w:ascii="Arial" w:cs="Arial" w:eastAsia="Arial" w:hAnsi="Arial"/>
          <w:sz w:val="18"/>
          <w:szCs w:val="18"/>
          <w:color w:val="auto"/>
        </w:rPr>
      </w:pPr>
    </w:p>
    <w:p>
      <w:pPr>
        <w:jc w:val="both"/>
        <w:ind w:left="1300" w:hanging="644"/>
        <w:spacing w:after="0" w:line="221" w:lineRule="exact"/>
        <w:tabs>
          <w:tab w:leader="none" w:pos="1300" w:val="left"/>
        </w:tabs>
        <w:numPr>
          <w:ilvl w:val="0"/>
          <w:numId w:val="693"/>
        </w:numPr>
        <w:rPr>
          <w:rFonts w:ascii="Arial" w:cs="Arial" w:eastAsia="Arial" w:hAnsi="Arial"/>
          <w:sz w:val="16"/>
          <w:szCs w:val="16"/>
          <w:color w:val="auto"/>
        </w:rPr>
      </w:pPr>
      <w:r>
        <w:rPr>
          <w:rFonts w:ascii="Arial" w:cs="Arial" w:eastAsia="Arial" w:hAnsi="Arial"/>
          <w:sz w:val="16"/>
          <w:szCs w:val="16"/>
          <w:color w:val="auto"/>
        </w:rPr>
        <w:t>(save to the extent disclosed to the Collateral Agent in writing prior to the date of this Deed) it has not disposed of or sold or granted any lease, tenancy, option or pre</w:t>
      </w:r>
      <w:r>
        <w:rPr>
          <w:rFonts w:ascii="MS PGothic" w:cs="MS PGothic" w:eastAsia="MS PGothic" w:hAnsi="MS PGothic"/>
          <w:sz w:val="16"/>
          <w:szCs w:val="16"/>
          <w:color w:val="auto"/>
        </w:rPr>
        <w:t>‑</w:t>
      </w:r>
      <w:r>
        <w:rPr>
          <w:rFonts w:ascii="Arial" w:cs="Arial" w:eastAsia="Arial" w:hAnsi="Arial"/>
          <w:sz w:val="16"/>
          <w:szCs w:val="16"/>
          <w:color w:val="auto"/>
        </w:rPr>
        <w:t>emption right over or in respect of, any part of its right, title or interest in, to or in respect of any of the Charged Assets, and it has not agreed to do any of the foregoing, except, in each case, as permitted by the Loan Agreement; and</w:t>
      </w:r>
    </w:p>
    <w:p>
      <w:pPr>
        <w:sectPr>
          <w:pgSz w:w="11900" w:h="16838" w:orient="portrait"/>
          <w:cols w:equalWidth="0" w:num="1">
            <w:col w:w="11240"/>
          </w:cols>
          <w:pgMar w:left="320" w:top="131" w:right="339" w:bottom="0" w:gutter="0" w:footer="0" w:header="0"/>
        </w:sectPr>
      </w:pPr>
    </w:p>
    <w:bookmarkStart w:id="589" w:name="page590"/>
    <w:bookmarkEnd w:id="589"/>
    <w:p>
      <w:pPr>
        <w:spacing w:after="0" w:line="59" w:lineRule="exact"/>
        <w:rPr>
          <w:sz w:val="20"/>
          <w:szCs w:val="20"/>
          <w:color w:val="auto"/>
        </w:rPr>
      </w:pPr>
    </w:p>
    <w:p>
      <w:pPr>
        <w:ind w:left="1300" w:hanging="644"/>
        <w:spacing w:after="0"/>
        <w:tabs>
          <w:tab w:leader="none" w:pos="130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the Company's Centre of Main Interests is in the UK.</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695"/>
        </w:numPr>
        <w:rPr>
          <w:rFonts w:ascii="Arial" w:cs="Arial" w:eastAsia="Arial" w:hAnsi="Arial"/>
          <w:sz w:val="18"/>
          <w:szCs w:val="18"/>
          <w:color w:val="auto"/>
        </w:rPr>
      </w:pPr>
      <w:r>
        <w:rPr>
          <w:rFonts w:ascii="Arial" w:cs="Arial" w:eastAsia="Arial" w:hAnsi="Arial"/>
          <w:sz w:val="18"/>
          <w:szCs w:val="18"/>
          <w:b w:val="1"/>
          <w:bCs w:val="1"/>
          <w:color w:val="auto"/>
        </w:rPr>
        <w:t>COVENANTS RELATING TO ASSETS – PERFECTION, RESTRICTIONS ON DEALINGS, PROTECTION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Documents of Title</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21"/>
          <w:szCs w:val="21"/>
          <w:color w:val="auto"/>
        </w:rPr>
        <w:t>Without prejudice to Clause 0 (</w:t>
      </w:r>
      <w:r>
        <w:rPr>
          <w:rFonts w:ascii="Arial" w:cs="Arial" w:eastAsia="Arial" w:hAnsi="Arial"/>
          <w:sz w:val="21"/>
          <w:szCs w:val="21"/>
          <w:i w:val="1"/>
          <w:iCs w:val="1"/>
          <w:color w:val="auto"/>
        </w:rPr>
        <w:t>14. Further Assurances, Power of Attorney,</w:t>
      </w:r>
      <w:r>
        <w:rPr>
          <w:rFonts w:ascii="Arial" w:cs="Arial" w:eastAsia="Arial" w:hAnsi="Arial"/>
          <w:sz w:val="21"/>
          <w:szCs w:val="21"/>
          <w:color w:val="auto"/>
        </w:rPr>
        <w:t xml:space="preserve"> </w:t>
      </w:r>
      <w:r>
        <w:rPr>
          <w:rFonts w:ascii="Arial" w:cs="Arial" w:eastAsia="Arial" w:hAnsi="Arial"/>
          <w:sz w:val="21"/>
          <w:szCs w:val="21"/>
          <w:b w:val="1"/>
          <w:bCs w:val="1"/>
          <w:color w:val="auto"/>
        </w:rPr>
        <w:t>ETC.</w:t>
      </w:r>
      <w:r>
        <w:rPr>
          <w:rFonts w:ascii="Arial" w:cs="Arial" w:eastAsia="Arial" w:hAnsi="Arial"/>
          <w:sz w:val="21"/>
          <w:szCs w:val="21"/>
          <w:color w:val="auto"/>
        </w:rPr>
        <w:t>) the Company shall, as soon as reasonably practicable, after execution of this Deed (and in any event within 15 Business Days after execution of this Deed or such later date as may be agreed to by the Collateral Agent in its sole discretion) or, if later, promptly upon receipt by it or on its behalf or for its account (and in any event within 15 Business Days after such receipt or such later date as may be agreed to by the Collateral Agent in its sole discretion), by way of security for the Secured Obligations deliver to the Collateral Agent (or any person nominated by the Collateral Agent to hold the same on its behalf including any solicitors) all certificates representing Mortgaged Investments and documents of title, certificates and other documents certificating or evidencing ownership of or otherwise relating to the Mortgaged Investments including transfers of Investments executed in blank.</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Negative Pledge</w:t>
      </w:r>
    </w:p>
    <w:p>
      <w:pPr>
        <w:spacing w:after="0" w:line="229" w:lineRule="exact"/>
        <w:rPr>
          <w:sz w:val="20"/>
          <w:szCs w:val="20"/>
          <w:color w:val="auto"/>
        </w:rPr>
      </w:pPr>
    </w:p>
    <w:p>
      <w:pPr>
        <w:ind w:left="1300" w:hanging="644"/>
        <w:spacing w:after="0" w:line="277" w:lineRule="auto"/>
        <w:tabs>
          <w:tab w:leader="none" w:pos="130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Company may only create, incur, assume or permit to exist a Security Interest on any Charged Asset if it is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The Company may only Dispose of any Charged Asset if it is permitted by Section 8.05 (</w:t>
      </w:r>
      <w:r>
        <w:rPr>
          <w:rFonts w:ascii="Arial" w:cs="Arial" w:eastAsia="Arial" w:hAnsi="Arial"/>
          <w:sz w:val="17"/>
          <w:szCs w:val="17"/>
          <w:i w:val="1"/>
          <w:iCs w:val="1"/>
          <w:color w:val="auto"/>
        </w:rPr>
        <w:t>Asset Dispositions</w:t>
      </w:r>
      <w:r>
        <w:rPr>
          <w:rFonts w:ascii="Arial" w:cs="Arial" w:eastAsia="Arial" w:hAnsi="Arial"/>
          <w:sz w:val="17"/>
          <w:szCs w:val="17"/>
          <w:color w:val="auto"/>
        </w:rPr>
        <w:t>) of the Loan Agreement.</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Assets and Charges Generally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w:t>
      </w:r>
    </w:p>
    <w:p>
      <w:pPr>
        <w:spacing w:after="0" w:line="227" w:lineRule="exact"/>
        <w:rPr>
          <w:sz w:val="20"/>
          <w:szCs w:val="20"/>
          <w:color w:val="auto"/>
        </w:rPr>
      </w:pPr>
    </w:p>
    <w:p>
      <w:pPr>
        <w:ind w:left="1300" w:right="20" w:hanging="644"/>
        <w:spacing w:after="0" w:line="277" w:lineRule="auto"/>
        <w:tabs>
          <w:tab w:leader="none" w:pos="130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make all filings and registrations necessary for the creation, perfection, preservation, protection or maintenance of the Charges except to the extent that the Company is expressly permitted by the Loan Agreement or this Deed not to do so;</w:t>
      </w:r>
    </w:p>
    <w:p>
      <w:pPr>
        <w:spacing w:after="0" w:line="17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use commercially reasonable endeavours to obtain, in form and substance satisfactory to the Collateral Agent (acting reasonably), as soon as practicable and in any event within 45 days of the date of this Deed or, after the date of this Deed, within 45 days of the date of acquisition of any Asset (or, in any such case, such later date as may be agreed to by the Collateral Agent in its sole discretion), any consents necessary to enable all the Assets of the Company to be subject to effective Security Interests pursuant to Clause 0 (</w:t>
      </w:r>
      <w:r>
        <w:rPr>
          <w:rFonts w:ascii="Arial" w:cs="Arial" w:eastAsia="Arial" w:hAnsi="Arial"/>
          <w:sz w:val="18"/>
          <w:szCs w:val="18"/>
          <w:i w:val="1"/>
          <w:iCs w:val="1"/>
          <w:color w:val="auto"/>
        </w:rPr>
        <w:t>6.</w:t>
      </w:r>
      <w:r>
        <w:rPr>
          <w:rFonts w:ascii="Arial" w:cs="Arial" w:eastAsia="Arial" w:hAnsi="Arial"/>
          <w:sz w:val="18"/>
          <w:szCs w:val="18"/>
          <w:b w:val="1"/>
          <w:bCs w:val="1"/>
          <w:color w:val="auto"/>
        </w:rPr>
        <w:t>SECURITY</w:t>
      </w:r>
      <w:r>
        <w:rPr>
          <w:rFonts w:ascii="Arial" w:cs="Arial" w:eastAsia="Arial" w:hAnsi="Arial"/>
          <w:sz w:val="18"/>
          <w:szCs w:val="18"/>
          <w:color w:val="auto"/>
        </w:rPr>
        <w:t>) and the Asset concerned shall immediately upon obtaining any such consent become subject to the fixed Charge under Clause 0 (</w:t>
      </w:r>
      <w:r>
        <w:rPr>
          <w:rFonts w:ascii="Arial" w:cs="Arial" w:eastAsia="Arial" w:hAnsi="Arial"/>
          <w:sz w:val="18"/>
          <w:szCs w:val="18"/>
          <w:i w:val="1"/>
          <w:iCs w:val="1"/>
          <w:color w:val="auto"/>
        </w:rPr>
        <w:t>6.3Fixed</w:t>
      </w:r>
      <w:r>
        <w:rPr>
          <w:rFonts w:ascii="Arial" w:cs="Arial" w:eastAsia="Arial" w:hAnsi="Arial"/>
          <w:sz w:val="18"/>
          <w:szCs w:val="18"/>
          <w:color w:val="auto"/>
        </w:rPr>
        <w:t xml:space="preserve"> </w:t>
      </w:r>
      <w:r>
        <w:rPr>
          <w:rFonts w:ascii="Arial" w:cs="Arial" w:eastAsia="Arial" w:hAnsi="Arial"/>
          <w:sz w:val="18"/>
          <w:szCs w:val="18"/>
          <w:b w:val="1"/>
          <w:bCs w:val="1"/>
          <w:color w:val="auto"/>
        </w:rPr>
        <w:t>Charges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maintain or keep or cause to be kept all of the Charged Assets in good and substantial repair and, where applicable, good working order (wear and tear excepted) so that its business carried on in connection therewith may be conducted in the ordinary course, consistent with past practices, except in each case where the failure to do so, individually or in the aggregate, could not reasonably be expected to have a Material Adverse Effect; and</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in addition and without prejudice to any other provision of this Deed, not do or suffer to be done anything which could materially prejudice the effectiveness of any of the Charges or their priority under this Deed except as permitted by the Loan Agreement or this Deed.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Real Property</w:t>
      </w:r>
    </w:p>
    <w:p>
      <w:pPr>
        <w:sectPr>
          <w:pgSz w:w="11900" w:h="16897" w:orient="portrait"/>
          <w:cols w:equalWidth="0" w:num="1">
            <w:col w:w="11240"/>
          </w:cols>
          <w:pgMar w:left="320" w:top="125" w:right="339" w:bottom="0" w:gutter="0" w:footer="0" w:header="0"/>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addition and without prejudice to the other provisions of this Clause 0 (</w:t>
      </w:r>
      <w:r>
        <w:rPr>
          <w:rFonts w:ascii="Arial" w:cs="Arial" w:eastAsia="Arial" w:hAnsi="Arial"/>
          <w:sz w:val="21"/>
          <w:szCs w:val="21"/>
          <w:i w:val="1"/>
          <w:iCs w:val="1"/>
          <w:color w:val="auto"/>
        </w:rPr>
        <w:t>9.</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ETC.</w:t>
      </w:r>
      <w:r>
        <w:rPr>
          <w:rFonts w:ascii="Arial" w:cs="Arial" w:eastAsia="Arial" w:hAnsi="Arial"/>
          <w:sz w:val="22"/>
          <w:szCs w:val="22"/>
          <w:color w:val="auto"/>
        </w:rPr>
        <w:t>), the Company hereby irrevocably: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firstLine="748"/>
        <w:spacing w:after="0" w:line="358" w:lineRule="auto"/>
        <w:rPr>
          <w:sz w:val="20"/>
          <w:szCs w:val="20"/>
          <w:color w:val="auto"/>
        </w:rPr>
      </w:pPr>
      <w:r>
        <w:rPr>
          <w:rFonts w:ascii="Arial" w:cs="Arial" w:eastAsia="Arial" w:hAnsi="Arial"/>
          <w:sz w:val="19"/>
          <w:szCs w:val="19"/>
          <w:i w:val="1"/>
          <w:iCs w:val="1"/>
          <w:color w:val="auto"/>
        </w:rPr>
        <w:t>Covenants relating to Assets – Further Assurances, Power of Attorney,</w:t>
      </w:r>
    </w:p>
    <w:p>
      <w:pPr>
        <w:spacing w:after="0" w:line="345" w:lineRule="exact"/>
        <w:rPr>
          <w:sz w:val="20"/>
          <w:szCs w:val="20"/>
          <w:color w:val="auto"/>
        </w:rPr>
      </w:pPr>
    </w:p>
    <w:p>
      <w:pPr>
        <w:sectPr>
          <w:pgSz w:w="11900" w:h="16897" w:orient="portrait"/>
          <w:cols w:equalWidth="0" w:num="2">
            <w:col w:w="7620" w:space="120"/>
            <w:col w:w="3500"/>
          </w:cols>
          <w:pgMar w:left="320" w:top="125" w:right="339" w:bottom="0" w:gutter="0" w:footer="0" w:header="0"/>
          <w:type w:val="continuous"/>
        </w:sectPr>
      </w:pPr>
    </w:p>
    <w:p>
      <w:pPr>
        <w:spacing w:after="0" w:line="22" w:lineRule="exact"/>
        <w:rPr>
          <w:sz w:val="20"/>
          <w:szCs w:val="20"/>
          <w:color w:val="auto"/>
        </w:rPr>
      </w:pPr>
    </w:p>
    <w:p>
      <w:pPr>
        <w:ind w:left="1300" w:hanging="644"/>
        <w:spacing w:after="0" w:line="277" w:lineRule="auto"/>
        <w:tabs>
          <w:tab w:leader="none" w:pos="130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consents to the registration of a restriction in the Proprietorship Register relating to the title number or numbers under which the whole or any part of the Legally Mortgaged Property is registered at HM Land Registry in the following terms:</w:t>
      </w:r>
    </w:p>
    <w:p>
      <w:pPr>
        <w:spacing w:after="0" w:line="176" w:lineRule="exact"/>
        <w:rPr>
          <w:rFonts w:ascii="Arial" w:cs="Arial" w:eastAsia="Arial" w:hAnsi="Arial"/>
          <w:sz w:val="18"/>
          <w:szCs w:val="18"/>
          <w:color w:val="auto"/>
        </w:rPr>
      </w:pPr>
    </w:p>
    <w:p>
      <w:pPr>
        <w:jc w:val="both"/>
        <w:ind w:left="1300"/>
        <w:spacing w:after="0" w:line="266" w:lineRule="auto"/>
        <w:rPr>
          <w:rFonts w:ascii="Arial" w:cs="Arial" w:eastAsia="Arial" w:hAnsi="Arial"/>
          <w:sz w:val="18"/>
          <w:szCs w:val="18"/>
          <w:color w:val="auto"/>
        </w:rPr>
      </w:pPr>
      <w:r>
        <w:rPr>
          <w:rFonts w:ascii="Arial" w:cs="Arial" w:eastAsia="Arial" w:hAnsi="Arial"/>
          <w:sz w:val="22"/>
          <w:szCs w:val="22"/>
          <w:color w:val="auto"/>
        </w:rPr>
        <w:t>• "except under an order of the Registrar no disposition or other dealing by the proprietor of the land is to be registered or noted without the written consent of the proprietor for the time being of the charge dated [ * * ] between [ * * ] (1) and [ * * ] (2)";</w:t>
      </w:r>
    </w:p>
    <w:p>
      <w:pPr>
        <w:spacing w:after="0" w:line="178"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consents (in the case of any Real Property forming part of the Charged Assets title to which is registered or registrable at HM Land Registry but which does not form part of the Legally Mortgaged Property) to the registration of an agreed notice by the Collateral Agent against the title or titles under which such Real Property is registered;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authorises the Collateral Agent and/or any solicitors or other agent acting on behalf of the Collateral Agent to complete, execute on the Company's behalf and deliver to H. M. Land Registry any form (including Land Registry form RX1 and AN1), document or other information requested by H. M. Land Registry with regard to either or both of the above.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General Bank Accounts</w:t>
      </w:r>
    </w:p>
    <w:p>
      <w:pPr>
        <w:sectPr>
          <w:pgSz w:w="11900" w:h="16897" w:orient="portrait"/>
          <w:cols w:equalWidth="0" w:num="1">
            <w:col w:w="11240"/>
          </w:cols>
          <w:pgMar w:left="320" w:top="125" w:right="339" w:bottom="0" w:gutter="0" w:footer="0" w:header="0"/>
          <w:type w:val="continuous"/>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Without prejudice and in addition to the other provisions of this Clause 0 (</w:t>
      </w:r>
      <w:r>
        <w:rPr>
          <w:rFonts w:ascii="Arial" w:cs="Arial" w:eastAsia="Arial" w:hAnsi="Arial"/>
          <w:sz w:val="19"/>
          <w:szCs w:val="19"/>
          <w:i w:val="1"/>
          <w:iCs w:val="1"/>
          <w:color w:val="auto"/>
        </w:rPr>
        <w:t>9.</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ETC.</w:t>
      </w:r>
      <w:r>
        <w:rPr>
          <w:rFonts w:ascii="Arial" w:cs="Arial" w:eastAsia="Arial" w:hAnsi="Arial"/>
          <w:sz w:val="22"/>
          <w:szCs w:val="22"/>
          <w:color w:val="auto"/>
        </w:rPr>
        <w:t>) the Company shall: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firstLine="749"/>
        <w:spacing w:after="0" w:line="358" w:lineRule="auto"/>
        <w:rPr>
          <w:sz w:val="20"/>
          <w:szCs w:val="20"/>
          <w:color w:val="auto"/>
        </w:rPr>
      </w:pPr>
      <w:r>
        <w:rPr>
          <w:rFonts w:ascii="Arial" w:cs="Arial" w:eastAsia="Arial" w:hAnsi="Arial"/>
          <w:sz w:val="19"/>
          <w:szCs w:val="19"/>
          <w:i w:val="1"/>
          <w:iCs w:val="1"/>
          <w:color w:val="auto"/>
        </w:rPr>
        <w:t>Covenants relating to Assets – Further Assurances, Power of Attorney,</w:t>
      </w:r>
    </w:p>
    <w:p>
      <w:pPr>
        <w:sectPr>
          <w:pgSz w:w="11900" w:h="16897" w:orient="portrait"/>
          <w:cols w:equalWidth="0" w:num="2">
            <w:col w:w="7640" w:space="100"/>
            <w:col w:w="3500"/>
          </w:cols>
          <w:pgMar w:left="320" w:top="125" w:right="339" w:bottom="0" w:gutter="0" w:footer="0" w:header="0"/>
          <w:type w:val="continuous"/>
        </w:sectPr>
      </w:pPr>
    </w:p>
    <w:bookmarkStart w:id="590" w:name="page591"/>
    <w:bookmarkEnd w:id="590"/>
    <w:p>
      <w:pPr>
        <w:spacing w:after="0" w:line="25" w:lineRule="exact"/>
        <w:rPr>
          <w:sz w:val="20"/>
          <w:szCs w:val="20"/>
          <w:color w:val="auto"/>
        </w:rPr>
      </w:pPr>
    </w:p>
    <w:p>
      <w:pPr>
        <w:jc w:val="both"/>
        <w:ind w:left="1300" w:hanging="644"/>
        <w:spacing w:after="0" w:line="259" w:lineRule="auto"/>
        <w:tabs>
          <w:tab w:leader="none" w:pos="130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promptly after execution of this Deed (or, if later, within 45 days (or such later date as may be agreed to by the Collateral Agent in its sole discretion) of the opening of a new bank account), execute and deliver to the Collateral Agent notices, substantially in the form set out in Part 1 of Schedule 4 (</w:t>
      </w:r>
      <w:r>
        <w:rPr>
          <w:rFonts w:ascii="Arial" w:cs="Arial" w:eastAsia="Arial" w:hAnsi="Arial"/>
          <w:sz w:val="18"/>
          <w:szCs w:val="18"/>
          <w:i w:val="1"/>
          <w:iCs w:val="1"/>
          <w:color w:val="auto"/>
        </w:rPr>
        <w:t>Form of Notice of Charge for General Bank Accounts</w:t>
      </w:r>
      <w:r>
        <w:rPr>
          <w:rFonts w:ascii="Arial" w:cs="Arial" w:eastAsia="Arial" w:hAnsi="Arial"/>
          <w:sz w:val="18"/>
          <w:szCs w:val="18"/>
          <w:color w:val="auto"/>
        </w:rPr>
        <w:t xml:space="preserve"> ) or such other form as the Collateral Agent may reasonably require;</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use its reasonable endeavours to procure that each relevant bank, with whom a General Bank Account is maintained, delivers to the Collateral Agent an acknowledgement in writing substantially in the form attached to such notice provided that if the Company has not been able to obtain such countersignature and acknowledgement, any obligation to comply with this Clause 00 (</w:t>
      </w:r>
      <w:r>
        <w:rPr>
          <w:rFonts w:ascii="Arial" w:cs="Arial" w:eastAsia="Arial" w:hAnsi="Arial"/>
          <w:sz w:val="18"/>
          <w:szCs w:val="18"/>
          <w:i w:val="1"/>
          <w:iCs w:val="1"/>
          <w:color w:val="auto"/>
        </w:rPr>
        <w:t>9.5General Bank</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shall cease after 180 days of the service of the relevant notice; and</w:t>
      </w:r>
    </w:p>
    <w:p>
      <w:pPr>
        <w:spacing w:after="0" w:line="18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699"/>
        </w:numPr>
        <w:rPr>
          <w:rFonts w:ascii="Arial" w:cs="Arial" w:eastAsia="Arial" w:hAnsi="Arial"/>
          <w:sz w:val="17"/>
          <w:szCs w:val="17"/>
          <w:color w:val="auto"/>
        </w:rPr>
      </w:pPr>
      <w:r>
        <w:rPr>
          <w:rFonts w:ascii="Arial" w:cs="Arial" w:eastAsia="Arial" w:hAnsi="Arial"/>
          <w:sz w:val="17"/>
          <w:szCs w:val="17"/>
          <w:color w:val="auto"/>
        </w:rPr>
        <w:t>save with the prior written consent of the Collateral Agent or as may be permitted under the Loan Agreement, the Company shall not assign or otherwise dispose of any rights, title or interest in any General Bank Account (and no right, title or interest in relation to any such account or credit balance maintained with the Collateral Agent shall be capable of assignment or disposal).</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5"/>
          <w:szCs w:val="15"/>
          <w:b w:val="1"/>
          <w:bCs w:val="1"/>
          <w:color w:val="auto"/>
        </w:rPr>
        <w:t>Insurance Policies</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Company will, promptly after execution of this Deed (or, if later, within 45 days (or such later date as may be agreed to by the Collateral Agent in its sole discretion) of the Company obtaining new Insurance Policy), execute and deliver to the Collateral Agent (or procure delivery of) a notice of assignment substantially in the form set out in Schedule 6 (</w:t>
      </w:r>
      <w:r>
        <w:rPr>
          <w:rFonts w:ascii="Arial" w:cs="Arial" w:eastAsia="Arial" w:hAnsi="Arial"/>
          <w:sz w:val="18"/>
          <w:szCs w:val="18"/>
          <w:i w:val="1"/>
          <w:iCs w:val="1"/>
          <w:color w:val="auto"/>
        </w:rPr>
        <w:t>Form of Notice of Charge of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respect of each Insurance Policy detailed at Schedule 3 (Insurance</w:t>
      </w:r>
      <w:r>
        <w:rPr>
          <w:rFonts w:ascii="Arial" w:cs="Arial" w:eastAsia="Arial" w:hAnsi="Arial"/>
          <w:sz w:val="18"/>
          <w:szCs w:val="18"/>
          <w:i w:val="1"/>
          <w:iCs w:val="1"/>
          <w:color w:val="auto"/>
        </w:rPr>
        <w:t xml:space="preserve"> Policies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 each case, the Company shall use reasonable endeavours to procure that such insurer signs and delivers to the Collateral Agent an acknowledgement substantially in the form set out in Schedule 6 (</w:t>
      </w:r>
      <w:r>
        <w:rPr>
          <w:rFonts w:ascii="Arial" w:cs="Arial" w:eastAsia="Arial" w:hAnsi="Arial"/>
          <w:sz w:val="18"/>
          <w:szCs w:val="18"/>
          <w:i w:val="1"/>
          <w:iCs w:val="1"/>
          <w:color w:val="auto"/>
        </w:rPr>
        <w:t>Form of Notice of Charge of Insurance Policies</w:t>
      </w:r>
      <w:r>
        <w:rPr>
          <w:rFonts w:ascii="Arial" w:cs="Arial" w:eastAsia="Arial" w:hAnsi="Arial"/>
          <w:sz w:val="18"/>
          <w:szCs w:val="18"/>
          <w:color w:val="auto"/>
        </w:rPr>
        <w:t xml:space="preserve">) within twenty Business Days of such service </w:t>
      </w:r>
      <w:r>
        <w:rPr>
          <w:rFonts w:ascii="Arial" w:cs="Arial" w:eastAsia="Arial" w:hAnsi="Arial"/>
          <w:sz w:val="18"/>
          <w:szCs w:val="18"/>
          <w:i w:val="1"/>
          <w:iCs w:val="1"/>
          <w:color w:val="auto"/>
        </w:rPr>
        <w:t>provided that</w:t>
      </w:r>
      <w:r>
        <w:rPr>
          <w:rFonts w:ascii="Arial" w:cs="Arial" w:eastAsia="Arial" w:hAnsi="Arial"/>
          <w:sz w:val="18"/>
          <w:szCs w:val="18"/>
          <w:color w:val="auto"/>
        </w:rPr>
        <w:t>, if the relevant Company has not been able to obtain such acknowledgment from the relevant insurer any obligation to comply with this Clause shall cease twenty Business Days following the date of service of the relevant Notice of Assignment.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5"/>
          <w:szCs w:val="15"/>
          <w:b w:val="1"/>
          <w:bCs w:val="1"/>
          <w:color w:val="auto"/>
        </w:rPr>
        <w:t>Assigned Agreements</w:t>
      </w:r>
    </w:p>
    <w:p>
      <w:pPr>
        <w:spacing w:after="0" w:line="235"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The Company will, promptly after execution of this Deed (or, if later, within 45 days (or such later date as may be agreed to by the Collateral Agent in its sole discretion) of receipt by the Company of an executed copy of any Assigned Agreement) deliver to the Collateral Agent an executed but undated counterparty notice, in the form set out in Schedule 5 (</w:t>
      </w:r>
      <w:r>
        <w:rPr>
          <w:rFonts w:ascii="Arial" w:cs="Arial" w:eastAsia="Arial" w:hAnsi="Arial"/>
          <w:sz w:val="22"/>
          <w:szCs w:val="22"/>
          <w:i w:val="1"/>
          <w:iCs w:val="1"/>
          <w:color w:val="auto"/>
        </w:rPr>
        <w:t>Form of Notice of Charge of Assigned Agreements</w:t>
      </w:r>
      <w:r>
        <w:rPr>
          <w:rFonts w:ascii="Arial" w:cs="Arial" w:eastAsia="Arial" w:hAnsi="Arial"/>
          <w:sz w:val="22"/>
          <w:szCs w:val="22"/>
          <w:color w:val="auto"/>
        </w:rPr>
        <w:t>) and hereby irrevocably authorises the Collateral Agent to serve each such notice of Assigned Agreement on the relevant counterparty upon the occurrence of an Enforcement Event which is continuing.</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b w:val="1"/>
          <w:bCs w:val="1"/>
          <w:color w:val="auto"/>
        </w:rPr>
        <w:t>Charged Book Debts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0" w:type="dxa"/>
            <w:vAlign w:val="bottom"/>
          </w:tcPr>
          <w:p>
            <w:pPr>
              <w:spacing w:after="0"/>
              <w:rPr>
                <w:sz w:val="22"/>
                <w:szCs w:val="22"/>
                <w:color w:val="auto"/>
              </w:rPr>
            </w:pPr>
          </w:p>
        </w:tc>
        <w:tc>
          <w:tcPr>
            <w:tcW w:w="7240" w:type="dxa"/>
            <w:vAlign w:val="bottom"/>
            <w:gridSpan w:val="3"/>
          </w:tcPr>
          <w:p>
            <w:pPr>
              <w:ind w:left="220"/>
              <w:spacing w:after="0"/>
              <w:rPr>
                <w:sz w:val="20"/>
                <w:szCs w:val="20"/>
                <w:color w:val="auto"/>
              </w:rPr>
            </w:pPr>
            <w:r>
              <w:rPr>
                <w:rFonts w:ascii="Arial" w:cs="Arial" w:eastAsia="Arial" w:hAnsi="Arial"/>
                <w:sz w:val="22"/>
                <w:szCs w:val="22"/>
                <w:color w:val="auto"/>
                <w:w w:val="95"/>
              </w:rPr>
              <w:t>Without prejudice and in addition to the other provisions of this Clause 0 (</w:t>
            </w:r>
            <w:r>
              <w:rPr>
                <w:rFonts w:ascii="Arial" w:cs="Arial" w:eastAsia="Arial" w:hAnsi="Arial"/>
                <w:sz w:val="22"/>
                <w:szCs w:val="22"/>
                <w:i w:val="1"/>
                <w:iCs w:val="1"/>
                <w:color w:val="auto"/>
                <w:w w:val="95"/>
              </w:rPr>
              <w:t>9.</w:t>
            </w:r>
          </w:p>
        </w:tc>
        <w:tc>
          <w:tcPr>
            <w:tcW w:w="3560" w:type="dxa"/>
            <w:vAlign w:val="bottom"/>
          </w:tcPr>
          <w:p>
            <w:pPr>
              <w:ind w:left="800"/>
              <w:spacing w:after="0"/>
              <w:rPr>
                <w:sz w:val="20"/>
                <w:szCs w:val="20"/>
                <w:color w:val="auto"/>
              </w:rPr>
            </w:pPr>
            <w:r>
              <w:rPr>
                <w:rFonts w:ascii="Arial" w:cs="Arial" w:eastAsia="Arial" w:hAnsi="Arial"/>
                <w:sz w:val="22"/>
                <w:szCs w:val="22"/>
                <w:i w:val="1"/>
                <w:iCs w:val="1"/>
                <w:color w:val="auto"/>
                <w:w w:val="91"/>
              </w:rPr>
              <w:t>Covenants relating to Assets –</w:t>
            </w:r>
          </w:p>
        </w:tc>
      </w:tr>
      <w:tr>
        <w:trPr>
          <w:trHeight w:val="270"/>
        </w:trPr>
        <w:tc>
          <w:tcPr>
            <w:tcW w:w="440" w:type="dxa"/>
            <w:vAlign w:val="bottom"/>
          </w:tcPr>
          <w:p>
            <w:pPr>
              <w:spacing w:after="0"/>
              <w:rPr>
                <w:sz w:val="23"/>
                <w:szCs w:val="23"/>
                <w:color w:val="auto"/>
              </w:rPr>
            </w:pPr>
          </w:p>
        </w:tc>
        <w:tc>
          <w:tcPr>
            <w:tcW w:w="7240" w:type="dxa"/>
            <w:vAlign w:val="bottom"/>
            <w:gridSpan w:val="3"/>
          </w:tcPr>
          <w:p>
            <w:pPr>
              <w:ind w:left="22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tc>
        <w:tc>
          <w:tcPr>
            <w:tcW w:w="3560" w:type="dxa"/>
            <w:vAlign w:val="bottom"/>
          </w:tcPr>
          <w:p>
            <w:pPr>
              <w:ind w:left="60"/>
              <w:spacing w:after="0"/>
              <w:rPr>
                <w:sz w:val="20"/>
                <w:szCs w:val="20"/>
                <w:color w:val="auto"/>
              </w:rPr>
            </w:pPr>
            <w:r>
              <w:rPr>
                <w:rFonts w:ascii="Arial" w:cs="Arial" w:eastAsia="Arial" w:hAnsi="Arial"/>
                <w:sz w:val="22"/>
                <w:szCs w:val="22"/>
                <w:i w:val="1"/>
                <w:iCs w:val="1"/>
                <w:color w:val="auto"/>
                <w:w w:val="90"/>
              </w:rPr>
              <w:t>Further Assurances, Power of Attorney,</w:t>
            </w:r>
          </w:p>
        </w:tc>
      </w:tr>
      <w:tr>
        <w:trPr>
          <w:trHeight w:val="276"/>
        </w:trPr>
        <w:tc>
          <w:tcPr>
            <w:tcW w:w="440" w:type="dxa"/>
            <w:vAlign w:val="bottom"/>
          </w:tcPr>
          <w:p>
            <w:pPr>
              <w:spacing w:after="0"/>
              <w:rPr>
                <w:sz w:val="24"/>
                <w:szCs w:val="24"/>
                <w:color w:val="auto"/>
              </w:rPr>
            </w:pPr>
          </w:p>
        </w:tc>
        <w:tc>
          <w:tcPr>
            <w:tcW w:w="10800" w:type="dxa"/>
            <w:vAlign w:val="bottom"/>
            <w:gridSpan w:val="4"/>
          </w:tcPr>
          <w:p>
            <w:pPr>
              <w:ind w:left="220"/>
              <w:spacing w:after="0"/>
              <w:rPr>
                <w:sz w:val="20"/>
                <w:szCs w:val="20"/>
                <w:color w:val="auto"/>
              </w:rPr>
            </w:pPr>
            <w:r>
              <w:rPr>
                <w:rFonts w:ascii="Arial" w:cs="Arial" w:eastAsia="Arial" w:hAnsi="Arial"/>
                <w:sz w:val="22"/>
                <w:szCs w:val="22"/>
                <w:b w:val="1"/>
                <w:bCs w:val="1"/>
                <w:color w:val="auto"/>
                <w:w w:val="93"/>
              </w:rPr>
              <w:t>ETC.</w:t>
            </w:r>
            <w:r>
              <w:rPr>
                <w:rFonts w:ascii="Arial" w:cs="Arial" w:eastAsia="Arial" w:hAnsi="Arial"/>
                <w:sz w:val="22"/>
                <w:szCs w:val="22"/>
                <w:color w:val="auto"/>
                <w:w w:val="93"/>
              </w:rPr>
              <w:t>), at any time after an Enforcement Event occurs the Company shall deliver to the Collateral Agent promptly on</w:t>
            </w:r>
          </w:p>
        </w:tc>
      </w:tr>
      <w:tr>
        <w:trPr>
          <w:trHeight w:val="274"/>
        </w:trPr>
        <w:tc>
          <w:tcPr>
            <w:tcW w:w="440" w:type="dxa"/>
            <w:vAlign w:val="bottom"/>
          </w:tcPr>
          <w:p>
            <w:pPr>
              <w:spacing w:after="0"/>
              <w:rPr>
                <w:sz w:val="23"/>
                <w:szCs w:val="23"/>
                <w:color w:val="auto"/>
              </w:rPr>
            </w:pPr>
          </w:p>
        </w:tc>
        <w:tc>
          <w:tcPr>
            <w:tcW w:w="10800" w:type="dxa"/>
            <w:vAlign w:val="bottom"/>
            <w:gridSpan w:val="4"/>
          </w:tcPr>
          <w:p>
            <w:pPr>
              <w:ind w:left="220"/>
              <w:spacing w:after="0"/>
              <w:rPr>
                <w:sz w:val="20"/>
                <w:szCs w:val="20"/>
                <w:color w:val="auto"/>
              </w:rPr>
            </w:pPr>
            <w:r>
              <w:rPr>
                <w:rFonts w:ascii="Arial" w:cs="Arial" w:eastAsia="Arial" w:hAnsi="Arial"/>
                <w:sz w:val="22"/>
                <w:szCs w:val="22"/>
                <w:color w:val="auto"/>
                <w:w w:val="90"/>
              </w:rPr>
              <w:t>reasonable request such documents relating to such of the Book Debts as the Collateral Agent may reasonably specify.</w:t>
            </w:r>
          </w:p>
        </w:tc>
      </w:tr>
      <w:tr>
        <w:trPr>
          <w:trHeight w:val="43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9.9</w:t>
            </w:r>
          </w:p>
        </w:tc>
        <w:tc>
          <w:tcPr>
            <w:tcW w:w="7240" w:type="dxa"/>
            <w:vAlign w:val="bottom"/>
            <w:gridSpan w:val="3"/>
          </w:tcPr>
          <w:p>
            <w:pPr>
              <w:ind w:left="220"/>
              <w:spacing w:after="0"/>
              <w:rPr>
                <w:sz w:val="20"/>
                <w:szCs w:val="20"/>
                <w:color w:val="auto"/>
              </w:rPr>
            </w:pPr>
            <w:r>
              <w:rPr>
                <w:rFonts w:ascii="Arial" w:cs="Arial" w:eastAsia="Arial" w:hAnsi="Arial"/>
                <w:sz w:val="18"/>
                <w:szCs w:val="18"/>
                <w:b w:val="1"/>
                <w:bCs w:val="1"/>
                <w:color w:val="auto"/>
              </w:rPr>
              <w:t>Mortgaged Investments</w:t>
            </w:r>
          </w:p>
        </w:tc>
        <w:tc>
          <w:tcPr>
            <w:tcW w:w="3560" w:type="dxa"/>
            <w:vAlign w:val="bottom"/>
          </w:tcPr>
          <w:p>
            <w:pPr>
              <w:spacing w:after="0"/>
              <w:rPr>
                <w:sz w:val="24"/>
                <w:szCs w:val="24"/>
                <w:color w:val="auto"/>
              </w:rPr>
            </w:pPr>
          </w:p>
        </w:tc>
      </w:tr>
      <w:tr>
        <w:trPr>
          <w:trHeight w:val="414"/>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(a)</w:t>
            </w:r>
          </w:p>
        </w:tc>
        <w:tc>
          <w:tcPr>
            <w:tcW w:w="10160" w:type="dxa"/>
            <w:vAlign w:val="bottom"/>
            <w:gridSpan w:val="3"/>
          </w:tcPr>
          <w:p>
            <w:pPr>
              <w:ind w:left="220"/>
              <w:spacing w:after="0"/>
              <w:rPr>
                <w:sz w:val="20"/>
                <w:szCs w:val="20"/>
                <w:color w:val="auto"/>
              </w:rPr>
            </w:pPr>
            <w:r>
              <w:rPr>
                <w:rFonts w:ascii="Arial" w:cs="Arial" w:eastAsia="Arial" w:hAnsi="Arial"/>
                <w:sz w:val="18"/>
                <w:szCs w:val="18"/>
                <w:color w:val="auto"/>
                <w:w w:val="93"/>
              </w:rPr>
              <w:t>Without prejudice and in addition to the other provisions of this Clause 0 (</w:t>
            </w:r>
            <w:r>
              <w:rPr>
                <w:rFonts w:ascii="Arial" w:cs="Arial" w:eastAsia="Arial" w:hAnsi="Arial"/>
                <w:sz w:val="18"/>
                <w:szCs w:val="18"/>
                <w:i w:val="1"/>
                <w:iCs w:val="1"/>
                <w:color w:val="auto"/>
                <w:w w:val="93"/>
              </w:rPr>
              <w:t>9.Covenants relating to Assets – Perfection, Restrictions on</w:t>
            </w:r>
          </w:p>
        </w:tc>
      </w:tr>
      <w:tr>
        <w:trPr>
          <w:trHeight w:val="220"/>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Arial" w:cs="Arial" w:eastAsia="Arial" w:hAnsi="Arial"/>
                <w:sz w:val="18"/>
                <w:szCs w:val="18"/>
                <w:i w:val="1"/>
                <w:iCs w:val="1"/>
                <w:color w:val="auto"/>
                <w:w w:val="98"/>
              </w:rPr>
              <w:t xml:space="preserve">Dealings, </w:t>
            </w:r>
            <w:r>
              <w:rPr>
                <w:rFonts w:ascii="Arial" w:cs="Arial" w:eastAsia="Arial" w:hAnsi="Arial"/>
                <w:sz w:val="18"/>
                <w:szCs w:val="18"/>
                <w:b w:val="1"/>
                <w:bCs w:val="1"/>
                <w:color w:val="auto"/>
                <w:w w:val="98"/>
              </w:rPr>
              <w:t>PROTECTION</w:t>
            </w:r>
            <w:r>
              <w:rPr>
                <w:rFonts w:ascii="Arial" w:cs="Arial" w:eastAsia="Arial" w:hAnsi="Arial"/>
                <w:sz w:val="18"/>
                <w:szCs w:val="18"/>
                <w:color w:val="auto"/>
                <w:w w:val="98"/>
              </w:rPr>
              <w:t>) and Clause 0 (</w:t>
            </w:r>
            <w:r>
              <w:rPr>
                <w:rFonts w:ascii="Arial" w:cs="Arial" w:eastAsia="Arial" w:hAnsi="Arial"/>
                <w:sz w:val="18"/>
                <w:szCs w:val="18"/>
                <w:i w:val="1"/>
                <w:iCs w:val="1"/>
                <w:color w:val="auto"/>
                <w:w w:val="98"/>
              </w:rPr>
              <w:t xml:space="preserve">14.Further Assurances, Power of Attorney, </w:t>
            </w:r>
            <w:r>
              <w:rPr>
                <w:rFonts w:ascii="Arial" w:cs="Arial" w:eastAsia="Arial" w:hAnsi="Arial"/>
                <w:sz w:val="18"/>
                <w:szCs w:val="18"/>
                <w:b w:val="1"/>
                <w:bCs w:val="1"/>
                <w:color w:val="auto"/>
                <w:w w:val="98"/>
              </w:rPr>
              <w:t>ETC.</w:t>
            </w:r>
            <w:r>
              <w:rPr>
                <w:rFonts w:ascii="Arial" w:cs="Arial" w:eastAsia="Arial" w:hAnsi="Arial"/>
                <w:sz w:val="18"/>
                <w:szCs w:val="18"/>
                <w:color w:val="auto"/>
                <w:w w:val="98"/>
              </w:rPr>
              <w:t>), the Company shall deposit with the</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0" w:type="dxa"/>
            <w:vAlign w:val="bottom"/>
            <w:gridSpan w:val="2"/>
          </w:tcPr>
          <w:p>
            <w:pPr>
              <w:ind w:left="220"/>
              <w:spacing w:after="0"/>
              <w:rPr>
                <w:sz w:val="20"/>
                <w:szCs w:val="20"/>
                <w:color w:val="auto"/>
              </w:rPr>
            </w:pPr>
            <w:r>
              <w:rPr>
                <w:rFonts w:ascii="Arial" w:cs="Arial" w:eastAsia="Arial" w:hAnsi="Arial"/>
                <w:sz w:val="18"/>
                <w:szCs w:val="18"/>
                <w:color w:val="auto"/>
              </w:rPr>
              <w:t>Collateral Agent:</w:t>
            </w:r>
          </w:p>
        </w:tc>
        <w:tc>
          <w:tcPr>
            <w:tcW w:w="356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(i)</w:t>
            </w: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2"/>
              </w:rPr>
              <w:t>transfers of the Mortgaged Investments (or declarations of trust in respect of any Mortgaged Investments not in the Company's</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0"/>
              </w:rPr>
              <w:t>sole name) in each case duly completed and executed by the Company or its nominee with the name of the transferee, date and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5"/>
              </w:rPr>
              <w:t>consideration left blank or, if the Collateral Agent so reasonably requires, duly executed by the Company or its nominee in</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4"/>
              </w:rPr>
              <w:t>favour of the Collateral Agent (or the Collateral Agent's nominee) and stamped, and such other documents as the Collateral</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3"/>
              </w:rPr>
              <w:t>Agent may reasonably require to enable the Collateral Agent (or the Collateral Agent's nominee) or, after the occurrence and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6"/>
              </w:rPr>
              <w:t>continuance of an Event of Default, any purchaser, to be registered as the owner of, or otherwise obtain legal title to, the</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Mortgaged Investments; and</w:t>
            </w:r>
          </w:p>
        </w:tc>
        <w:tc>
          <w:tcPr>
            <w:tcW w:w="356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(ii)</w:t>
            </w: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0"/>
              </w:rPr>
              <w:t>in respect of any Mortgaged Investment not held in the Company's name, within 30 days (or such later date as may be agreed to</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5"/>
              </w:rPr>
              <w:t>by the Collateral Agent in its sole discretion) after execution of this Deed or if later promptly after it becomes entitled to the</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89"/>
              </w:rPr>
              <w:t>relevant Mortgaged Investment, use commercially reasonable endeavours to request an irrevocable power of attorney, expressed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3"/>
              </w:rPr>
              <w:t>to be by way of security and executed and delivered as a deed by the relevant nominee, appointing the Collateral Agent each</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rPr>
              <w:t>Receiver and any Delegate the attorney of the holder, in such form as the Collateral Agent may reasonably require.</w:t>
            </w:r>
          </w:p>
        </w:tc>
      </w:tr>
      <w:tr>
        <w:trPr>
          <w:trHeight w:val="432"/>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(b)</w:t>
            </w:r>
          </w:p>
        </w:tc>
        <w:tc>
          <w:tcPr>
            <w:tcW w:w="10160" w:type="dxa"/>
            <w:vAlign w:val="bottom"/>
            <w:gridSpan w:val="3"/>
          </w:tcPr>
          <w:p>
            <w:pPr>
              <w:ind w:left="220"/>
              <w:spacing w:after="0"/>
              <w:rPr>
                <w:sz w:val="20"/>
                <w:szCs w:val="20"/>
                <w:color w:val="auto"/>
              </w:rPr>
            </w:pPr>
            <w:r>
              <w:rPr>
                <w:rFonts w:ascii="Arial" w:cs="Arial" w:eastAsia="Arial" w:hAnsi="Arial"/>
                <w:sz w:val="18"/>
                <w:szCs w:val="18"/>
                <w:color w:val="auto"/>
                <w:w w:val="99"/>
              </w:rPr>
              <w:t>Prior to such time as the Collateral Agent has, following the occurrence and during the continuation of an Enforcement Event:</w:t>
            </w:r>
          </w:p>
        </w:tc>
      </w:tr>
      <w:tr>
        <w:trPr>
          <w:trHeight w:val="41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(i)</w:t>
            </w: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9"/>
              </w:rPr>
              <w:t>notified the Company in writing that it has elected to exercise voting and other rights relating to the Charged Assets in</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2"/>
              </w:rPr>
              <w:t>accordance with the terms of this Deed, all voting and other rights relating to the Mortgaged Investments may be exercised (or</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3"/>
              </w:rPr>
              <w:t>not exercised) by the Company as it directs provided that it shall not exercise any such voting rights in a manner which would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7"/>
              </w:rPr>
              <w:t>diminish the effectiveness or enforceability of the Charges created under this Deed in any material respect or restrict the</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rPr>
              <w:t>transferability of the Charged Assets by the Collateral Agent or any Receiver; and</w:t>
            </w:r>
          </w:p>
        </w:tc>
      </w:tr>
      <w:tr>
        <w:trPr>
          <w:trHeight w:val="41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(ii)</w:t>
            </w: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3"/>
              </w:rPr>
              <w:t>notified the Company in writing that it has elected to collect any dividends, distributions and other monies in accordance with</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00" w:type="dxa"/>
            <w:vAlign w:val="bottom"/>
            <w:gridSpan w:val="2"/>
          </w:tcPr>
          <w:p>
            <w:pPr>
              <w:ind w:left="220"/>
              <w:spacing w:after="0"/>
              <w:rPr>
                <w:sz w:val="20"/>
                <w:szCs w:val="20"/>
                <w:color w:val="auto"/>
              </w:rPr>
            </w:pPr>
            <w:r>
              <w:rPr>
                <w:rFonts w:ascii="Arial" w:cs="Arial" w:eastAsia="Arial" w:hAnsi="Arial"/>
                <w:sz w:val="18"/>
                <w:szCs w:val="18"/>
                <w:color w:val="auto"/>
                <w:w w:val="92"/>
              </w:rPr>
              <w:t>the terms of this Deed, the Company shall be entitled to receive and retain such dividends, distributions and other monies paid</w:t>
            </w:r>
          </w:p>
        </w:tc>
      </w:t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on or derived from its Mortgaged Investments.</w:t>
            </w:r>
          </w:p>
        </w:tc>
        <w:tc>
          <w:tcPr>
            <w:tcW w:w="3560" w:type="dxa"/>
            <w:vAlign w:val="bottom"/>
          </w:tcPr>
          <w:p>
            <w:pPr>
              <w:spacing w:after="0"/>
              <w:rPr>
                <w:sz w:val="20"/>
                <w:szCs w:val="20"/>
                <w:color w:val="auto"/>
              </w:rPr>
            </w:pPr>
          </w:p>
        </w:tc>
      </w:tr>
    </w:tbl>
    <w:p>
      <w:pPr>
        <w:sectPr>
          <w:pgSz w:w="11900" w:h="16863" w:orient="portrait"/>
          <w:cols w:equalWidth="0" w:num="1">
            <w:col w:w="11240"/>
          </w:cols>
          <w:pgMar w:left="320" w:top="125" w:right="339" w:bottom="0" w:gutter="0" w:footer="0" w:header="0"/>
        </w:sectPr>
      </w:pPr>
    </w:p>
    <w:bookmarkStart w:id="591" w:name="page592"/>
    <w:bookmarkEnd w:id="591"/>
    <w:p>
      <w:pPr>
        <w:ind w:left="1300" w:hanging="644"/>
        <w:spacing w:after="0"/>
        <w:tabs>
          <w:tab w:leader="none" w:pos="130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Following an Enforcement Event:</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the Collateral Agent or, as the case may be, any Receiver shall, upon written notice to the Company, be entitled to exercise or direct the exercise of or refrain from such exercise all voting and other rights now or at any time relating to the Mortgaged Investments as it or he reasonably sees fit;</w:t>
      </w:r>
    </w:p>
    <w:p>
      <w:pPr>
        <w:spacing w:after="0" w:line="183" w:lineRule="exact"/>
        <w:rPr>
          <w:rFonts w:ascii="Arial" w:cs="Arial" w:eastAsia="Arial" w:hAnsi="Arial"/>
          <w:sz w:val="18"/>
          <w:szCs w:val="18"/>
          <w:color w:val="auto"/>
        </w:rPr>
      </w:pPr>
    </w:p>
    <w:p>
      <w:pPr>
        <w:jc w:val="both"/>
        <w:ind w:left="1960" w:hanging="656"/>
        <w:spacing w:after="0" w:line="257" w:lineRule="auto"/>
        <w:tabs>
          <w:tab w:leader="none" w:pos="196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after receipt by the Company of written notice pursuant to Clause 0, the Company shall comply or procure the compliance with any reasonable direction of the Collateral Agent or, as the case may be, any Receiver in respect of the exercise of such rights and shall deliver to the Collateral Agent or, as the case may be, any Receiver such forms of proxy or other appropriate forms of authorisation the Collateral Agent or, as the case may be, any Receiver may reasonably require with a view to enabling that person or its nominee to exercise such rights; and</w:t>
      </w:r>
    </w:p>
    <w:p>
      <w:pPr>
        <w:spacing w:after="0" w:line="187"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the Collateral Agent shall, upon written notice to the Company, be entitled to receive and retain all dividends, interest and other distributions paid in respect of the Mortgaged Investments and apply the same as provided by Clause 0 (</w:t>
      </w:r>
      <w:r>
        <w:rPr>
          <w:rFonts w:ascii="Arial" w:cs="Arial" w:eastAsia="Arial" w:hAnsi="Arial"/>
          <w:sz w:val="18"/>
          <w:szCs w:val="18"/>
          <w:i w:val="1"/>
          <w:iCs w:val="1"/>
          <w:color w:val="auto"/>
        </w:rPr>
        <w:t>18.Application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MONEYS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spacing w:after="0"/>
              <w:rPr>
                <w:sz w:val="19"/>
                <w:szCs w:val="19"/>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(d)</w:t>
            </w:r>
          </w:p>
        </w:tc>
        <w:tc>
          <w:tcPr>
            <w:tcW w:w="1940" w:type="dxa"/>
            <w:vAlign w:val="bottom"/>
          </w:tcPr>
          <w:p>
            <w:pPr>
              <w:ind w:left="220"/>
              <w:spacing w:after="0"/>
              <w:rPr>
                <w:sz w:val="20"/>
                <w:szCs w:val="20"/>
                <w:color w:val="auto"/>
              </w:rPr>
            </w:pPr>
            <w:r>
              <w:rPr>
                <w:rFonts w:ascii="Arial" w:cs="Arial" w:eastAsia="Arial" w:hAnsi="Arial"/>
                <w:sz w:val="18"/>
                <w:szCs w:val="18"/>
                <w:color w:val="auto"/>
              </w:rPr>
              <w:t>This Clause 0 (</w:t>
            </w:r>
            <w:r>
              <w:rPr>
                <w:rFonts w:ascii="Arial" w:cs="Arial" w:eastAsia="Arial" w:hAnsi="Arial"/>
                <w:sz w:val="18"/>
                <w:szCs w:val="18"/>
                <w:i w:val="1"/>
                <w:iCs w:val="1"/>
                <w:color w:val="auto"/>
              </w:rPr>
              <w:t>9.7</w:t>
            </w:r>
          </w:p>
        </w:tc>
        <w:tc>
          <w:tcPr>
            <w:tcW w:w="8200" w:type="dxa"/>
            <w:vAlign w:val="bottom"/>
            <w:gridSpan w:val="2"/>
          </w:tcPr>
          <w:p>
            <w:pPr>
              <w:ind w:left="220"/>
              <w:spacing w:after="0"/>
              <w:rPr>
                <w:sz w:val="20"/>
                <w:szCs w:val="20"/>
                <w:color w:val="auto"/>
              </w:rPr>
            </w:pPr>
            <w:r>
              <w:rPr>
                <w:rFonts w:ascii="Arial" w:cs="Arial" w:eastAsia="Arial" w:hAnsi="Arial"/>
                <w:sz w:val="18"/>
                <w:szCs w:val="18"/>
                <w:i w:val="1"/>
                <w:iCs w:val="1"/>
                <w:color w:val="auto"/>
                <w:w w:val="93"/>
              </w:rPr>
              <w:t xml:space="preserve">Assigned </w:t>
            </w:r>
            <w:r>
              <w:rPr>
                <w:rFonts w:ascii="Arial" w:cs="Arial" w:eastAsia="Arial" w:hAnsi="Arial"/>
                <w:sz w:val="18"/>
                <w:szCs w:val="18"/>
                <w:b w:val="1"/>
                <w:bCs w:val="1"/>
                <w:color w:val="auto"/>
                <w:w w:val="93"/>
              </w:rPr>
              <w:t>Agreements</w:t>
            </w:r>
            <w:r>
              <w:rPr>
                <w:rFonts w:ascii="Arial" w:cs="Arial" w:eastAsia="Arial" w:hAnsi="Arial"/>
                <w:sz w:val="18"/>
                <w:szCs w:val="18"/>
                <w:color w:val="auto"/>
                <w:w w:val="93"/>
              </w:rPr>
              <w:t>) shall not apply to those Mortgaged Investments which are held by the Company by</w:t>
            </w:r>
          </w:p>
        </w:tc>
      </w:tr>
      <w:tr>
        <w:trPr>
          <w:trHeight w:val="212"/>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200" w:type="dxa"/>
            <w:vAlign w:val="bottom"/>
            <w:gridSpan w:val="2"/>
          </w:tcPr>
          <w:p>
            <w:pPr>
              <w:ind w:left="220"/>
              <w:spacing w:after="0"/>
              <w:rPr>
                <w:sz w:val="20"/>
                <w:szCs w:val="20"/>
                <w:color w:val="auto"/>
              </w:rPr>
            </w:pPr>
            <w:r>
              <w:rPr>
                <w:rFonts w:ascii="Arial" w:cs="Arial" w:eastAsia="Arial" w:hAnsi="Arial"/>
                <w:sz w:val="18"/>
                <w:szCs w:val="18"/>
                <w:color w:val="auto"/>
                <w:w w:val="91"/>
              </w:rPr>
              <w:t>way of temporary investments and which the Collateral Agent has agreed in writing shall not be subject to this</w:t>
            </w:r>
          </w:p>
        </w:tc>
      </w:t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9.7</w:t>
            </w:r>
          </w:p>
        </w:tc>
        <w:tc>
          <w:tcPr>
            <w:tcW w:w="6800" w:type="dxa"/>
            <w:vAlign w:val="bottom"/>
          </w:tcPr>
          <w:p>
            <w:pPr>
              <w:ind w:left="220"/>
              <w:spacing w:after="0"/>
              <w:rPr>
                <w:sz w:val="20"/>
                <w:szCs w:val="20"/>
                <w:color w:val="auto"/>
              </w:rPr>
            </w:pPr>
            <w:r>
              <w:rPr>
                <w:rFonts w:ascii="Arial" w:cs="Arial" w:eastAsia="Arial" w:hAnsi="Arial"/>
                <w:sz w:val="18"/>
                <w:szCs w:val="18"/>
                <w:i w:val="1"/>
                <w:iCs w:val="1"/>
                <w:color w:val="auto"/>
              </w:rPr>
              <w:t xml:space="preserve">Assigned </w:t>
            </w:r>
            <w:r>
              <w:rPr>
                <w:rFonts w:ascii="Arial" w:cs="Arial" w:eastAsia="Arial" w:hAnsi="Arial"/>
                <w:sz w:val="18"/>
                <w:szCs w:val="18"/>
                <w:b w:val="1"/>
                <w:bCs w:val="1"/>
                <w:color w:val="auto"/>
              </w:rPr>
              <w:t>Agreements</w:t>
            </w:r>
            <w:r>
              <w:rPr>
                <w:rFonts w:ascii="Arial" w:cs="Arial" w:eastAsia="Arial" w:hAnsi="Arial"/>
                <w:sz w:val="18"/>
                <w:szCs w:val="18"/>
                <w:color w:val="auto"/>
              </w:rPr>
              <w:t>).</w:t>
            </w: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9.10</w:t>
            </w:r>
          </w:p>
        </w:tc>
        <w:tc>
          <w:tcPr>
            <w:tcW w:w="25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Intellectual Property Rights</w:t>
            </w:r>
          </w:p>
        </w:tc>
        <w:tc>
          <w:tcPr>
            <w:tcW w:w="1400" w:type="dxa"/>
            <w:vAlign w:val="bottom"/>
          </w:tcPr>
          <w:p>
            <w:pPr>
              <w:spacing w:after="0"/>
              <w:rPr>
                <w:sz w:val="24"/>
                <w:szCs w:val="24"/>
                <w:color w:val="auto"/>
              </w:rPr>
            </w:pPr>
          </w:p>
        </w:tc>
        <w:tc>
          <w:tcPr>
            <w:tcW w:w="6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Without prejudice and in addition to the other provisions of this Clause 0 (</w:t>
      </w:r>
      <w:r>
        <w:rPr>
          <w:rFonts w:ascii="Arial" w:cs="Arial" w:eastAsia="Arial" w:hAnsi="Arial"/>
          <w:sz w:val="19"/>
          <w:szCs w:val="19"/>
          <w:i w:val="1"/>
          <w:iCs w:val="1"/>
          <w:color w:val="auto"/>
        </w:rPr>
        <w:t>9.</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Perfection, Restrictions on Dealings, </w:t>
      </w:r>
      <w:r>
        <w:rPr>
          <w:rFonts w:ascii="Arial" w:cs="Arial" w:eastAsia="Arial" w:hAnsi="Arial"/>
          <w:sz w:val="22"/>
          <w:szCs w:val="22"/>
          <w:b w:val="1"/>
          <w:bCs w:val="1"/>
          <w:color w:val="auto"/>
        </w:rPr>
        <w:t>PROTECTION</w:t>
      </w:r>
      <w:r>
        <w:rPr>
          <w:rFonts w:ascii="Arial" w:cs="Arial" w:eastAsia="Arial" w:hAnsi="Arial"/>
          <w:sz w:val="22"/>
          <w:szCs w:val="22"/>
          <w:color w:val="auto"/>
        </w:rPr>
        <w:t>) and Clause 0 (</w:t>
      </w:r>
      <w:r>
        <w:rPr>
          <w:rFonts w:ascii="Arial" w:cs="Arial" w:eastAsia="Arial" w:hAnsi="Arial"/>
          <w:sz w:val="22"/>
          <w:szCs w:val="22"/>
          <w:i w:val="1"/>
          <w:iCs w:val="1"/>
          <w:color w:val="auto"/>
        </w:rPr>
        <w:t>14.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ETC.</w:t>
      </w:r>
      <w:r>
        <w:rPr>
          <w:rFonts w:ascii="Arial" w:cs="Arial" w:eastAsia="Arial" w:hAnsi="Arial"/>
          <w:sz w:val="22"/>
          <w:szCs w:val="22"/>
          <w:color w:val="auto"/>
        </w:rPr>
        <w:t>), the Company shall:</w:t>
      </w:r>
    </w:p>
    <w:p>
      <w:pPr>
        <w:spacing w:after="0" w:line="20" w:lineRule="exact"/>
        <w:rPr>
          <w:sz w:val="20"/>
          <w:szCs w:val="20"/>
          <w:color w:val="auto"/>
        </w:rPr>
      </w:pPr>
      <w:r>
        <w:rPr>
          <w:sz w:val="20"/>
          <w:szCs w:val="20"/>
          <w:color w:val="auto"/>
        </w:rPr>
        <w:br w:type="column"/>
      </w:r>
    </w:p>
    <w:p>
      <w:pPr>
        <w:jc w:val="both"/>
        <w:ind w:firstLine="749"/>
        <w:spacing w:after="0" w:line="358" w:lineRule="auto"/>
        <w:rPr>
          <w:sz w:val="20"/>
          <w:szCs w:val="20"/>
          <w:color w:val="auto"/>
        </w:rPr>
      </w:pPr>
      <w:r>
        <w:rPr>
          <w:rFonts w:ascii="Arial" w:cs="Arial" w:eastAsia="Arial" w:hAnsi="Arial"/>
          <w:sz w:val="19"/>
          <w:szCs w:val="19"/>
          <w:i w:val="1"/>
          <w:iCs w:val="1"/>
          <w:color w:val="auto"/>
        </w:rPr>
        <w:t>Covenants relating to Assets – Further Assurances, Power of Attorney,</w:t>
      </w:r>
    </w:p>
    <w:p>
      <w:pPr>
        <w:spacing w:after="0" w:line="345" w:lineRule="exact"/>
        <w:rPr>
          <w:sz w:val="20"/>
          <w:szCs w:val="20"/>
          <w:color w:val="auto"/>
        </w:rPr>
      </w:pPr>
    </w:p>
    <w:p>
      <w:pPr>
        <w:sectPr>
          <w:pgSz w:w="11900" w:h="16838" w:orient="portrait"/>
          <w:cols w:equalWidth="0" w:num="2">
            <w:col w:w="7640" w:space="100"/>
            <w:col w:w="3500"/>
          </w:cols>
          <w:pgMar w:left="320" w:top="125" w:right="339" w:bottom="0" w:gutter="0" w:footer="0" w:header="0"/>
          <w:type w:val="continuous"/>
        </w:sectPr>
      </w:pPr>
    </w:p>
    <w:p>
      <w:pPr>
        <w:spacing w:after="0" w:line="22" w:lineRule="exact"/>
        <w:rPr>
          <w:sz w:val="20"/>
          <w:szCs w:val="20"/>
          <w:color w:val="auto"/>
        </w:rPr>
      </w:pPr>
    </w:p>
    <w:p>
      <w:pPr>
        <w:ind w:left="1300" w:hanging="644"/>
        <w:spacing w:after="0" w:line="342" w:lineRule="auto"/>
        <w:tabs>
          <w:tab w:leader="none" w:pos="1300" w:val="left"/>
        </w:tabs>
        <w:numPr>
          <w:ilvl w:val="1"/>
          <w:numId w:val="702"/>
        </w:numPr>
        <w:rPr>
          <w:rFonts w:ascii="Arial" w:cs="Arial" w:eastAsia="Arial" w:hAnsi="Arial"/>
          <w:sz w:val="16"/>
          <w:szCs w:val="16"/>
          <w:color w:val="auto"/>
        </w:rPr>
      </w:pPr>
      <w:r>
        <w:rPr>
          <w:rFonts w:ascii="Arial" w:cs="Arial" w:eastAsia="Arial" w:hAnsi="Arial"/>
          <w:sz w:val="16"/>
          <w:szCs w:val="16"/>
          <w:color w:val="auto"/>
        </w:rPr>
        <w:t>promptly on the reasonable request by the Collateral Agent, execute and do all acts, things and documents as the Collateral Agent may reasonably require to record the Collateral Agent's interest in any registers relating to any of the Intellectual Property Rights;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not, save with the prior written consent of the Collateral Agent or as may be permitted pursuant to the terms of the Loan Agreement, grant any registered user agreement or licence or other right in relation to any such Intellectual Property Rights or permit the use of such Intellectual Property Rights by any person.</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703"/>
        </w:numPr>
        <w:rPr>
          <w:rFonts w:ascii="Arial" w:cs="Arial" w:eastAsia="Arial" w:hAnsi="Arial"/>
          <w:sz w:val="18"/>
          <w:szCs w:val="18"/>
          <w:color w:val="auto"/>
        </w:rPr>
      </w:pPr>
      <w:r>
        <w:rPr>
          <w:rFonts w:ascii="Arial" w:cs="Arial" w:eastAsia="Arial" w:hAnsi="Arial"/>
          <w:sz w:val="18"/>
          <w:szCs w:val="18"/>
          <w:b w:val="1"/>
          <w:bCs w:val="1"/>
          <w:color w:val="auto"/>
        </w:rPr>
        <w:t>GENERAL COVENANTS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shall:</w:t>
      </w:r>
    </w:p>
    <w:p>
      <w:pPr>
        <w:spacing w:after="0" w:line="225" w:lineRule="exact"/>
        <w:rPr>
          <w:sz w:val="20"/>
          <w:szCs w:val="20"/>
          <w:color w:val="auto"/>
        </w:rPr>
      </w:pPr>
    </w:p>
    <w:p>
      <w:pPr>
        <w:jc w:val="both"/>
        <w:ind w:left="1300" w:hanging="644"/>
        <w:spacing w:after="0" w:line="263" w:lineRule="auto"/>
        <w:tabs>
          <w:tab w:leader="none" w:pos="1300" w:val="left"/>
        </w:tabs>
        <w:numPr>
          <w:ilvl w:val="1"/>
          <w:numId w:val="704"/>
        </w:numPr>
        <w:rPr>
          <w:rFonts w:ascii="Arial" w:cs="Arial" w:eastAsia="Arial" w:hAnsi="Arial"/>
          <w:sz w:val="18"/>
          <w:szCs w:val="18"/>
          <w:color w:val="auto"/>
        </w:rPr>
      </w:pPr>
      <w:r>
        <w:rPr>
          <w:rFonts w:ascii="Arial" w:cs="Arial" w:eastAsia="Arial" w:hAnsi="Arial"/>
          <w:sz w:val="18"/>
          <w:szCs w:val="18"/>
          <w:color w:val="auto"/>
        </w:rPr>
        <w:t>at any time after an Enforcement Event, promptly give to the Collateral Agent such information and evidence (and in such form) as the Collateral Agent may from time to time reasonably request for the purpose of or with a view to discharging the duties and rights vested in it under and in accordance with this Deed or by operation of law;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704"/>
        </w:numPr>
        <w:rPr>
          <w:rFonts w:ascii="Arial" w:cs="Arial" w:eastAsia="Arial" w:hAnsi="Arial"/>
          <w:sz w:val="18"/>
          <w:szCs w:val="18"/>
          <w:color w:val="auto"/>
        </w:rPr>
      </w:pPr>
      <w:r>
        <w:rPr>
          <w:rFonts w:ascii="Arial" w:cs="Arial" w:eastAsia="Arial" w:hAnsi="Arial"/>
          <w:sz w:val="18"/>
          <w:szCs w:val="18"/>
          <w:color w:val="auto"/>
        </w:rPr>
        <w:t>not have its Centre of Main Interests situated, or permit its Centre of Main Interests to be situated, outside the UK.</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705"/>
        </w:numPr>
        <w:rPr>
          <w:rFonts w:ascii="Arial" w:cs="Arial" w:eastAsia="Arial" w:hAnsi="Arial"/>
          <w:sz w:val="18"/>
          <w:szCs w:val="18"/>
          <w:color w:val="auto"/>
        </w:rPr>
      </w:pPr>
      <w:r>
        <w:rPr>
          <w:rFonts w:ascii="Arial" w:cs="Arial" w:eastAsia="Arial" w:hAnsi="Arial"/>
          <w:sz w:val="18"/>
          <w:szCs w:val="18"/>
          <w:b w:val="1"/>
          <w:bCs w:val="1"/>
          <w:color w:val="auto"/>
        </w:rPr>
        <w:t>CRYSTALLISATION OF FLOATING CHARGE</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In addition and without prejudice to any other event resulting in crystallisation of the floating charge, but subject to any prohibition or restriction imposed by law, if at any time:</w:t>
      </w:r>
    </w:p>
    <w:p>
      <w:pPr>
        <w:spacing w:after="0" w:line="170" w:lineRule="exact"/>
        <w:rPr>
          <w:sz w:val="20"/>
          <w:szCs w:val="20"/>
          <w:color w:val="auto"/>
        </w:rPr>
      </w:pPr>
    </w:p>
    <w:p>
      <w:pPr>
        <w:ind w:left="1300" w:hanging="644"/>
        <w:spacing w:after="0"/>
        <w:tabs>
          <w:tab w:leader="none" w:pos="130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an Event of Default occurs and is continuing;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Collateral Agent (acting reasonably) considers that any of the Floating Charged Assets, which is material to the context of the business as a whole, are in danger of being seized or is otherwise in jeopardy,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Collateral Agent may by notice in writing to the Company convert the floating charge created by Clause 0</w:t>
      </w:r>
    </w:p>
    <w:p>
      <w:pPr>
        <w:spacing w:after="0" w:line="21"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6.5 Floating</w:t>
      </w:r>
      <w:r>
        <w:rPr>
          <w:rFonts w:ascii="Arial" w:cs="Arial" w:eastAsia="Arial" w:hAnsi="Arial"/>
          <w:sz w:val="22"/>
          <w:szCs w:val="22"/>
          <w:color w:val="auto"/>
        </w:rPr>
        <w:t xml:space="preserve"> </w:t>
      </w:r>
      <w:r>
        <w:rPr>
          <w:rFonts w:ascii="Arial" w:cs="Arial" w:eastAsia="Arial" w:hAnsi="Arial"/>
          <w:sz w:val="22"/>
          <w:szCs w:val="22"/>
          <w:b w:val="1"/>
          <w:bCs w:val="1"/>
          <w:color w:val="auto"/>
        </w:rPr>
        <w:t>Charge</w:t>
      </w:r>
      <w:r>
        <w:rPr>
          <w:rFonts w:ascii="Arial" w:cs="Arial" w:eastAsia="Arial" w:hAnsi="Arial"/>
          <w:sz w:val="22"/>
          <w:szCs w:val="22"/>
          <w:color w:val="auto"/>
        </w:rPr>
        <w:t>) into a fixed charge as regards any Floating Charge Assets as may be specified in that notice (and for the avoidance of doubt, in the case of paragraph (b) above, only to the extent that paragraph (b) applies to such Floating Charge Asset).</w:t>
      </w:r>
    </w:p>
    <w:p>
      <w:pPr>
        <w:spacing w:after="0" w:line="18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addition and without prejudice to any law or other event resulting in crystallisation of the floating charge, but subject to any prohibition or restriction imposed by law, the floating charge created by Clause 0 (</w:t>
      </w:r>
      <w:r>
        <w:rPr>
          <w:rFonts w:ascii="Arial" w:cs="Arial" w:eastAsia="Arial" w:hAnsi="Arial"/>
          <w:sz w:val="18"/>
          <w:szCs w:val="18"/>
          <w:i w:val="1"/>
          <w:iCs w:val="1"/>
          <w:color w:val="auto"/>
        </w:rPr>
        <w:t>6.5Floating</w:t>
      </w:r>
      <w:r>
        <w:rPr>
          <w:rFonts w:ascii="Arial" w:cs="Arial" w:eastAsia="Arial" w:hAnsi="Arial"/>
          <w:sz w:val="18"/>
          <w:szCs w:val="18"/>
          <w:color w:val="auto"/>
        </w:rPr>
        <w:t xml:space="preserve"> </w:t>
      </w:r>
      <w:r>
        <w:rPr>
          <w:rFonts w:ascii="Arial" w:cs="Arial" w:eastAsia="Arial" w:hAnsi="Arial"/>
          <w:sz w:val="18"/>
          <w:szCs w:val="18"/>
          <w:b w:val="1"/>
          <w:bCs w:val="1"/>
          <w:color w:val="auto"/>
        </w:rPr>
        <w:t>Charge</w:t>
      </w:r>
      <w:r>
        <w:rPr>
          <w:rFonts w:ascii="Arial" w:cs="Arial" w:eastAsia="Arial" w:hAnsi="Arial"/>
          <w:sz w:val="18"/>
          <w:szCs w:val="18"/>
          <w:color w:val="auto"/>
        </w:rPr>
        <w:t>) shall without notice automatically be converted into a fixed charge over:</w:t>
      </w:r>
    </w:p>
    <w:p>
      <w:pPr>
        <w:spacing w:after="0" w:line="184" w:lineRule="exact"/>
        <w:rPr>
          <w:sz w:val="20"/>
          <w:szCs w:val="20"/>
          <w:color w:val="auto"/>
        </w:rPr>
      </w:pPr>
    </w:p>
    <w:p>
      <w:pPr>
        <w:jc w:val="both"/>
        <w:ind w:left="1300" w:hanging="644"/>
        <w:spacing w:after="0" w:line="259" w:lineRule="auto"/>
        <w:tabs>
          <w:tab w:leader="none" w:pos="130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any Floating Charge Assets which become subject or continue to be subject to any Security Interest in favour of any person other than the Collateral Agent or which is/are the subject of any sale, transfer or other disposition, in either case contrary to the covenants contained in this Deed or any of the other Loan Documents, immediately prior to such actual or purported Security Interest arising or such actual or purported sale, transfer or other disposition being made; or</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any Floating Charge Assets affected by any attachment, distress, execution or other legal process against such Floating Charge Asset, immediately prior to such distress, attachment, execution or other legal process.</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708"/>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security constituted by this Deed shall, subject to any prohibition or restriction imposed by law, become enforceable upon and at any time after an Event of Default occurs and is continuing (an "</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ectPr>
          <w:pgSz w:w="11900" w:h="16838" w:orient="portrait"/>
          <w:cols w:equalWidth="0" w:num="1">
            <w:col w:w="11240"/>
          </w:cols>
          <w:pgMar w:left="320" w:top="125" w:right="339" w:bottom="0" w:gutter="0" w:footer="0" w:header="0"/>
          <w:type w:val="continuous"/>
        </w:sectPr>
      </w:pPr>
    </w:p>
    <w:bookmarkStart w:id="592" w:name="page593"/>
    <w:bookmarkEnd w:id="592"/>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At any time after an Enforcement Event, the Collateral Agent may (but shall not be obliged to) enforce all or any part of the Charges at such time, on such terms and in such manner as it thinks fit, and take possession of, hold or dispose of all or any part of the Charged Assets, and may (whether or not it has taken possession or appointed a Receiver or Administrator) exercise any rights conferred by the Law of Property Act (as varied or extended by this Deed) on mortgagees or by this Deed or otherwise conferred by law on mortgagees.</w:t>
      </w:r>
    </w:p>
    <w:p>
      <w:pPr>
        <w:spacing w:after="0" w:line="17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Without prejudice to the generality of the foregoing, at any time after an Enforcement Event, the Collateral Agent may (but shall not be obliged to) by notice to the company in writing appropriate all or any part of the Charged Assets which constitute financial collateral. If the Collateral Agent exercises such power of appropriation:</w:t>
      </w:r>
    </w:p>
    <w:p>
      <w:pPr>
        <w:spacing w:after="0" w:line="184" w:lineRule="exact"/>
        <w:rPr>
          <w:sz w:val="20"/>
          <w:szCs w:val="20"/>
          <w:color w:val="auto"/>
        </w:rPr>
      </w:pPr>
    </w:p>
    <w:p>
      <w:pPr>
        <w:jc w:val="both"/>
        <w:ind w:left="1300" w:hanging="644"/>
        <w:spacing w:after="0" w:line="279" w:lineRule="auto"/>
        <w:tabs>
          <w:tab w:leader="none" w:pos="1300" w:val="left"/>
        </w:tabs>
        <w:numPr>
          <w:ilvl w:val="0"/>
          <w:numId w:val="709"/>
        </w:numPr>
        <w:rPr>
          <w:rFonts w:ascii="Arial" w:cs="Arial" w:eastAsia="Arial" w:hAnsi="Arial"/>
          <w:sz w:val="17"/>
          <w:szCs w:val="17"/>
          <w:color w:val="auto"/>
        </w:rPr>
      </w:pPr>
      <w:r>
        <w:rPr>
          <w:rFonts w:ascii="Arial" w:cs="Arial" w:eastAsia="Arial" w:hAnsi="Arial"/>
          <w:sz w:val="17"/>
          <w:szCs w:val="17"/>
          <w:color w:val="auto"/>
        </w:rPr>
        <w:t>it shall determine the value of any Charged Asset appropriated which consists of a financial instrument or a Credit Claim as at the time of exercise of that power as the current value of the cash payment which it determines would be received on a sale or other disposal of such Charged Asset effected for payment as soon as reasonably possible after such time. Any such determination shall be made by the Collateral Agent in a commercially reasonable manner (including by way of an independent valuation); and</w:t>
      </w:r>
    </w:p>
    <w:p>
      <w:pPr>
        <w:spacing w:after="0" w:line="17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any Charged Asset appropriated which constitutes cash and which is not denominated in dollars shall be valued as if it were converted to dollars at the rate certified by the Collateral Agent to be the spot rate of exchange for the purchase of dollars with the currency of such cash as soon as practicable after the appropriation thereof.</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exercise by the Collateral Agent of its right of appropriation under Clause 0 (</w:t>
      </w:r>
      <w:r>
        <w:rPr>
          <w:rFonts w:ascii="Arial" w:cs="Arial" w:eastAsia="Arial" w:hAnsi="Arial"/>
          <w:sz w:val="18"/>
          <w:szCs w:val="18"/>
          <w:i w:val="1"/>
          <w:iCs w:val="1"/>
          <w:color w:val="auto"/>
        </w:rPr>
        <w:t>12.</w:t>
      </w:r>
      <w:r>
        <w:rPr>
          <w:rFonts w:ascii="Arial" w:cs="Arial" w:eastAsia="Arial" w:hAnsi="Arial"/>
          <w:sz w:val="18"/>
          <w:szCs w:val="18"/>
          <w:b w:val="1"/>
          <w:bCs w:val="1"/>
          <w:color w:val="auto"/>
        </w:rPr>
        <w:t>ENFORCEMENT</w:t>
      </w:r>
      <w:r>
        <w:rPr>
          <w:rFonts w:ascii="Arial" w:cs="Arial" w:eastAsia="Arial" w:hAnsi="Arial"/>
          <w:sz w:val="18"/>
          <w:szCs w:val="18"/>
          <w:color w:val="auto"/>
        </w:rPr>
        <w:t>) of any part of the Charged Assets shall not prejudice or affect any of the Collateral Agent's rights and remedies in respect of the remainder of the Charged Assets for any Secured Obligations which remain to be paid or discharged.</w:t>
      </w:r>
    </w:p>
    <w:p>
      <w:pPr>
        <w:spacing w:after="0" w:line="176" w:lineRule="exact"/>
        <w:rPr>
          <w:sz w:val="20"/>
          <w:szCs w:val="20"/>
          <w:color w:val="auto"/>
        </w:rPr>
      </w:pPr>
    </w:p>
    <w:p>
      <w:pPr>
        <w:ind w:left="660" w:hanging="652"/>
        <w:spacing w:after="0"/>
        <w:tabs>
          <w:tab w:leader="none" w:pos="660" w:val="left"/>
        </w:tabs>
        <w:numPr>
          <w:ilvl w:val="0"/>
          <w:numId w:val="710"/>
        </w:numPr>
        <w:rPr>
          <w:rFonts w:ascii="Arial" w:cs="Arial" w:eastAsia="Arial" w:hAnsi="Arial"/>
          <w:sz w:val="18"/>
          <w:szCs w:val="18"/>
          <w:color w:val="auto"/>
        </w:rPr>
      </w:pPr>
      <w:r>
        <w:rPr>
          <w:rFonts w:ascii="Arial" w:cs="Arial" w:eastAsia="Arial" w:hAnsi="Arial"/>
          <w:sz w:val="18"/>
          <w:szCs w:val="18"/>
          <w:b w:val="1"/>
          <w:bCs w:val="1"/>
          <w:color w:val="auto"/>
        </w:rPr>
        <w:t>CONTINUING SECURITY, OTHER SECURITY ETC.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13.1</w:t>
            </w:r>
          </w:p>
        </w:tc>
        <w:tc>
          <w:tcPr>
            <w:tcW w:w="2360" w:type="dxa"/>
            <w:vAlign w:val="bottom"/>
          </w:tcPr>
          <w:p>
            <w:pPr>
              <w:ind w:left="220"/>
              <w:spacing w:after="0"/>
              <w:rPr>
                <w:sz w:val="20"/>
                <w:szCs w:val="20"/>
                <w:color w:val="auto"/>
              </w:rPr>
            </w:pPr>
            <w:r>
              <w:rPr>
                <w:rFonts w:ascii="Arial" w:cs="Arial" w:eastAsia="Arial" w:hAnsi="Arial"/>
                <w:sz w:val="18"/>
                <w:szCs w:val="18"/>
                <w:color w:val="auto"/>
              </w:rPr>
              <w:t>Subject to Clauses 0 (</w:t>
            </w:r>
            <w:r>
              <w:rPr>
                <w:rFonts w:ascii="Arial" w:cs="Arial" w:eastAsia="Arial" w:hAnsi="Arial"/>
                <w:sz w:val="18"/>
                <w:szCs w:val="18"/>
                <w:i w:val="1"/>
                <w:iCs w:val="1"/>
                <w:color w:val="auto"/>
              </w:rPr>
              <w:t>7.</w:t>
            </w:r>
          </w:p>
        </w:tc>
        <w:tc>
          <w:tcPr>
            <w:tcW w:w="3780" w:type="dxa"/>
            <w:vAlign w:val="bottom"/>
          </w:tcPr>
          <w:p>
            <w:pPr>
              <w:ind w:left="440"/>
              <w:spacing w:after="0"/>
              <w:rPr>
                <w:sz w:val="20"/>
                <w:szCs w:val="20"/>
                <w:color w:val="auto"/>
              </w:rPr>
            </w:pPr>
            <w:r>
              <w:rPr>
                <w:rFonts w:ascii="Arial" w:cs="Arial" w:eastAsia="Arial" w:hAnsi="Arial"/>
                <w:sz w:val="18"/>
                <w:szCs w:val="18"/>
                <w:i w:val="1"/>
                <w:iCs w:val="1"/>
                <w:color w:val="auto"/>
              </w:rPr>
              <w:t xml:space="preserve">Redemption of </w:t>
            </w:r>
            <w:r>
              <w:rPr>
                <w:rFonts w:ascii="Arial" w:cs="Arial" w:eastAsia="Arial" w:hAnsi="Arial"/>
                <w:sz w:val="18"/>
                <w:szCs w:val="18"/>
                <w:b w:val="1"/>
                <w:bCs w:val="1"/>
                <w:color w:val="auto"/>
              </w:rPr>
              <w:t>SECURITY</w:t>
            </w:r>
            <w:r>
              <w:rPr>
                <w:rFonts w:ascii="Arial" w:cs="Arial" w:eastAsia="Arial" w:hAnsi="Arial"/>
                <w:sz w:val="18"/>
                <w:szCs w:val="18"/>
                <w:color w:val="auto"/>
              </w:rPr>
              <w:t>) and 0 (</w:t>
            </w:r>
            <w:r>
              <w:rPr>
                <w:rFonts w:ascii="Arial" w:cs="Arial" w:eastAsia="Arial" w:hAnsi="Arial"/>
                <w:sz w:val="18"/>
                <w:szCs w:val="18"/>
                <w:i w:val="1"/>
                <w:iCs w:val="1"/>
                <w:color w:val="auto"/>
              </w:rPr>
              <w:t>7.</w:t>
            </w:r>
          </w:p>
        </w:tc>
        <w:tc>
          <w:tcPr>
            <w:tcW w:w="4540" w:type="dxa"/>
            <w:vAlign w:val="bottom"/>
            <w:gridSpan w:val="2"/>
          </w:tcPr>
          <w:p>
            <w:pPr>
              <w:ind w:left="560"/>
              <w:spacing w:after="0"/>
              <w:rPr>
                <w:sz w:val="20"/>
                <w:szCs w:val="20"/>
                <w:color w:val="auto"/>
              </w:rPr>
            </w:pPr>
            <w:r>
              <w:rPr>
                <w:rFonts w:ascii="Arial" w:cs="Arial" w:eastAsia="Arial" w:hAnsi="Arial"/>
                <w:sz w:val="18"/>
                <w:szCs w:val="18"/>
                <w:i w:val="1"/>
                <w:iCs w:val="1"/>
                <w:color w:val="auto"/>
                <w:w w:val="93"/>
              </w:rPr>
              <w:t xml:space="preserve">Redemption of </w:t>
            </w:r>
            <w:r>
              <w:rPr>
                <w:rFonts w:ascii="Arial" w:cs="Arial" w:eastAsia="Arial" w:hAnsi="Arial"/>
                <w:sz w:val="18"/>
                <w:szCs w:val="18"/>
                <w:b w:val="1"/>
                <w:bCs w:val="1"/>
                <w:color w:val="auto"/>
                <w:w w:val="93"/>
              </w:rPr>
              <w:t>SECURITY</w:t>
            </w:r>
            <w:r>
              <w:rPr>
                <w:rFonts w:ascii="Arial" w:cs="Arial" w:eastAsia="Arial" w:hAnsi="Arial"/>
                <w:sz w:val="18"/>
                <w:szCs w:val="18"/>
                <w:color w:val="auto"/>
                <w:w w:val="93"/>
              </w:rPr>
              <w:t>), the Charges, covenants,</w:t>
            </w:r>
          </w:p>
        </w:tc>
      </w:tr>
      <w:tr>
        <w:trPr>
          <w:trHeight w:val="216"/>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60" w:type="dxa"/>
            <w:vAlign w:val="bottom"/>
          </w:tcPr>
          <w:p>
            <w:pPr>
              <w:ind w:left="560"/>
              <w:spacing w:after="0"/>
              <w:rPr>
                <w:sz w:val="20"/>
                <w:szCs w:val="20"/>
                <w:color w:val="auto"/>
              </w:rPr>
            </w:pPr>
            <w:r>
              <w:rPr>
                <w:rFonts w:ascii="Arial" w:cs="Arial" w:eastAsia="Arial" w:hAnsi="Arial"/>
                <w:sz w:val="18"/>
                <w:szCs w:val="18"/>
                <w:color w:val="auto"/>
                <w:w w:val="93"/>
              </w:rPr>
              <w:t>undertakings and provisions contained</w:t>
            </w:r>
          </w:p>
        </w:tc>
        <w:tc>
          <w:tcPr>
            <w:tcW w:w="1080" w:type="dxa"/>
            <w:vAlign w:val="bottom"/>
          </w:tcPr>
          <w:p>
            <w:pPr>
              <w:jc w:val="right"/>
              <w:spacing w:after="0"/>
              <w:rPr>
                <w:sz w:val="20"/>
                <w:szCs w:val="20"/>
                <w:color w:val="auto"/>
              </w:rPr>
            </w:pPr>
            <w:r>
              <w:rPr>
                <w:rFonts w:ascii="Arial" w:cs="Arial" w:eastAsia="Arial" w:hAnsi="Arial"/>
                <w:sz w:val="18"/>
                <w:szCs w:val="18"/>
                <w:color w:val="auto"/>
              </w:rPr>
              <w:t>in or granted</w:t>
            </w:r>
          </w:p>
        </w:tc>
      </w:tr>
      <w:tr>
        <w:trPr>
          <w:trHeight w:val="230"/>
        </w:trPr>
        <w:tc>
          <w:tcPr>
            <w:tcW w:w="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460" w:type="dxa"/>
            <w:vAlign w:val="bottom"/>
          </w:tcPr>
          <w:p>
            <w:pPr>
              <w:ind w:left="560"/>
              <w:spacing w:after="0"/>
              <w:rPr>
                <w:sz w:val="20"/>
                <w:szCs w:val="20"/>
                <w:color w:val="auto"/>
              </w:rPr>
            </w:pPr>
            <w:r>
              <w:rPr>
                <w:rFonts w:ascii="Arial" w:cs="Arial" w:eastAsia="Arial" w:hAnsi="Arial"/>
                <w:sz w:val="18"/>
                <w:szCs w:val="18"/>
                <w:color w:val="auto"/>
                <w:w w:val="98"/>
              </w:rPr>
              <w:t>pursuant to this Deed shall remain in</w:t>
            </w:r>
          </w:p>
        </w:tc>
        <w:tc>
          <w:tcPr>
            <w:tcW w:w="1080" w:type="dxa"/>
            <w:vAlign w:val="bottom"/>
          </w:tcPr>
          <w:p>
            <w:pPr>
              <w:jc w:val="right"/>
              <w:spacing w:after="0"/>
              <w:rPr>
                <w:sz w:val="20"/>
                <w:szCs w:val="20"/>
                <w:color w:val="auto"/>
              </w:rPr>
            </w:pPr>
            <w:r>
              <w:rPr>
                <w:rFonts w:ascii="Arial" w:cs="Arial" w:eastAsia="Arial" w:hAnsi="Arial"/>
                <w:sz w:val="18"/>
                <w:szCs w:val="18"/>
                <w:color w:val="auto"/>
              </w:rPr>
              <w:t>full force and</w:t>
            </w:r>
          </w:p>
        </w:tc>
      </w:tr>
    </w:tbl>
    <w:p>
      <w:pPr>
        <w:ind w:left="7260"/>
        <w:spacing w:after="0"/>
        <w:rPr>
          <w:sz w:val="20"/>
          <w:szCs w:val="20"/>
          <w:color w:val="auto"/>
        </w:rPr>
      </w:pPr>
      <w:r>
        <w:rPr>
          <w:rFonts w:ascii="Arial" w:cs="Arial" w:eastAsia="Arial" w:hAnsi="Arial"/>
          <w:sz w:val="17"/>
          <w:szCs w:val="17"/>
          <w:color w:val="auto"/>
        </w:rPr>
        <w:t>effect as a continuing security to the Collateral Agent</w:t>
      </w:r>
    </w:p>
    <w:p>
      <w:pPr>
        <w:spacing w:after="0" w:line="21"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for the Secured Obligations and shall not be satisfied,</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discharged or affected by any intermediate payment or</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settlement of account of all or part of the Secured</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Obligations (whether any Secured Obligations remain</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outstanding thereafter) or any other act, event, matter,</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or thing whatsoever.</w:t>
      </w:r>
    </w:p>
    <w:p>
      <w:pPr>
        <w:spacing w:after="0" w:line="21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Charges are cumulative, in addition to and independent of, and shall neither be merged with nor prejudiced by nor in any way exclude or prejudice, any other Security Interest, guarantee, indemnity, right of recourse or any other right whatsoever which the Collateral Agent may now or hereafter hold or have (or would apart from this Deed or the Charges hold or have) from the Company or any other person in respect of any of the Secured Obligations.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restriction on consolidation of mortgages contained in section 93 of the Law of Property Act shall not apply in relation to the Charges.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If the Collateral Agent receives or is deemed to be affected by notice (actual or constructive) of any Security Interest over any Charged Asset or if an Insolvency Event occurs in relation to the Company:</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the Collateral Agent may open a new account or accounts with or on behalf of the Company (whether or not it allows any existing account to continue) and, if it does not, it shall nevertheless be deemed to have done so at the time it received or was deemed to have received such notice or at the time that the Insolvency Event occurred; and</w:t>
      </w:r>
    </w:p>
    <w:p>
      <w:pPr>
        <w:spacing w:after="0" w:line="183"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711"/>
        </w:numPr>
        <w:rPr>
          <w:rFonts w:ascii="Arial" w:cs="Arial" w:eastAsia="Arial" w:hAnsi="Arial"/>
          <w:sz w:val="17"/>
          <w:szCs w:val="17"/>
          <w:color w:val="auto"/>
        </w:rPr>
      </w:pPr>
      <w:r>
        <w:rPr>
          <w:rFonts w:ascii="Arial" w:cs="Arial" w:eastAsia="Arial" w:hAnsi="Arial"/>
          <w:sz w:val="17"/>
          <w:szCs w:val="17"/>
          <w:color w:val="auto"/>
        </w:rPr>
        <w:t>all payments made by the Company to the Collateral Agent after the Collateral Agent received or is deemed to have received such notice or after such Insolvency Event occurred shall be credited or deemed to have been credited to the new account or accounts, and in no circumstances whatsoever shall operate to reduce the Secured Obligations as at the time the Collateral Agent received or was deemed to have received such notice or as at the time that such Insolvency Event occurred.</w:t>
      </w:r>
    </w:p>
    <w:p>
      <w:pPr>
        <w:spacing w:after="0" w:line="17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This Deed shall remain valid and enforceable notwithstanding any change in the name, composition or constitution of the Collateral Agent or the Company or any amalgamation or consolidation by the Collateral Agent or the Company with any other corporation.</w:t>
      </w:r>
    </w:p>
    <w:p>
      <w:pPr>
        <w:spacing w:after="0" w:line="166" w:lineRule="exact"/>
        <w:rPr>
          <w:sz w:val="20"/>
          <w:szCs w:val="20"/>
          <w:color w:val="auto"/>
        </w:rPr>
      </w:pPr>
    </w:p>
    <w:p>
      <w:pPr>
        <w:ind w:left="660" w:hanging="652"/>
        <w:spacing w:after="0"/>
        <w:tabs>
          <w:tab w:leader="none" w:pos="660" w:val="left"/>
        </w:tabs>
        <w:numPr>
          <w:ilvl w:val="0"/>
          <w:numId w:val="712"/>
        </w:numPr>
        <w:rPr>
          <w:rFonts w:ascii="Arial" w:cs="Arial" w:eastAsia="Arial" w:hAnsi="Arial"/>
          <w:sz w:val="18"/>
          <w:szCs w:val="18"/>
          <w:color w:val="auto"/>
        </w:rPr>
      </w:pPr>
      <w:r>
        <w:rPr>
          <w:rFonts w:ascii="Arial" w:cs="Arial" w:eastAsia="Arial" w:hAnsi="Arial"/>
          <w:sz w:val="18"/>
          <w:szCs w:val="18"/>
          <w:b w:val="1"/>
          <w:bCs w:val="1"/>
          <w:color w:val="auto"/>
        </w:rPr>
        <w:t>FURTHER ASSURANCES, POWER OF ATTORNEY, ETC.</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 shall, at its own cost, promptly take whatever action the Collateral Agent or any Receiver may reasonably require with a view to:</w:t>
      </w:r>
    </w:p>
    <w:p>
      <w:pPr>
        <w:spacing w:after="0" w:line="225" w:lineRule="exact"/>
        <w:rPr>
          <w:sz w:val="20"/>
          <w:szCs w:val="20"/>
          <w:color w:val="auto"/>
        </w:rPr>
      </w:pPr>
    </w:p>
    <w:p>
      <w:pPr>
        <w:ind w:left="1300" w:hanging="644"/>
        <w:spacing w:after="0"/>
        <w:tabs>
          <w:tab w:leader="none" w:pos="130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creating, preserving, perfecting or protecting any of the Charges or the first priority of any of the Charges;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facilitating the enforcement of the Security created under this Deed or the exercise of any rights vested in the Collateral Agent or any Receiver in connection with this Deed;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177"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including, without limitation, executing such assignments, transfers and conveyances of the Charged Assets (whether in favour of the Collateral Agent,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ectPr>
          <w:pgSz w:w="11900" w:h="16838" w:orient="portrait"/>
          <w:cols w:equalWidth="0" w:num="1">
            <w:col w:w="11240"/>
          </w:cols>
          <w:pgMar w:left="320" w:top="125" w:right="339" w:bottom="0" w:gutter="0" w:footer="0" w:header="0"/>
        </w:sectPr>
      </w:pP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Company irrevocably and by way of security appoints the Collateral Agent and every Receiver jointly and also severally to be its attorney</w:t>
      </w:r>
    </w:p>
    <w:p>
      <w:pPr>
        <w:sectPr>
          <w:pgSz w:w="11900" w:h="16838" w:orient="portrait"/>
          <w:cols w:equalWidth="0" w:num="1">
            <w:col w:w="11240"/>
          </w:cols>
          <w:pgMar w:left="320" w:top="125" w:right="339" w:bottom="0" w:gutter="0" w:footer="0" w:header="0"/>
          <w:type w:val="continuous"/>
        </w:sectPr>
      </w:pPr>
    </w:p>
    <w:bookmarkStart w:id="593" w:name="page594"/>
    <w:bookmarkEnd w:id="593"/>
    <w:p>
      <w:pPr>
        <w:jc w:val="both"/>
        <w:ind w:left="660"/>
        <w:spacing w:after="0" w:line="217" w:lineRule="exact"/>
        <w:rPr>
          <w:sz w:val="20"/>
          <w:szCs w:val="20"/>
          <w:color w:val="auto"/>
        </w:rPr>
      </w:pPr>
      <w:r>
        <w:rPr>
          <w:rFonts w:ascii="Arial" w:cs="Arial" w:eastAsia="Arial" w:hAnsi="Arial"/>
          <w:sz w:val="17"/>
          <w:szCs w:val="17"/>
          <w:color w:val="auto"/>
        </w:rPr>
        <w:t>(with full power to appoint substitutes and to sub</w:t>
      </w:r>
      <w:r>
        <w:rPr>
          <w:rFonts w:ascii="MS PGothic" w:cs="MS PGothic" w:eastAsia="MS PGothic" w:hAnsi="MS PGothic"/>
          <w:sz w:val="17"/>
          <w:szCs w:val="17"/>
          <w:color w:val="auto"/>
        </w:rPr>
        <w:t>‑</w:t>
      </w:r>
      <w:r>
        <w:rPr>
          <w:rFonts w:ascii="Arial" w:cs="Arial" w:eastAsia="Arial" w:hAnsi="Arial"/>
          <w:sz w:val="17"/>
          <w:szCs w:val="17"/>
          <w:color w:val="auto"/>
        </w:rPr>
        <w:t>delegate, including power to authorise the person so appointed to make further appointments) on behalf of the Company and in its name or otherwise, and in such manner as the attorney may think fit, after the occurrence of an Enforcement Event, to execute, deliver, perfect and do any deed, document, act or thing (a) which the Collateral Agent or such Receiver (or any such substitute or sub</w:t>
      </w:r>
      <w:r>
        <w:rPr>
          <w:rFonts w:ascii="MS PGothic" w:cs="MS PGothic" w:eastAsia="MS PGothic" w:hAnsi="MS PGothic"/>
          <w:sz w:val="17"/>
          <w:szCs w:val="17"/>
          <w:color w:val="auto"/>
        </w:rPr>
        <w:t>‑</w:t>
      </w:r>
      <w:r>
        <w:rPr>
          <w:rFonts w:ascii="Arial" w:cs="Arial" w:eastAsia="Arial" w:hAnsi="Arial"/>
          <w:sz w:val="17"/>
          <w:szCs w:val="17"/>
          <w:color w:val="auto"/>
        </w:rPr>
        <w:t>delegate) may, reasonably consider appropriate in connection with the exercise of any of the rights of the Collateral Agent or such Receiver, or (b) which the Company is obliged to execute or do under this Deed but has not executed or done in a timely manner (including the execution and delivery of mortgages, assignments, transfers or charges or notices or directions in relation to any of the Charged Assets). Without prejudice to the generality of its right to appoint substitutes and to sub</w:t>
      </w:r>
      <w:r>
        <w:rPr>
          <w:rFonts w:ascii="MS PGothic" w:cs="MS PGothic" w:eastAsia="MS PGothic" w:hAnsi="MS PGothic"/>
          <w:sz w:val="17"/>
          <w:szCs w:val="17"/>
          <w:color w:val="auto"/>
        </w:rPr>
        <w:t>‑</w:t>
      </w:r>
      <w:r>
        <w:rPr>
          <w:rFonts w:ascii="Arial" w:cs="Arial" w:eastAsia="Arial" w:hAnsi="Arial"/>
          <w:sz w:val="17"/>
          <w:szCs w:val="17"/>
          <w:color w:val="auto"/>
        </w:rPr>
        <w:t>delegate, the Collateral Agent may appoint the Receiver as its substitute or sub</w:t>
      </w:r>
      <w:r>
        <w:rPr>
          <w:rFonts w:ascii="MS PGothic" w:cs="MS PGothic" w:eastAsia="MS PGothic" w:hAnsi="MS PGothic"/>
          <w:sz w:val="17"/>
          <w:szCs w:val="17"/>
          <w:color w:val="auto"/>
        </w:rPr>
        <w:t>‑</w:t>
      </w:r>
      <w:r>
        <w:rPr>
          <w:rFonts w:ascii="Arial" w:cs="Arial" w:eastAsia="Arial" w:hAnsi="Arial"/>
          <w:sz w:val="17"/>
          <w:szCs w:val="17"/>
          <w:color w:val="auto"/>
        </w:rPr>
        <w:t>delegate, and any person appointed the substitute or sub</w:t>
      </w:r>
      <w:r>
        <w:rPr>
          <w:rFonts w:ascii="MS PGothic" w:cs="MS PGothic" w:eastAsia="MS PGothic" w:hAnsi="MS PGothic"/>
          <w:sz w:val="17"/>
          <w:szCs w:val="17"/>
          <w:color w:val="auto"/>
        </w:rPr>
        <w:t>‑</w:t>
      </w:r>
      <w:r>
        <w:rPr>
          <w:rFonts w:ascii="Arial" w:cs="Arial" w:eastAsia="Arial" w:hAnsi="Arial"/>
          <w:sz w:val="17"/>
          <w:szCs w:val="17"/>
          <w:color w:val="auto"/>
        </w:rPr>
        <w:t>delegate of the Collateral Agent shall, in connection with the exercise of such power of attorney, be the agent of the Company. The Company acknowledges that such power of attorney is as regards the Collateral Agent and any Receiver granted irrevocably and for value to secure proprietary interests in and the performance of obligations owed to the respective donees within the meaning of the Powers of Attorney Act 1971.</w:t>
      </w:r>
    </w:p>
    <w:p>
      <w:pPr>
        <w:spacing w:after="0" w:line="20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Company hereby ratifies and confirms and agrees to ratify and confirm whatever any such attorney shall do or purport to do in the exercise or purported exercise of all or any of the rights referred to in this Clause 0 (</w:t>
      </w:r>
      <w:r>
        <w:rPr>
          <w:rFonts w:ascii="Arial" w:cs="Arial" w:eastAsia="Arial" w:hAnsi="Arial"/>
          <w:sz w:val="18"/>
          <w:szCs w:val="18"/>
          <w:i w:val="1"/>
          <w:iCs w:val="1"/>
          <w:color w:val="auto"/>
        </w:rPr>
        <w:t>14.Further Assurances, Power of Attorney,</w:t>
      </w:r>
      <w:r>
        <w:rPr>
          <w:rFonts w:ascii="Arial" w:cs="Arial" w:eastAsia="Arial" w:hAnsi="Arial"/>
          <w:sz w:val="18"/>
          <w:szCs w:val="18"/>
          <w:color w:val="auto"/>
        </w:rPr>
        <w:t xml:space="preserve"> </w:t>
      </w:r>
      <w:r>
        <w:rPr>
          <w:rFonts w:ascii="Arial" w:cs="Arial" w:eastAsia="Arial" w:hAnsi="Arial"/>
          <w:sz w:val="18"/>
          <w:szCs w:val="18"/>
          <w:b w:val="1"/>
          <w:bCs w:val="1"/>
          <w:color w:val="auto"/>
        </w:rPr>
        <w:t>ETC.</w:t>
      </w:r>
      <w:r>
        <w:rPr>
          <w:rFonts w:ascii="Arial" w:cs="Arial" w:eastAsia="Arial" w:hAnsi="Arial"/>
          <w:sz w:val="18"/>
          <w:szCs w:val="18"/>
          <w:color w:val="auto"/>
        </w:rPr>
        <w:t>) (save where any such attorney acts with gross negligence or wilful misconduct or otherwise exceeds its rights under this Clause 0 (</w:t>
      </w:r>
      <w:r>
        <w:rPr>
          <w:rFonts w:ascii="Arial" w:cs="Arial" w:eastAsia="Arial" w:hAnsi="Arial"/>
          <w:sz w:val="18"/>
          <w:szCs w:val="18"/>
          <w:i w:val="1"/>
          <w:iCs w:val="1"/>
          <w:color w:val="auto"/>
        </w:rPr>
        <w:t>14.Further Assurances,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Attorney, </w:t>
      </w:r>
      <w:r>
        <w:rPr>
          <w:rFonts w:ascii="Arial" w:cs="Arial" w:eastAsia="Arial" w:hAnsi="Arial"/>
          <w:sz w:val="18"/>
          <w:szCs w:val="18"/>
          <w:b w:val="1"/>
          <w:bCs w:val="1"/>
          <w:color w:val="auto"/>
        </w:rPr>
        <w:t>ETC.</w:t>
      </w:r>
      <w:r>
        <w:rPr>
          <w:rFonts w:ascii="Arial" w:cs="Arial" w:eastAsia="Arial" w:hAnsi="Arial"/>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14.4</w:t>
            </w:r>
          </w:p>
        </w:tc>
        <w:tc>
          <w:tcPr>
            <w:tcW w:w="2820" w:type="dxa"/>
            <w:vAlign w:val="bottom"/>
          </w:tcPr>
          <w:p>
            <w:pPr>
              <w:ind w:left="220"/>
              <w:spacing w:after="0"/>
              <w:rPr>
                <w:sz w:val="20"/>
                <w:szCs w:val="20"/>
                <w:color w:val="auto"/>
              </w:rPr>
            </w:pPr>
            <w:r>
              <w:rPr>
                <w:rFonts w:ascii="Arial" w:cs="Arial" w:eastAsia="Arial" w:hAnsi="Arial"/>
                <w:sz w:val="18"/>
                <w:szCs w:val="18"/>
                <w:color w:val="auto"/>
              </w:rPr>
              <w:t>References in Clause 0 (</w:t>
            </w:r>
            <w:r>
              <w:rPr>
                <w:rFonts w:ascii="Arial" w:cs="Arial" w:eastAsia="Arial" w:hAnsi="Arial"/>
                <w:sz w:val="18"/>
                <w:szCs w:val="18"/>
                <w:i w:val="1"/>
                <w:iCs w:val="1"/>
                <w:color w:val="auto"/>
              </w:rPr>
              <w:t>14.</w:t>
            </w:r>
          </w:p>
        </w:tc>
        <w:tc>
          <w:tcPr>
            <w:tcW w:w="5600" w:type="dxa"/>
            <w:vAlign w:val="bottom"/>
          </w:tcPr>
          <w:p>
            <w:pPr>
              <w:ind w:left="640"/>
              <w:spacing w:after="0"/>
              <w:rPr>
                <w:sz w:val="20"/>
                <w:szCs w:val="20"/>
                <w:color w:val="auto"/>
              </w:rPr>
            </w:pPr>
            <w:r>
              <w:rPr>
                <w:rFonts w:ascii="Arial" w:cs="Arial" w:eastAsia="Arial" w:hAnsi="Arial"/>
                <w:sz w:val="18"/>
                <w:szCs w:val="18"/>
                <w:i w:val="1"/>
                <w:iCs w:val="1"/>
                <w:color w:val="auto"/>
                <w:w w:val="96"/>
              </w:rPr>
              <w:t xml:space="preserve">Further Assurances, Power of Attorney, </w:t>
            </w:r>
            <w:r>
              <w:rPr>
                <w:rFonts w:ascii="Arial" w:cs="Arial" w:eastAsia="Arial" w:hAnsi="Arial"/>
                <w:sz w:val="18"/>
                <w:szCs w:val="18"/>
                <w:b w:val="1"/>
                <w:bCs w:val="1"/>
                <w:color w:val="auto"/>
                <w:w w:val="96"/>
              </w:rPr>
              <w:t>ETC.</w:t>
            </w:r>
            <w:r>
              <w:rPr>
                <w:rFonts w:ascii="Arial" w:cs="Arial" w:eastAsia="Arial" w:hAnsi="Arial"/>
                <w:sz w:val="18"/>
                <w:szCs w:val="18"/>
                <w:color w:val="auto"/>
                <w:w w:val="96"/>
              </w:rPr>
              <w:t>) and Clause 0 (</w:t>
            </w:r>
            <w:r>
              <w:rPr>
                <w:rFonts w:ascii="Arial" w:cs="Arial" w:eastAsia="Arial" w:hAnsi="Arial"/>
                <w:sz w:val="18"/>
                <w:szCs w:val="18"/>
                <w:i w:val="1"/>
                <w:iCs w:val="1"/>
                <w:color w:val="auto"/>
                <w:w w:val="96"/>
              </w:rPr>
              <w:t>14.</w:t>
            </w:r>
          </w:p>
        </w:tc>
        <w:tc>
          <w:tcPr>
            <w:tcW w:w="2260" w:type="dxa"/>
            <w:vAlign w:val="bottom"/>
          </w:tcPr>
          <w:p>
            <w:pPr>
              <w:ind w:left="260"/>
              <w:spacing w:after="0"/>
              <w:rPr>
                <w:sz w:val="20"/>
                <w:szCs w:val="20"/>
                <w:color w:val="auto"/>
              </w:rPr>
            </w:pPr>
            <w:r>
              <w:rPr>
                <w:rFonts w:ascii="Arial" w:cs="Arial" w:eastAsia="Arial" w:hAnsi="Arial"/>
                <w:sz w:val="18"/>
                <w:szCs w:val="18"/>
                <w:i w:val="1"/>
                <w:iCs w:val="1"/>
                <w:color w:val="auto"/>
                <w:w w:val="90"/>
              </w:rPr>
              <w:t>Further Assurances, Power</w:t>
            </w:r>
          </w:p>
        </w:tc>
      </w:tr>
      <w:tr>
        <w:trPr>
          <w:trHeight w:val="234"/>
        </w:trPr>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860" w:type="dxa"/>
            <w:vAlign w:val="bottom"/>
            <w:gridSpan w:val="2"/>
          </w:tcPr>
          <w:p>
            <w:pPr>
              <w:ind w:left="640"/>
              <w:spacing w:after="0"/>
              <w:rPr>
                <w:sz w:val="20"/>
                <w:szCs w:val="20"/>
                <w:color w:val="auto"/>
              </w:rPr>
            </w:pPr>
            <w:r>
              <w:rPr>
                <w:rFonts w:ascii="Arial" w:cs="Arial" w:eastAsia="Arial" w:hAnsi="Arial"/>
                <w:sz w:val="18"/>
                <w:szCs w:val="18"/>
                <w:i w:val="1"/>
                <w:iCs w:val="1"/>
                <w:color w:val="auto"/>
                <w:w w:val="91"/>
              </w:rPr>
              <w:t xml:space="preserve">of Attorney, </w:t>
            </w:r>
            <w:r>
              <w:rPr>
                <w:rFonts w:ascii="Arial" w:cs="Arial" w:eastAsia="Arial" w:hAnsi="Arial"/>
                <w:sz w:val="18"/>
                <w:szCs w:val="18"/>
                <w:b w:val="1"/>
                <w:bCs w:val="1"/>
                <w:color w:val="auto"/>
                <w:w w:val="91"/>
              </w:rPr>
              <w:t>ETC.</w:t>
            </w:r>
            <w:r>
              <w:rPr>
                <w:rFonts w:ascii="Arial" w:cs="Arial" w:eastAsia="Arial" w:hAnsi="Arial"/>
                <w:sz w:val="18"/>
                <w:szCs w:val="18"/>
                <w:color w:val="auto"/>
                <w:w w:val="91"/>
              </w:rPr>
              <w:t>) to the Collateral Agent or the Receiver shall include references to any Delegate.</w:t>
            </w:r>
          </w:p>
        </w:tc>
      </w:tr>
    </w:tbl>
    <w:p>
      <w:pPr>
        <w:spacing w:after="0" w:line="198" w:lineRule="exact"/>
        <w:rPr>
          <w:sz w:val="20"/>
          <w:szCs w:val="20"/>
          <w:color w:val="auto"/>
        </w:rPr>
      </w:pPr>
    </w:p>
    <w:p>
      <w:pPr>
        <w:ind w:left="660" w:hanging="652"/>
        <w:spacing w:after="0"/>
        <w:tabs>
          <w:tab w:leader="none" w:pos="660" w:val="left"/>
        </w:tabs>
        <w:numPr>
          <w:ilvl w:val="0"/>
          <w:numId w:val="714"/>
        </w:numPr>
        <w:rPr>
          <w:rFonts w:ascii="Arial" w:cs="Arial" w:eastAsia="Arial" w:hAnsi="Arial"/>
          <w:sz w:val="18"/>
          <w:szCs w:val="18"/>
          <w:color w:val="auto"/>
        </w:rPr>
      </w:pPr>
      <w:r>
        <w:rPr>
          <w:rFonts w:ascii="Arial" w:cs="Arial" w:eastAsia="Arial" w:hAnsi="Arial"/>
          <w:sz w:val="18"/>
          <w:szCs w:val="18"/>
          <w:b w:val="1"/>
          <w:bCs w:val="1"/>
          <w:color w:val="auto"/>
        </w:rPr>
        <w:t>THE COLLATERAL AGENT'S RIGHTS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Secured Obligations shall become due for the purposes of section 101 of the Law of Property Act, and the statutory powers of sale and enforcement and of appointing a Receiver which are conferred on the Collateral Agent under that Act (as varied and extended by this Deed) and all other rights of a mortgagee conferred by the Law of Property Act shall be deemed to arise, immediately after execution of and in accordance with this Deed.</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Section 103 of the Law of Property Act shall not apply to this Deed and upon the occurrence of an Enforcement Event the Charges shall become immediately enforceable and the rights conferred by the Law of Property Act and this Deed immediately exercisable by the Collateral Agent without the restrictions contained in the Law of Property Act.</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At any time after an Enforcement Event occurs, the Collateral Agent shall, in addition to the powers of leasing and accepting surrenders of leases conferred by section 99 and 100 of the Law of Property Act, have power to make any lease or agreement to lease at a premium or otherwise, accept surrenders of leases and grant options, in each case on any terms and in any manner the Collateral Agent thinks fit without needing to comply with any restrictions imposed by such sections or otherwise.</w:t>
      </w:r>
    </w:p>
    <w:p>
      <w:pPr>
        <w:spacing w:after="0" w:line="18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In making any sale or other disposal of any Charged Assets or making any acquisition in exercise of their respective rights, the Collateral Agent or any Receiver may do so for such consideration (including cash, shares, debentures, loan capital or other securities whatsoever, consideration fluctuating according to or dependent on profit or turnover, and consideration whose amount is to be determined by a third party, and whether such consideration is receivable in a lump sum or by instalments) and otherwise on such terms and conditions and in such manner as it or he reasonably thinks fit, and may also grant any option to purchase and effect exchanges.</w:t>
      </w:r>
    </w:p>
    <w:p>
      <w:pPr>
        <w:spacing w:after="0" w:line="176" w:lineRule="exact"/>
        <w:rPr>
          <w:sz w:val="20"/>
          <w:szCs w:val="20"/>
          <w:color w:val="auto"/>
        </w:rPr>
      </w:pPr>
    </w:p>
    <w:p>
      <w:pPr>
        <w:jc w:val="both"/>
        <w:ind w:left="660" w:hanging="647"/>
        <w:spacing w:after="0" w:line="220" w:lineRule="exact"/>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The Collateral Agent may at any time delegate to any person either generally or specifically, on such terms and conditions (including power to sub</w:t>
      </w:r>
      <w:r>
        <w:rPr>
          <w:rFonts w:ascii="MS PGothic" w:cs="MS PGothic" w:eastAsia="MS PGothic" w:hAnsi="MS PGothic"/>
          <w:sz w:val="18"/>
          <w:szCs w:val="18"/>
          <w:color w:val="auto"/>
        </w:rPr>
        <w:t>‑</w:t>
      </w:r>
      <w:r>
        <w:rPr>
          <w:rFonts w:ascii="Arial" w:cs="Arial" w:eastAsia="Arial" w:hAnsi="Arial"/>
          <w:sz w:val="18"/>
          <w:szCs w:val="18"/>
          <w:color w:val="auto"/>
        </w:rPr>
        <w:t>delegate) and in such manner as the Collateral Agent reasonably thinks fit, any rights (including the power of attorney) from time to time exercisable by the Collateral Agent under or in connection with this Deed. No such delegation shall preclude the subsequent exercise by the Collateral Agent of such right or any subsequent delegation or revocation thereof.</w:t>
      </w:r>
    </w:p>
    <w:p>
      <w:pPr>
        <w:spacing w:after="0" w:line="204" w:lineRule="exact"/>
        <w:rPr>
          <w:sz w:val="20"/>
          <w:szCs w:val="20"/>
          <w:color w:val="auto"/>
        </w:rPr>
      </w:pPr>
    </w:p>
    <w:p>
      <w:pPr>
        <w:jc w:val="both"/>
        <w:ind w:left="660" w:hanging="647"/>
        <w:spacing w:after="0" w:line="217" w:lineRule="exact"/>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The Collateral Agent may, at any time and from time to time and without prejudice to the Collateral Agent's other rights, set off any Secured Obligations (to the extent beneficially owned by the Collateral Agent) against any obligation or liability (matured or not and whether actual or contingent) owing by the Collateral Agent to, or any amount and sum held or received or receivable by it on behalf or to the order of, the Company or to which the Company is beneficially entitled (such rights extending to the set off or transfer of all or any part of any credit balance on any such account, whether or not then due and whatever the place of payment or booking branch, in or towards satisfaction of any Secured Obligations) to the extent permitted under both the Loan Agreement and any applicable Requirements of Law. For that purpose, if any of the Secured Obligations is in a different currency from such obligation, liability, amount or sum (including credit balance), the Collateral Agent may effect any necessary conversion at its then prevailing spot rates of exchange (as conclusively determined by the Collateral Agent) and may pay out any additional sum which the UK or any other governmental or regulatory body of any jurisdiction may require, as a matter of law, the Collateral Agent to pay in respect of such conversion. The Collateral Agent may in its absolute discretion (in good faith) estimate the amount of any liability of the Company which is unascertained or contingent and set off such estimated amount, and no amount shall be payable by the Collateral Agent to the Company unless and until Payment in Full. The Collateral Agent shall not be obliged to exercise any of its rights under this Clause, which shall be without prejudice and in addition to any rights of set</w:t>
      </w:r>
      <w:r>
        <w:rPr>
          <w:rFonts w:ascii="MS PGothic" w:cs="MS PGothic" w:eastAsia="MS PGothic" w:hAnsi="MS PGothic"/>
          <w:sz w:val="17"/>
          <w:szCs w:val="17"/>
          <w:color w:val="auto"/>
        </w:rPr>
        <w:t>‑</w:t>
      </w:r>
      <w:r>
        <w:rPr>
          <w:rFonts w:ascii="Arial" w:cs="Arial" w:eastAsia="Arial" w:hAnsi="Arial"/>
          <w:sz w:val="17"/>
          <w:szCs w:val="17"/>
          <w:color w:val="auto"/>
        </w:rPr>
        <w:t>off, combination of accounts, bankers' lien or other right to which it is at any time otherwise entitled (whether by operation of law, contract or otherwise).</w:t>
      </w:r>
    </w:p>
    <w:p>
      <w:pPr>
        <w:spacing w:after="0" w:line="20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18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7"/>
          <w:szCs w:val="17"/>
          <w:color w:val="auto"/>
        </w:rPr>
        <w:t>If, after the occurrence of an Enforcement Event, the Company for any reason fails to observe or punctually to perform or to procure the observance or punctual performance of any of the obligations expressed to be assumed by it to the Collateral Agent under this Deed, the Collateral Agent shall have the right (but shall not be obliged), on behalf of or in the name of the Company or otherwise, to perform the obligation and to take any steps which the Collateral Agent may reasonably consider appropriate with a view to remedying, or mitigating the consequences of, the failure, but the exercise of this right, or the failure to exercise it, shall in no circumstances prejudice the Collateral Agent's rights under this Deed or otherwise or constitute the Collateral Agent a mortgagee in possession.</w:t>
      </w:r>
    </w:p>
    <w:p>
      <w:pPr>
        <w:spacing w:after="0" w:line="174" w:lineRule="exact"/>
        <w:rPr>
          <w:sz w:val="20"/>
          <w:szCs w:val="20"/>
          <w:color w:val="auto"/>
        </w:rPr>
      </w:pPr>
    </w:p>
    <w:p>
      <w:pPr>
        <w:ind w:left="660" w:hanging="652"/>
        <w:spacing w:after="0"/>
        <w:tabs>
          <w:tab w:leader="none" w:pos="660" w:val="left"/>
        </w:tabs>
        <w:numPr>
          <w:ilvl w:val="0"/>
          <w:numId w:val="715"/>
        </w:numPr>
        <w:rPr>
          <w:rFonts w:ascii="Arial" w:cs="Arial" w:eastAsia="Arial" w:hAnsi="Arial"/>
          <w:sz w:val="18"/>
          <w:szCs w:val="18"/>
          <w:color w:val="auto"/>
        </w:rPr>
      </w:pPr>
      <w:r>
        <w:rPr>
          <w:rFonts w:ascii="Arial" w:cs="Arial" w:eastAsia="Arial" w:hAnsi="Arial"/>
          <w:sz w:val="18"/>
          <w:szCs w:val="18"/>
          <w:b w:val="1"/>
          <w:bCs w:val="1"/>
          <w:color w:val="auto"/>
        </w:rPr>
        <w:t>APPOINTMENT OF ADMINISTRATOR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Paragraph 14 of Schedule B1 to the Insolvency Act applies to the floating charge created hereunder.</w:t>
      </w:r>
    </w:p>
    <w:p>
      <w:pPr>
        <w:sectPr>
          <w:pgSz w:w="11900" w:h="16838" w:orient="portrait"/>
          <w:cols w:equalWidth="0" w:num="1">
            <w:col w:w="11240"/>
          </w:cols>
          <w:pgMar w:left="320" w:top="125" w:right="339" w:bottom="0" w:gutter="0" w:footer="0" w:header="0"/>
        </w:sectPr>
      </w:pPr>
    </w:p>
    <w:bookmarkStart w:id="594" w:name="page595"/>
    <w:bookmarkEnd w:id="594"/>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Subject to any relevant provisions of the Insolvency Act, the Collateral Agent may, by any instrument or deed of appointment, appoint one or more persons to be the Administrator of the Company at any time after:</w:t>
      </w:r>
    </w:p>
    <w:p>
      <w:pPr>
        <w:spacing w:after="0" w:line="170" w:lineRule="exact"/>
        <w:rPr>
          <w:sz w:val="20"/>
          <w:szCs w:val="20"/>
          <w:color w:val="auto"/>
        </w:rPr>
      </w:pPr>
    </w:p>
    <w:p>
      <w:pPr>
        <w:ind w:left="1300" w:hanging="644"/>
        <w:spacing w:after="0"/>
        <w:tabs>
          <w:tab w:leader="none" w:pos="13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occurrence of an Enforcement Event;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being requested to do so by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any application having been made to the court for an administration order under the Insolvency Act;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any person having ceased to be an Administrator as a result of any event specified in paragraph 90 of Schedule B1 to the Insolvency Act;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any notice of intention to appoint an Administrator having been given by any person or persons entitled to make such appointment under the Insolvency Act.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Where any such appointment is made at a time when an Administrator continues in office, the Administrator shall act either jointly or concurrently with the Administrator previously appointed hereunder, as the appointment specifies.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Subject to any applicable order of the Court, the Collateral Agent may replace any Administrator, or seek an order replacing the Administrator, in any manner allowed by the Insolvency Act.</w:t>
      </w:r>
    </w:p>
    <w:p>
      <w:pPr>
        <w:spacing w:after="0" w:line="170"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Where the Administrator was appointed by the Collateral Agent under paragraph 14 of Schedule B1 to the Insolvency Act, the Collateral Agent may, by notice in writing to the Company, replace the Administrator in accordance with paragraph 92 of Schedule B1 to the Insolvency Act.</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Every such appointment shall take effect at the time and in the manner specified by the Insolvency Act.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If at any time and by virtue of any such appointment(s) any two or more persons shall hold office as Administrators of the same assets or income, such Administrators may act jointly or concurrently as the appointment specifies so that, if appointed to act concurrently, each one of such Administrators shall be entitled (unless the contrary shall be stated in any of the deed(s) or other instrument(s) appointing them) to exercise all the functions conferred on an Administrator by the Insolvency Act.</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Every such instrument, notice or deed of appointment, and every delegation or appointment by the Collateral Agent in the exercise of any right to delegate its powers herein contained, may be made in writing under the hand of any manager or officer of the Collateral Agent or any other authorised person or of any Delegate.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Every Administrator shall have all the powers of an administrator under the Insolvency Act.</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16.10</w:t>
        <w:tab/>
        <w:t>In exercising his functions hereunder and under the Insolvency Act, the Administrator acts as agent of the Company and does not act as agent of the Collateral Agent.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16.11</w:t>
        <w:tab/>
        <w:t>Every Administrator shall be entitled to remuneration for his services in the manner fixed by or pursuant to the Insolvency Act or the Insolvency Rules.</w:t>
      </w:r>
    </w:p>
    <w:p>
      <w:pPr>
        <w:spacing w:after="0" w:line="166" w:lineRule="exact"/>
        <w:rPr>
          <w:sz w:val="20"/>
          <w:szCs w:val="20"/>
          <w:color w:val="auto"/>
        </w:rPr>
      </w:pPr>
    </w:p>
    <w:p>
      <w:pPr>
        <w:ind w:left="660" w:hanging="652"/>
        <w:spacing w:after="0"/>
        <w:tabs>
          <w:tab w:leader="none" w:pos="660" w:val="left"/>
        </w:tabs>
        <w:numPr>
          <w:ilvl w:val="0"/>
          <w:numId w:val="717"/>
        </w:numPr>
        <w:rPr>
          <w:rFonts w:ascii="Arial" w:cs="Arial" w:eastAsia="Arial" w:hAnsi="Arial"/>
          <w:sz w:val="18"/>
          <w:szCs w:val="18"/>
          <w:color w:val="auto"/>
        </w:rPr>
      </w:pPr>
      <w:r>
        <w:rPr>
          <w:rFonts w:ascii="Arial" w:cs="Arial" w:eastAsia="Arial" w:hAnsi="Arial"/>
          <w:sz w:val="18"/>
          <w:szCs w:val="18"/>
          <w:b w:val="1"/>
          <w:bCs w:val="1"/>
          <w:color w:val="auto"/>
        </w:rPr>
        <w:t>RECEIVER</w:t>
      </w:r>
    </w:p>
    <w:p>
      <w:pPr>
        <w:spacing w:after="0" w:line="22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None of the restrictions imposed by the Law of Property Act in relation to the appointment of receivers or the giving of notice or otherwise shall apply. At any time and from time to time upon or after request by the Company or the occurrence of an Enforcement Event, the Collateral Agent may, and in addition to all statutory and other powers of appointment or otherwise, by any instrument or deed signed under the hand of any manager or officer of the Collateral Agent or any other authorised person or of any Delegate, appoint such person or persons (including an officer or officers of the Collateral Agent) as it reasonably thinks fit to be Receiver or Receivers (to act jointly and/or severally as the Collateral Agent may specify in the appointment) of (a) any Fixed Charge Asset or Assets, and/or (b) any Floating Charge Asset or Assets, so that each one of such Receivers shall be entitled (unless the contrary shall be stated in any deed(s) or other instrument(s) appointing them) to exercise individually all the powers and discretions conferred on the Receivers. If any Receiver is appointed of only part of the Charged Assets, references to the rights conferred on a Receiver by any provision of this Deed shall be construed as references to that part of the Charged Assets or any part thereof.</w:t>
      </w:r>
    </w:p>
    <w:p>
      <w:pPr>
        <w:spacing w:after="0" w:line="16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The Collateral Agent may appoint any Receiver on any terms the Collateral Agent reasonably thinks fit. The Collateral Agent may by any instrument or deed signed under the hand of any manager or officer of the Collateral Agent or any other authorised person or any Delegate (subject to section 62 of the Insolvency Act) remove a Receiver appointed by it whether or not appointing another in his place, and may also appoint another Receiver to act with any other Receiver or to replace any Receiver who resigns, retires or otherwise ceases to hold office.</w:t>
      </w:r>
    </w:p>
    <w:p>
      <w:pPr>
        <w:spacing w:after="0" w:line="17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exclusion of any part of the Charged Assets from the appointment of any Receiver shall not preclude the Collateral Agent from subsequently extending his appointment (or that of the Receiver replacing him) to that part or appointing another Receiver over any other part of the Charged Assets.</w:t>
      </w:r>
    </w:p>
    <w:p>
      <w:pPr>
        <w:spacing w:after="0" w:line="184"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Any Receiver shall, so far as the law permits, be the agent of the Company and (subject to any restriction or limitation imposed by applicable law) the Company shall be solely responsible for his remuneration and his acts, omissions or defaults and solely liable on any contracts or engagements made, entered into or adopted by him and any losses, liabilities, costs, charges and expenses incurred by him; and in no circumstances whatsoever shall the Collateral Agent be in any way responsible for or incur any liability in connection with any Receiver's acts, omissions, defaults, contracts, engagements, Losses, liabilities, costs, charges, expenses, misconduct, negligence or default, save, in each case, in circumstances where the liability arises as a direct result of the Receiver’s gross negligence or wilful misconduct. If a liquidator of the Company is appointed, the Receiver shall act as principal and not as agent for the Collateral Agent.</w:t>
      </w:r>
    </w:p>
    <w:p>
      <w:pPr>
        <w:spacing w:after="0" w:line="177"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Subject to section 36 of the Insolvency Act, the remuneration of any Receiver may be fixed by the Collateral Agent without being limited to the maximum rate specified by sections 109(6) of the Law of Property Act (and may be or include a commission calculated by reference to the gross amount of all money received or otherwise and may include remuneration in connection with claims, actions or Proceedings made or brought against the Receiver by the Company or any other person or the performance or discharge of any obligation imposed upon him by statute or</w:t>
      </w:r>
    </w:p>
    <w:p>
      <w:pPr>
        <w:sectPr>
          <w:pgSz w:w="11900" w:h="16838" w:orient="portrait"/>
          <w:cols w:equalWidth="0" w:num="1">
            <w:col w:w="11240"/>
          </w:cols>
          <w:pgMar w:left="320" w:top="125" w:right="339" w:bottom="0" w:gutter="0" w:footer="0" w:header="0"/>
        </w:sectPr>
      </w:pPr>
    </w:p>
    <w:bookmarkStart w:id="595" w:name="page596"/>
    <w:bookmarkEnd w:id="595"/>
    <w:p>
      <w:pPr>
        <w:spacing w:after="0" w:line="5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otherwise), but such remuneration shall be payable by the Company alone; and the amount of such remuneration may be debited by the Collateral Agent from any account of the Company but shall, in any event, form part of the Secured Obligations and accordingly be secured on the Charged Assets under the Charges. Such remuneration shall be paid on such terms and in such manner as the Collateral Agent and Receiver may from time to time reasonably agree or failing such agreement as the Collateral Agent reasonably determines.</w:t>
      </w:r>
    </w:p>
    <w:p>
      <w:pPr>
        <w:spacing w:after="0" w:line="17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Any Receiver may be invested by the Collateral Agent with such of the powers, authorities and discretions exercisable by the Collateral Agent under this Deed as the Collateral Agent may reasonably think fit. Without prejudice to the generality of the foregoing, any Receiver shall (subject to any restrictions in his appointment) have in relation to the Relevant Charged Assets, in each case in the Company's name or his own name and on such terms and in such manner as he sees fit, all the rights referred to in Schedule 1 (and where applicable Schedule 2) of the Insolvency Act; all rights of the Collateral Agent under this Deed; all the rights conferred by the Law of Property Act on mortgagors, mortgagees in possession and receivers appointed under the Law of Property Act; all rights of an absolute beneficial owner including rights to do or omit to do anything the Company itself could do or omit; and all rights to do all things the Receiver considers necessary, desirable or incidental to any of his rights or exercise thereof including the realisation of any Relevant Charged Assets and getting in of any Assets which would when got in be Relevant Charged Assets.</w:t>
      </w:r>
    </w:p>
    <w:p>
      <w:pPr>
        <w:spacing w:after="0" w:line="19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The Collateral Agent shall not (save only to the extent caused by its own negligence, fraud, wilful misconduct, breach of trust or breach of any obligation of the Collateral Agent hereunder) be liable for any losses or damages arising from any exercise of his authorities, powers or discretions by any Receiver.</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The Collateral Agent may from time to time and at any time require any Receiver to give security for the due performance of his duties as such Receiver and may fix the nature and amount of the security to be so given but the Collateral Agent shall not be bound in any case to require any such security.</w:t>
      </w:r>
    </w:p>
    <w:p>
      <w:pPr>
        <w:spacing w:after="0" w:line="180" w:lineRule="exact"/>
        <w:rPr>
          <w:sz w:val="20"/>
          <w:szCs w:val="20"/>
          <w:color w:val="auto"/>
        </w:rPr>
      </w:pPr>
    </w:p>
    <w:p>
      <w:pPr>
        <w:ind w:left="660" w:hanging="652"/>
        <w:spacing w:after="0"/>
        <w:tabs>
          <w:tab w:leader="none" w:pos="660" w:val="left"/>
        </w:tabs>
        <w:numPr>
          <w:ilvl w:val="0"/>
          <w:numId w:val="718"/>
        </w:numPr>
        <w:rPr>
          <w:rFonts w:ascii="Arial" w:cs="Arial" w:eastAsia="Arial" w:hAnsi="Arial"/>
          <w:sz w:val="18"/>
          <w:szCs w:val="18"/>
          <w:color w:val="auto"/>
        </w:rPr>
      </w:pPr>
      <w:r>
        <w:rPr>
          <w:rFonts w:ascii="Arial" w:cs="Arial" w:eastAsia="Arial" w:hAnsi="Arial"/>
          <w:sz w:val="18"/>
          <w:szCs w:val="18"/>
          <w:b w:val="1"/>
          <w:bCs w:val="1"/>
          <w:color w:val="auto"/>
        </w:rPr>
        <w:t>APPLICATION OF MONEYS</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All moneys realised, received or recovered by the Collateral Agent or any Receiver shall be applied in accordance with the terms of the Loan Agreement.</w:t>
      </w:r>
    </w:p>
    <w:p>
      <w:pPr>
        <w:spacing w:after="0" w:line="164" w:lineRule="exact"/>
        <w:rPr>
          <w:sz w:val="20"/>
          <w:szCs w:val="20"/>
          <w:color w:val="auto"/>
        </w:rPr>
      </w:pPr>
    </w:p>
    <w:p>
      <w:pPr>
        <w:ind w:left="660" w:hanging="652"/>
        <w:spacing w:after="0"/>
        <w:tabs>
          <w:tab w:leader="none" w:pos="660" w:val="left"/>
        </w:tabs>
        <w:numPr>
          <w:ilvl w:val="0"/>
          <w:numId w:val="719"/>
        </w:numPr>
        <w:rPr>
          <w:rFonts w:ascii="Arial" w:cs="Arial" w:eastAsia="Arial" w:hAnsi="Arial"/>
          <w:sz w:val="18"/>
          <w:szCs w:val="18"/>
          <w:color w:val="auto"/>
        </w:rPr>
      </w:pPr>
      <w:r>
        <w:rPr>
          <w:rFonts w:ascii="Arial" w:cs="Arial" w:eastAsia="Arial" w:hAnsi="Arial"/>
          <w:sz w:val="18"/>
          <w:szCs w:val="18"/>
          <w:b w:val="1"/>
          <w:bCs w:val="1"/>
          <w:color w:val="auto"/>
        </w:rPr>
        <w:t>PROTECTION OF THIRD PARTIES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Without prejudice to any other provision of this Deed, the Secured Obligations shall become due for the purposes of section 101 of the Law of Property Act, and the statutory powers of sale and enforcement and of appointing a Receiver which are conferred upon the Collateral Agent (as varied and extended by this Deed) and all other rights of a mortgagee conferred by the Law of Property Act shall in favour of any purchaser be deemed to arise and be exercisable, immediately after the execution of and in accordance with this Deed.</w:t>
      </w:r>
    </w:p>
    <w:p>
      <w:pPr>
        <w:spacing w:after="0" w:line="171"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No purchaser from, or other person dealing with, the Collateral Agent, any Receiver or any Delegate shall be concerned to enquire whether any event has happened upon which any of the rights which they have exercised or purported to exercise under or in connection with this Deed, the Law of Property Act or the Insolvency Act has arisen or become exercisable, whether the Secured Obligations remain outstanding, whether any event has happened to authorise the Collateral Agent, any Receiver or any Delegate to act, or whether the Receiver is authorised to act, whether any consents, regulations, restrictions or directions relating to such rights have been obtained or complied with, or otherwise as to the propriety, regularity or validity of the exercise or purported exercise of any such right or as to the application of any moneys borrowed or raised or other realisation proceeds; and the title and position of a purchaser or such person shall not be impeachable by reference to any of those matters and the protections contained in sections 104 to 107 of the Law of Property Act, section 42(3) Insolvency Act or any other legislation from time to time in force shall apply to any person purchasing from or dealing with a Receiver, the Collateral Agent or any Delegate.</w:t>
      </w:r>
    </w:p>
    <w:p>
      <w:pPr>
        <w:spacing w:after="0" w:line="166"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receipt of the Collateral Agent or the Receiver or any Delegate shall be an absolute and conclusive discharge to a purchaser or such person and shall relieve him of any obligation to see to the application of any moneys paid to or by the direction of the Collateral Agent or the Receiver.</w:t>
      </w:r>
    </w:p>
    <w:p>
      <w:pPr>
        <w:sectPr>
          <w:pgSz w:w="11900" w:h="16891" w:orient="portrait"/>
          <w:cols w:equalWidth="0" w:num="1">
            <w:col w:w="11240"/>
          </w:cols>
          <w:pgMar w:left="320" w:top="125" w:right="339" w:bottom="0" w:gutter="0" w:footer="0" w:header="0"/>
        </w:sectPr>
      </w:pPr>
    </w:p>
    <w:p>
      <w:pPr>
        <w:spacing w:after="0" w:line="120" w:lineRule="exact"/>
        <w:rPr>
          <w:sz w:val="20"/>
          <w:szCs w:val="20"/>
          <w:color w:val="auto"/>
        </w:rPr>
      </w:pPr>
    </w:p>
    <w:p>
      <w:pPr>
        <w:spacing w:after="0"/>
        <w:tabs>
          <w:tab w:leader="none" w:pos="760" w:val="left"/>
          <w:tab w:leader="none" w:pos="270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Clauses 0 (</w:t>
      </w:r>
      <w:r>
        <w:rPr>
          <w:rFonts w:ascii="Arial" w:cs="Arial" w:eastAsia="Arial" w:hAnsi="Arial"/>
          <w:sz w:val="18"/>
          <w:szCs w:val="18"/>
          <w:i w:val="1"/>
          <w:iCs w:val="1"/>
          <w:color w:val="auto"/>
        </w:rPr>
        <w:t>19.</w:t>
      </w:r>
      <w:r>
        <w:rPr>
          <w:sz w:val="20"/>
          <w:szCs w:val="20"/>
          <w:color w:val="auto"/>
        </w:rPr>
        <w:tab/>
      </w:r>
      <w:r>
        <w:rPr>
          <w:rFonts w:ascii="Arial" w:cs="Arial" w:eastAsia="Arial" w:hAnsi="Arial"/>
          <w:sz w:val="16"/>
          <w:szCs w:val="16"/>
          <w:i w:val="1"/>
          <w:iCs w:val="1"/>
          <w:color w:val="auto"/>
        </w:rPr>
        <w:t xml:space="preserve">Protection of Third </w:t>
      </w:r>
      <w:r>
        <w:rPr>
          <w:rFonts w:ascii="Arial" w:cs="Arial" w:eastAsia="Arial" w:hAnsi="Arial"/>
          <w:sz w:val="16"/>
          <w:szCs w:val="16"/>
          <w:b w:val="1"/>
          <w:bCs w:val="1"/>
          <w:color w:val="auto"/>
        </w:rPr>
        <w:t>PARTIES</w:t>
      </w:r>
      <w:r>
        <w:rPr>
          <w:rFonts w:ascii="Arial" w:cs="Arial" w:eastAsia="Arial" w:hAnsi="Arial"/>
          <w:sz w:val="16"/>
          <w:szCs w:val="16"/>
          <w:color w:val="auto"/>
        </w:rPr>
        <w:t>) to 0 (</w:t>
      </w:r>
      <w:r>
        <w:rPr>
          <w:rFonts w:ascii="Arial" w:cs="Arial" w:eastAsia="Arial" w:hAnsi="Arial"/>
          <w:sz w:val="16"/>
          <w:szCs w:val="16"/>
          <w:i w:val="1"/>
          <w:iCs w:val="1"/>
          <w:color w:val="auto"/>
        </w:rPr>
        <w:t>19.</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 xml:space="preserve">Protection of Third </w:t>
      </w:r>
      <w:r>
        <w:rPr>
          <w:rFonts w:ascii="Arial" w:cs="Arial" w:eastAsia="Arial" w:hAnsi="Arial"/>
          <w:sz w:val="17"/>
          <w:szCs w:val="17"/>
          <w:b w:val="1"/>
          <w:bCs w:val="1"/>
          <w:color w:val="auto"/>
        </w:rPr>
        <w:t>PARTIES</w:t>
      </w:r>
      <w:r>
        <w:rPr>
          <w:rFonts w:ascii="Arial" w:cs="Arial" w:eastAsia="Arial" w:hAnsi="Arial"/>
          <w:sz w:val="17"/>
          <w:szCs w:val="17"/>
          <w:color w:val="auto"/>
        </w:rPr>
        <w:t>) above, "purchaser"</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any person acquiring a lease of or Security Interest over, or any other interest or right whatsoever in respect of, any Charged Assets.</w:t>
      </w:r>
    </w:p>
    <w:p>
      <w:pPr>
        <w:spacing w:after="0" w:line="165" w:lineRule="exact"/>
        <w:rPr>
          <w:sz w:val="20"/>
          <w:szCs w:val="20"/>
          <w:color w:val="auto"/>
        </w:rPr>
      </w:pPr>
    </w:p>
    <w:p>
      <w:pPr>
        <w:sectPr>
          <w:pgSz w:w="11900" w:h="16891" w:orient="portrait"/>
          <w:cols w:equalWidth="0" w:num="2">
            <w:col w:w="6540" w:space="720"/>
            <w:col w:w="3980"/>
          </w:cols>
          <w:pgMar w:left="320" w:top="125" w:right="339" w:bottom="0" w:gutter="0" w:footer="0" w:header="0"/>
          <w:type w:val="continuous"/>
        </w:sectPr>
      </w:pPr>
    </w:p>
    <w:p>
      <w:pPr>
        <w:ind w:left="660" w:hanging="652"/>
        <w:spacing w:after="0"/>
        <w:tabs>
          <w:tab w:leader="none" w:pos="660" w:val="left"/>
        </w:tabs>
        <w:numPr>
          <w:ilvl w:val="0"/>
          <w:numId w:val="720"/>
        </w:numPr>
        <w:rPr>
          <w:rFonts w:ascii="Arial" w:cs="Arial" w:eastAsia="Arial" w:hAnsi="Arial"/>
          <w:sz w:val="18"/>
          <w:szCs w:val="18"/>
          <w:color w:val="auto"/>
        </w:rPr>
      </w:pPr>
      <w:r>
        <w:rPr>
          <w:rFonts w:ascii="Arial" w:cs="Arial" w:eastAsia="Arial" w:hAnsi="Arial"/>
          <w:sz w:val="18"/>
          <w:szCs w:val="18"/>
          <w:b w:val="1"/>
          <w:bCs w:val="1"/>
          <w:color w:val="auto"/>
        </w:rPr>
        <w:t>PROTECTION OF COLLATERAL AGENT AND RECEIVER</w:t>
      </w:r>
    </w:p>
    <w:p>
      <w:pPr>
        <w:spacing w:after="0" w:line="229"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In no circumstances (whether by reason of the creation of the Charges or the entry into or taking possession of any Charged Assets or for any other reason whatsoever and whether as mortgagee in possession or on any basis whatsoever) shall the Collateral Agent or any Receiver:</w:t>
      </w:r>
    </w:p>
    <w:p>
      <w:pPr>
        <w:spacing w:after="0" w:line="124" w:lineRule="exact"/>
        <w:rPr>
          <w:sz w:val="20"/>
          <w:szCs w:val="20"/>
          <w:color w:val="auto"/>
        </w:rPr>
      </w:pPr>
    </w:p>
    <w:p>
      <w:pPr>
        <w:jc w:val="both"/>
        <w:ind w:left="1300" w:hanging="644"/>
        <w:spacing w:after="0" w:line="218" w:lineRule="exact"/>
        <w:tabs>
          <w:tab w:leader="none" w:pos="1300" w:val="left"/>
        </w:tabs>
        <w:numPr>
          <w:ilvl w:val="0"/>
          <w:numId w:val="721"/>
        </w:numPr>
        <w:rPr>
          <w:rFonts w:ascii="Arial" w:cs="Arial" w:eastAsia="Arial" w:hAnsi="Arial"/>
          <w:sz w:val="16"/>
          <w:szCs w:val="16"/>
          <w:color w:val="auto"/>
        </w:rPr>
      </w:pPr>
      <w:r>
        <w:rPr>
          <w:rFonts w:ascii="Arial" w:cs="Arial" w:eastAsia="Arial" w:hAnsi="Arial"/>
          <w:sz w:val="16"/>
          <w:szCs w:val="16"/>
          <w:color w:val="auto"/>
        </w:rPr>
        <w:t>be liable to the Company or any other person in respect of any cost, charge, expense, liability, Loss or damage arising out of the exercise, or attempted or purported exercise of, or the failure to exercise, any of their respective rights in accordance with this Deed, or arising out of the realisation of any Charged Assets or the manner thereof or arising out of any act, default, omission or misconduct of the Collateral Agent or any Receiver in relation to the Charged Assets or otherwise in connection with this Deed, save only to the extent such cost, charge, expense, liability, Loss or damage has been found by a final non</w:t>
      </w:r>
      <w:r>
        <w:rPr>
          <w:rFonts w:ascii="MS PGothic" w:cs="MS PGothic" w:eastAsia="MS PGothic" w:hAnsi="MS PGothic"/>
          <w:sz w:val="16"/>
          <w:szCs w:val="16"/>
          <w:color w:val="auto"/>
        </w:rPr>
        <w:t>‑</w:t>
      </w:r>
      <w:r>
        <w:rPr>
          <w:rFonts w:ascii="Arial" w:cs="Arial" w:eastAsia="Arial" w:hAnsi="Arial"/>
          <w:sz w:val="16"/>
          <w:szCs w:val="16"/>
          <w:color w:val="auto"/>
        </w:rPr>
        <w:t>appealable judgment of a court of competent jurisdiction to have been incurred by reason of its or his own gross negligence, wilful misconduct or unlawful conduct; or</w:t>
      </w:r>
    </w:p>
    <w:p>
      <w:pPr>
        <w:spacing w:after="0" w:line="205"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be liable to account to the Company or any other person for anything in connection with this Deed except (after Payment in Full) the Collateral Agent's or Receiver's own actual receipts which have not been paid or distributed to the Company or to any other person who at the time of payment the Collateral Agent or Receiver as the case may be was entitled thereto.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avoidance  of  doubt,  neither  the  Collateral  Agent  nor  any  Receiver  shall  by  virtue  of  this  Clause 0</w:t>
      </w:r>
    </w:p>
    <w:p>
      <w:pPr>
        <w:spacing w:after="0" w:line="5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w:t>
      </w:r>
      <w:r>
        <w:rPr>
          <w:sz w:val="20"/>
          <w:szCs w:val="20"/>
          <w:color w:val="auto"/>
        </w:rPr>
        <w:tab/>
      </w:r>
      <w:r>
        <w:rPr>
          <w:rFonts w:ascii="Arial" w:cs="Arial" w:eastAsia="Arial" w:hAnsi="Arial"/>
          <w:sz w:val="19"/>
          <w:szCs w:val="19"/>
          <w:i w:val="1"/>
          <w:iCs w:val="1"/>
          <w:color w:val="auto"/>
        </w:rPr>
        <w:t xml:space="preserve">Protection of Collateral Agent and </w:t>
      </w:r>
      <w:r>
        <w:rPr>
          <w:rFonts w:ascii="Arial" w:cs="Arial" w:eastAsia="Arial" w:hAnsi="Arial"/>
          <w:sz w:val="19"/>
          <w:szCs w:val="19"/>
          <w:b w:val="1"/>
          <w:bCs w:val="1"/>
          <w:color w:val="auto"/>
        </w:rPr>
        <w:t>RECEIVER</w:t>
      </w:r>
      <w:r>
        <w:rPr>
          <w:rFonts w:ascii="Arial" w:cs="Arial" w:eastAsia="Arial" w:hAnsi="Arial"/>
          <w:sz w:val="19"/>
          <w:szCs w:val="19"/>
          <w:color w:val="auto"/>
        </w:rPr>
        <w:t>) owe any duty of care or other duty to any person which it</w:t>
      </w:r>
    </w:p>
    <w:p>
      <w:pPr>
        <w:spacing w:after="0" w:line="17" w:lineRule="exact"/>
        <w:rPr>
          <w:sz w:val="20"/>
          <w:szCs w:val="20"/>
          <w:color w:val="auto"/>
        </w:rPr>
      </w:pPr>
    </w:p>
    <w:p>
      <w:pPr>
        <w:ind w:left="660"/>
        <w:spacing w:after="0"/>
        <w:tabs>
          <w:tab w:leader="none" w:pos="4640" w:val="left"/>
        </w:tabs>
        <w:rPr>
          <w:sz w:val="20"/>
          <w:szCs w:val="20"/>
          <w:color w:val="auto"/>
        </w:rPr>
      </w:pPr>
      <w:r>
        <w:rPr>
          <w:rFonts w:ascii="Arial" w:cs="Arial" w:eastAsia="Arial" w:hAnsi="Arial"/>
          <w:sz w:val="22"/>
          <w:szCs w:val="22"/>
          <w:color w:val="auto"/>
        </w:rPr>
        <w:t>would not owe absent this Clause 0 (</w:t>
      </w:r>
      <w:r>
        <w:rPr>
          <w:rFonts w:ascii="Arial" w:cs="Arial" w:eastAsia="Arial" w:hAnsi="Arial"/>
          <w:sz w:val="22"/>
          <w:szCs w:val="22"/>
          <w:i w:val="1"/>
          <w:iCs w:val="1"/>
          <w:color w:val="auto"/>
        </w:rPr>
        <w:t>20.</w:t>
      </w:r>
      <w:r>
        <w:rPr>
          <w:sz w:val="20"/>
          <w:szCs w:val="20"/>
          <w:color w:val="auto"/>
        </w:rPr>
        <w:tab/>
      </w:r>
      <w:r>
        <w:rPr>
          <w:rFonts w:ascii="Arial" w:cs="Arial" w:eastAsia="Arial" w:hAnsi="Arial"/>
          <w:sz w:val="19"/>
          <w:szCs w:val="19"/>
          <w:i w:val="1"/>
          <w:iCs w:val="1"/>
          <w:color w:val="auto"/>
        </w:rPr>
        <w:t xml:space="preserve">Protection of Collateral Agent and </w:t>
      </w:r>
      <w:r>
        <w:rPr>
          <w:rFonts w:ascii="Arial" w:cs="Arial" w:eastAsia="Arial" w:hAnsi="Arial"/>
          <w:sz w:val="19"/>
          <w:szCs w:val="19"/>
          <w:b w:val="1"/>
          <w:bCs w:val="1"/>
          <w:color w:val="auto"/>
        </w:rPr>
        <w:t>RECEIVER</w:t>
      </w:r>
      <w:r>
        <w:rPr>
          <w:rFonts w:ascii="Arial" w:cs="Arial" w:eastAsia="Arial" w:hAnsi="Arial"/>
          <w:sz w:val="19"/>
          <w:szCs w:val="19"/>
          <w:color w:val="auto"/>
        </w:rPr>
        <w:t>).</w:t>
      </w:r>
    </w:p>
    <w:p>
      <w:pPr>
        <w:sectPr>
          <w:pgSz w:w="11900" w:h="16891" w:orient="portrait"/>
          <w:cols w:equalWidth="0" w:num="1">
            <w:col w:w="11240"/>
          </w:cols>
          <w:pgMar w:left="320" w:top="125" w:right="339" w:bottom="0" w:gutter="0" w:footer="0" w:header="0"/>
          <w:type w:val="continuous"/>
        </w:sectPr>
      </w:pPr>
    </w:p>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Without prejudice to Clause 0 (</w:t>
      </w:r>
      <w:r>
        <w:rPr>
          <w:rFonts w:ascii="Arial" w:cs="Arial" w:eastAsia="Arial" w:hAnsi="Arial"/>
          <w:sz w:val="16"/>
          <w:szCs w:val="16"/>
          <w:i w:val="1"/>
          <w:iCs w:val="1"/>
          <w:color w:val="auto"/>
        </w:rPr>
        <w:t>20.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347" w:lineRule="auto"/>
        <w:rPr>
          <w:sz w:val="20"/>
          <w:szCs w:val="20"/>
          <w:color w:val="auto"/>
        </w:rPr>
      </w:pPr>
      <w:r>
        <w:rPr>
          <w:rFonts w:ascii="Arial" w:cs="Arial" w:eastAsia="Arial" w:hAnsi="Arial"/>
          <w:sz w:val="16"/>
          <w:szCs w:val="16"/>
          <w:i w:val="1"/>
          <w:iCs w:val="1"/>
          <w:color w:val="auto"/>
        </w:rPr>
        <w:t xml:space="preserve">Protection of Collateral Agent and </w:t>
      </w:r>
      <w:r>
        <w:rPr>
          <w:rFonts w:ascii="Arial" w:cs="Arial" w:eastAsia="Arial" w:hAnsi="Arial"/>
          <w:sz w:val="16"/>
          <w:szCs w:val="16"/>
          <w:b w:val="1"/>
          <w:bCs w:val="1"/>
          <w:color w:val="auto"/>
        </w:rPr>
        <w:t>RECEIVER</w:t>
      </w:r>
      <w:r>
        <w:rPr>
          <w:rFonts w:ascii="Arial" w:cs="Arial" w:eastAsia="Arial" w:hAnsi="Arial"/>
          <w:sz w:val="16"/>
          <w:szCs w:val="16"/>
          <w:color w:val="auto"/>
        </w:rPr>
        <w:t>), so far as permitted by law the entry into</w:t>
      </w:r>
      <w:r>
        <w:rPr>
          <w:rFonts w:ascii="Arial" w:cs="Arial" w:eastAsia="Arial" w:hAnsi="Arial"/>
          <w:sz w:val="16"/>
          <w:szCs w:val="16"/>
          <w:i w:val="1"/>
          <w:iCs w:val="1"/>
          <w:color w:val="auto"/>
        </w:rPr>
        <w:t xml:space="preserve"> </w:t>
      </w:r>
      <w:r>
        <w:rPr>
          <w:rFonts w:ascii="Arial" w:cs="Arial" w:eastAsia="Arial" w:hAnsi="Arial"/>
          <w:sz w:val="16"/>
          <w:szCs w:val="16"/>
          <w:color w:val="auto"/>
        </w:rPr>
        <w:t>possession of any of the Charged Assets (including by an Administrator) shall not render</w:t>
      </w:r>
    </w:p>
    <w:p>
      <w:pPr>
        <w:sectPr>
          <w:pgSz w:w="11900" w:h="16891" w:orient="portrait"/>
          <w:cols w:equalWidth="0" w:num="2">
            <w:col w:w="3940" w:space="720"/>
            <w:col w:w="6580"/>
          </w:cols>
          <w:pgMar w:left="320" w:top="125" w:right="339" w:bottom="0" w:gutter="0" w:footer="0" w:header="0"/>
          <w:type w:val="continuous"/>
        </w:sectPr>
      </w:pPr>
    </w:p>
    <w:bookmarkStart w:id="596" w:name="page597"/>
    <w:bookmarkEnd w:id="596"/>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w w:val="95"/>
              </w:rPr>
              <w:t>the Collateral Agent or any Receiver liable to account as mortgagee in possession or to be</w:t>
            </w:r>
          </w:p>
        </w:tc>
      </w:tr>
      <w:tr>
        <w:trPr>
          <w:trHeight w:val="216"/>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w w:val="98"/>
              </w:rPr>
              <w:t>liable for any Loss on realisation or for any default or omission for which a mortgagee in</w:t>
            </w:r>
          </w:p>
        </w:tc>
      </w:tr>
      <w:tr>
        <w:trPr>
          <w:trHeight w:val="216"/>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w w:val="97"/>
              </w:rPr>
              <w:t>possession might otherwise be liable in respect of any of the Charged Assets; and if the</w:t>
            </w:r>
          </w:p>
        </w:tc>
      </w:tr>
      <w:tr>
        <w:trPr>
          <w:trHeight w:val="216"/>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w w:val="96"/>
              </w:rPr>
              <w:t>Collateral Agent or any Receiver takes possession of the Charged Assets, it or he may at</w:t>
            </w:r>
          </w:p>
        </w:tc>
      </w:tr>
      <w:tr>
        <w:trPr>
          <w:trHeight w:val="216"/>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w w:val="95"/>
              </w:rPr>
              <w:t>any time relinquish such possession. In particular without prejudice to the generality of the</w:t>
            </w:r>
          </w:p>
        </w:tc>
      </w:tr>
      <w:tr>
        <w:trPr>
          <w:trHeight w:val="216"/>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rPr>
              <w:t>foregoing the Collateral Agent shall not become liable as mortgagee in possession by</w:t>
            </w:r>
          </w:p>
        </w:tc>
      </w:tr>
      <w:tr>
        <w:trPr>
          <w:trHeight w:val="230"/>
        </w:trPr>
        <w:tc>
          <w:tcPr>
            <w:tcW w:w="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860" w:type="dxa"/>
            <w:vAlign w:val="bottom"/>
          </w:tcPr>
          <w:p>
            <w:pPr>
              <w:jc w:val="right"/>
              <w:ind w:right="830"/>
              <w:spacing w:after="0"/>
              <w:rPr>
                <w:sz w:val="20"/>
                <w:szCs w:val="20"/>
                <w:color w:val="auto"/>
              </w:rPr>
            </w:pPr>
            <w:r>
              <w:rPr>
                <w:rFonts w:ascii="Arial" w:cs="Arial" w:eastAsia="Arial" w:hAnsi="Arial"/>
                <w:sz w:val="18"/>
                <w:szCs w:val="18"/>
                <w:color w:val="auto"/>
                <w:w w:val="94"/>
              </w:rPr>
              <w:t>reason of viewing the state of repair or repairing any of the Company's Assets.</w:t>
            </w:r>
          </w:p>
        </w:tc>
      </w:tr>
      <w:tr>
        <w:trPr>
          <w:trHeight w:val="418"/>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20.3</w:t>
            </w:r>
          </w:p>
        </w:tc>
        <w:tc>
          <w:tcPr>
            <w:tcW w:w="3820" w:type="dxa"/>
            <w:vAlign w:val="bottom"/>
          </w:tcPr>
          <w:p>
            <w:pPr>
              <w:ind w:left="220"/>
              <w:spacing w:after="0"/>
              <w:rPr>
                <w:sz w:val="20"/>
                <w:szCs w:val="20"/>
                <w:color w:val="auto"/>
              </w:rPr>
            </w:pPr>
            <w:r>
              <w:rPr>
                <w:rFonts w:ascii="Arial" w:cs="Arial" w:eastAsia="Arial" w:hAnsi="Arial"/>
                <w:sz w:val="18"/>
                <w:szCs w:val="18"/>
                <w:color w:val="auto"/>
                <w:w w:val="97"/>
              </w:rPr>
              <w:t>The preceding provisions of this Clause 0 (</w:t>
            </w:r>
            <w:r>
              <w:rPr>
                <w:rFonts w:ascii="Arial" w:cs="Arial" w:eastAsia="Arial" w:hAnsi="Arial"/>
                <w:sz w:val="18"/>
                <w:szCs w:val="18"/>
                <w:i w:val="1"/>
                <w:iCs w:val="1"/>
                <w:color w:val="auto"/>
                <w:w w:val="97"/>
              </w:rPr>
              <w:t>20.</w:t>
            </w:r>
          </w:p>
        </w:tc>
        <w:tc>
          <w:tcPr>
            <w:tcW w:w="6860" w:type="dxa"/>
            <w:vAlign w:val="bottom"/>
          </w:tcPr>
          <w:p>
            <w:pPr>
              <w:jc w:val="right"/>
              <w:spacing w:after="0"/>
              <w:rPr>
                <w:sz w:val="20"/>
                <w:szCs w:val="20"/>
                <w:color w:val="auto"/>
              </w:rPr>
            </w:pPr>
            <w:r>
              <w:rPr>
                <w:rFonts w:ascii="Arial" w:cs="Arial" w:eastAsia="Arial" w:hAnsi="Arial"/>
                <w:sz w:val="18"/>
                <w:szCs w:val="18"/>
                <w:i w:val="1"/>
                <w:iCs w:val="1"/>
                <w:color w:val="auto"/>
              </w:rPr>
              <w:t xml:space="preserve">Protection of Collateral Agent and </w:t>
            </w:r>
            <w:r>
              <w:rPr>
                <w:rFonts w:ascii="Arial" w:cs="Arial" w:eastAsia="Arial" w:hAnsi="Arial"/>
                <w:sz w:val="18"/>
                <w:szCs w:val="18"/>
                <w:b w:val="1"/>
                <w:bCs w:val="1"/>
                <w:color w:val="auto"/>
              </w:rPr>
              <w:t>RECEIVER</w:t>
            </w:r>
            <w:r>
              <w:rPr>
                <w:rFonts w:ascii="Arial" w:cs="Arial" w:eastAsia="Arial" w:hAnsi="Arial"/>
                <w:sz w:val="18"/>
                <w:szCs w:val="18"/>
                <w:color w:val="auto"/>
              </w:rPr>
              <w:t>) applying to the Collateral Agent</w:t>
            </w:r>
          </w:p>
        </w:tc>
      </w:tr>
      <w:tr>
        <w:trPr>
          <w:trHeight w:val="216"/>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rPr>
              <w:t xml:space="preserve">or any Receiver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Delegate and to any officer,</w:t>
            </w:r>
          </w:p>
        </w:tc>
      </w:tr>
      <w:tr>
        <w:trPr>
          <w:trHeight w:val="230"/>
        </w:trPr>
        <w:tc>
          <w:tcPr>
            <w:tcW w:w="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860" w:type="dxa"/>
            <w:vAlign w:val="bottom"/>
          </w:tcPr>
          <w:p>
            <w:pPr>
              <w:jc w:val="right"/>
              <w:ind w:right="430"/>
              <w:spacing w:after="0"/>
              <w:rPr>
                <w:sz w:val="20"/>
                <w:szCs w:val="20"/>
                <w:color w:val="auto"/>
              </w:rPr>
            </w:pPr>
            <w:r>
              <w:rPr>
                <w:rFonts w:ascii="Arial" w:cs="Arial" w:eastAsia="Arial" w:hAnsi="Arial"/>
                <w:sz w:val="18"/>
                <w:szCs w:val="18"/>
                <w:color w:val="auto"/>
              </w:rPr>
              <w:t>employee or agent of the Collateral Agent, any Receiver and any Delegate.</w:t>
            </w:r>
          </w:p>
        </w:tc>
      </w:tr>
    </w:tbl>
    <w:p>
      <w:pPr>
        <w:spacing w:after="0" w:line="198" w:lineRule="exact"/>
        <w:rPr>
          <w:sz w:val="20"/>
          <w:szCs w:val="20"/>
          <w:color w:val="auto"/>
        </w:rPr>
      </w:pPr>
    </w:p>
    <w:p>
      <w:pPr>
        <w:ind w:left="660" w:hanging="652"/>
        <w:spacing w:after="0"/>
        <w:tabs>
          <w:tab w:leader="none" w:pos="660" w:val="left"/>
        </w:tabs>
        <w:numPr>
          <w:ilvl w:val="0"/>
          <w:numId w:val="722"/>
        </w:numPr>
        <w:rPr>
          <w:rFonts w:ascii="Arial" w:cs="Arial" w:eastAsia="Arial" w:hAnsi="Arial"/>
          <w:sz w:val="18"/>
          <w:szCs w:val="18"/>
          <w:color w:val="auto"/>
        </w:rPr>
      </w:pPr>
      <w:r>
        <w:rPr>
          <w:rFonts w:ascii="Arial" w:cs="Arial" w:eastAsia="Arial" w:hAnsi="Arial"/>
          <w:sz w:val="18"/>
          <w:szCs w:val="18"/>
          <w:b w:val="1"/>
          <w:bCs w:val="1"/>
          <w:color w:val="auto"/>
        </w:rPr>
        <w:t>COSTS, EXPENSES AND INDEMNITY</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Company shall pay to the Collateral Agent in relation to this Deed such costs and expenses as are of the type which are reimbursable by the Borrowers pursuant to Section 11.03 (</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Company shall indemnify each Receiver and Delegate and their respective officers, employees and agents to the extent that and in the manner in which the Borrowers indemnify the Indemnitees under Section 11.04 (</w:t>
      </w:r>
      <w:r>
        <w:rPr>
          <w:rFonts w:ascii="Arial" w:cs="Arial" w:eastAsia="Arial" w:hAnsi="Arial"/>
          <w:sz w:val="18"/>
          <w:szCs w:val="18"/>
          <w:i w:val="1"/>
          <w:iCs w:val="1"/>
          <w:color w:val="auto"/>
        </w:rPr>
        <w:t>Indemnity</w:t>
      </w:r>
      <w:r>
        <w:rPr>
          <w:rFonts w:ascii="Arial" w:cs="Arial" w:eastAsia="Arial" w:hAnsi="Arial"/>
          <w:sz w:val="18"/>
          <w:szCs w:val="18"/>
          <w:color w:val="auto"/>
        </w:rPr>
        <w:t>) of the Loan Agreement. Each Relevant Person may rely on this Clause 0 (</w:t>
      </w:r>
      <w:r>
        <w:rPr>
          <w:rFonts w:ascii="Arial" w:cs="Arial" w:eastAsia="Arial" w:hAnsi="Arial"/>
          <w:sz w:val="18"/>
          <w:szCs w:val="18"/>
          <w:i w:val="1"/>
          <w:iCs w:val="1"/>
          <w:color w:val="auto"/>
        </w:rPr>
        <w:t>21.Costs, Expenses and</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INDEMNITY</w:t>
      </w:r>
      <w:r>
        <w:rPr>
          <w:rFonts w:ascii="Arial" w:cs="Arial" w:eastAsia="Arial" w:hAnsi="Arial"/>
          <w:sz w:val="18"/>
          <w:szCs w:val="18"/>
          <w:color w:val="auto"/>
        </w:rPr>
        <w:t>) in accordance with the Contracts (Rights of Third Parties) Act 1999 but subject to Clause 0 (</w:t>
      </w:r>
      <w:r>
        <w:rPr>
          <w:rFonts w:ascii="Arial" w:cs="Arial" w:eastAsia="Arial" w:hAnsi="Arial"/>
          <w:sz w:val="18"/>
          <w:szCs w:val="18"/>
          <w:i w:val="1"/>
          <w:iCs w:val="1"/>
          <w:color w:val="auto"/>
        </w:rPr>
        <w:t>25.Third</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3" w:lineRule="exact"/>
        <w:rPr>
          <w:sz w:val="20"/>
          <w:szCs w:val="20"/>
          <w:color w:val="auto"/>
        </w:rPr>
      </w:pPr>
    </w:p>
    <w:p>
      <w:pPr>
        <w:ind w:left="660" w:hanging="652"/>
        <w:spacing w:after="0"/>
        <w:tabs>
          <w:tab w:leader="none" w:pos="660" w:val="left"/>
        </w:tabs>
        <w:numPr>
          <w:ilvl w:val="0"/>
          <w:numId w:val="723"/>
        </w:numPr>
        <w:rPr>
          <w:rFonts w:ascii="Arial" w:cs="Arial" w:eastAsia="Arial" w:hAnsi="Arial"/>
          <w:sz w:val="18"/>
          <w:szCs w:val="18"/>
          <w:color w:val="auto"/>
        </w:rPr>
      </w:pPr>
      <w:r>
        <w:rPr>
          <w:rFonts w:ascii="Arial" w:cs="Arial" w:eastAsia="Arial" w:hAnsi="Arial"/>
          <w:sz w:val="18"/>
          <w:szCs w:val="18"/>
          <w:b w:val="1"/>
          <w:bCs w:val="1"/>
          <w:color w:val="auto"/>
        </w:rPr>
        <w:t>CONSENTS, VARIATIONS, WAIVERS AND RIGHTS</w:t>
      </w:r>
    </w:p>
    <w:p>
      <w:pPr>
        <w:spacing w:after="0" w:line="229"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723"/>
        </w:numPr>
        <w:rPr>
          <w:rFonts w:ascii="Arial" w:cs="Arial" w:eastAsia="Arial" w:hAnsi="Arial"/>
          <w:sz w:val="17"/>
          <w:szCs w:val="17"/>
          <w:color w:val="auto"/>
        </w:rPr>
      </w:pPr>
      <w:r>
        <w:rPr>
          <w:rFonts w:ascii="Arial" w:cs="Arial" w:eastAsia="Arial" w:hAnsi="Arial"/>
          <w:sz w:val="17"/>
          <w:szCs w:val="17"/>
          <w:color w:val="auto"/>
        </w:rPr>
        <w:t>No consent or waiver in respect of any provision of this Deed shall be effective unless and until it is agreed in writing duly executed by or on behalf of the Collateral Agent. Any consent or waiver by the Collateral Agent under this Deed may be given subject to any conditions the Collateral Agent reasonably thinks fit and shall be effective only in the instance and for the purpose for which it is given. No failure by the Collateral Agent or any Receiver to exercise or delay in exercising any right provided by law or under this Deed shall operate to impair the same or be construed as a waiver of it. No single or partial exercise of any such right shall prevent any further or other exercise of the same or the exercise of any other right. No waiver of any such right shall constitute a waiver of any other right. The rights provided in this Deed are cumulative and not exclusive of any rights, provided by law.</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723"/>
        </w:numPr>
        <w:rPr>
          <w:rFonts w:ascii="Arial" w:cs="Arial" w:eastAsia="Arial" w:hAnsi="Arial"/>
          <w:sz w:val="18"/>
          <w:szCs w:val="18"/>
          <w:color w:val="auto"/>
        </w:rPr>
      </w:pPr>
      <w:r>
        <w:rPr>
          <w:rFonts w:ascii="Arial" w:cs="Arial" w:eastAsia="Arial" w:hAnsi="Arial"/>
          <w:sz w:val="18"/>
          <w:szCs w:val="18"/>
          <w:color w:val="auto"/>
        </w:rPr>
        <w:t>No amendment or variation in respect of any provision of this Deed shall be effective unless and until it is agreed in writing duly executed by or on behalf of the Company and the Collateral Agent.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723"/>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235"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If any provision of this Deed is or becomes or is found by a court or other competent authority to be illegal, invalid or unenforceable in any respect, in whole or in part, under any law of any jurisdiction, neither the legality, validity and enforceability in that jurisdiction of any other provision or part of this Deed, nor the legality, validity or enforceability in any other jurisdiction of that provision or part or of any other provision of this Deed, shall be affected or impaired and if any part of the Charges is invalid or unenforceable in any respect for any reason, no other Charges shall be affected or impaired.</w:t>
      </w:r>
    </w:p>
    <w:p>
      <w:pPr>
        <w:spacing w:after="0" w:line="181" w:lineRule="exact"/>
        <w:rPr>
          <w:sz w:val="20"/>
          <w:szCs w:val="20"/>
          <w:color w:val="auto"/>
        </w:rPr>
      </w:pPr>
    </w:p>
    <w:p>
      <w:pPr>
        <w:ind w:left="660" w:hanging="652"/>
        <w:spacing w:after="0"/>
        <w:tabs>
          <w:tab w:leader="none" w:pos="660" w:val="left"/>
        </w:tabs>
        <w:numPr>
          <w:ilvl w:val="0"/>
          <w:numId w:val="724"/>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235"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delivered, shall constitute an original of this Deed, but all the counterparts together shall constitute one and the same instrument.</w:t>
      </w:r>
    </w:p>
    <w:p>
      <w:pPr>
        <w:spacing w:after="0" w:line="181" w:lineRule="exact"/>
        <w:rPr>
          <w:sz w:val="20"/>
          <w:szCs w:val="20"/>
          <w:color w:val="auto"/>
        </w:rPr>
      </w:pPr>
    </w:p>
    <w:p>
      <w:pPr>
        <w:ind w:left="660" w:hanging="652"/>
        <w:spacing w:after="0"/>
        <w:tabs>
          <w:tab w:leader="none" w:pos="660" w:val="left"/>
        </w:tabs>
        <w:numPr>
          <w:ilvl w:val="0"/>
          <w:numId w:val="725"/>
        </w:numPr>
        <w:rPr>
          <w:rFonts w:ascii="Arial" w:cs="Arial" w:eastAsia="Arial" w:hAnsi="Arial"/>
          <w:sz w:val="18"/>
          <w:szCs w:val="18"/>
          <w:color w:val="auto"/>
        </w:rPr>
      </w:pPr>
      <w:r>
        <w:rPr>
          <w:rFonts w:ascii="Arial" w:cs="Arial" w:eastAsia="Arial" w:hAnsi="Arial"/>
          <w:sz w:val="18"/>
          <w:szCs w:val="18"/>
          <w:b w:val="1"/>
          <w:bCs w:val="1"/>
          <w:color w:val="auto"/>
        </w:rPr>
        <w:t>THIRD PARTIES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Except as otherwise provided in this Deed, a person who is not a party to this Deed has no right under the Contracts (Rights of Third Parties) Act 1999 to enforce or to enjoy the benefit of any term of this Deed but this does not affect any right or remedy of a third party which exists or is available apart from that Act.</w:t>
      </w:r>
    </w:p>
    <w:p>
      <w:pPr>
        <w:spacing w:after="0" w:line="175" w:lineRule="exact"/>
        <w:rPr>
          <w:sz w:val="20"/>
          <w:szCs w:val="20"/>
          <w:color w:val="auto"/>
        </w:rPr>
      </w:pPr>
    </w:p>
    <w:p>
      <w:pPr>
        <w:ind w:left="660" w:hanging="652"/>
        <w:spacing w:after="0"/>
        <w:tabs>
          <w:tab w:leader="none" w:pos="660" w:val="left"/>
        </w:tabs>
        <w:numPr>
          <w:ilvl w:val="0"/>
          <w:numId w:val="726"/>
        </w:numPr>
        <w:rPr>
          <w:rFonts w:ascii="Arial" w:cs="Arial" w:eastAsia="Arial" w:hAnsi="Arial"/>
          <w:sz w:val="18"/>
          <w:szCs w:val="18"/>
          <w:color w:val="auto"/>
        </w:rPr>
      </w:pPr>
      <w:r>
        <w:rPr>
          <w:rFonts w:ascii="Arial" w:cs="Arial" w:eastAsia="Arial" w:hAnsi="Arial"/>
          <w:sz w:val="18"/>
          <w:szCs w:val="18"/>
          <w:b w:val="1"/>
          <w:bCs w:val="1"/>
          <w:color w:val="auto"/>
        </w:rPr>
        <w:t>DETERMINATIONS</w:t>
      </w:r>
    </w:p>
    <w:p>
      <w:pPr>
        <w:spacing w:after="0" w:line="235" w:lineRule="exact"/>
        <w:rPr>
          <w:sz w:val="20"/>
          <w:szCs w:val="20"/>
          <w:color w:val="auto"/>
        </w:rPr>
      </w:pPr>
    </w:p>
    <w:p>
      <w:pPr>
        <w:ind w:left="660" w:right="20"/>
        <w:spacing w:after="0" w:line="276" w:lineRule="auto"/>
        <w:rPr>
          <w:sz w:val="20"/>
          <w:szCs w:val="20"/>
          <w:color w:val="auto"/>
        </w:rPr>
      </w:pPr>
      <w:r>
        <w:rPr>
          <w:rFonts w:ascii="Arial" w:cs="Arial" w:eastAsia="Arial" w:hAnsi="Arial"/>
          <w:sz w:val="22"/>
          <w:szCs w:val="22"/>
          <w:color w:val="auto"/>
        </w:rPr>
        <w:t>A determination as to any amount payable which the Collateral Agent or any Receiver may make under this Deed in good faith shall (save in the case of manifest error) be conclusive.</w:t>
      </w:r>
    </w:p>
    <w:p>
      <w:pPr>
        <w:spacing w:after="0" w:line="164" w:lineRule="exact"/>
        <w:rPr>
          <w:sz w:val="20"/>
          <w:szCs w:val="20"/>
          <w:color w:val="auto"/>
        </w:rPr>
      </w:pPr>
    </w:p>
    <w:p>
      <w:pPr>
        <w:ind w:left="660" w:hanging="652"/>
        <w:spacing w:after="0"/>
        <w:tabs>
          <w:tab w:leader="none" w:pos="660" w:val="left"/>
        </w:tabs>
        <w:numPr>
          <w:ilvl w:val="0"/>
          <w:numId w:val="727"/>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The Company shall not (whether by way of security or otherwise howsoever) be entitled to assign, grant an equitable interest in or transfer and declare itself a trustee of all or any of its rights, interests or obligations hereunder, except as permitted under the Loan Agreement (save with respect to its rights and benefits which shall be assigned or to be assigned to the Collateral Agent under this Deed).</w:t>
      </w:r>
    </w:p>
    <w:p>
      <w:pPr>
        <w:spacing w:after="0" w:line="165"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7"/>
          <w:szCs w:val="17"/>
          <w:color w:val="auto"/>
        </w:rPr>
        <w:t>The Collateral Agent may at any time assign or transfer, in accordance with the Loan Agreement, all or any part of its rights or interests under this Deed or the Charges to any person who succeeds to its role as security agent or collateral agent under the Loan Agreement.</w:t>
      </w:r>
    </w:p>
    <w:p>
      <w:pPr>
        <w:spacing w:after="0" w:line="146"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color w:val="auto"/>
        </w:rPr>
        <w:t>Subject to Section 11.06 (</w:t>
      </w:r>
      <w:r>
        <w:rPr>
          <w:rFonts w:ascii="Arial" w:cs="Arial" w:eastAsia="Arial" w:hAnsi="Arial"/>
          <w:sz w:val="16"/>
          <w:szCs w:val="16"/>
          <w:i w:val="1"/>
          <w:iCs w:val="1"/>
          <w:color w:val="auto"/>
        </w:rPr>
        <w:t>Confidentiality</w:t>
      </w:r>
      <w:r>
        <w:rPr>
          <w:rFonts w:ascii="Arial" w:cs="Arial" w:eastAsia="Arial" w:hAnsi="Arial"/>
          <w:sz w:val="16"/>
          <w:szCs w:val="16"/>
          <w:color w:val="auto"/>
        </w:rPr>
        <w:t>) of the Loan Agreement, the Collateral Agent may disclose to an actual or proposed successor, assignee or transferee any information the Collateral Agent reasonably considers appropriate regarding any provision of this Deed or other Loan</w:t>
      </w:r>
    </w:p>
    <w:p>
      <w:pPr>
        <w:sectPr>
          <w:pgSz w:w="11900" w:h="16995" w:orient="portrait"/>
          <w:cols w:equalWidth="0" w:num="1">
            <w:col w:w="11240"/>
          </w:cols>
          <w:pgMar w:left="320" w:top="125" w:right="339" w:bottom="0" w:gutter="0" w:footer="0" w:header="0"/>
        </w:sectPr>
      </w:pPr>
    </w:p>
    <w:bookmarkStart w:id="597" w:name="page598"/>
    <w:bookmarkEnd w:id="597"/>
    <w:p>
      <w:pPr>
        <w:ind w:left="660"/>
        <w:spacing w:after="0"/>
        <w:rPr>
          <w:sz w:val="20"/>
          <w:szCs w:val="20"/>
          <w:color w:val="auto"/>
        </w:rPr>
      </w:pPr>
      <w:r>
        <w:rPr>
          <w:rFonts w:ascii="Arial" w:cs="Arial" w:eastAsia="Arial" w:hAnsi="Arial"/>
          <w:sz w:val="18"/>
          <w:szCs w:val="18"/>
          <w:color w:val="auto"/>
        </w:rPr>
        <w:t>Documents and the Company which it considers appropriate for the purposes of the proposed assignment or transfer.</w:t>
      </w:r>
    </w:p>
    <w:p>
      <w:pPr>
        <w:spacing w:after="0" w:line="221" w:lineRule="exact"/>
        <w:rPr>
          <w:sz w:val="20"/>
          <w:szCs w:val="20"/>
          <w:color w:val="auto"/>
        </w:rPr>
      </w:pPr>
    </w:p>
    <w:p>
      <w:pPr>
        <w:ind w:left="660" w:hanging="652"/>
        <w:spacing w:after="0"/>
        <w:tabs>
          <w:tab w:leader="none" w:pos="660" w:val="left"/>
        </w:tabs>
        <w:numPr>
          <w:ilvl w:val="0"/>
          <w:numId w:val="728"/>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Any notice or other communication under this Deed shall be made in accordance with the provisions set out in the Loan Agreement. Any notice delivered to the Parent or the Borrowers on behalf of the Company shall be deemed to have been delivered to the Company.</w:t>
      </w:r>
    </w:p>
    <w:p>
      <w:pPr>
        <w:spacing w:after="0" w:line="175" w:lineRule="exact"/>
        <w:rPr>
          <w:sz w:val="20"/>
          <w:szCs w:val="20"/>
          <w:color w:val="auto"/>
        </w:rPr>
      </w:pPr>
    </w:p>
    <w:p>
      <w:pPr>
        <w:ind w:left="660" w:hanging="652"/>
        <w:spacing w:after="0"/>
        <w:tabs>
          <w:tab w:leader="none" w:pos="660" w:val="left"/>
        </w:tabs>
        <w:numPr>
          <w:ilvl w:val="0"/>
          <w:numId w:val="729"/>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Governing law</w:t>
      </w:r>
    </w:p>
    <w:p>
      <w:pPr>
        <w:spacing w:after="0" w:line="235" w:lineRule="exact"/>
        <w:rPr>
          <w:sz w:val="20"/>
          <w:szCs w:val="20"/>
          <w:color w:val="auto"/>
        </w:rPr>
      </w:pPr>
    </w:p>
    <w:p>
      <w:pPr>
        <w:ind w:left="660"/>
        <w:spacing w:after="0" w:line="272" w:lineRule="exact"/>
        <w:rPr>
          <w:sz w:val="20"/>
          <w:szCs w:val="20"/>
          <w:color w:val="auto"/>
        </w:rPr>
      </w:pPr>
      <w:r>
        <w:rPr>
          <w:rFonts w:ascii="Arial" w:cs="Arial" w:eastAsia="Arial" w:hAnsi="Arial"/>
          <w:sz w:val="22"/>
          <w:szCs w:val="22"/>
          <w:color w:val="auto"/>
        </w:rPr>
        <w:t>This Deed (including any non</w:t>
      </w:r>
      <w:r>
        <w:rPr>
          <w:rFonts w:ascii="MS PGothic" w:cs="MS PGothic" w:eastAsia="MS PGothic" w:hAnsi="MS PGothic"/>
          <w:sz w:val="22"/>
          <w:szCs w:val="22"/>
          <w:color w:val="auto"/>
        </w:rPr>
        <w:t>‑</w:t>
      </w:r>
      <w:r>
        <w:rPr>
          <w:rFonts w:ascii="Arial" w:cs="Arial" w:eastAsia="Arial" w:hAnsi="Arial"/>
          <w:sz w:val="22"/>
          <w:szCs w:val="22"/>
          <w:color w:val="auto"/>
        </w:rPr>
        <w:t>contractual obligations or liabilities arising out of it or in connection with it) is governed by and is to be construed in accordance with English law.</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1300" w:hanging="644"/>
        <w:spacing w:after="0"/>
        <w:tabs>
          <w:tab w:leader="none" w:pos="130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auto"/>
        </w:rPr>
      </w:pPr>
    </w:p>
    <w:p>
      <w:pPr>
        <w:ind w:left="1960" w:hanging="656"/>
        <w:spacing w:after="0" w:line="223" w:lineRule="exact"/>
        <w:tabs>
          <w:tab w:leader="none" w:pos="1960" w:val="left"/>
        </w:tabs>
        <w:numPr>
          <w:ilvl w:val="1"/>
          <w:numId w:val="730"/>
        </w:numPr>
        <w:rPr>
          <w:rFonts w:ascii="Arial" w:cs="Arial" w:eastAsia="Arial" w:hAnsi="Arial"/>
          <w:sz w:val="18"/>
          <w:szCs w:val="18"/>
          <w:color w:val="auto"/>
        </w:rPr>
      </w:pPr>
      <w:r>
        <w:rPr>
          <w:rFonts w:ascii="Arial" w:cs="Arial" w:eastAsia="Arial" w:hAnsi="Arial"/>
          <w:sz w:val="18"/>
          <w:szCs w:val="18"/>
          <w:color w:val="auto"/>
        </w:rPr>
        <w:t>the English courts have non</w:t>
      </w:r>
      <w:r>
        <w:rPr>
          <w:rFonts w:ascii="MS PGothic" w:cs="MS PGothic" w:eastAsia="MS PGothic" w:hAnsi="MS PGothic"/>
          <w:sz w:val="18"/>
          <w:szCs w:val="18"/>
          <w:color w:val="auto"/>
        </w:rPr>
        <w:t>‑</w:t>
      </w:r>
      <w:r>
        <w:rPr>
          <w:rFonts w:ascii="Arial" w:cs="Arial" w:eastAsia="Arial" w:hAnsi="Arial"/>
          <w:sz w:val="18"/>
          <w:szCs w:val="18"/>
          <w:color w:val="auto"/>
        </w:rPr>
        <w:t>exclusive jurisdiction to hear and determine any Proceedings and to settle any Disputes and each party irrevocably submits to the jurisdiction of the English courts;</w:t>
      </w:r>
    </w:p>
    <w:p>
      <w:pPr>
        <w:spacing w:after="0" w:line="202" w:lineRule="exact"/>
        <w:rPr>
          <w:rFonts w:ascii="Arial" w:cs="Arial" w:eastAsia="Arial" w:hAnsi="Arial"/>
          <w:sz w:val="18"/>
          <w:szCs w:val="18"/>
          <w:color w:val="auto"/>
        </w:rPr>
      </w:pPr>
    </w:p>
    <w:p>
      <w:pPr>
        <w:ind w:left="1960" w:hanging="656"/>
        <w:spacing w:after="0"/>
        <w:tabs>
          <w:tab w:leader="none" w:pos="1960" w:val="left"/>
        </w:tabs>
        <w:numPr>
          <w:ilvl w:val="1"/>
          <w:numId w:val="730"/>
        </w:numPr>
        <w:rPr>
          <w:rFonts w:ascii="Arial" w:cs="Arial" w:eastAsia="Arial" w:hAnsi="Arial"/>
          <w:sz w:val="18"/>
          <w:szCs w:val="18"/>
          <w:color w:val="auto"/>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730"/>
        </w:numPr>
        <w:rPr>
          <w:rFonts w:ascii="Arial" w:cs="Arial" w:eastAsia="Arial" w:hAnsi="Arial"/>
          <w:sz w:val="18"/>
          <w:szCs w:val="18"/>
          <w:color w:val="auto"/>
        </w:rPr>
      </w:pPr>
      <w:r>
        <w:rPr>
          <w:rFonts w:ascii="Arial" w:cs="Arial" w:eastAsia="Arial" w:hAnsi="Arial"/>
          <w:sz w:val="18"/>
          <w:szCs w:val="18"/>
          <w:color w:val="auto"/>
        </w:rPr>
        <w:t>any judgment in Proceedings taken in any such court shall be conclusive and binding on it and may be enforced in any other jurisdiction.</w:t>
      </w:r>
    </w:p>
    <w:p>
      <w:pPr>
        <w:spacing w:after="0" w:line="170"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730"/>
        </w:numPr>
        <w:rPr>
          <w:rFonts w:ascii="Arial" w:cs="Arial" w:eastAsia="Arial" w:hAnsi="Arial"/>
          <w:sz w:val="16"/>
          <w:szCs w:val="16"/>
          <w:color w:val="auto"/>
        </w:rPr>
      </w:pPr>
      <w:r>
        <w:rPr>
          <w:rFonts w:ascii="Arial" w:cs="Arial" w:eastAsia="Arial" w:hAnsi="Arial"/>
          <w:sz w:val="16"/>
          <w:szCs w:val="16"/>
          <w:color w:val="auto"/>
        </w:rPr>
        <w:t xml:space="preserve">Each party also irrevocably waives (and irrevocably agrees not to raise) any objection which it might at any time have on the ground of </w:t>
      </w:r>
      <w:r>
        <w:rPr>
          <w:rFonts w:ascii="Arial" w:cs="Arial" w:eastAsia="Arial" w:hAnsi="Arial"/>
          <w:sz w:val="16"/>
          <w:szCs w:val="16"/>
          <w:i w:val="1"/>
          <w:iCs w:val="1"/>
          <w:color w:val="auto"/>
        </w:rPr>
        <w:t xml:space="preserve">forum non conveniens </w:t>
      </w:r>
      <w:r>
        <w:rPr>
          <w:rFonts w:ascii="Arial" w:cs="Arial" w:eastAsia="Arial" w:hAnsi="Arial"/>
          <w:sz w:val="16"/>
          <w:szCs w:val="16"/>
          <w:color w:val="auto"/>
        </w:rPr>
        <w:t>or on any other ground to Proceedings being taken in any court referred to in this Clause 0 (</w:t>
      </w:r>
      <w:r>
        <w:rPr>
          <w:rFonts w:ascii="Arial" w:cs="Arial" w:eastAsia="Arial" w:hAnsi="Arial"/>
          <w:sz w:val="16"/>
          <w:szCs w:val="16"/>
          <w:i w:val="1"/>
          <w:iCs w:val="1"/>
          <w:color w:val="auto"/>
        </w:rPr>
        <w:t>29.Governing Law and</w:t>
      </w:r>
    </w:p>
    <w:p>
      <w:pPr>
        <w:ind w:left="1300"/>
        <w:spacing w:after="0"/>
        <w:rPr>
          <w:rFonts w:ascii="Arial" w:cs="Arial" w:eastAsia="Arial" w:hAnsi="Arial"/>
          <w:sz w:val="16"/>
          <w:szCs w:val="16"/>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ind w:left="1320" w:hanging="664"/>
        <w:spacing w:after="0"/>
        <w:tabs>
          <w:tab w:leader="none" w:pos="1320" w:val="left"/>
        </w:tabs>
        <w:numPr>
          <w:ilvl w:val="0"/>
          <w:numId w:val="731"/>
        </w:numPr>
        <w:rPr>
          <w:rFonts w:ascii="Arial" w:cs="Arial" w:eastAsia="Arial" w:hAnsi="Arial"/>
          <w:sz w:val="16"/>
          <w:szCs w:val="16"/>
          <w:color w:val="auto"/>
        </w:rPr>
      </w:pPr>
      <w:r>
        <w:rPr>
          <w:rFonts w:ascii="Arial" w:cs="Arial" w:eastAsia="Arial" w:hAnsi="Arial"/>
          <w:sz w:val="16"/>
          <w:szCs w:val="16"/>
          <w:color w:val="auto"/>
        </w:rPr>
        <w:t>Nothing in this Clause 0 (</w:t>
      </w:r>
      <w:r>
        <w:rPr>
          <w:rFonts w:ascii="Arial" w:cs="Arial" w:eastAsia="Arial" w:hAnsi="Arial"/>
          <w:sz w:val="16"/>
          <w:szCs w:val="16"/>
          <w:i w:val="1"/>
          <w:iCs w:val="1"/>
          <w:color w:val="auto"/>
        </w:rPr>
        <w:t>29.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i w:val="1"/>
          <w:iCs w:val="1"/>
          <w:color w:val="auto"/>
        </w:rPr>
        <w:t xml:space="preserve">Governing Law and </w:t>
      </w:r>
      <w:r>
        <w:rPr>
          <w:rFonts w:ascii="Arial" w:cs="Arial" w:eastAsia="Arial" w:hAnsi="Arial"/>
          <w:sz w:val="16"/>
          <w:szCs w:val="16"/>
          <w:b w:val="1"/>
          <w:bCs w:val="1"/>
          <w:color w:val="auto"/>
        </w:rPr>
        <w:t>JURISDICTION</w:t>
      </w:r>
      <w:r>
        <w:rPr>
          <w:rFonts w:ascii="Arial" w:cs="Arial" w:eastAsia="Arial" w:hAnsi="Arial"/>
          <w:sz w:val="16"/>
          <w:szCs w:val="16"/>
          <w:color w:val="auto"/>
        </w:rPr>
        <w:t>) shall limit any party's right to take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other party in any other jurisdiction or in more than one jurisdiction concurrently.</w:t>
      </w:r>
    </w:p>
    <w:p>
      <w:pPr>
        <w:spacing w:after="0" w:line="120" w:lineRule="exact"/>
        <w:rPr>
          <w:sz w:val="20"/>
          <w:szCs w:val="20"/>
          <w:color w:val="auto"/>
        </w:rPr>
      </w:pPr>
    </w:p>
    <w:p>
      <w:pPr>
        <w:sectPr>
          <w:pgSz w:w="11900" w:h="16838" w:orient="portrait"/>
          <w:cols w:equalWidth="0" w:num="2">
            <w:col w:w="3840" w:space="720"/>
            <w:col w:w="6680"/>
          </w:cols>
          <w:pgMar w:left="320" w:top="125" w:right="339" w:bottom="1440" w:gutter="0" w:footer="0" w:header="0"/>
          <w:type w:val="continuous"/>
        </w:sectPr>
      </w:pPr>
    </w:p>
    <w:p>
      <w:pPr>
        <w:ind w:left="1300" w:hanging="644"/>
        <w:spacing w:after="0"/>
        <w:tabs>
          <w:tab w:leader="none" w:pos="1300" w:val="left"/>
        </w:tabs>
        <w:numPr>
          <w:ilvl w:val="0"/>
          <w:numId w:val="732"/>
        </w:numPr>
        <w:rPr>
          <w:rFonts w:ascii="Arial" w:cs="Arial" w:eastAsia="Arial" w:hAnsi="Arial"/>
          <w:sz w:val="16"/>
          <w:szCs w:val="16"/>
          <w:color w:val="auto"/>
        </w:rPr>
      </w:pPr>
      <w:r>
        <w:rPr>
          <w:rFonts w:ascii="Arial" w:cs="Arial" w:eastAsia="Arial" w:hAnsi="Arial"/>
          <w:sz w:val="16"/>
          <w:szCs w:val="16"/>
          <w:color w:val="auto"/>
        </w:rPr>
        <w:t>This jurisdiction agreement is not concluded for the benefit of only one party.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8" w:name="page599"/>
    <w:bookmarkEnd w:id="598"/>
    <w:p>
      <w:pPr>
        <w:spacing w:after="0" w:line="282"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Deed to be executed and delivered as a deed on the day and year</w:t>
      </w:r>
      <w:r>
        <w:rPr>
          <w:rFonts w:ascii="Arial" w:cs="Arial" w:eastAsia="Arial" w:hAnsi="Arial"/>
          <w:sz w:val="22"/>
          <w:szCs w:val="22"/>
          <w:b w:val="1"/>
          <w:bCs w:val="1"/>
          <w:color w:val="auto"/>
        </w:rPr>
        <w:t xml:space="preserve"> </w:t>
      </w:r>
      <w:r>
        <w:rPr>
          <w:rFonts w:ascii="Arial" w:cs="Arial" w:eastAsia="Arial" w:hAnsi="Arial"/>
          <w:sz w:val="22"/>
          <w:szCs w:val="22"/>
          <w:color w:val="auto"/>
        </w:rPr>
        <w:t>first before written.</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Executed as deed by </w:t>
      </w:r>
      <w:r>
        <w:rPr>
          <w:rFonts w:ascii="Arial" w:cs="Arial" w:eastAsia="Arial" w:hAnsi="Arial"/>
          <w:sz w:val="19"/>
          <w:szCs w:val="19"/>
          <w:b w:val="1"/>
          <w:bCs w:val="1"/>
          <w:color w:val="auto"/>
        </w:rPr>
        <w:t>WEATHERFORD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ectPr>
          <w:pgSz w:w="11900" w:h="16838" w:orient="portrait"/>
          <w:cols w:equalWidth="0" w:num="2">
            <w:col w:w="3600" w:space="540"/>
            <w:col w:w="7100"/>
          </w:cols>
          <w:pgMar w:left="320" w:top="395" w:right="33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 xml:space="preserve">EURASIA LIMITED </w:t>
      </w:r>
      <w:r>
        <w:rPr>
          <w:rFonts w:ascii="Arial" w:cs="Arial" w:eastAsia="Arial" w:hAnsi="Arial"/>
          <w:sz w:val="21"/>
          <w:szCs w:val="21"/>
          <w:color w:val="auto"/>
        </w:rPr>
        <w:t>acting by 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sectPr>
          <w:pgSz w:w="11900" w:h="16838" w:orient="portrait"/>
          <w:cols w:equalWidth="0" w:num="2">
            <w:col w:w="3760" w:space="540"/>
            <w:col w:w="6940"/>
          </w:cols>
          <w:pgMar w:left="320" w:top="395" w:right="339" w:bottom="1440" w:gutter="0" w:footer="0" w:header="0"/>
          <w:type w:val="continuous"/>
        </w:sectPr>
      </w:pPr>
    </w:p>
    <w:p>
      <w:pPr>
        <w:spacing w:after="0"/>
        <w:tabs>
          <w:tab w:leader="none" w:pos="2120" w:val="left"/>
        </w:tabs>
        <w:rPr>
          <w:sz w:val="20"/>
          <w:szCs w:val="20"/>
          <w:color w:val="auto"/>
        </w:rPr>
      </w:pPr>
      <w:r>
        <w:rPr>
          <w:rFonts w:ascii="Arial" w:cs="Arial" w:eastAsia="Arial" w:hAnsi="Arial"/>
          <w:sz w:val="22"/>
          <w:szCs w:val="22"/>
          <w:color w:val="auto"/>
        </w:rPr>
        <w:t>in the presence of:</w:t>
      </w:r>
      <w:r>
        <w:rPr>
          <w:sz w:val="20"/>
          <w:szCs w:val="20"/>
          <w:color w:val="auto"/>
        </w:rPr>
        <w:tab/>
      </w:r>
      <w:r>
        <w:rPr>
          <w:rFonts w:ascii="Arial" w:cs="Arial" w:eastAsia="Arial" w:hAnsi="Arial"/>
          <w:sz w:val="18"/>
          <w:szCs w:val="18"/>
          <w:color w:val="auto"/>
        </w:rPr>
        <w:t>)</w:t>
      </w:r>
    </w:p>
    <w:p>
      <w:pPr>
        <w:sectPr>
          <w:pgSz w:w="11900" w:h="16838" w:orient="portrait"/>
          <w:cols w:equalWidth="0" w:num="1">
            <w:col w:w="11240"/>
          </w:cols>
          <w:pgMar w:left="320" w:top="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19"/>
          <w:szCs w:val="19"/>
          <w:i w:val="1"/>
          <w:iCs w:val="1"/>
          <w:color w:val="auto"/>
        </w:rPr>
        <w:t>___________________________</w:t>
      </w: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Witness: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Name:</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Occupation</w:t>
      </w:r>
      <w:r>
        <w:rPr>
          <w:rFonts w:ascii="Arial" w:cs="Arial" w:eastAsia="Arial" w:hAnsi="Arial"/>
          <w:sz w:val="22"/>
          <w:szCs w:val="22"/>
          <w:color w:val="auto"/>
        </w:rPr>
        <w:t>:</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941705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599" w:name="page600"/>
    <w:bookmarkEnd w:id="599"/>
    <w:p>
      <w:pPr>
        <w:spacing w:after="0"/>
        <w:rPr>
          <w:sz w:val="20"/>
          <w:szCs w:val="20"/>
          <w:color w:val="auto"/>
        </w:rPr>
      </w:pPr>
      <w:r>
        <w:rPr>
          <w:rFonts w:ascii="Arial" w:cs="Arial" w:eastAsia="Arial" w:hAnsi="Arial"/>
          <w:sz w:val="21"/>
          <w:szCs w:val="21"/>
          <w:b w:val="1"/>
          <w:bCs w:val="1"/>
          <w:color w:val="auto"/>
        </w:rPr>
        <w:t>COLLATERAL AGENT</w:t>
      </w:r>
    </w:p>
    <w:p>
      <w:pPr>
        <w:sectPr>
          <w:pgSz w:w="11900" w:h="16838" w:orient="portrait"/>
          <w:cols w:equalWidth="0" w:num="1">
            <w:col w:w="10139"/>
          </w:cols>
          <w:pgMar w:left="320" w:top="611" w:right="1440" w:bottom="1440" w:gutter="0" w:footer="0" w:header="0"/>
        </w:sectPr>
      </w:pPr>
    </w:p>
    <w:p>
      <w:pPr>
        <w:spacing w:after="0" w:line="299" w:lineRule="exact"/>
        <w:rPr>
          <w:sz w:val="20"/>
          <w:szCs w:val="20"/>
          <w:color w:val="auto"/>
        </w:rPr>
      </w:pPr>
    </w:p>
    <w:p>
      <w:pPr>
        <w:spacing w:after="0"/>
        <w:tabs>
          <w:tab w:leader="none" w:pos="4360" w:val="left"/>
        </w:tabs>
        <w:rPr>
          <w:sz w:val="20"/>
          <w:szCs w:val="20"/>
          <w:color w:val="auto"/>
        </w:rPr>
      </w:pPr>
      <w:r>
        <w:rPr>
          <w:rFonts w:ascii="Arial" w:cs="Arial" w:eastAsia="Arial" w:hAnsi="Arial"/>
          <w:sz w:val="22"/>
          <w:szCs w:val="22"/>
          <w:color w:val="auto"/>
        </w:rPr>
        <w:t xml:space="preserve">Executed as a deed by </w:t>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 COMPANY AMERICAS</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acting by ...........................................................</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who, in accordance with the laws of the territory</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in which Deutsche Bank Trust Company Americas</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is incorporated, is/are acting under its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62" w:lineRule="exact"/>
        <w:rPr>
          <w:sz w:val="20"/>
          <w:szCs w:val="20"/>
          <w:color w:val="auto"/>
        </w:rPr>
      </w:pPr>
    </w:p>
    <w:p>
      <w:pPr>
        <w:sectPr>
          <w:pgSz w:w="11900" w:h="16838" w:orient="portrait"/>
          <w:cols w:equalWidth="0" w:num="4">
            <w:col w:w="4460" w:space="120"/>
            <w:col w:w="120" w:space="40"/>
            <w:col w:w="80" w:space="120"/>
            <w:col w:w="5199"/>
          </w:cols>
          <w:pgMar w:left="320" w:top="611" w:right="1440"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11" w:right="1440" w:bottom="1440" w:gutter="0" w:footer="0" w:header="0"/>
          <w:type w:val="continuous"/>
        </w:sectPr>
      </w:pPr>
    </w:p>
    <w:bookmarkStart w:id="600" w:name="page601"/>
    <w:bookmarkEnd w:id="600"/>
    <w:p>
      <w:pPr>
        <w:jc w:val="center"/>
        <w:ind w:right="19"/>
        <w:spacing w:after="0"/>
        <w:rPr>
          <w:sz w:val="20"/>
          <w:szCs w:val="20"/>
          <w:color w:val="auto"/>
        </w:rPr>
      </w:pPr>
      <w:r>
        <w:rPr>
          <w:rFonts w:ascii="Arial" w:cs="Arial" w:eastAsia="Arial" w:hAnsi="Arial"/>
          <w:sz w:val="22"/>
          <w:szCs w:val="22"/>
          <w:b w:val="1"/>
          <w:bCs w:val="1"/>
          <w:color w:val="auto"/>
        </w:rPr>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BANK ACCOUNTS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1 – GENERAL BANK ACCOUNTS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302260</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1" w:name="page602"/>
    <w:bookmarkEnd w:id="601"/>
    <w:p>
      <w:pPr>
        <w:jc w:val="center"/>
        <w:ind w:right="19"/>
        <w:spacing w:after="0"/>
        <w:rPr>
          <w:sz w:val="20"/>
          <w:szCs w:val="20"/>
          <w:color w:val="auto"/>
        </w:rPr>
      </w:pPr>
      <w:r>
        <w:rPr>
          <w:rFonts w:ascii="Arial" w:cs="Arial" w:eastAsia="Arial" w:hAnsi="Arial"/>
          <w:sz w:val="21"/>
          <w:szCs w:val="21"/>
          <w:b w:val="1"/>
          <w:bCs w:val="1"/>
          <w:color w:val="auto"/>
        </w:rPr>
        <w:t>PART 2 – COLLECTION BANK ACCOUNT</w:t>
      </w:r>
    </w:p>
    <w:p>
      <w:pPr>
        <w:sectPr>
          <w:pgSz w:w="11900" w:h="16838" w:orient="portrait"/>
          <w:cols w:equalWidth="0" w:num="1">
            <w:col w:w="9019"/>
          </w:cols>
          <w:pgMar w:left="1440" w:top="125" w:right="1440"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NONE AT THE DATE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149225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02" w:name="page603"/>
    <w:bookmarkEnd w:id="602"/>
    <w:p>
      <w:pPr>
        <w:jc w:val="center"/>
        <w:ind w:right="19"/>
        <w:spacing w:after="0"/>
        <w:rPr>
          <w:sz w:val="20"/>
          <w:szCs w:val="20"/>
          <w:color w:val="auto"/>
        </w:rPr>
      </w:pPr>
      <w:r>
        <w:rPr>
          <w:rFonts w:ascii="Arial" w:cs="Arial" w:eastAsia="Arial" w:hAnsi="Arial"/>
          <w:sz w:val="22"/>
          <w:szCs w:val="22"/>
          <w:b w:val="1"/>
          <w:bCs w:val="1"/>
          <w:color w:val="auto"/>
        </w:rPr>
        <w:t>SCHEDULE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ASSIGNED AGREEMENTS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NONE AT THE DATE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174625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3" w:name="page604"/>
    <w:bookmarkEnd w:id="603"/>
    <w:p>
      <w:pPr>
        <w:jc w:val="center"/>
        <w:ind w:right="19"/>
        <w:spacing w:after="0"/>
        <w:rPr>
          <w:sz w:val="20"/>
          <w:szCs w:val="20"/>
          <w:color w:val="auto"/>
        </w:rPr>
      </w:pPr>
      <w:r>
        <w:rPr>
          <w:rFonts w:ascii="Arial" w:cs="Arial" w:eastAsia="Arial" w:hAnsi="Arial"/>
          <w:sz w:val="22"/>
          <w:szCs w:val="22"/>
          <w:b w:val="1"/>
          <w:bCs w:val="1"/>
          <w:color w:val="auto"/>
        </w:rPr>
        <w:t>SCHEDULE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INSURANCE POLICIES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NONE AT THE DATE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483235</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604" w:name="page605"/>
    <w:bookmarkEnd w:id="604"/>
    <w:p>
      <w:pPr>
        <w:jc w:val="center"/>
        <w:spacing w:after="0"/>
        <w:rPr>
          <w:sz w:val="20"/>
          <w:szCs w:val="20"/>
          <w:color w:val="auto"/>
        </w:rPr>
      </w:pPr>
      <w:r>
        <w:rPr>
          <w:rFonts w:ascii="Arial" w:cs="Arial" w:eastAsia="Arial" w:hAnsi="Arial"/>
          <w:sz w:val="22"/>
          <w:szCs w:val="22"/>
          <w:b w:val="1"/>
          <w:bCs w:val="1"/>
          <w:color w:val="auto"/>
        </w:rPr>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OF BANK ACCOUNTS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FORM OF NOTICE OF CHARGE FOR GENERAL BANK ACCOUNTS</w:t>
      </w:r>
    </w:p>
    <w:p>
      <w:pPr>
        <w:spacing w:after="0" w:line="200" w:lineRule="exact"/>
        <w:rPr>
          <w:sz w:val="20"/>
          <w:szCs w:val="20"/>
          <w:color w:val="auto"/>
        </w:rPr>
      </w:pPr>
    </w:p>
    <w:p>
      <w:pPr>
        <w:spacing w:after="0" w:line="303"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Name of General Account Bank</w:t>
      </w:r>
      <w:r>
        <w:rPr>
          <w:rFonts w:ascii="Arial" w:cs="Arial" w:eastAsia="Arial" w:hAnsi="Arial"/>
          <w:sz w:val="22"/>
          <w:szCs w:val="22"/>
          <w:color w:val="auto"/>
        </w:rPr>
        <w: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hereby give you irrevocable notice that we (the "</w:t>
      </w:r>
      <w:r>
        <w:rPr>
          <w:rFonts w:ascii="Arial" w:cs="Arial" w:eastAsia="Arial" w:hAnsi="Arial"/>
          <w:sz w:val="22"/>
          <w:szCs w:val="22"/>
          <w:b w:val="1"/>
          <w:bCs w:val="1"/>
          <w:color w:val="auto"/>
        </w:rPr>
        <w:t>Company</w:t>
      </w:r>
      <w:r>
        <w:rPr>
          <w:rFonts w:ascii="Arial" w:cs="Arial" w:eastAsia="Arial" w:hAnsi="Arial"/>
          <w:sz w:val="22"/>
          <w:szCs w:val="22"/>
          <w:color w:val="auto"/>
        </w:rPr>
        <w:t>") have charged to Deutsche Bank Trust Company Americas (the "</w:t>
      </w:r>
      <w:r>
        <w:rPr>
          <w:rFonts w:ascii="Arial" w:cs="Arial" w:eastAsia="Arial" w:hAnsi="Arial"/>
          <w:sz w:val="22"/>
          <w:szCs w:val="22"/>
          <w:b w:val="1"/>
          <w:bCs w:val="1"/>
          <w:color w:val="auto"/>
        </w:rPr>
        <w:t>Collateral Agent</w:t>
      </w:r>
      <w:r>
        <w:rPr>
          <w:rFonts w:ascii="Arial" w:cs="Arial" w:eastAsia="Arial" w:hAnsi="Arial"/>
          <w:sz w:val="22"/>
          <w:szCs w:val="22"/>
          <w:color w:val="auto"/>
        </w:rPr>
        <w:t>") all of our right, title, interest and benefit in, to and under account numbers GB67BARC20554033615073 (including any renewal or redesignation thereof) including all moneys standing to the credit of that account from time to time (the "</w:t>
      </w:r>
      <w:r>
        <w:rPr>
          <w:rFonts w:ascii="Arial" w:cs="Arial" w:eastAsia="Arial" w:hAnsi="Arial"/>
          <w:sz w:val="22"/>
          <w:szCs w:val="22"/>
          <w:b w:val="1"/>
          <w:bCs w:val="1"/>
          <w:color w:val="auto"/>
        </w:rPr>
        <w:t>Accounts</w:t>
      </w:r>
      <w:r>
        <w:rPr>
          <w:rFonts w:ascii="Arial" w:cs="Arial" w:eastAsia="Arial" w:hAnsi="Arial"/>
          <w:sz w:val="22"/>
          <w:szCs w:val="22"/>
          <w:color w:val="auto"/>
        </w:rPr>
        <w:t>"). This charge is subject, and without prejudice, to the charge to the Collateral Agent of all our right, title and interest in and to the monies from time to time standing to the credit of the Accounts pursuant to the ABL deed of charge and assignment dated [5] December 2019, notice of which was given to you by a notice dated [●] (the “</w:t>
      </w:r>
      <w:r>
        <w:rPr>
          <w:rFonts w:ascii="Arial" w:cs="Arial" w:eastAsia="Arial" w:hAnsi="Arial"/>
          <w:sz w:val="22"/>
          <w:szCs w:val="22"/>
          <w:b w:val="1"/>
          <w:bCs w:val="1"/>
          <w:color w:val="auto"/>
        </w:rPr>
        <w:t>ABL Deed of Charge and Assignment</w:t>
      </w:r>
      <w:r>
        <w:rPr>
          <w:rFonts w:ascii="Arial" w:cs="Arial" w:eastAsia="Arial" w:hAnsi="Arial"/>
          <w:sz w:val="22"/>
          <w:szCs w:val="22"/>
          <w:color w:val="auto"/>
        </w:rPr>
        <w:t xml:space="preserve"> </w:t>
      </w: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187" w:lineRule="exact"/>
        <w:rPr>
          <w:sz w:val="20"/>
          <w:szCs w:val="20"/>
          <w:color w:val="auto"/>
        </w:rPr>
      </w:pPr>
    </w:p>
    <w:p>
      <w:pPr>
        <w:ind w:left="640" w:hanging="632"/>
        <w:spacing w:after="0"/>
        <w:tabs>
          <w:tab w:leader="none" w:pos="64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We irrevocably authorise and instruct you:</w:t>
      </w:r>
    </w:p>
    <w:p>
      <w:pPr>
        <w:spacing w:after="0" w:line="225"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to hold all monies from time to time standing to the credit of the Accounts to the order of the Collateral Agent and to pay all or any part of those monies to the Collateral Agent (or as it may direct) promptly following receipt of written instructions from the Collateral Agent to that effect; and</w:t>
      </w:r>
    </w:p>
    <w:p>
      <w:pPr>
        <w:spacing w:after="0" w:line="183"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Company and the Accounts which the Collateral Agent may from time to time request you to provide.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We also advise you that:</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Company may make withdrawals from the Accounts and you may continue to deal with the Company until such time as the Collateral Agent shall notify you (with a copy to the Company) in writing that its permission is withdrawn;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prior written consent of the Collateral Agent.</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Please acknowledge receipt of this notice by signing the acknowledgement on the enclosed copy of this notice and returning it to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5" w:name="page606"/>
    <w:bookmarkEnd w:id="605"/>
    <w:p>
      <w:pPr>
        <w:jc w:val="center"/>
        <w:spacing w:after="0"/>
        <w:rPr>
          <w:sz w:val="20"/>
          <w:szCs w:val="20"/>
          <w:color w:val="auto"/>
        </w:rPr>
      </w:pPr>
      <w:r>
        <w:rPr>
          <w:rFonts w:ascii="Arial" w:cs="Arial" w:eastAsia="Arial" w:hAnsi="Arial"/>
          <w:sz w:val="22"/>
          <w:szCs w:val="22"/>
          <w:b w:val="1"/>
          <w:bCs w:val="1"/>
          <w:color w:val="auto"/>
        </w:rPr>
        <w:t>Schedule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633095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6" w:name="page607"/>
    <w:bookmarkEnd w:id="606"/>
    <w:p>
      <w:pPr>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Weatherford Eurasia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1" w:right="1440" w:bottom="1440" w:gutter="0" w:footer="0" w:header="0"/>
        </w:sectPr>
      </w:pPr>
    </w:p>
    <w:bookmarkStart w:id="607" w:name="page608"/>
    <w:bookmarkEnd w:id="607"/>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On copy only</w:t>
      </w:r>
      <w:r>
        <w:rPr>
          <w:rFonts w:ascii="Arial" w:cs="Arial" w:eastAsia="Arial" w:hAnsi="Arial"/>
          <w:sz w:val="19"/>
          <w:szCs w:val="19"/>
          <w:color w:val="auto"/>
        </w:rPr>
        <w:t>:]</w:t>
      </w:r>
    </w:p>
    <w:p>
      <w:pPr>
        <w:sectPr>
          <w:pgSz w:w="11900" w:h="16838" w:orient="portrait"/>
          <w:cols w:equalWidth="0" w:num="1">
            <w:col w:w="11240"/>
          </w:cols>
          <w:pgMar w:left="320" w:top="401" w:right="3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80" w:space="720"/>
            <w:col w:w="9940"/>
          </w:cols>
          <w:pgMar w:left="320" w:top="401"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880" w:space="540"/>
            <w:col w:w="9820"/>
          </w:cols>
          <w:pgMar w:left="320" w:top="401" w:right="339" w:bottom="1440" w:gutter="0" w:footer="0" w:header="0"/>
          <w:type w:val="continuous"/>
        </w:sectPr>
      </w:pPr>
    </w:p>
    <w:p>
      <w:pPr>
        <w:spacing w:after="0" w:line="3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At the request of the Collateral Agent and the Company we acknowledge receipt of a notice of charge in the terms set out above in respect of the Accounts (as described in those terms).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We confirm that we will comply with the term of that notice.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further confirm that:</w:t>
      </w:r>
    </w:p>
    <w:p>
      <w:pPr>
        <w:spacing w:after="0" w:line="227" w:lineRule="exact"/>
        <w:rPr>
          <w:sz w:val="20"/>
          <w:szCs w:val="20"/>
          <w:color w:val="auto"/>
        </w:rPr>
      </w:pPr>
    </w:p>
    <w:p>
      <w:pPr>
        <w:jc w:val="both"/>
        <w:ind w:left="660" w:hanging="652"/>
        <w:spacing w:after="0" w:line="263" w:lineRule="auto"/>
        <w:tabs>
          <w:tab w:leader="none" w:pos="66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balance standing to the Accounts at today's date is [•], no fees or periodic charges are payable in respect of the Accounts and there are no restrictions on the payment of the credit balance on the Accounts (except, in the case of a time deposit, the expiry of the relevant period) or on the assignment of the Accounts to the Collateral Agent or any third party;</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34"/>
        </w:numPr>
        <w:rPr>
          <w:rFonts w:ascii="Arial" w:cs="Arial" w:eastAsia="Arial" w:hAnsi="Arial"/>
          <w:sz w:val="17"/>
          <w:szCs w:val="17"/>
          <w:color w:val="auto"/>
        </w:rPr>
      </w:pPr>
      <w:r>
        <w:rPr>
          <w:rFonts w:ascii="Arial" w:cs="Arial" w:eastAsia="Arial" w:hAnsi="Arial"/>
          <w:sz w:val="17"/>
          <w:szCs w:val="17"/>
          <w:color w:val="auto"/>
        </w:rPr>
        <w:t>except for the ABL Deed of Charge and Assignment Notice, we have not received notice of any previous assignments of, charges or other security interests over, or trusts in respect of, any of the rights, title, interests or benefits in, to, under or in respect of the Accounts;</w:t>
      </w:r>
    </w:p>
    <w:p>
      <w:pPr>
        <w:spacing w:after="0" w:line="146" w:lineRule="exact"/>
        <w:rPr>
          <w:rFonts w:ascii="Arial" w:cs="Arial" w:eastAsia="Arial" w:hAnsi="Arial"/>
          <w:sz w:val="17"/>
          <w:szCs w:val="17"/>
          <w:color w:val="auto"/>
        </w:rPr>
      </w:pPr>
    </w:p>
    <w:p>
      <w:pPr>
        <w:ind w:left="660" w:hanging="652"/>
        <w:spacing w:after="0" w:line="223" w:lineRule="exact"/>
        <w:tabs>
          <w:tab w:leader="none" w:pos="66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we will not, save with the Collateral Agent's prior written consent, exercise any right of combination, consolidation or set</w:t>
      </w:r>
      <w:r>
        <w:rPr>
          <w:rFonts w:ascii="MS PGothic" w:cs="MS PGothic" w:eastAsia="MS PGothic" w:hAnsi="MS PGothic"/>
          <w:sz w:val="18"/>
          <w:szCs w:val="18"/>
          <w:color w:val="auto"/>
        </w:rPr>
        <w:t>‑</w:t>
      </w:r>
      <w:r>
        <w:rPr>
          <w:rFonts w:ascii="Arial" w:cs="Arial" w:eastAsia="Arial" w:hAnsi="Arial"/>
          <w:sz w:val="18"/>
          <w:szCs w:val="18"/>
          <w:color w:val="auto"/>
        </w:rPr>
        <w:t>off which we may have in respect of the Accounts; and</w:t>
      </w:r>
    </w:p>
    <w:p>
      <w:pPr>
        <w:spacing w:after="0" w:line="202"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after receipt of the notification referred to in paragraph 2(a) of the notice above, we will act only in accordance with the instructions given by persons authorised by the Collateral Agent and we shall send all statements and other notices given by us relating to the Accounts to the Collateral Agent.</w:t>
      </w:r>
    </w:p>
    <w:p>
      <w:pPr>
        <w:spacing w:after="0" w:line="190"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For and on behalf of [</w:t>
      </w:r>
      <w:r>
        <w:rPr>
          <w:rFonts w:ascii="Arial" w:cs="Arial" w:eastAsia="Arial" w:hAnsi="Arial"/>
          <w:sz w:val="22"/>
          <w:szCs w:val="22"/>
          <w:i w:val="1"/>
          <w:iCs w:val="1"/>
          <w:color w:val="auto"/>
        </w:rPr>
        <w:t>name of account</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holding bank</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By:_____________________________________</w:t>
      </w:r>
    </w:p>
    <w:p>
      <w:pPr>
        <w:spacing w:after="0" w:line="233"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608" w:name="page609"/>
    <w:bookmarkEnd w:id="608"/>
    <w:p>
      <w:pPr>
        <w:jc w:val="center"/>
        <w:spacing w:after="0"/>
        <w:rPr>
          <w:sz w:val="20"/>
          <w:szCs w:val="20"/>
          <w:color w:val="auto"/>
        </w:rPr>
      </w:pPr>
      <w:r>
        <w:rPr>
          <w:rFonts w:ascii="Arial" w:cs="Arial" w:eastAsia="Arial" w:hAnsi="Arial"/>
          <w:sz w:val="22"/>
          <w:szCs w:val="22"/>
          <w:b w:val="1"/>
          <w:bCs w:val="1"/>
          <w:color w:val="auto"/>
        </w:rPr>
        <w:t>PART 2 – FORM OF NOTICE OF CHARGE FOR COLLECTION BANK ACCOUNTS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for Collection Bank Accounts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Barclays Bank PLC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Barclays, Level 10, 1 Churchill Place, Canary Wharf, London, E14 5HP</w:t>
      </w:r>
    </w:p>
    <w:p>
      <w:pPr>
        <w:spacing w:after="0" w:line="2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Simon Clark</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81"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 xml:space="preserve">Weatherford Eurasia Limited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hereby gives notice to Barclays Bank PLC (the </w:t>
      </w:r>
      <w:r>
        <w:rPr>
          <w:rFonts w:ascii="Arial" w:cs="Arial" w:eastAsia="Arial" w:hAnsi="Arial"/>
          <w:sz w:val="19"/>
          <w:szCs w:val="19"/>
          <w:b w:val="1"/>
          <w:bCs w:val="1"/>
          <w:color w:val="auto"/>
        </w:rPr>
        <w:t>Bank</w:t>
      </w:r>
      <w:r>
        <w:rPr>
          <w:rFonts w:ascii="Arial" w:cs="Arial" w:eastAsia="Arial" w:hAnsi="Arial"/>
          <w:sz w:val="19"/>
          <w:szCs w:val="19"/>
          <w:color w:val="auto"/>
        </w:rPr>
        <w:t xml:space="preserve">) that by a deed of charge and assignment dated [•] (the </w:t>
      </w:r>
      <w:r>
        <w:rPr>
          <w:rFonts w:ascii="Arial" w:cs="Arial" w:eastAsia="Arial" w:hAnsi="Arial"/>
          <w:sz w:val="19"/>
          <w:szCs w:val="19"/>
          <w:b w:val="1"/>
          <w:bCs w:val="1"/>
          <w:color w:val="auto"/>
        </w:rPr>
        <w:t>Deed</w:t>
      </w:r>
      <w:r>
        <w:rPr>
          <w:rFonts w:ascii="Arial" w:cs="Arial" w:eastAsia="Arial" w:hAnsi="Arial"/>
          <w:sz w:val="19"/>
          <w:szCs w:val="19"/>
          <w:color w:val="auto"/>
        </w:rPr>
        <w:t xml:space="preserve">), the Company charged to Wells Fargo Bank N.A., London Branch as collateral agent (the </w:t>
      </w:r>
      <w:r>
        <w:rPr>
          <w:rFonts w:ascii="Arial" w:cs="Arial" w:eastAsia="Arial" w:hAnsi="Arial"/>
          <w:sz w:val="19"/>
          <w:szCs w:val="19"/>
          <w:b w:val="1"/>
          <w:bCs w:val="1"/>
          <w:color w:val="auto"/>
        </w:rPr>
        <w:t>Collateral Agent</w:t>
      </w:r>
      <w:r>
        <w:rPr>
          <w:rFonts w:ascii="Arial" w:cs="Arial" w:eastAsia="Arial" w:hAnsi="Arial"/>
          <w:sz w:val="19"/>
          <w:szCs w:val="19"/>
          <w:color w:val="auto"/>
        </w:rPr>
        <w:t>) by way of first fixed charge all the Company’s rights, title, interest and benefit in and to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held with the Bank and all amounts standing to the credit of such account from time to time: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No. [•], sort code [•]-[•]-[•];</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Blocked Account</w:t>
      </w:r>
      <w:r>
        <w:rPr>
          <w:rFonts w:ascii="Arial" w:cs="Arial" w:eastAsia="Arial" w:hAnsi="Arial"/>
          <w:sz w:val="22"/>
          <w:szCs w:val="22"/>
          <w:color w:val="auto"/>
        </w:rPr>
        <w:t>).</w:t>
      </w:r>
    </w:p>
    <w:p>
      <w:pPr>
        <w:spacing w:after="0" w:line="293"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Please acknowledge receipt of this letter by returning a copy of the attached letter on the Bank’s headed notepaper with a receipted copy of this notice forthwith, to Wells Fargo Bank N.A., London Branch, 8</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33 King William Street, London, EC4R 9AT Attention: Portfolio Manager – [•] and to the Company at the address given above.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attached acknowledgement letter constitutes our irrevocable instruction to you. Without prejudice to the generality thereof, we hereby acknowledge the provisions of the acknowledgement letter in its entirety and agree in your favour to be bound by the limitations on your responsibility under paragraph (i) of the acknowledgment letter, in each case as if we had signed it in your favour.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Weatherford Eurasia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09" w:name="page610"/>
    <w:bookmarkEnd w:id="609"/>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 BE PRINTED ON RELEVANT BARCLAYS ENTITY LETTERHEAD</w:t>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 London Branch</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33 King William Street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London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EC4R 9AT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Chargee</w:t>
      </w:r>
      <w:r>
        <w:rPr>
          <w:rFonts w:ascii="Arial" w:cs="Arial" w:eastAsia="Arial" w:hAnsi="Arial"/>
          <w:sz w:val="22"/>
          <w:szCs w:val="22"/>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Weatherford Eurasia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Gotham Road, East Leake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Loughborough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Leicestershire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LE12 6JX</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Chargor</w:t>
      </w:r>
      <w:r>
        <w:rPr>
          <w:rFonts w:ascii="Arial" w:cs="Arial" w:eastAsia="Arial" w:hAnsi="Arial"/>
          <w:sz w:val="22"/>
          <w:szCs w:val="22"/>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Dear All</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Notice of charge dated …………………20[XX] (the “</w:t>
      </w:r>
      <w:r>
        <w:rPr>
          <w:rFonts w:ascii="Arial" w:cs="Arial" w:eastAsia="Arial" w:hAnsi="Arial"/>
          <w:sz w:val="21"/>
          <w:szCs w:val="21"/>
          <w:b w:val="1"/>
          <w:bCs w:val="1"/>
          <w:u w:val="single" w:color="auto"/>
          <w:color w:val="auto"/>
        </w:rPr>
        <w:t>Notice</w:t>
      </w:r>
      <w:r>
        <w:rPr>
          <w:rFonts w:ascii="Arial" w:cs="Arial" w:eastAsia="Arial" w:hAnsi="Arial"/>
          <w:sz w:val="21"/>
          <w:szCs w:val="21"/>
          <w:u w:val="single" w:color="auto"/>
          <w:color w:val="auto"/>
        </w:rPr>
        <w:t>”) relating to the creation of security interest by the Chargor in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favour of the Chargee in respect of the account as set out in the Notice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We refer to the Notice relating to the account, details of which are set out below (the “</w:t>
      </w:r>
      <w:r>
        <w:rPr>
          <w:rFonts w:ascii="Arial" w:cs="Arial" w:eastAsia="Arial" w:hAnsi="Arial"/>
          <w:sz w:val="22"/>
          <w:szCs w:val="22"/>
          <w:b w:val="1"/>
          <w:bCs w:val="1"/>
          <w:color w:val="auto"/>
        </w:rPr>
        <w:t>Account</w:t>
      </w: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35"/>
          <w:szCs w:val="35"/>
          <w:u w:val="single" w:color="auto"/>
          <w:color w:val="auto"/>
          <w:vertAlign w:val="superscript"/>
        </w:rPr>
        <w:t>28</w:t>
      </w:r>
    </w:p>
    <w:tbl>
      <w:tblPr>
        <w:tblLayout w:type="fixed"/>
        <w:tblInd w:w="0" w:type="dxa"/>
        <w:tblCellMar>
          <w:top w:w="0" w:type="dxa"/>
          <w:left w:w="0" w:type="dxa"/>
          <w:bottom w:w="0" w:type="dxa"/>
          <w:right w:w="0" w:type="dxa"/>
        </w:tblCellMar>
      </w:tblPr>
      <w:tr>
        <w:trPr>
          <w:trHeight w:val="270"/>
        </w:trPr>
        <w:tc>
          <w:tcPr>
            <w:tcW w:w="20" w:type="dxa"/>
            <w:vAlign w:val="bottom"/>
            <w:tcBorders>
              <w:top w:val="single" w:sz="8" w:color="auto"/>
              <w:bottom w:val="single" w:sz="8" w:color="auto"/>
            </w:tcBorders>
            <w:shd w:val="clear" w:color="auto" w:fill="000000"/>
          </w:tcPr>
          <w:p>
            <w:pPr>
              <w:spacing w:after="0"/>
              <w:rPr>
                <w:sz w:val="23"/>
                <w:szCs w:val="23"/>
                <w:color w:val="auto"/>
              </w:rPr>
            </w:pPr>
          </w:p>
        </w:tc>
        <w:tc>
          <w:tcPr>
            <w:tcW w:w="40" w:type="dxa"/>
            <w:vAlign w:val="bottom"/>
            <w:tcBorders>
              <w:top w:val="single" w:sz="8" w:color="auto"/>
              <w:bottom w:val="single" w:sz="8" w:color="auto"/>
              <w:right w:val="single" w:sz="8" w:color="auto"/>
            </w:tcBorders>
          </w:tcPr>
          <w:p>
            <w:pPr>
              <w:spacing w:after="0"/>
              <w:rPr>
                <w:sz w:val="23"/>
                <w:szCs w:val="23"/>
                <w:color w:val="auto"/>
              </w:rPr>
            </w:pPr>
          </w:p>
        </w:tc>
        <w:tc>
          <w:tcPr>
            <w:tcW w:w="3740" w:type="dxa"/>
            <w:vAlign w:val="bottom"/>
            <w:tcBorders>
              <w:top w:val="single" w:sz="8" w:color="auto"/>
              <w:bottom w:val="single" w:sz="8" w:color="auto"/>
              <w:right w:val="single" w:sz="8" w:color="auto"/>
            </w:tcBorders>
            <w:shd w:val="clear" w:color="auto" w:fill="A6A6A6"/>
          </w:tcPr>
          <w:p>
            <w:pPr>
              <w:spacing w:after="0"/>
              <w:rPr>
                <w:sz w:val="20"/>
                <w:szCs w:val="20"/>
                <w:color w:val="auto"/>
              </w:rPr>
            </w:pPr>
            <w:r>
              <w:rPr>
                <w:rFonts w:ascii="Arial" w:cs="Arial" w:eastAsia="Arial" w:hAnsi="Arial"/>
                <w:sz w:val="18"/>
                <w:szCs w:val="18"/>
                <w:b w:val="1"/>
                <w:bCs w:val="1"/>
                <w:color w:val="auto"/>
              </w:rPr>
              <w:t>ACCOUNT HOLDER</w:t>
            </w:r>
          </w:p>
        </w:tc>
        <w:tc>
          <w:tcPr>
            <w:tcW w:w="3720" w:type="dxa"/>
            <w:vAlign w:val="bottom"/>
            <w:tcBorders>
              <w:top w:val="single" w:sz="8" w:color="auto"/>
              <w:bottom w:val="single" w:sz="8" w:color="auto"/>
              <w:right w:val="single" w:sz="8" w:color="auto"/>
            </w:tcBorders>
            <w:shd w:val="clear" w:color="auto" w:fill="A6A6A6"/>
          </w:tcPr>
          <w:p>
            <w:pPr>
              <w:spacing w:after="0"/>
              <w:rPr>
                <w:sz w:val="20"/>
                <w:szCs w:val="20"/>
                <w:color w:val="auto"/>
              </w:rPr>
            </w:pPr>
            <w:r>
              <w:rPr>
                <w:rFonts w:ascii="Arial" w:cs="Arial" w:eastAsia="Arial" w:hAnsi="Arial"/>
                <w:sz w:val="18"/>
                <w:szCs w:val="18"/>
                <w:b w:val="1"/>
                <w:bCs w:val="1"/>
                <w:color w:val="auto"/>
              </w:rPr>
              <w:t>ACCOUNT NUMBER</w:t>
            </w:r>
          </w:p>
        </w:tc>
        <w:tc>
          <w:tcPr>
            <w:tcW w:w="3720" w:type="dxa"/>
            <w:vAlign w:val="bottom"/>
            <w:tcBorders>
              <w:top w:val="single" w:sz="8" w:color="auto"/>
              <w:bottom w:val="single" w:sz="8" w:color="auto"/>
              <w:right w:val="single" w:sz="8" w:color="auto"/>
            </w:tcBorders>
            <w:shd w:val="clear" w:color="auto" w:fill="A6A6A6"/>
          </w:tcPr>
          <w:p>
            <w:pPr>
              <w:spacing w:after="0"/>
              <w:rPr>
                <w:sz w:val="20"/>
                <w:szCs w:val="20"/>
                <w:color w:val="auto"/>
              </w:rPr>
            </w:pPr>
            <w:r>
              <w:rPr>
                <w:rFonts w:ascii="Arial" w:cs="Arial" w:eastAsia="Arial" w:hAnsi="Arial"/>
                <w:sz w:val="18"/>
                <w:szCs w:val="18"/>
                <w:b w:val="1"/>
                <w:bCs w:val="1"/>
                <w:color w:val="auto"/>
              </w:rPr>
              <w:t>SORT CODE</w:t>
            </w: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top w:val="single" w:sz="8" w:color="A6A6A6"/>
              <w:bottom w:val="single" w:sz="8" w:color="auto"/>
              <w:right w:val="single" w:sz="8" w:color="auto"/>
            </w:tcBorders>
          </w:tcPr>
          <w:p>
            <w:pPr>
              <w:spacing w:after="0" w:line="20" w:lineRule="exact"/>
              <w:rPr>
                <w:sz w:val="1"/>
                <w:szCs w:val="1"/>
                <w:color w:val="auto"/>
              </w:rPr>
            </w:pPr>
          </w:p>
        </w:tc>
        <w:tc>
          <w:tcPr>
            <w:tcW w:w="3720" w:type="dxa"/>
            <w:vAlign w:val="bottom"/>
            <w:tcBorders>
              <w:top w:val="single" w:sz="8" w:color="A6A6A6"/>
              <w:bottom w:val="single" w:sz="8" w:color="auto"/>
              <w:right w:val="single" w:sz="8" w:color="auto"/>
            </w:tcBorders>
          </w:tcPr>
          <w:p>
            <w:pPr>
              <w:spacing w:after="0" w:line="20" w:lineRule="exact"/>
              <w:rPr>
                <w:sz w:val="1"/>
                <w:szCs w:val="1"/>
                <w:color w:val="auto"/>
              </w:rPr>
            </w:pPr>
          </w:p>
        </w:tc>
        <w:tc>
          <w:tcPr>
            <w:tcW w:w="3720" w:type="dxa"/>
            <w:vAlign w:val="bottom"/>
            <w:tcBorders>
              <w:top w:val="single" w:sz="8" w:color="A6A6A6"/>
              <w:bottom w:val="single" w:sz="8" w:color="auto"/>
              <w:right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We confirm that:</w:t>
      </w:r>
    </w:p>
    <w:p>
      <w:pPr>
        <w:spacing w:after="0" w:line="119" w:lineRule="exact"/>
        <w:rPr>
          <w:sz w:val="20"/>
          <w:szCs w:val="20"/>
          <w:color w:val="auto"/>
        </w:rPr>
      </w:pPr>
    </w:p>
    <w:p>
      <w:pPr>
        <w:jc w:val="both"/>
        <w:ind w:left="660" w:hanging="328"/>
        <w:spacing w:after="0" w:line="279" w:lineRule="auto"/>
        <w:tabs>
          <w:tab w:leader="none" w:pos="660" w:val="left"/>
        </w:tabs>
        <w:numPr>
          <w:ilvl w:val="0"/>
          <w:numId w:val="735"/>
        </w:numPr>
        <w:rPr>
          <w:rFonts w:ascii="Arial" w:cs="Arial" w:eastAsia="Arial" w:hAnsi="Arial"/>
          <w:sz w:val="17"/>
          <w:szCs w:val="17"/>
          <w:color w:val="auto"/>
        </w:rPr>
      </w:pPr>
      <w:r>
        <w:rPr>
          <w:rFonts w:ascii="Arial" w:cs="Arial" w:eastAsia="Arial" w:hAnsi="Arial"/>
          <w:sz w:val="17"/>
          <w:szCs w:val="17"/>
          <w:color w:val="auto"/>
        </w:rPr>
        <w:t>we will block the Account and not permit any further withdrawals by the Chargor unless and until we receive and acknowledge a notice from the Chargee informing us otherwise. Please note that we will not be able to permit withdrawals from the Account in accordance with the instructions of the Chargee unless and until it has provided a list of authorised signatories confirming which persons have authority on behalf of the Chargee to operate the Account and the Account will remain blocked and non-operational until that time;</w:t>
      </w:r>
    </w:p>
    <w:p>
      <w:pPr>
        <w:spacing w:after="0" w:line="33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to the best of our knowledge and belief the business team responsible for the Account has not, as at the date of this acknowledgement, received any notice that any third party has any right or interest whatsoever in or has made any claim or demand or taking any action whatsoever against the Account and / or the debts represented thereby, or any part of any of it or them; and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we are not, in priority to the Chargee, entitled to combine the Account with any other account or to exercise any right of set-off or counterclaim against money in the Account in respect of any sum owed to us provided that, notwithstanding any term of the Notice:</w:t>
      </w:r>
    </w:p>
    <w:p>
      <w:pPr>
        <w:spacing w:after="0" w:line="62"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735"/>
        </w:numPr>
        <w:rPr>
          <w:rFonts w:ascii="Arial" w:cs="Arial" w:eastAsia="Arial" w:hAnsi="Arial"/>
          <w:sz w:val="16"/>
          <w:szCs w:val="16"/>
          <w:color w:val="auto"/>
        </w:rPr>
      </w:pPr>
      <w:r>
        <w:rPr>
          <w:rFonts w:ascii="Arial" w:cs="Arial" w:eastAsia="Arial" w:hAnsi="Arial"/>
          <w:sz w:val="16"/>
          <w:szCs w:val="16"/>
          <w:color w:val="auto"/>
        </w:rPr>
        <w:t>we shall be entitled at any time to deduct from the Account any amounts to satisfy any of our or the Chargor’s obligations and / or liabilities incurred under the direct debit scheme or in respect of other unpaid sums in relation to cheques and payment reversals;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our agreement in this Acknowledgement not to exercise any right of combination of accounts, set-off or lien over any monies standing to the credit of the Account in priority to the Chargee, shall not apply in relation to our standard bank charges and fees and any cash pooling arrangements provided to the Chargor; and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hanging="328"/>
        <w:spacing w:after="0"/>
        <w:tabs>
          <w:tab w:leader="none" w:pos="6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we will disclose to the Chargee any information relating the Account which the Chargee may from time to time request us to provide.</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We do not confirm or agree to any of the other matters set out in the Notice.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Our acknowledgement of the Notice is subject to the following conditions:</w:t>
      </w:r>
    </w:p>
    <w:p>
      <w:pPr>
        <w:spacing w:after="0" w:line="119" w:lineRule="exact"/>
        <w:rPr>
          <w:sz w:val="20"/>
          <w:szCs w:val="20"/>
          <w:color w:val="auto"/>
        </w:rPr>
      </w:pPr>
    </w:p>
    <w:p>
      <w:pPr>
        <w:jc w:val="both"/>
        <w:ind w:left="660" w:hanging="328"/>
        <w:spacing w:after="0" w:line="263" w:lineRule="auto"/>
        <w:tabs>
          <w:tab w:leader="none" w:pos="66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we shall not be bound to enquire whether the right of any person (including, but not limited to, the Chargee) to withdraw any monies from the Account has arisen or be concerned with (A) the propriety or regularity of the exercise of that right or (B) be responsible for the application of any monies received by such person (including, but not limited to, the Chargee);</w:t>
      </w:r>
    </w:p>
    <w:p>
      <w:pPr>
        <w:spacing w:after="0" w:line="345"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736"/>
        </w:numPr>
        <w:rPr>
          <w:rFonts w:ascii="Arial" w:cs="Arial" w:eastAsia="Arial" w:hAnsi="Arial"/>
          <w:sz w:val="16"/>
          <w:szCs w:val="16"/>
          <w:color w:val="auto"/>
        </w:rPr>
      </w:pPr>
      <w:r>
        <w:rPr>
          <w:rFonts w:ascii="Arial" w:cs="Arial" w:eastAsia="Arial" w:hAnsi="Arial"/>
          <w:sz w:val="16"/>
          <w:szCs w:val="16"/>
          <w:color w:val="auto"/>
        </w:rPr>
        <w:t>we shall have no liability to the Chargee relating to the Account whatsoever, including, without limitation, for having acted on instructions of the Chargee which on their face appear to be genuine, which comply with the terms of this notice and which otherwise comply with the Chargee’s</w:t>
      </w:r>
    </w:p>
    <w:p>
      <w:pPr>
        <w:sectPr>
          <w:pgSz w:w="11900" w:h="16838" w:orient="portrait"/>
          <w:cols w:equalWidth="0" w:num="1">
            <w:col w:w="11240"/>
          </w:cols>
          <w:pgMar w:left="320" w:top="132" w:right="339" w:bottom="0" w:gutter="0" w:footer="0" w:header="0"/>
        </w:sectPr>
      </w:pPr>
    </w:p>
    <w:bookmarkStart w:id="610" w:name="page611"/>
    <w:bookmarkEnd w:id="610"/>
    <w:p>
      <w:pPr>
        <w:ind w:left="660"/>
        <w:spacing w:after="0"/>
        <w:rPr>
          <w:sz w:val="20"/>
          <w:szCs w:val="20"/>
          <w:color w:val="auto"/>
        </w:rPr>
      </w:pPr>
      <w:r>
        <w:rPr>
          <w:rFonts w:ascii="Arial" w:cs="Arial" w:eastAsia="Arial" w:hAnsi="Arial"/>
          <w:sz w:val="18"/>
          <w:szCs w:val="18"/>
          <w:color w:val="auto"/>
        </w:rPr>
        <w:t>latest list of signatories held by us or relevant electronic banking system procedures in the case of an electronic instruction, and</w:t>
      </w:r>
    </w:p>
    <w:p>
      <w:pPr>
        <w:spacing w:after="0" w:line="387" w:lineRule="exact"/>
        <w:rPr>
          <w:sz w:val="20"/>
          <w:szCs w:val="20"/>
          <w:color w:val="auto"/>
        </w:rPr>
      </w:pPr>
    </w:p>
    <w:p>
      <w:pPr>
        <w:ind w:left="660" w:hanging="328"/>
        <w:spacing w:after="0"/>
        <w:tabs>
          <w:tab w:leader="none" w:pos="66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we shall not be deemed to be a trustee for the Chargor or the Chargee of the Account.</w:t>
      </w:r>
    </w:p>
    <w:p>
      <w:pPr>
        <w:spacing w:after="0" w:line="200" w:lineRule="exact"/>
        <w:rPr>
          <w:sz w:val="20"/>
          <w:szCs w:val="20"/>
          <w:color w:val="auto"/>
        </w:rPr>
      </w:pPr>
    </w:p>
    <w:p>
      <w:pPr>
        <w:spacing w:after="0" w:line="301"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This letter and any non-contractual obligations arising out of or in connection with this letter are governed by the laws of England and Wales.</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Position: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Barclays Bank PLC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838835</wp:posOffset>
            </wp:positionV>
            <wp:extent cx="16459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hanging="232"/>
        <w:spacing w:after="0"/>
        <w:tabs>
          <w:tab w:leader="none" w:pos="240" w:val="left"/>
        </w:tabs>
        <w:numPr>
          <w:ilvl w:val="0"/>
          <w:numId w:val="738"/>
        </w:numPr>
        <w:rPr>
          <w:rFonts w:ascii="Arial" w:cs="Arial" w:eastAsia="Arial" w:hAnsi="Arial"/>
          <w:sz w:val="31"/>
          <w:szCs w:val="31"/>
          <w:color w:val="auto"/>
          <w:vertAlign w:val="superscript"/>
        </w:rPr>
      </w:pPr>
      <w:r>
        <w:rPr>
          <w:rFonts w:ascii="Arial" w:cs="Arial" w:eastAsia="Arial" w:hAnsi="Arial"/>
          <w:sz w:val="19"/>
          <w:szCs w:val="19"/>
          <w:color w:val="auto"/>
        </w:rPr>
        <w:t>Only include account details where these were also included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1" w:name="page612"/>
    <w:bookmarkEnd w:id="611"/>
    <w:p>
      <w:pPr>
        <w:jc w:val="center"/>
        <w:spacing w:after="0"/>
        <w:rPr>
          <w:sz w:val="20"/>
          <w:szCs w:val="20"/>
          <w:color w:val="auto"/>
        </w:rPr>
      </w:pPr>
      <w:r>
        <w:rPr>
          <w:rFonts w:ascii="Arial" w:cs="Arial" w:eastAsia="Arial" w:hAnsi="Arial"/>
          <w:sz w:val="22"/>
          <w:szCs w:val="22"/>
          <w:b w:val="1"/>
          <w:bCs w:val="1"/>
          <w:color w:val="auto"/>
        </w:rPr>
        <w:t>SCHEDULE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OF ASSIGNED AGREEMENTS</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Insert name and address of relevant party</w:t>
      </w:r>
      <w:r>
        <w:rPr>
          <w:rFonts w:ascii="Arial" w:cs="Arial" w:eastAsia="Arial" w:hAnsi="Arial"/>
          <w:sz w:val="22"/>
          <w:szCs w:val="22"/>
          <w:color w:val="auto"/>
        </w:rPr>
        <w: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w:t>
      </w:r>
      <w:r>
        <w:rPr>
          <w:rFonts w:ascii="Arial" w:cs="Arial" w:eastAsia="Arial" w:hAnsi="Arial"/>
          <w:sz w:val="21"/>
          <w:szCs w:val="21"/>
          <w:b w:val="1"/>
          <w:bCs w:val="1"/>
          <w:i w:val="1"/>
          <w:iCs w:val="1"/>
          <w:color w:val="auto"/>
        </w:rPr>
        <w:t>describe assigned agreement</w:t>
      </w:r>
      <w:r>
        <w:rPr>
          <w:rFonts w:ascii="Arial" w:cs="Arial" w:eastAsia="Arial" w:hAnsi="Arial"/>
          <w:sz w:val="21"/>
          <w:szCs w:val="21"/>
          <w:b w:val="1"/>
          <w:bCs w:val="1"/>
          <w:color w:val="auto"/>
        </w:rPr>
        <w:t xml:space="preserve">] dated </w:t>
      </w:r>
      <w:r>
        <w:rPr>
          <w:rFonts w:ascii="Arial" w:cs="Arial" w:eastAsia="Arial" w:hAnsi="Arial"/>
          <w:sz w:val="21"/>
          <w:szCs w:val="21"/>
          <w:color w:val="auto"/>
        </w:rPr>
        <w:t>[●]</w:t>
      </w:r>
      <w:r>
        <w:rPr>
          <w:rFonts w:ascii="Arial" w:cs="Arial" w:eastAsia="Arial" w:hAnsi="Arial"/>
          <w:sz w:val="21"/>
          <w:szCs w:val="21"/>
          <w:b w:val="1"/>
          <w:bCs w:val="1"/>
          <w:color w:val="auto"/>
        </w:rPr>
        <w:t xml:space="preserve"> between you and Weatherford Eurasia Limited (the "Company")</w:t>
      </w:r>
    </w:p>
    <w:p>
      <w:pPr>
        <w:spacing w:after="0" w:line="240" w:lineRule="exact"/>
        <w:rPr>
          <w:sz w:val="20"/>
          <w:szCs w:val="20"/>
          <w:color w:val="auto"/>
        </w:rPr>
      </w:pPr>
    </w:p>
    <w:p>
      <w:pPr>
        <w:jc w:val="both"/>
        <w:ind w:left="660" w:hanging="652"/>
        <w:spacing w:after="0" w:line="255" w:lineRule="auto"/>
        <w:tabs>
          <w:tab w:leader="none" w:pos="66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 xml:space="preserve">We give notice that, by a deed of charge and assignment dated [●] (the </w:t>
      </w:r>
      <w:r>
        <w:rPr>
          <w:rFonts w:ascii="Arial" w:cs="Arial" w:eastAsia="Arial" w:hAnsi="Arial"/>
          <w:sz w:val="18"/>
          <w:szCs w:val="18"/>
          <w:b w:val="1"/>
          <w:bCs w:val="1"/>
          <w:color w:val="auto"/>
        </w:rPr>
        <w:t>"Deed"</w:t>
      </w:r>
      <w:r>
        <w:rPr>
          <w:rFonts w:ascii="Arial" w:cs="Arial" w:eastAsia="Arial" w:hAnsi="Arial"/>
          <w:sz w:val="18"/>
          <w:szCs w:val="18"/>
          <w:color w:val="auto"/>
        </w:rPr>
        <w:t xml:space="preserve">), we have assigned to Deutsche Bank Trust Company Americas (the </w:t>
      </w:r>
      <w:r>
        <w:rPr>
          <w:rFonts w:ascii="Arial" w:cs="Arial" w:eastAsia="Arial" w:hAnsi="Arial"/>
          <w:sz w:val="18"/>
          <w:szCs w:val="18"/>
          <w:b w:val="1"/>
          <w:bCs w:val="1"/>
          <w:color w:val="auto"/>
        </w:rPr>
        <w:t>"Collateral Agent"</w:t>
      </w:r>
      <w:r>
        <w:rPr>
          <w:rFonts w:ascii="Arial" w:cs="Arial" w:eastAsia="Arial" w:hAnsi="Arial"/>
          <w:sz w:val="18"/>
          <w:szCs w:val="18"/>
          <w:color w:val="auto"/>
        </w:rPr>
        <w:t>) as Collateral Agent for certain banks and others all our present and future right, title and interest in and to [</w:t>
      </w:r>
      <w:r>
        <w:rPr>
          <w:rFonts w:ascii="Arial" w:cs="Arial" w:eastAsia="Arial" w:hAnsi="Arial"/>
          <w:sz w:val="18"/>
          <w:szCs w:val="18"/>
          <w:i w:val="1"/>
          <w:iCs w:val="1"/>
          <w:color w:val="auto"/>
        </w:rPr>
        <w:t>insert details</w:t>
      </w:r>
      <w:r>
        <w:rPr>
          <w:rFonts w:ascii="Arial" w:cs="Arial" w:eastAsia="Arial" w:hAnsi="Arial"/>
          <w:sz w:val="18"/>
          <w:szCs w:val="18"/>
          <w:color w:val="auto"/>
        </w:rPr>
        <w:t xml:space="preserve"> </w:t>
      </w:r>
      <w:r>
        <w:rPr>
          <w:rFonts w:ascii="Arial" w:cs="Arial" w:eastAsia="Arial" w:hAnsi="Arial"/>
          <w:sz w:val="18"/>
          <w:szCs w:val="18"/>
          <w:i w:val="1"/>
          <w:iCs w:val="1"/>
          <w:color w:val="auto"/>
        </w:rPr>
        <w:t>of Assigned Agreement</w:t>
      </w:r>
      <w:r>
        <w:rPr>
          <w:rFonts w:ascii="Arial" w:cs="Arial" w:eastAsia="Arial" w:hAnsi="Arial"/>
          <w:sz w:val="18"/>
          <w:szCs w:val="18"/>
          <w:color w:val="auto"/>
        </w:rPr>
        <w:t>] (together with any other agreement supplementing or amending the same,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including all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in connection with the Agreement and all proceeds and claims arising from the Agreement. This charge and assignment is subject, and without prejudice, to the charge and assignment to the Collateral Agent of all our right, title and interest in the Agreement pursuant to the ABL deed of charge and assignment dated [5] December 2019, notice of which was given to you by a notice dated [●] (the “</w:t>
      </w:r>
      <w:r>
        <w:rPr>
          <w:rFonts w:ascii="Arial" w:cs="Arial" w:eastAsia="Arial" w:hAnsi="Arial"/>
          <w:sz w:val="18"/>
          <w:szCs w:val="18"/>
          <w:b w:val="1"/>
          <w:bCs w:val="1"/>
          <w:color w:val="auto"/>
        </w:rPr>
        <w:t>ABL Deed of Charge and</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 Notice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an Enforcement Event (as defined in the Deed) has occurred (but not at any other time) the Company instructs you:</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to disclose to the Collateral Agent at our expense (without any reference to or further authority from us and without any enquiry by you as to the justification for such disclosure), such information relating to the Agreement as the Collateral Agent may from time to time request;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to hold all sums from time to time due and payable by you to us under the Agreement to the order of the Collateral Agent;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to pay or release all or any part of the sums from time to time due and payable by you to us under the Agreement only in accordance with the written instructions given to you by the Collateral Agent from time to time;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to comply with any written notice or instructions in any way relating to, or purporting to relate to, the Deed or the Agreement or the debts represented thereby which you receive at any time from the Collateral Agent without any reference to or further authority from us and without any enquiry by you as to the justification for or validity of such notice or instruction;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to send copies of all notices and other information given or received under the Agreement to the Collateral Agent.</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You may continue to deal with us in relation to the Agreement until you review a written notice from the Collateral Agent specifying that an Enforcement Event (as defined in the Deed) has occurred. Following the receipt by you of such a written notice, we are not permitted to receive from you, otherwise than through the Collateral Agent, any amount in respect of or on account of the sums payable to us from time to time under the Agreement or to agree any amendment or supplement to, or waive any obligation under, the Agreement without the prior written consent of the Collateral Agent.</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This notice may only be revoked or amended with the prior written consent of the Collateral Agent.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Please confirm by completing the enclosed copy of this notice and returning it to the Collateral Agent (with a copy to us) that you agree to the above and that: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you accept the instructions and authorisations contained in this notice and you undertake to comply with this notice; and</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739"/>
        </w:numPr>
        <w:rPr>
          <w:rFonts w:ascii="Arial" w:cs="Arial" w:eastAsia="Arial" w:hAnsi="Arial"/>
          <w:sz w:val="17"/>
          <w:szCs w:val="17"/>
          <w:color w:val="auto"/>
        </w:rPr>
      </w:pPr>
      <w:r>
        <w:rPr>
          <w:rFonts w:ascii="Arial" w:cs="Arial" w:eastAsia="Arial" w:hAnsi="Arial"/>
          <w:sz w:val="17"/>
          <w:szCs w:val="17"/>
          <w:color w:val="auto"/>
        </w:rPr>
        <w:t>except for the ABL Deed of Charge and Assignment Notice, you have not, at the date this notice is returned to the Collateral Agent, received notice of the assignment or charge, the grant of any security or the existence of any other interest of any third party in or to the Agreement or any proceeds of it and you will notify the Collateral Agent promptly if you should do so in future.</w:t>
      </w:r>
    </w:p>
    <w:p>
      <w:pPr>
        <w:spacing w:after="0" w:line="16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This notice, and any acknowledgement in connection with it, and any non-contractual obligations arising out of or in connection with any of them, shall be governed by English law.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Weatherford Eurasia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2" w:name="page613"/>
    <w:bookmarkEnd w:id="612"/>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On copy</w:t>
      </w:r>
      <w:r>
        <w:rPr>
          <w:rFonts w:ascii="Arial" w:cs="Arial" w:eastAsia="Arial" w:hAnsi="Arial"/>
          <w:sz w:val="19"/>
          <w:szCs w:val="19"/>
          <w:color w:val="auto"/>
        </w:rPr>
        <w:t>]</w:t>
      </w:r>
    </w:p>
    <w:p>
      <w:pPr>
        <w:sectPr>
          <w:pgSz w:w="11900" w:h="16838" w:orient="portrait"/>
          <w:cols w:equalWidth="0" w:num="1">
            <w:col w:w="11240"/>
          </w:cols>
          <w:pgMar w:left="320" w:top="402"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Deutsche Bank Trust Company Americas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as Collateral Agent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00" w:space="540"/>
            <w:col w:w="10400"/>
          </w:cols>
          <w:pgMar w:left="320" w:top="402"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Copy to: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Weatherford Eurasia Limited</w:t>
      </w:r>
    </w:p>
    <w:p>
      <w:pPr>
        <w:spacing w:after="0" w:line="200" w:lineRule="exact"/>
        <w:rPr>
          <w:sz w:val="20"/>
          <w:szCs w:val="20"/>
          <w:color w:val="auto"/>
        </w:rPr>
      </w:pPr>
    </w:p>
    <w:p>
      <w:pPr>
        <w:sectPr>
          <w:pgSz w:w="11900" w:h="16838" w:orient="portrait"/>
          <w:cols w:equalWidth="0" w:num="2">
            <w:col w:w="760" w:space="540"/>
            <w:col w:w="9940"/>
          </w:cols>
          <w:pgMar w:left="320" w:top="402" w:right="3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Gotham Road, East Leake,</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Loughborough,</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Leicestershire LE12 6JX</w:t>
      </w:r>
    </w:p>
    <w:p>
      <w:pPr>
        <w:sectPr>
          <w:pgSz w:w="11900" w:h="16838" w:orient="portrait"/>
          <w:cols w:equalWidth="0" w:num="1">
            <w:col w:w="11240"/>
          </w:cols>
          <w:pgMar w:left="320" w:top="402" w:right="3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We acknowledge receipt of the above notice and consent and agree to its terms. We confirm and agree to the matters set out in paragraph [5] in the above notice.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relevant party</w:t>
      </w:r>
      <w:r>
        <w:rPr>
          <w:rFonts w:ascii="Arial" w:cs="Arial" w:eastAsia="Arial" w:hAnsi="Arial"/>
          <w:sz w:val="22"/>
          <w:szCs w:val="22"/>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613" w:name="page614"/>
    <w:bookmarkEnd w:id="613"/>
    <w:p>
      <w:pPr>
        <w:jc w:val="center"/>
        <w:spacing w:after="0"/>
        <w:rPr>
          <w:sz w:val="20"/>
          <w:szCs w:val="20"/>
          <w:color w:val="auto"/>
        </w:rPr>
      </w:pPr>
      <w:r>
        <w:rPr>
          <w:rFonts w:ascii="Arial" w:cs="Arial" w:eastAsia="Arial" w:hAnsi="Arial"/>
          <w:sz w:val="22"/>
          <w:szCs w:val="22"/>
          <w:b w:val="1"/>
          <w:bCs w:val="1"/>
          <w:color w:val="auto"/>
        </w:rPr>
        <w:t>SCHEDULE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CHARGE OF INSURANCE POLICIES</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insert name and address of insurance company</w:t>
      </w:r>
      <w:r>
        <w:rPr>
          <w:rFonts w:ascii="Arial" w:cs="Arial" w:eastAsia="Arial" w:hAnsi="Arial"/>
          <w:sz w:val="22"/>
          <w:szCs w:val="22"/>
          <w:color w:val="auto"/>
        </w:rPr>
        <w:t>]</w:t>
      </w:r>
    </w:p>
    <w:p>
      <w:pPr>
        <w:spacing w:after="0" w:line="233" w:lineRule="exact"/>
        <w:rPr>
          <w:sz w:val="20"/>
          <w:szCs w:val="20"/>
          <w:color w:val="auto"/>
        </w:rPr>
      </w:pPr>
    </w:p>
    <w:p>
      <w:pPr>
        <w:jc w:val="both"/>
        <w:ind w:left="9860"/>
        <w:spacing w:after="0"/>
        <w:tabs>
          <w:tab w:leader="none" w:pos="10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here identify the relevant insurance policy</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ies</w:t>
      </w:r>
      <w:r>
        <w:rPr>
          <w:rFonts w:ascii="Arial" w:cs="Arial" w:eastAsia="Arial" w:hAnsi="Arial"/>
          <w:sz w:val="22"/>
          <w:szCs w:val="22"/>
          <w:b w:val="1"/>
          <w:bCs w:val="1"/>
          <w:color w:val="auto"/>
        </w:rPr>
        <w:t>)</w:t>
      </w:r>
      <w:r>
        <w:rPr>
          <w:rFonts w:ascii="Arial" w:cs="Arial" w:eastAsia="Arial" w:hAnsi="Arial"/>
          <w:sz w:val="22"/>
          <w:szCs w:val="22"/>
          <w:color w:val="auto"/>
        </w:rPr>
        <w:t>] (the "</w:t>
      </w:r>
      <w:r>
        <w:rPr>
          <w:rFonts w:ascii="Arial" w:cs="Arial" w:eastAsia="Arial" w:hAnsi="Arial"/>
          <w:sz w:val="22"/>
          <w:szCs w:val="22"/>
          <w:b w:val="1"/>
          <w:bCs w:val="1"/>
          <w:color w:val="auto"/>
        </w:rPr>
        <w:t>Policies</w:t>
      </w:r>
      <w:r>
        <w:rPr>
          <w:rFonts w:ascii="Arial" w:cs="Arial" w:eastAsia="Arial" w:hAnsi="Arial"/>
          <w:sz w:val="22"/>
          <w:szCs w:val="22"/>
          <w:color w:val="auto"/>
        </w:rPr>
        <w:t>")</w:t>
      </w:r>
    </w:p>
    <w:p>
      <w:pPr>
        <w:spacing w:after="0" w:line="233"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We notify you that, Weatherford Eurasia Limited (the "</w:t>
      </w:r>
      <w:r>
        <w:rPr>
          <w:rFonts w:ascii="Arial" w:cs="Arial" w:eastAsia="Arial" w:hAnsi="Arial"/>
          <w:sz w:val="19"/>
          <w:szCs w:val="19"/>
          <w:b w:val="1"/>
          <w:bCs w:val="1"/>
          <w:color w:val="auto"/>
        </w:rPr>
        <w:t>Company</w:t>
      </w:r>
      <w:r>
        <w:rPr>
          <w:rFonts w:ascii="Arial" w:cs="Arial" w:eastAsia="Arial" w:hAnsi="Arial"/>
          <w:sz w:val="19"/>
          <w:szCs w:val="19"/>
          <w:color w:val="auto"/>
        </w:rPr>
        <w:t>") has assigned to Deutsche Bank Trust Company Americas (the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benefit of itself and certain other banks and financial institutions (the "</w:t>
      </w:r>
      <w:r>
        <w:rPr>
          <w:rFonts w:ascii="Arial" w:cs="Arial" w:eastAsia="Arial" w:hAnsi="Arial"/>
          <w:sz w:val="19"/>
          <w:szCs w:val="19"/>
          <w:b w:val="1"/>
          <w:bCs w:val="1"/>
          <w:color w:val="auto"/>
        </w:rPr>
        <w:t>Secured Parties</w:t>
      </w:r>
      <w:r>
        <w:rPr>
          <w:rFonts w:ascii="Arial" w:cs="Arial" w:eastAsia="Arial" w:hAnsi="Arial"/>
          <w:sz w:val="19"/>
          <w:szCs w:val="19"/>
          <w:color w:val="auto"/>
        </w:rPr>
        <w:t>") all its right, title and interest in the Policies as security for certain obligations owed by the Company to the Secured Parties by way of a deed of charge and assignment dated [●] (the "</w:t>
      </w:r>
      <w:r>
        <w:rPr>
          <w:rFonts w:ascii="Arial" w:cs="Arial" w:eastAsia="Arial" w:hAnsi="Arial"/>
          <w:sz w:val="19"/>
          <w:szCs w:val="19"/>
          <w:b w:val="1"/>
          <w:bCs w:val="1"/>
          <w:color w:val="auto"/>
        </w:rPr>
        <w:t>Deed</w:t>
      </w:r>
      <w:r>
        <w:rPr>
          <w:rFonts w:ascii="Arial" w:cs="Arial" w:eastAsia="Arial" w:hAnsi="Arial"/>
          <w:sz w:val="19"/>
          <w:szCs w:val="19"/>
          <w:color w:val="auto"/>
        </w:rPr>
        <w:t>"). This assignment is subject, and without prejudice, to the assignment to the Collateral Agent of all our right, title and interest in the Policies pursuant to the ABL deed of charge and assignment dated [5] December 2019, notice of which was given to you by a notice dated [●] (the “</w:t>
      </w:r>
      <w:r>
        <w:rPr>
          <w:rFonts w:ascii="Arial" w:cs="Arial" w:eastAsia="Arial" w:hAnsi="Arial"/>
          <w:sz w:val="19"/>
          <w:szCs w:val="19"/>
          <w:b w:val="1"/>
          <w:bCs w:val="1"/>
          <w:color w:val="auto"/>
        </w:rPr>
        <w:t>ABL Deed of Charge and Assignment Notice</w:t>
      </w:r>
      <w:r>
        <w:rPr>
          <w:rFonts w:ascii="Arial" w:cs="Arial" w:eastAsia="Arial" w:hAnsi="Arial"/>
          <w:sz w:val="19"/>
          <w:szCs w:val="19"/>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We further notify you that:</w:t>
      </w:r>
    </w:p>
    <w:p>
      <w:pPr>
        <w:spacing w:after="0" w:line="227" w:lineRule="exact"/>
        <w:rPr>
          <w:sz w:val="20"/>
          <w:szCs w:val="20"/>
          <w:color w:val="auto"/>
        </w:rPr>
      </w:pPr>
    </w:p>
    <w:p>
      <w:pPr>
        <w:jc w:val="both"/>
        <w:ind w:left="660" w:hanging="652"/>
        <w:spacing w:after="0" w:line="263" w:lineRule="auto"/>
        <w:tabs>
          <w:tab w:leader="none" w:pos="66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Prior to receipt by you of a written notice from the Collateral Agent specifying that an Enforcement Event (as defined in the Deed) has occurred, the Company will continue to have the sole right to deal with you in relation to the Policies (including any amendment, waiver or termination thereof or any claims thereunder).</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 Enforcement Event has occurred (but not at any other time) the Company irrevocably authorises you:</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to pay all monies to which the Company is entitled under the Policies direct to the Collateral Agent (or as it may direct) promptly following receipt of written instructions from the Collateral Agent to that effect;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Policies which the Collateral Agent may from time to time request in writing.</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written consent of the Collateral Agent and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40"/>
        </w:numPr>
        <w:rPr>
          <w:rFonts w:ascii="Arial" w:cs="Arial" w:eastAsia="Arial" w:hAnsi="Arial"/>
          <w:sz w:val="17"/>
          <w:szCs w:val="17"/>
          <w:color w:val="auto"/>
        </w:rPr>
      </w:pPr>
      <w:r>
        <w:rPr>
          <w:rFonts w:ascii="Arial" w:cs="Arial" w:eastAsia="Arial" w:hAnsi="Arial"/>
          <w:sz w:val="17"/>
          <w:szCs w:val="17"/>
          <w:color w:val="auto"/>
        </w:rPr>
        <w:t>Please sign and return the enclosed copy of this notice to the Collateral Agent (with a copy to the Company) by way of confirmation that:</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you agree to act in accordance with the provisions of this notice;</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except for the ABL Deed of Charge and Assignment Notice, you have not previously received notice (other than notices which were subsequently irrevocably withdrawn) that the Company has assigned its rights under the Policies to a third party or created any other interest (whether by way of security or otherwise) in the Policies in favour of a third party; and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you have not claimed or exercised nor do you have any outstanding right to claim or exercise against the Company, any right of set off, counter claim or other right relating to the Policies.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provisions of this notice are governed by English law.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Weatherford Eurasia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14" w:name="page615"/>
    <w:bookmarkEnd w:id="614"/>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On acknowledgement copy</w:t>
      </w:r>
      <w:r>
        <w:rPr>
          <w:rFonts w:ascii="Arial" w:cs="Arial" w:eastAsia="Arial" w:hAnsi="Arial"/>
          <w:sz w:val="19"/>
          <w:szCs w:val="19"/>
          <w:color w:val="auto"/>
        </w:rPr>
        <w:t>]</w:t>
      </w:r>
    </w:p>
    <w:p>
      <w:pPr>
        <w:sectPr>
          <w:pgSz w:w="11900" w:h="16838" w:orient="portrait"/>
          <w:cols w:equalWidth="0" w:num="1">
            <w:col w:w="10139"/>
          </w:cols>
          <w:pgMar w:left="320" w:top="402"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Deutsche Bank Trust Company Americas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as Collateral Agent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300" w:space="540"/>
            <w:col w:w="9299"/>
          </w:cols>
          <w:pgMar w:left="320" w:top="402"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Copy to: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Weatherford Eurasia Limited</w:t>
      </w:r>
    </w:p>
    <w:p>
      <w:pPr>
        <w:spacing w:after="0" w:line="200" w:lineRule="exact"/>
        <w:rPr>
          <w:sz w:val="20"/>
          <w:szCs w:val="20"/>
          <w:color w:val="auto"/>
        </w:rPr>
      </w:pPr>
    </w:p>
    <w:p>
      <w:pPr>
        <w:sectPr>
          <w:pgSz w:w="11900" w:h="16838" w:orient="portrait"/>
          <w:cols w:equalWidth="0" w:num="2">
            <w:col w:w="760" w:space="540"/>
            <w:col w:w="8839"/>
          </w:cols>
          <w:pgMar w:left="320" w:top="402" w:right="1440"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Gotham Road, East Leake,</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Loughborough,</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Leicestershire LE12 6JX</w:t>
      </w:r>
    </w:p>
    <w:p>
      <w:pPr>
        <w:sectPr>
          <w:pgSz w:w="11900" w:h="16838" w:orient="portrait"/>
          <w:cols w:equalWidth="0" w:num="1">
            <w:col w:w="10139"/>
          </w:cols>
          <w:pgMar w:left="320" w:top="402" w:right="1440"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We acknowledge receipt of the above notice and confirm the matters set out in paragraphs 4(a) to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Insert name of insurance company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type w:val="continuous"/>
        </w:sectPr>
      </w:pPr>
    </w:p>
    <w:bookmarkStart w:id="615" w:name="page616"/>
    <w:bookmarkEnd w:id="615"/>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DATED _________________,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EURASIA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Mortgagor)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TRUST COMPANY AMERICAS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EQUITABLE SHARE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i w:val="1"/>
          <w:iCs w:val="1"/>
          <w:color w:val="auto"/>
        </w:rPr>
        <w:t>This Equitable Share Mortgage is entered into subject to the terms of the Intercreditor Agreement dated on or about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149860</wp:posOffset>
            </wp:positionV>
            <wp:extent cx="1200150" cy="50546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00150" cy="50546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6" w:name="page617"/>
    <w:bookmarkEnd w:id="616"/>
    <w:tbl>
      <w:tblPr>
        <w:tblLayout w:type="fixed"/>
        <w:tblInd w:w="0" w:type="dxa"/>
        <w:tblCellMar>
          <w:top w:w="0" w:type="dxa"/>
          <w:left w:w="0" w:type="dxa"/>
          <w:bottom w:w="0" w:type="dxa"/>
          <w:right w:w="0" w:type="dxa"/>
        </w:tblCellMar>
      </w:tblPr>
      <w:tr>
        <w:trPr>
          <w:trHeight w:val="280"/>
        </w:trPr>
        <w:tc>
          <w:tcPr>
            <w:tcW w:w="840" w:type="dxa"/>
            <w:vAlign w:val="bottom"/>
          </w:tcPr>
          <w:p>
            <w:pPr>
              <w:spacing w:after="0"/>
              <w:rPr>
                <w:sz w:val="24"/>
                <w:szCs w:val="24"/>
                <w:color w:val="auto"/>
              </w:rPr>
            </w:pPr>
          </w:p>
        </w:tc>
        <w:tc>
          <w:tcPr>
            <w:tcW w:w="8000" w:type="dxa"/>
            <w:vAlign w:val="bottom"/>
          </w:tcPr>
          <w:p>
            <w:pPr>
              <w:ind w:left="4180"/>
              <w:spacing w:after="0"/>
              <w:rPr>
                <w:sz w:val="20"/>
                <w:szCs w:val="20"/>
                <w:color w:val="auto"/>
              </w:rPr>
            </w:pPr>
            <w:r>
              <w:rPr>
                <w:rFonts w:ascii="Arial" w:cs="Arial" w:eastAsia="Arial" w:hAnsi="Arial"/>
                <w:sz w:val="22"/>
                <w:szCs w:val="22"/>
                <w:b w:val="1"/>
                <w:bCs w:val="1"/>
                <w:color w:val="auto"/>
              </w:rPr>
              <w:t>CONTENTS</w:t>
            </w:r>
          </w:p>
        </w:tc>
        <w:tc>
          <w:tcPr>
            <w:tcW w:w="2400" w:type="dxa"/>
            <w:vAlign w:val="bottom"/>
          </w:tcPr>
          <w:p>
            <w:pPr>
              <w:spacing w:after="0"/>
              <w:rPr>
                <w:sz w:val="24"/>
                <w:szCs w:val="24"/>
                <w:color w:val="auto"/>
              </w:rPr>
            </w:pPr>
          </w:p>
        </w:tc>
      </w:tr>
      <w:tr>
        <w:trPr>
          <w:trHeight w:val="705"/>
        </w:trPr>
        <w:tc>
          <w:tcPr>
            <w:tcW w:w="84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80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DEFINITIONS AND INTERPRETATION</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000" w:type="dxa"/>
            <w:vAlign w:val="bottom"/>
          </w:tcPr>
          <w:p>
            <w:pPr>
              <w:ind w:left="300"/>
              <w:spacing w:after="0"/>
              <w:rPr>
                <w:sz w:val="20"/>
                <w:szCs w:val="20"/>
                <w:color w:val="auto"/>
              </w:rPr>
            </w:pPr>
            <w:r>
              <w:rPr>
                <w:rFonts w:ascii="Arial" w:cs="Arial" w:eastAsia="Arial" w:hAnsi="Arial"/>
                <w:sz w:val="18"/>
                <w:szCs w:val="18"/>
                <w:color w:val="auto"/>
              </w:rPr>
              <w:t>TRUST</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3.</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INTERCREDITOR AGREEMENT</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8000" w:type="dxa"/>
            <w:vAlign w:val="bottom"/>
          </w:tcPr>
          <w:p>
            <w:pPr>
              <w:ind w:left="300"/>
              <w:spacing w:after="0"/>
              <w:rPr>
                <w:sz w:val="20"/>
                <w:szCs w:val="20"/>
                <w:color w:val="auto"/>
              </w:rPr>
            </w:pPr>
            <w:r>
              <w:rPr>
                <w:rFonts w:ascii="Arial" w:cs="Arial" w:eastAsia="Arial" w:hAnsi="Arial"/>
                <w:sz w:val="18"/>
                <w:szCs w:val="18"/>
                <w:color w:val="auto"/>
              </w:rPr>
              <w:t>ABL EQUITABLE SHARE MORTGAGE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5.</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COVENANT TO PAY</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6.</w:t>
            </w:r>
          </w:p>
        </w:tc>
        <w:tc>
          <w:tcPr>
            <w:tcW w:w="8000" w:type="dxa"/>
            <w:vAlign w:val="bottom"/>
          </w:tcPr>
          <w:p>
            <w:pPr>
              <w:ind w:left="300"/>
              <w:spacing w:after="0"/>
              <w:rPr>
                <w:sz w:val="20"/>
                <w:szCs w:val="20"/>
                <w:color w:val="auto"/>
              </w:rPr>
            </w:pPr>
            <w:r>
              <w:rPr>
                <w:rFonts w:ascii="Arial" w:cs="Arial" w:eastAsia="Arial" w:hAnsi="Arial"/>
                <w:sz w:val="18"/>
                <w:szCs w:val="18"/>
                <w:color w:val="auto"/>
              </w:rPr>
              <w:t>CREATION OF SECURITY</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7.</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COVENANT TO DEPOSIT</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8.</w:t>
            </w:r>
          </w:p>
        </w:tc>
        <w:tc>
          <w:tcPr>
            <w:tcW w:w="8000" w:type="dxa"/>
            <w:vAlign w:val="bottom"/>
          </w:tcPr>
          <w:p>
            <w:pPr>
              <w:ind w:left="300"/>
              <w:spacing w:after="0"/>
              <w:rPr>
                <w:sz w:val="20"/>
                <w:szCs w:val="20"/>
                <w:color w:val="auto"/>
              </w:rPr>
            </w:pPr>
            <w:r>
              <w:rPr>
                <w:rFonts w:ascii="Arial" w:cs="Arial" w:eastAsia="Arial" w:hAnsi="Arial"/>
                <w:sz w:val="18"/>
                <w:szCs w:val="18"/>
                <w:color w:val="auto"/>
              </w:rPr>
              <w:t>FURTHER ASSURANCE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9.</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VOTING RIGHTS AND DIVIDENDS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w:t>
            </w:r>
          </w:p>
        </w:tc>
        <w:tc>
          <w:tcPr>
            <w:tcW w:w="800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11.</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RESTRICTIONS ON DEALINGS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8000" w:type="dxa"/>
            <w:vAlign w:val="bottom"/>
          </w:tcPr>
          <w:p>
            <w:pPr>
              <w:ind w:left="300"/>
              <w:spacing w:after="0"/>
              <w:rPr>
                <w:sz w:val="20"/>
                <w:szCs w:val="20"/>
                <w:color w:val="auto"/>
              </w:rPr>
            </w:pPr>
            <w:r>
              <w:rPr>
                <w:rFonts w:ascii="Arial" w:cs="Arial" w:eastAsia="Arial" w:hAnsi="Arial"/>
                <w:sz w:val="18"/>
                <w:szCs w:val="18"/>
                <w:color w:val="auto"/>
              </w:rPr>
              <w:t>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13.</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POWER OF ATTORNEY</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8000" w:type="dxa"/>
            <w:vAlign w:val="bottom"/>
          </w:tcPr>
          <w:p>
            <w:pPr>
              <w:ind w:left="300"/>
              <w:spacing w:after="0"/>
              <w:rPr>
                <w:sz w:val="20"/>
                <w:szCs w:val="20"/>
                <w:color w:val="auto"/>
              </w:rPr>
            </w:pPr>
            <w:r>
              <w:rPr>
                <w:rFonts w:ascii="Arial" w:cs="Arial" w:eastAsia="Arial" w:hAnsi="Arial"/>
                <w:sz w:val="18"/>
                <w:szCs w:val="18"/>
                <w:color w:val="auto"/>
              </w:rPr>
              <w:t>ENFORCEMENT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15.</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APPOINTMENT OF RECEIVERS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16.</w:t>
            </w:r>
          </w:p>
        </w:tc>
        <w:tc>
          <w:tcPr>
            <w:tcW w:w="8000" w:type="dxa"/>
            <w:vAlign w:val="bottom"/>
          </w:tcPr>
          <w:p>
            <w:pPr>
              <w:ind w:left="300"/>
              <w:spacing w:after="0"/>
              <w:rPr>
                <w:sz w:val="20"/>
                <w:szCs w:val="20"/>
                <w:color w:val="auto"/>
              </w:rPr>
            </w:pPr>
            <w:r>
              <w:rPr>
                <w:rFonts w:ascii="Arial" w:cs="Arial" w:eastAsia="Arial" w:hAnsi="Arial"/>
                <w:sz w:val="18"/>
                <w:szCs w:val="18"/>
                <w:color w:val="auto"/>
              </w:rPr>
              <w:t>RIGHTS OF RECEIVERS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17.</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RIGHTS OF COLLATERAL AGENT AND SECURED PARTIES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18.</w:t>
            </w:r>
          </w:p>
        </w:tc>
        <w:tc>
          <w:tcPr>
            <w:tcW w:w="8000" w:type="dxa"/>
            <w:vAlign w:val="bottom"/>
          </w:tcPr>
          <w:p>
            <w:pPr>
              <w:ind w:left="300"/>
              <w:spacing w:after="0"/>
              <w:rPr>
                <w:sz w:val="20"/>
                <w:szCs w:val="20"/>
                <w:color w:val="auto"/>
              </w:rPr>
            </w:pPr>
            <w:r>
              <w:rPr>
                <w:rFonts w:ascii="Arial" w:cs="Arial" w:eastAsia="Arial" w:hAnsi="Arial"/>
                <w:sz w:val="18"/>
                <w:szCs w:val="18"/>
                <w:color w:val="auto"/>
              </w:rPr>
              <w:t>APPLICATION OF MONEYS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19.</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LIABILITY OF COLLATERAL AGENT, RECEIVER AND DELEGATES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w:t>
            </w:r>
          </w:p>
        </w:tc>
        <w:tc>
          <w:tcPr>
            <w:tcW w:w="8000" w:type="dxa"/>
            <w:vAlign w:val="bottom"/>
          </w:tcPr>
          <w:p>
            <w:pPr>
              <w:ind w:left="300"/>
              <w:spacing w:after="0"/>
              <w:rPr>
                <w:sz w:val="20"/>
                <w:szCs w:val="20"/>
                <w:color w:val="auto"/>
              </w:rPr>
            </w:pPr>
            <w:r>
              <w:rPr>
                <w:rFonts w:ascii="Arial" w:cs="Arial" w:eastAsia="Arial" w:hAnsi="Arial"/>
                <w:sz w:val="18"/>
                <w:szCs w:val="18"/>
                <w:color w:val="auto"/>
              </w:rPr>
              <w:t>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21.</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PROTECTION OF THIRD PARTIES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8000" w:type="dxa"/>
            <w:vAlign w:val="bottom"/>
          </w:tcPr>
          <w:p>
            <w:pPr>
              <w:ind w:left="300"/>
              <w:spacing w:after="0"/>
              <w:rPr>
                <w:sz w:val="20"/>
                <w:szCs w:val="20"/>
                <w:color w:val="auto"/>
              </w:rPr>
            </w:pPr>
            <w:r>
              <w:rPr>
                <w:rFonts w:ascii="Arial" w:cs="Arial" w:eastAsia="Arial" w:hAnsi="Arial"/>
                <w:sz w:val="18"/>
                <w:szCs w:val="18"/>
                <w:color w:val="auto"/>
              </w:rPr>
              <w:t>SECURITY CONTINUING, CUMULATIVE AND NOT TO BE AFFECTED</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23.</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CERTIFICATE CONCLUSIVE, ETC</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8000" w:type="dxa"/>
            <w:vAlign w:val="bottom"/>
          </w:tcPr>
          <w:p>
            <w:pPr>
              <w:ind w:left="300"/>
              <w:spacing w:after="0"/>
              <w:rPr>
                <w:sz w:val="20"/>
                <w:szCs w:val="20"/>
                <w:color w:val="auto"/>
              </w:rPr>
            </w:pPr>
            <w:r>
              <w:rPr>
                <w:rFonts w:ascii="Arial" w:cs="Arial" w:eastAsia="Arial" w:hAnsi="Arial"/>
                <w:sz w:val="18"/>
                <w:szCs w:val="18"/>
                <w:color w:val="auto"/>
              </w:rPr>
              <w:t>NO SET-OFF BY MORTGAGOR</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25.</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COSTS AND EXPENSES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26.</w:t>
            </w:r>
          </w:p>
        </w:tc>
        <w:tc>
          <w:tcPr>
            <w:tcW w:w="8000" w:type="dxa"/>
            <w:vAlign w:val="bottom"/>
          </w:tcPr>
          <w:p>
            <w:pPr>
              <w:ind w:left="300"/>
              <w:spacing w:after="0"/>
              <w:rPr>
                <w:sz w:val="20"/>
                <w:szCs w:val="20"/>
                <w:color w:val="auto"/>
              </w:rPr>
            </w:pPr>
            <w:r>
              <w:rPr>
                <w:rFonts w:ascii="Arial" w:cs="Arial" w:eastAsia="Arial" w:hAnsi="Arial"/>
                <w:sz w:val="18"/>
                <w:szCs w:val="18"/>
                <w:color w:val="auto"/>
              </w:rPr>
              <w:t>RELEASE OF SECURITY</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27.</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MISCELLANEOUS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28.</w:t>
            </w:r>
          </w:p>
        </w:tc>
        <w:tc>
          <w:tcPr>
            <w:tcW w:w="8000" w:type="dxa"/>
            <w:vAlign w:val="bottom"/>
          </w:tcPr>
          <w:p>
            <w:pPr>
              <w:ind w:left="300"/>
              <w:spacing w:after="0"/>
              <w:rPr>
                <w:sz w:val="20"/>
                <w:szCs w:val="20"/>
                <w:color w:val="auto"/>
              </w:rPr>
            </w:pPr>
            <w:r>
              <w:rPr>
                <w:rFonts w:ascii="Arial" w:cs="Arial" w:eastAsia="Arial" w:hAnsi="Arial"/>
                <w:sz w:val="18"/>
                <w:szCs w:val="18"/>
                <w:color w:val="auto"/>
              </w:rPr>
              <w:t>ASSIGNMENT, ETC</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shd w:val="clear" w:color="auto" w:fill="C6F4F9"/>
          </w:tcPr>
          <w:p>
            <w:pPr>
              <w:spacing w:after="0"/>
              <w:rPr>
                <w:sz w:val="20"/>
                <w:szCs w:val="20"/>
                <w:color w:val="auto"/>
              </w:rPr>
            </w:pPr>
            <w:r>
              <w:rPr>
                <w:rFonts w:ascii="Arial" w:cs="Arial" w:eastAsia="Arial" w:hAnsi="Arial"/>
                <w:sz w:val="18"/>
                <w:szCs w:val="18"/>
                <w:color w:val="auto"/>
              </w:rPr>
              <w:t>29.</w:t>
            </w:r>
          </w:p>
        </w:tc>
        <w:tc>
          <w:tcPr>
            <w:tcW w:w="8000" w:type="dxa"/>
            <w:vAlign w:val="bottom"/>
            <w:shd w:val="clear" w:color="auto" w:fill="C6F4F9"/>
          </w:tcPr>
          <w:p>
            <w:pPr>
              <w:ind w:left="300"/>
              <w:spacing w:after="0"/>
              <w:rPr>
                <w:sz w:val="20"/>
                <w:szCs w:val="20"/>
                <w:color w:val="auto"/>
              </w:rPr>
            </w:pPr>
            <w:r>
              <w:rPr>
                <w:rFonts w:ascii="Arial" w:cs="Arial" w:eastAsia="Arial" w:hAnsi="Arial"/>
                <w:sz w:val="18"/>
                <w:szCs w:val="18"/>
                <w:color w:val="auto"/>
              </w:rPr>
              <w:t>NOTICES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30.</w:t>
            </w:r>
          </w:p>
        </w:tc>
        <w:tc>
          <w:tcPr>
            <w:tcW w:w="8000" w:type="dxa"/>
            <w:vAlign w:val="bottom"/>
          </w:tcPr>
          <w:p>
            <w:pPr>
              <w:ind w:left="300"/>
              <w:spacing w:after="0"/>
              <w:rPr>
                <w:sz w:val="20"/>
                <w:szCs w:val="20"/>
                <w:color w:val="auto"/>
              </w:rPr>
            </w:pPr>
            <w:r>
              <w:rPr>
                <w:rFonts w:ascii="Arial" w:cs="Arial" w:eastAsia="Arial" w:hAnsi="Arial"/>
                <w:sz w:val="18"/>
                <w:szCs w:val="18"/>
                <w:color w:val="auto"/>
              </w:rPr>
              <w:t>GOVERNING LAW AND JURISDICTION</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1 ORIGINAL SHARES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SCHEDULE 2 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SCHEDULE 3 COVENANTS</w:t>
            </w:r>
          </w:p>
        </w:tc>
        <w:tc>
          <w:tcPr>
            <w:tcW w:w="24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w:t>
            </w:r>
          </w:p>
        </w:tc>
      </w:tr>
      <w:tr>
        <w:trPr>
          <w:trHeight w:val="453"/>
        </w:trPr>
        <w:tc>
          <w:tcPr>
            <w:tcW w:w="8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617" w:name="page618"/>
    <w:bookmarkEnd w:id="617"/>
    <w:p>
      <w:pPr>
        <w:spacing w:after="0"/>
        <w:rPr>
          <w:sz w:val="20"/>
          <w:szCs w:val="20"/>
          <w:color w:val="auto"/>
        </w:rPr>
      </w:pPr>
      <w:r>
        <w:rPr>
          <w:rFonts w:ascii="Arial" w:cs="Arial" w:eastAsia="Arial" w:hAnsi="Arial"/>
          <w:sz w:val="22"/>
          <w:szCs w:val="22"/>
          <w:b w:val="1"/>
          <w:bCs w:val="1"/>
          <w:color w:val="auto"/>
        </w:rPr>
        <w:t xml:space="preserve">THIS DEED </w:t>
      </w:r>
      <w:r>
        <w:rPr>
          <w:rFonts w:ascii="Arial" w:cs="Arial" w:eastAsia="Arial" w:hAnsi="Arial"/>
          <w:sz w:val="22"/>
          <w:szCs w:val="22"/>
          <w:color w:val="auto"/>
        </w:rPr>
        <w:t>is made on _______________,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9" w:lineRule="exact"/>
        <w:rPr>
          <w:sz w:val="20"/>
          <w:szCs w:val="20"/>
          <w:color w:val="auto"/>
        </w:rPr>
      </w:pPr>
    </w:p>
    <w:p>
      <w:pPr>
        <w:ind w:left="660" w:hanging="652"/>
        <w:spacing w:after="0" w:line="312" w:lineRule="auto"/>
        <w:tabs>
          <w:tab w:leader="none" w:pos="660" w:val="left"/>
        </w:tabs>
        <w:numPr>
          <w:ilvl w:val="0"/>
          <w:numId w:val="741"/>
        </w:numPr>
        <w:rPr>
          <w:rFonts w:ascii="Arial" w:cs="Arial" w:eastAsia="Arial" w:hAnsi="Arial"/>
          <w:sz w:val="17"/>
          <w:szCs w:val="17"/>
          <w:color w:val="auto"/>
        </w:rPr>
      </w:pPr>
      <w:r>
        <w:rPr>
          <w:rFonts w:ascii="Arial" w:cs="Arial" w:eastAsia="Arial" w:hAnsi="Arial"/>
          <w:sz w:val="17"/>
          <w:szCs w:val="17"/>
          <w:b w:val="1"/>
          <w:bCs w:val="1"/>
          <w:color w:val="auto"/>
        </w:rPr>
        <w:t>WEATHERFORD EURASIA LIMITED</w:t>
      </w:r>
      <w:r>
        <w:rPr>
          <w:rFonts w:ascii="Arial" w:cs="Arial" w:eastAsia="Arial" w:hAnsi="Arial"/>
          <w:sz w:val="17"/>
          <w:szCs w:val="17"/>
          <w:color w:val="auto"/>
        </w:rPr>
        <w:t>, a limited company incorporated in England and Wales under registered number 02440463,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is at Weatherford Gotham Road, East Leake, Loughborough, Leicestershire LE12 6JX, (the "</w:t>
      </w:r>
      <w:r>
        <w:rPr>
          <w:rFonts w:ascii="Arial" w:cs="Arial" w:eastAsia="Arial" w:hAnsi="Arial"/>
          <w:sz w:val="17"/>
          <w:szCs w:val="17"/>
          <w:b w:val="1"/>
          <w:bCs w:val="1"/>
          <w:color w:val="auto"/>
        </w:rPr>
        <w:t>Mortgagor</w:t>
      </w:r>
      <w:r>
        <w:rPr>
          <w:rFonts w:ascii="Arial" w:cs="Arial" w:eastAsia="Arial" w:hAnsi="Arial"/>
          <w:sz w:val="17"/>
          <w:szCs w:val="17"/>
          <w:color w:val="auto"/>
        </w:rPr>
        <w:t>"); and</w:t>
      </w:r>
    </w:p>
    <w:p>
      <w:pPr>
        <w:spacing w:after="0" w:line="139" w:lineRule="exact"/>
        <w:rPr>
          <w:rFonts w:ascii="Arial" w:cs="Arial" w:eastAsia="Arial" w:hAnsi="Arial"/>
          <w:sz w:val="17"/>
          <w:szCs w:val="17"/>
          <w:color w:val="auto"/>
        </w:rPr>
      </w:pPr>
    </w:p>
    <w:p>
      <w:pPr>
        <w:ind w:left="660" w:hanging="652"/>
        <w:spacing w:after="0" w:line="282" w:lineRule="auto"/>
        <w:tabs>
          <w:tab w:leader="none" w:pos="660" w:val="left"/>
        </w:tabs>
        <w:numPr>
          <w:ilvl w:val="0"/>
          <w:numId w:val="741"/>
        </w:numPr>
        <w:rPr>
          <w:rFonts w:ascii="Arial" w:cs="Arial" w:eastAsia="Arial" w:hAnsi="Arial"/>
          <w:sz w:val="18"/>
          <w:szCs w:val="18"/>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3" w:lineRule="exact"/>
        <w:rPr>
          <w:sz w:val="20"/>
          <w:szCs w:val="20"/>
          <w:color w:val="auto"/>
        </w:rPr>
      </w:pPr>
    </w:p>
    <w:p>
      <w:pPr>
        <w:ind w:left="660" w:hanging="652"/>
        <w:spacing w:after="0"/>
        <w:tabs>
          <w:tab w:leader="none" w:pos="660" w:val="left"/>
        </w:tabs>
        <w:numPr>
          <w:ilvl w:val="0"/>
          <w:numId w:val="742"/>
        </w:numPr>
        <w:rPr>
          <w:rFonts w:ascii="Arial" w:cs="Arial" w:eastAsia="Arial" w:hAnsi="Arial"/>
          <w:sz w:val="17"/>
          <w:szCs w:val="17"/>
          <w:color w:val="auto"/>
        </w:rPr>
      </w:pPr>
      <w:r>
        <w:rPr>
          <w:rFonts w:ascii="Arial" w:cs="Arial" w:eastAsia="Arial" w:hAnsi="Arial"/>
          <w:sz w:val="17"/>
          <w:szCs w:val="17"/>
          <w:color w:val="auto"/>
        </w:rPr>
        <w:t>Under the Loan Agreement (as defined below) the Lenders have granted to the Borrowers a letter of credit line facility (the "</w:t>
      </w:r>
      <w:r>
        <w:rPr>
          <w:rFonts w:ascii="Arial" w:cs="Arial" w:eastAsia="Arial" w:hAnsi="Arial"/>
          <w:sz w:val="17"/>
          <w:szCs w:val="17"/>
          <w:b w:val="1"/>
          <w:bCs w:val="1"/>
          <w:i w:val="1"/>
          <w:iCs w:val="1"/>
          <w:color w:val="auto"/>
        </w:rPr>
        <w:t>Facility</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Mortgagor, have guaranteed the obligations of the Borrowers under the Loan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The Mortgagor is the direct owner of the entire issued share capital of the Company.</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Under the terms of the Loan Agreement the Mortgagor is required to execute and deliver this equitable share mortgage of the entire issued share capital of the Company in favour of the Collateral Agent for the benefit of the Secured Parties to secure the Secured Obligations (each as defined below).</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742"/>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 IS AGREED AS FOLLOWS</w:t>
      </w:r>
    </w:p>
    <w:p>
      <w:pPr>
        <w:spacing w:after="0" w:line="229" w:lineRule="exact"/>
        <w:rPr>
          <w:sz w:val="20"/>
          <w:szCs w:val="20"/>
          <w:color w:val="auto"/>
        </w:rPr>
      </w:pPr>
    </w:p>
    <w:p>
      <w:pPr>
        <w:ind w:left="660" w:hanging="652"/>
        <w:spacing w:after="0"/>
        <w:tabs>
          <w:tab w:leader="none" w:pos="660" w:val="left"/>
        </w:tabs>
        <w:numPr>
          <w:ilvl w:val="0"/>
          <w:numId w:val="743"/>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In this Deed, capitalised words and phrases used but not defined herein shall have the meanings set out in the Loan Agreement and the following words and phrases shall have the meanings set out below.</w:t>
      </w:r>
    </w:p>
    <w:p>
      <w:pPr>
        <w:spacing w:after="0" w:line="168"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Equitable Share Mortgage</w:t>
      </w:r>
      <w:r>
        <w:rPr>
          <w:rFonts w:ascii="Arial" w:cs="Arial" w:eastAsia="Arial" w:hAnsi="Arial"/>
          <w:sz w:val="22"/>
          <w:szCs w:val="22"/>
          <w:color w:val="auto"/>
        </w:rPr>
        <w:t>" means an equitable share mortgage dated on or about the date hereof between, amongst others, the Mortgagor and Wells Fargo Bank, National Association as collateral agent, granted pursuant to an asset based loan credit agreement dated on or about the date of this Deed between, amongst others, Weatherford International Ltd. and Weatherford International, LLC as borrowers, the lenders party thereto, and Wells Fargo Bank, National Association as collateral agent.</w:t>
      </w:r>
    </w:p>
    <w:p>
      <w:pPr>
        <w:spacing w:after="0" w:line="185"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bank holiday on which banks are open for business in London and New York 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means cash within the meaning of Financial Collateral Arrangements (No. 2) Regulations 2003;</w:t>
      </w:r>
    </w:p>
    <w:p>
      <w:pPr>
        <w:spacing w:after="0" w:line="233"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Reeves Wireline Technologies Limited, a company incorporated in England and Wales under registered number 00096365, whose registered office is at Gotham Road, East Leake, Loughborough, Leicestershire LE12 6JX.</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Delegate</w:t>
      </w:r>
      <w:r>
        <w:rPr>
          <w:rFonts w:ascii="Arial" w:cs="Arial" w:eastAsia="Arial" w:hAnsi="Arial"/>
          <w:sz w:val="19"/>
          <w:szCs w:val="19"/>
          <w:color w:val="auto"/>
        </w:rPr>
        <w:t>" means a delegate or a sub-delegate of the Collateral Agent or of any Receiver appointed under this Deed.</w:t>
      </w:r>
    </w:p>
    <w:p>
      <w:pPr>
        <w:spacing w:after="0" w:line="268" w:lineRule="exact"/>
        <w:rPr>
          <w:sz w:val="20"/>
          <w:szCs w:val="20"/>
          <w:color w:val="auto"/>
        </w:rPr>
      </w:pPr>
    </w:p>
    <w:p>
      <w:pPr>
        <w:jc w:val="both"/>
        <w:ind w:left="660"/>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Derived Assets</w:t>
      </w:r>
      <w:r>
        <w:rPr>
          <w:rFonts w:ascii="Arial" w:cs="Arial" w:eastAsia="Arial" w:hAnsi="Arial"/>
          <w:sz w:val="19"/>
          <w:szCs w:val="19"/>
          <w:color w:val="auto"/>
        </w:rPr>
        <w:t>" means, with respect to the Company, any Shares, rights or other property of a capital nature which accrue or are offered, issued or paid at any time (whether by way of rights, redemption, substitution, exchange, conversion, purchase, bonus, consolidation, subdivision, preference, warrant, option or otherwise) in respect of:</w:t>
      </w:r>
    </w:p>
    <w:p>
      <w:pPr>
        <w:spacing w:after="0" w:line="124" w:lineRule="exact"/>
        <w:rPr>
          <w:sz w:val="20"/>
          <w:szCs w:val="20"/>
          <w:color w:val="auto"/>
        </w:rPr>
      </w:pPr>
    </w:p>
    <w:p>
      <w:pPr>
        <w:ind w:left="1300" w:hanging="644"/>
        <w:spacing w:after="0"/>
        <w:tabs>
          <w:tab w:leader="none" w:pos="130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the Original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any Further Shares;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any Shares, rights or other property previously accruing, offered, issued or paid as mentioned in this definition,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provided, however, that "</w:t>
      </w:r>
      <w:r>
        <w:rPr>
          <w:rFonts w:ascii="Arial" w:cs="Arial" w:eastAsia="Arial" w:hAnsi="Arial"/>
          <w:sz w:val="22"/>
          <w:szCs w:val="22"/>
          <w:b w:val="1"/>
          <w:bCs w:val="1"/>
          <w:color w:val="auto"/>
        </w:rPr>
        <w:t>Derived Assets</w:t>
      </w:r>
      <w:r>
        <w:rPr>
          <w:rFonts w:ascii="Arial" w:cs="Arial" w:eastAsia="Arial" w:hAnsi="Arial"/>
          <w:sz w:val="22"/>
          <w:szCs w:val="22"/>
          <w:color w:val="auto"/>
        </w:rPr>
        <w:t>" shall not include any Excluded Assets.</w:t>
      </w:r>
    </w:p>
    <w:p>
      <w:pPr>
        <w:spacing w:after="0" w:line="233"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Disputes</w:t>
      </w:r>
      <w:r>
        <w:rPr>
          <w:rFonts w:ascii="Arial" w:cs="Arial" w:eastAsia="Arial" w:hAnsi="Arial"/>
          <w:sz w:val="22"/>
          <w:szCs w:val="22"/>
          <w:color w:val="auto"/>
        </w:rPr>
        <w:t>" means any disputes or claims which may arise out of or in connection with this Deed or the Security (including, without limitation, regarding their respective existence, validity or termination and any non-contractual obligations or liabilities arising in connection with them).</w:t>
      </w:r>
    </w:p>
    <w:p>
      <w:pPr>
        <w:spacing w:after="0" w:line="175" w:lineRule="exact"/>
        <w:rPr>
          <w:sz w:val="20"/>
          <w:szCs w:val="20"/>
          <w:color w:val="auto"/>
        </w:rPr>
      </w:pPr>
    </w:p>
    <w:p>
      <w:pPr>
        <w:jc w:val="both"/>
        <w:ind w:left="660" w:right="20"/>
        <w:spacing w:after="0" w:line="3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Dividends</w:t>
      </w:r>
      <w:r>
        <w:rPr>
          <w:rFonts w:ascii="Arial" w:cs="Arial" w:eastAsia="Arial" w:hAnsi="Arial"/>
          <w:sz w:val="19"/>
          <w:szCs w:val="19"/>
          <w:color w:val="auto"/>
        </w:rPr>
        <w:t>" means any dividends, interest and other income paid or payable in respect of the Original Shares, any Further Shares or any Derived Assets (but "</w:t>
      </w:r>
      <w:r>
        <w:rPr>
          <w:rFonts w:ascii="Arial" w:cs="Arial" w:eastAsia="Arial" w:hAnsi="Arial"/>
          <w:sz w:val="19"/>
          <w:szCs w:val="19"/>
          <w:b w:val="1"/>
          <w:bCs w:val="1"/>
          <w:color w:val="auto"/>
        </w:rPr>
        <w:t>Dividends</w:t>
      </w:r>
      <w:r>
        <w:rPr>
          <w:rFonts w:ascii="Arial" w:cs="Arial" w:eastAsia="Arial" w:hAnsi="Arial"/>
          <w:sz w:val="19"/>
          <w:szCs w:val="19"/>
          <w:color w:val="auto"/>
        </w:rPr>
        <w:t>" shall exclude, for the avoidance of doubt, any Excluded Assets).</w:t>
      </w:r>
    </w:p>
    <w:p>
      <w:pPr>
        <w:sectPr>
          <w:pgSz w:w="11900" w:h="16838" w:orient="portrait"/>
          <w:cols w:equalWidth="0" w:num="1">
            <w:col w:w="11240"/>
          </w:cols>
          <w:pgMar w:left="320" w:top="126" w:right="339" w:bottom="0" w:gutter="0" w:footer="0" w:header="0"/>
        </w:sectPr>
      </w:pPr>
    </w:p>
    <w:bookmarkStart w:id="618" w:name="page619"/>
    <w:bookmarkEnd w:id="618"/>
    <w:p>
      <w:pPr>
        <w:spacing w:after="0" w:line="121" w:lineRule="exact"/>
        <w:rPr>
          <w:sz w:val="20"/>
          <w:szCs w:val="20"/>
          <w:color w:val="auto"/>
        </w:rPr>
      </w:pPr>
    </w:p>
    <w:p>
      <w:pPr>
        <w:spacing w:after="0"/>
        <w:tabs>
          <w:tab w:leader="none" w:pos="61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Event</w:t>
      </w:r>
      <w:r>
        <w:rPr>
          <w:rFonts w:ascii="Arial" w:cs="Arial" w:eastAsia="Arial" w:hAnsi="Arial"/>
          <w:sz w:val="22"/>
          <w:szCs w:val="22"/>
          <w:color w:val="auto"/>
        </w:rPr>
        <w:t>" has the meaning set out in Clause 0 (</w:t>
      </w:r>
      <w:r>
        <w:rPr>
          <w:rFonts w:ascii="Arial" w:cs="Arial" w:eastAsia="Arial" w:hAnsi="Arial"/>
          <w:sz w:val="22"/>
          <w:szCs w:val="22"/>
          <w:i w:val="1"/>
          <w:iCs w:val="1"/>
          <w:color w:val="auto"/>
        </w:rPr>
        <w:t>14.1</w:t>
      </w:r>
      <w:r>
        <w:rPr>
          <w:sz w:val="20"/>
          <w:szCs w:val="20"/>
          <w:color w:val="auto"/>
        </w:rPr>
        <w:tab/>
      </w:r>
      <w:r>
        <w:rPr>
          <w:rFonts w:ascii="Arial" w:cs="Arial" w:eastAsia="Arial" w:hAnsi="Arial"/>
          <w:sz w:val="19"/>
          <w:szCs w:val="19"/>
          <w:b w:val="1"/>
          <w:bCs w:val="1"/>
          <w:color w:val="auto"/>
        </w:rPr>
        <w:t>Enforceability</w:t>
      </w:r>
      <w:r>
        <w:rPr>
          <w:rFonts w:ascii="Arial" w:cs="Arial" w:eastAsia="Arial" w:hAnsi="Arial"/>
          <w:sz w:val="19"/>
          <w:szCs w:val="19"/>
          <w:color w:val="auto"/>
        </w:rPr>
        <w:t>).</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Collateral</w:t>
      </w:r>
      <w:r>
        <w:rPr>
          <w:rFonts w:ascii="Arial" w:cs="Arial" w:eastAsia="Arial" w:hAnsi="Arial"/>
          <w:sz w:val="22"/>
          <w:szCs w:val="22"/>
          <w:color w:val="auto"/>
        </w:rPr>
        <w:t>" means financial collateral within the meaning of the Financial Collateral Arrangements Regulations.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Collateral Arrangements Regulations</w:t>
      </w:r>
      <w:r>
        <w:rPr>
          <w:rFonts w:ascii="Arial" w:cs="Arial" w:eastAsia="Arial" w:hAnsi="Arial"/>
          <w:sz w:val="22"/>
          <w:szCs w:val="22"/>
          <w:color w:val="auto"/>
        </w:rPr>
        <w:t>" means the Financial Collateral Arrangements (No.2) Regulations 2003, as amended.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Further Shares</w:t>
      </w:r>
      <w:r>
        <w:rPr>
          <w:rFonts w:ascii="Arial" w:cs="Arial" w:eastAsia="Arial" w:hAnsi="Arial"/>
          <w:sz w:val="22"/>
          <w:szCs w:val="22"/>
          <w:color w:val="auto"/>
        </w:rPr>
        <w:t>" means all Shares (other than the Original Shares and any Shares comprised in any Derived Assets) issued by the Company at any time after the execution of this Deed.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w:t>
      </w:r>
      <w:r>
        <w:rPr>
          <w:rFonts w:ascii="Arial" w:cs="Arial" w:eastAsia="Arial" w:hAnsi="Arial"/>
          <w:sz w:val="22"/>
          <w:szCs w:val="22"/>
          <w:color w:val="auto"/>
        </w:rPr>
        <w:t>" means an Affiliate Guaranty dated on or about the date of this Deed, between, among others, the Parent and the Collateral Agent.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Act</w:t>
      </w:r>
      <w:r>
        <w:rPr>
          <w:rFonts w:ascii="Arial" w:cs="Arial" w:eastAsia="Arial" w:hAnsi="Arial"/>
          <w:sz w:val="22"/>
          <w:szCs w:val="22"/>
          <w:color w:val="auto"/>
        </w:rPr>
        <w:t>" means the Insolvency Act 1986.</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Insolvency Event</w:t>
      </w:r>
      <w:r>
        <w:rPr>
          <w:rFonts w:ascii="Arial" w:cs="Arial" w:eastAsia="Arial" w:hAnsi="Arial"/>
          <w:sz w:val="21"/>
          <w:szCs w:val="21"/>
          <w:color w:val="auto"/>
        </w:rPr>
        <w:t>" in relation to any person, means: (a) such person is unable or admits inability to pay its debts as they fall due, suspends making payments on any of its debts or, by reason of actual or anticipated financial difficulties, commences negotiations with one or more of its creditors with a view to rescheduling any of its indebtedness (including any composition, assignment or arrangement with any creditor of such person); (b) any resolution is passed or order made for the winding up, dissolution, administration or reorganisation of that person, a moratorium is declared in relation to any indebtedness of that person or an administrator is appointed to that person (other than a solvent liquidation or reorganisation of such person on terms previously approved in writing by the Collateral Agent); (c) the appointment of any liquidator (other than a solvent liquidation or reorganisation of such person on terms previously approved in writing by the Collateral Agent), receiver, administrator, administrative receiver, compulsory manager or other similar officer in respect of that person or any of its assets; or (d) in respect of any person, any analogous procedure or step is taken in any jurisdiction.</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Intercreditor Agreement</w:t>
      </w:r>
      <w:r>
        <w:rPr>
          <w:rFonts w:ascii="Arial" w:cs="Arial" w:eastAsia="Arial" w:hAnsi="Arial"/>
          <w:sz w:val="22"/>
          <w:szCs w:val="22"/>
          <w:color w:val="auto"/>
        </w:rPr>
        <w:t>" means the intercreditor agreement, dated on or about the date of this Deed, among the Collateral Agent, Wells Fargo Bank, National Association, the Parent, Weatherford International Ltd., Weatherford International LLC, and the other grantors of the Parent named therein.</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Agreement</w:t>
      </w:r>
      <w:r>
        <w:rPr>
          <w:rFonts w:ascii="Arial" w:cs="Arial" w:eastAsia="Arial" w:hAnsi="Arial"/>
          <w:sz w:val="22"/>
          <w:szCs w:val="22"/>
          <w:color w:val="auto"/>
        </w:rPr>
        <w:t>" means the letter of credit facility agreement, between, among others, the Parent, the Collateral Agent and the Lenders, dated on or about the date of this Deed.</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w:t>
      </w:r>
      <w:r>
        <w:rPr>
          <w:rFonts w:ascii="Arial" w:cs="Arial" w:eastAsia="Arial" w:hAnsi="Arial"/>
          <w:sz w:val="22"/>
          <w:szCs w:val="22"/>
          <w:color w:val="auto"/>
        </w:rPr>
        <w:t>" means any liability, damages, claim, cost, loss, penalty, expense, demand (or actions in respect thereof) including, without limitation, all charges and fees (professional and otherwise), together with all costs, disbursements and expenses in connection therewith.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LPA</w:t>
      </w:r>
      <w:r>
        <w:rPr>
          <w:rFonts w:ascii="Arial" w:cs="Arial" w:eastAsia="Arial" w:hAnsi="Arial"/>
          <w:sz w:val="22"/>
          <w:szCs w:val="22"/>
          <w:color w:val="auto"/>
        </w:rPr>
        <w:t>" means the Law of Property Act 1925.</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Shares</w:t>
      </w:r>
      <w:r>
        <w:rPr>
          <w:rFonts w:ascii="Arial" w:cs="Arial" w:eastAsia="Arial" w:hAnsi="Arial"/>
          <w:sz w:val="21"/>
          <w:szCs w:val="21"/>
          <w:color w:val="auto"/>
        </w:rPr>
        <w:t>" means the Shares in the Company details of which are set out in Schedule 1 (</w:t>
      </w:r>
      <w:r>
        <w:rPr>
          <w:rFonts w:ascii="Arial" w:cs="Arial" w:eastAsia="Arial" w:hAnsi="Arial"/>
          <w:sz w:val="21"/>
          <w:szCs w:val="21"/>
          <w:i w:val="1"/>
          <w:iCs w:val="1"/>
          <w:color w:val="auto"/>
        </w:rPr>
        <w:t>Original Shares</w:t>
      </w:r>
      <w:r>
        <w:rPr>
          <w:rFonts w:ascii="Arial" w:cs="Arial" w:eastAsia="Arial" w:hAnsi="Arial"/>
          <w:sz w:val="21"/>
          <w:szCs w:val="21"/>
          <w:color w:val="auto"/>
        </w:rPr>
        <w:t>).</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Parent</w:t>
      </w:r>
      <w:r>
        <w:rPr>
          <w:rFonts w:ascii="Arial" w:cs="Arial" w:eastAsia="Arial" w:hAnsi="Arial"/>
          <w:sz w:val="22"/>
          <w:szCs w:val="22"/>
          <w:color w:val="auto"/>
        </w:rPr>
        <w:t>" means Weatherford International Public Limited Company, a public limited company incorporated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Republic of Ireland, with registered number 540406 whose registered office address is 70 Sir John Rogerson's Quay, Dublin 2.</w:t>
      </w:r>
    </w:p>
    <w:p>
      <w:pPr>
        <w:spacing w:after="0" w:line="175"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 in Full</w:t>
      </w:r>
      <w:r>
        <w:rPr>
          <w:rFonts w:ascii="Arial" w:cs="Arial" w:eastAsia="Arial" w:hAnsi="Arial"/>
          <w:sz w:val="19"/>
          <w:szCs w:val="19"/>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the Mortgagor) shall have been paid in full in cash.</w:t>
      </w:r>
    </w:p>
    <w:p>
      <w:pPr>
        <w:spacing w:after="0" w:line="125"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Proceedings</w:t>
      </w:r>
      <w:r>
        <w:rPr>
          <w:rFonts w:ascii="Arial" w:cs="Arial" w:eastAsia="Arial" w:hAnsi="Arial"/>
          <w:sz w:val="19"/>
          <w:szCs w:val="19"/>
          <w:color w:val="auto"/>
        </w:rPr>
        <w:t>" means any proceedings, suit or action arising out of or in connection with any Disputes or otherwise arising out of or in connection with this Deed or the Security (including, without limitation, regarding their respective existence, validity or termination and any non-contractual obligations or liabilities arising in connection with them).</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Receiver</w:t>
      </w:r>
      <w:r>
        <w:rPr>
          <w:rFonts w:ascii="Arial" w:cs="Arial" w:eastAsia="Arial" w:hAnsi="Arial"/>
          <w:sz w:val="22"/>
          <w:szCs w:val="22"/>
          <w:color w:val="auto"/>
        </w:rPr>
        <w:t>" means a receiver and manager or receiver of all or any of the Secured Assets, in each case appointed under this Deed.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Person</w:t>
      </w:r>
      <w:r>
        <w:rPr>
          <w:rFonts w:ascii="Arial" w:cs="Arial" w:eastAsia="Arial" w:hAnsi="Arial"/>
          <w:sz w:val="22"/>
          <w:szCs w:val="22"/>
          <w:color w:val="auto"/>
        </w:rPr>
        <w:t>" means each Receiver and each Delegate and each such person's respective officers, employees and agents.</w:t>
      </w:r>
    </w:p>
    <w:p>
      <w:pPr>
        <w:spacing w:after="0" w:line="162" w:lineRule="exact"/>
        <w:rPr>
          <w:sz w:val="20"/>
          <w:szCs w:val="20"/>
          <w:color w:val="auto"/>
        </w:rPr>
      </w:pPr>
    </w:p>
    <w:p>
      <w:pPr>
        <w:spacing w:after="0"/>
        <w:tabs>
          <w:tab w:leader="none" w:pos="61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Currency</w:t>
      </w:r>
      <w:r>
        <w:rPr>
          <w:rFonts w:ascii="Arial" w:cs="Arial" w:eastAsia="Arial" w:hAnsi="Arial"/>
          <w:sz w:val="22"/>
          <w:szCs w:val="22"/>
          <w:color w:val="auto"/>
        </w:rPr>
        <w:t>" has the meaning set out in Clause 0 (</w:t>
      </w:r>
      <w:r>
        <w:rPr>
          <w:rFonts w:ascii="Arial" w:cs="Arial" w:eastAsia="Arial" w:hAnsi="Arial"/>
          <w:sz w:val="22"/>
          <w:szCs w:val="22"/>
          <w:i w:val="1"/>
          <w:iCs w:val="1"/>
          <w:color w:val="auto"/>
        </w:rPr>
        <w:t>14.3</w:t>
      </w:r>
      <w:r>
        <w:rPr>
          <w:sz w:val="20"/>
          <w:szCs w:val="20"/>
          <w:color w:val="auto"/>
        </w:rPr>
        <w:tab/>
      </w:r>
      <w:r>
        <w:rPr>
          <w:rFonts w:ascii="Arial" w:cs="Arial" w:eastAsia="Arial" w:hAnsi="Arial"/>
          <w:sz w:val="19"/>
          <w:szCs w:val="19"/>
          <w:i w:val="1"/>
          <w:iCs w:val="1"/>
          <w:color w:val="auto"/>
        </w:rPr>
        <w:t xml:space="preserve">Appropriation of Financial </w:t>
      </w:r>
      <w:r>
        <w:rPr>
          <w:rFonts w:ascii="Arial" w:cs="Arial" w:eastAsia="Arial" w:hAnsi="Arial"/>
          <w:sz w:val="19"/>
          <w:szCs w:val="19"/>
          <w:b w:val="1"/>
          <w:bCs w:val="1"/>
          <w:color w:val="auto"/>
        </w:rPr>
        <w:t>Collateral</w:t>
      </w:r>
      <w:r>
        <w:rPr>
          <w:rFonts w:ascii="Arial" w:cs="Arial" w:eastAsia="Arial" w:hAnsi="Arial"/>
          <w:sz w:val="19"/>
          <w:szCs w:val="19"/>
          <w:color w:val="auto"/>
        </w:rPr>
        <w:t>).</w:t>
      </w:r>
    </w:p>
    <w:p>
      <w:pPr>
        <w:spacing w:after="0" w:line="233"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Rights</w:t>
      </w:r>
      <w:r>
        <w:rPr>
          <w:rFonts w:ascii="Arial" w:cs="Arial" w:eastAsia="Arial" w:hAnsi="Arial"/>
          <w:sz w:val="22"/>
          <w:szCs w:val="22"/>
          <w:color w:val="auto"/>
        </w:rPr>
        <w:t>" means rights, benefits, powers, privileges, authorities, discretions, remedies and liberties (in each case, of any nature whatsoever).</w:t>
      </w:r>
    </w:p>
    <w:p>
      <w:pPr>
        <w:sectPr>
          <w:pgSz w:w="11900" w:h="16959" w:orient="portrait"/>
          <w:cols w:equalWidth="0" w:num="1">
            <w:col w:w="10580"/>
          </w:cols>
          <w:pgMar w:left="980" w:top="126" w:right="339" w:bottom="0" w:gutter="0" w:footer="0" w:header="0"/>
        </w:sectPr>
      </w:pPr>
    </w:p>
    <w:bookmarkStart w:id="619" w:name="page620"/>
    <w:bookmarkEnd w:id="619"/>
    <w:p>
      <w:pPr>
        <w:spacing w:after="0" w:line="50"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Assets</w:t>
      </w:r>
      <w:r>
        <w:rPr>
          <w:rFonts w:ascii="Arial" w:cs="Arial" w:eastAsia="Arial" w:hAnsi="Arial"/>
          <w:sz w:val="22"/>
          <w:szCs w:val="22"/>
          <w:color w:val="auto"/>
        </w:rPr>
        <w:t>" means the Original Shares, any Further Shares, any Derived Assets and any Dividends (but "</w:t>
      </w:r>
      <w:r>
        <w:rPr>
          <w:rFonts w:ascii="Arial" w:cs="Arial" w:eastAsia="Arial" w:hAnsi="Arial"/>
          <w:sz w:val="22"/>
          <w:szCs w:val="22"/>
          <w:b w:val="1"/>
          <w:bCs w:val="1"/>
          <w:color w:val="auto"/>
        </w:rPr>
        <w:t>Secured</w:t>
      </w:r>
      <w:r>
        <w:rPr>
          <w:rFonts w:ascii="Arial" w:cs="Arial" w:eastAsia="Arial" w:hAnsi="Arial"/>
          <w:sz w:val="22"/>
          <w:szCs w:val="22"/>
          <w:color w:val="auto"/>
        </w:rPr>
        <w:t xml:space="preserve"> </w:t>
      </w:r>
      <w:r>
        <w:rPr>
          <w:rFonts w:ascii="Arial" w:cs="Arial" w:eastAsia="Arial" w:hAnsi="Arial"/>
          <w:sz w:val="22"/>
          <w:szCs w:val="22"/>
          <w:b w:val="1"/>
          <w:bCs w:val="1"/>
          <w:color w:val="auto"/>
        </w:rPr>
        <w:t>Assets</w:t>
      </w:r>
      <w:r>
        <w:rPr>
          <w:rFonts w:ascii="Arial" w:cs="Arial" w:eastAsia="Arial" w:hAnsi="Arial"/>
          <w:sz w:val="22"/>
          <w:szCs w:val="22"/>
          <w:color w:val="auto"/>
        </w:rPr>
        <w:t>" shall exclude, for the avoidance of doubt, any Excluded Assets).</w:t>
      </w:r>
    </w:p>
    <w:p>
      <w:pPr>
        <w:spacing w:after="0" w:line="162" w:lineRule="exact"/>
        <w:rPr>
          <w:sz w:val="20"/>
          <w:szCs w:val="20"/>
          <w:color w:val="auto"/>
        </w:rPr>
      </w:pPr>
    </w:p>
    <w:p>
      <w:pPr>
        <w:jc w:val="both"/>
        <w:ind w:left="660"/>
        <w:spacing w:after="0" w:line="3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Obligations</w:t>
      </w:r>
      <w:r>
        <w:rPr>
          <w:rFonts w:ascii="Arial" w:cs="Arial" w:eastAsia="Arial" w:hAnsi="Arial"/>
          <w:sz w:val="19"/>
          <w:szCs w:val="19"/>
          <w:color w:val="auto"/>
        </w:rPr>
        <w:t>" has the meaning given to it in the Loan Agreement but, for the avoidance of doubt, shall also include all reasonable and documented legal costs, charges and expenses and any other Loss which the Collateral Agent, any Receiver or any Delegate may incur in enforcing or obtaining, or attempting to enforce or obtain, payment of any such moneys and liabilities to the extent that such costs, charges, expenses and other Losses are of the type which are reimbursable by the Borrowers pursuant to Section 11.03 (</w:t>
      </w:r>
      <w:r>
        <w:rPr>
          <w:rFonts w:ascii="Arial" w:cs="Arial" w:eastAsia="Arial" w:hAnsi="Arial"/>
          <w:sz w:val="19"/>
          <w:szCs w:val="19"/>
          <w:i w:val="1"/>
          <w:iCs w:val="1"/>
          <w:color w:val="auto"/>
        </w:rPr>
        <w:t>Expenses, etc.</w:t>
      </w:r>
      <w:r>
        <w:rPr>
          <w:rFonts w:ascii="Arial" w:cs="Arial" w:eastAsia="Arial" w:hAnsi="Arial"/>
          <w:sz w:val="19"/>
          <w:szCs w:val="19"/>
          <w:color w:val="auto"/>
        </w:rPr>
        <w:t>) of the Loan Agreement.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Parties</w:t>
      </w:r>
      <w:r>
        <w:rPr>
          <w:rFonts w:ascii="Arial" w:cs="Arial" w:eastAsia="Arial" w:hAnsi="Arial"/>
          <w:sz w:val="22"/>
          <w:szCs w:val="22"/>
          <w:color w:val="auto"/>
        </w:rPr>
        <w:t>" has the meaning given to it in the Loan Agreement.</w:t>
      </w:r>
    </w:p>
    <w:p>
      <w:pPr>
        <w:spacing w:after="0" w:line="233"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means any or all of the Security Interests created or expressed to be created, or which may at any time hereafter be created, by or pursuant to this Deed.</w:t>
      </w:r>
    </w:p>
    <w:p>
      <w:pPr>
        <w:spacing w:after="0" w:line="162"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Interest</w:t>
      </w:r>
      <w:r>
        <w:rPr>
          <w:rFonts w:ascii="Arial" w:cs="Arial" w:eastAsia="Arial" w:hAnsi="Arial"/>
          <w:sz w:val="22"/>
          <w:szCs w:val="22"/>
          <w:color w:val="auto"/>
        </w:rPr>
        <w:t>" means any mortgage, fixed or floating charge, sub-mortgage or charge, pledge, lien, assignment by way of security or subject to a proviso for reassignment, encumbrance, hypothecation, any title retention arrangement (other than in respect of goods purchased in the ordinary course of trading), any agreement or arrangement having substantially the same economic or financial effect as any of the foregoing (including any "hold back" or "flawed asset" arrangement) and any security interest or agreement or arrangement analogous to any of the foregoing arising under the laws of any other jurisdiction.</w:t>
      </w:r>
    </w:p>
    <w:p>
      <w:pPr>
        <w:spacing w:after="0" w:line="185"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with respect to the Company, stocks and shares of any kind (but "</w:t>
      </w:r>
      <w:r>
        <w:rPr>
          <w:rFonts w:ascii="Arial" w:cs="Arial" w:eastAsia="Arial" w:hAnsi="Arial"/>
          <w:sz w:val="22"/>
          <w:szCs w:val="22"/>
          <w:b w:val="1"/>
          <w:bCs w:val="1"/>
          <w:color w:val="auto"/>
        </w:rPr>
        <w:t>Shares</w:t>
      </w:r>
      <w:r>
        <w:rPr>
          <w:rFonts w:ascii="Arial" w:cs="Arial" w:eastAsia="Arial" w:hAnsi="Arial"/>
          <w:sz w:val="22"/>
          <w:szCs w:val="22"/>
          <w:color w:val="auto"/>
        </w:rPr>
        <w:t>" shall exclude, for the avoidance of doubt, any Excluded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and "</w:t>
      </w:r>
      <w:r>
        <w:rPr>
          <w:rFonts w:ascii="Arial" w:cs="Arial" w:eastAsia="Arial" w:hAnsi="Arial"/>
          <w:sz w:val="22"/>
          <w:szCs w:val="22"/>
          <w:b w:val="1"/>
          <w:bCs w:val="1"/>
          <w:color w:val="auto"/>
        </w:rPr>
        <w:t>Taxes</w:t>
      </w:r>
      <w:r>
        <w:rPr>
          <w:rFonts w:ascii="Arial" w:cs="Arial" w:eastAsia="Arial" w:hAnsi="Arial"/>
          <w:sz w:val="22"/>
          <w:szCs w:val="22"/>
          <w:color w:val="auto"/>
        </w:rPr>
        <w:t>" has the meaning given to it in the Loan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Parties Act</w:t>
      </w:r>
      <w:r>
        <w:rPr>
          <w:rFonts w:ascii="Arial" w:cs="Arial" w:eastAsia="Arial" w:hAnsi="Arial"/>
          <w:sz w:val="22"/>
          <w:szCs w:val="22"/>
          <w:color w:val="auto"/>
        </w:rPr>
        <w:t>" means the Contracts (Rights of Third Parties) Act 1999.</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Interpretation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this Deed, the following rules of interpretation apply, unless otherwise specified or the context otherwise requires.</w:t>
      </w:r>
    </w:p>
    <w:p>
      <w:pPr>
        <w:spacing w:after="0" w:line="257" w:lineRule="exact"/>
        <w:rPr>
          <w:sz w:val="20"/>
          <w:szCs w:val="20"/>
          <w:color w:val="auto"/>
        </w:rPr>
      </w:pPr>
    </w:p>
    <w:p>
      <w:pPr>
        <w:jc w:val="both"/>
        <w:ind w:left="1300" w:hanging="644"/>
        <w:spacing w:after="0" w:line="266" w:lineRule="auto"/>
        <w:tabs>
          <w:tab w:leader="none" w:pos="1300" w:val="left"/>
        </w:tabs>
        <w:numPr>
          <w:ilvl w:val="1"/>
          <w:numId w:val="745"/>
        </w:numPr>
        <w:rPr>
          <w:rFonts w:ascii="Arial" w:cs="Arial" w:eastAsia="Arial" w:hAnsi="Arial"/>
          <w:sz w:val="18"/>
          <w:szCs w:val="18"/>
          <w:color w:val="auto"/>
        </w:rPr>
      </w:pPr>
      <w:r>
        <w:rPr>
          <w:rFonts w:ascii="Arial" w:cs="Arial" w:eastAsia="Arial" w:hAnsi="Arial"/>
          <w:sz w:val="18"/>
          <w:szCs w:val="18"/>
          <w:b w:val="1"/>
          <w:bCs w:val="1"/>
          <w:color w:val="auto"/>
        </w:rPr>
        <w:t>Person</w:t>
      </w:r>
      <w:r>
        <w:rPr>
          <w:rFonts w:ascii="Arial" w:cs="Arial" w:eastAsia="Arial" w:hAnsi="Arial"/>
          <w:sz w:val="18"/>
          <w:szCs w:val="18"/>
          <w:color w:val="auto"/>
        </w:rPr>
        <w:t>: a reference to a "person" includes any individual, firm, partnership, body corporate, unincorporated association,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agency of a state, local or municipal authority or government body, trust, foundation, joint venture or association (in each case whether or not having separate legal personality).</w:t>
      </w:r>
    </w:p>
    <w:p>
      <w:pPr>
        <w:spacing w:after="0" w:line="175"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745"/>
        </w:numPr>
        <w:rPr>
          <w:rFonts w:ascii="Arial" w:cs="Arial" w:eastAsia="Arial" w:hAnsi="Arial"/>
          <w:sz w:val="18"/>
          <w:szCs w:val="18"/>
          <w:color w:val="auto"/>
        </w:rPr>
      </w:pPr>
      <w:r>
        <w:rPr>
          <w:rFonts w:ascii="Arial" w:cs="Arial" w:eastAsia="Arial" w:hAnsi="Arial"/>
          <w:sz w:val="18"/>
          <w:szCs w:val="18"/>
          <w:b w:val="1"/>
          <w:bCs w:val="1"/>
          <w:color w:val="auto"/>
        </w:rPr>
        <w:t>References to this Deed and other agreements and documents</w:t>
      </w:r>
      <w:r>
        <w:rPr>
          <w:rFonts w:ascii="Arial" w:cs="Arial" w:eastAsia="Arial" w:hAnsi="Arial"/>
          <w:sz w:val="18"/>
          <w:szCs w:val="18"/>
          <w:color w:val="auto"/>
        </w:rPr>
        <w:t>: a reference to this Deed or to another deed, agreement,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(including, without limitation, any share certificate and any Loan Document) is a reference to this Deed or to the relevant other deed, agreement, document or instrument as supplemented, varied, amended, modified, novated or replaced from time to time and to any agreement, deed or document executed pursuant thereto.</w:t>
      </w:r>
    </w:p>
    <w:p>
      <w:pPr>
        <w:spacing w:after="0" w:line="179"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745"/>
        </w:numPr>
        <w:rPr>
          <w:rFonts w:ascii="Arial" w:cs="Arial" w:eastAsia="Arial" w:hAnsi="Arial"/>
          <w:sz w:val="18"/>
          <w:szCs w:val="18"/>
          <w:color w:val="auto"/>
        </w:rPr>
      </w:pPr>
      <w:r>
        <w:rPr>
          <w:rFonts w:ascii="Arial" w:cs="Arial" w:eastAsia="Arial" w:hAnsi="Arial"/>
          <w:sz w:val="18"/>
          <w:szCs w:val="18"/>
          <w:b w:val="1"/>
          <w:bCs w:val="1"/>
          <w:color w:val="auto"/>
        </w:rPr>
        <w:t>Successors, transferees and assigns</w:t>
      </w:r>
      <w:r>
        <w:rPr>
          <w:rFonts w:ascii="Arial" w:cs="Arial" w:eastAsia="Arial" w:hAnsi="Arial"/>
          <w:sz w:val="18"/>
          <w:szCs w:val="18"/>
          <w:color w:val="auto"/>
        </w:rPr>
        <w:t>: a reference to a person (including, without limitation, any party to this Deed, any Secured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party to any Loan Document) shall include reference to its successors, transferees (including by novation) and assigns and any person deriving title under or through it, whether in security or otherwise, any person into which such person may be merged or consolidated, any company resulting from any merger or consolidation of such person and any person succeeding to all or substantially all of the business of that person.</w:t>
      </w:r>
    </w:p>
    <w:p>
      <w:pPr>
        <w:spacing w:after="0" w:line="183"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745"/>
        </w:numPr>
        <w:rPr>
          <w:rFonts w:ascii="Arial" w:cs="Arial" w:eastAsia="Arial" w:hAnsi="Arial"/>
          <w:sz w:val="18"/>
          <w:szCs w:val="18"/>
          <w:color w:val="auto"/>
        </w:rPr>
      </w:pPr>
      <w:r>
        <w:rPr>
          <w:rFonts w:ascii="Arial" w:cs="Arial" w:eastAsia="Arial" w:hAnsi="Arial"/>
          <w:sz w:val="18"/>
          <w:szCs w:val="18"/>
          <w:b w:val="1"/>
          <w:bCs w:val="1"/>
          <w:color w:val="auto"/>
        </w:rPr>
        <w:t>Statutory provisions</w:t>
      </w:r>
      <w:r>
        <w:rPr>
          <w:rFonts w:ascii="Arial" w:cs="Arial" w:eastAsia="Arial" w:hAnsi="Arial"/>
          <w:sz w:val="18"/>
          <w:szCs w:val="18"/>
          <w:color w:val="auto"/>
        </w:rPr>
        <w:t>: a reference to any statute, statutory provision, order, instrument, rule or regulation is to that statute,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order, instrument, rule or regulation as amended or re-enacted from time to time, any provision of which it is a re-enactment or consolidation and any order, instrument or regulation made or issued under it.</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1"/>
          <w:numId w:val="745"/>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headings are for convenience only and shall not affect the interpretation of this Deed.</w:t>
      </w:r>
    </w:p>
    <w:p>
      <w:pPr>
        <w:spacing w:after="0" w:line="225"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745"/>
        </w:numPr>
        <w:rPr>
          <w:rFonts w:ascii="Arial" w:cs="Arial" w:eastAsia="Arial" w:hAnsi="Arial"/>
          <w:sz w:val="18"/>
          <w:szCs w:val="18"/>
          <w:color w:val="auto"/>
        </w:rPr>
      </w:pPr>
      <w:r>
        <w:rPr>
          <w:rFonts w:ascii="Arial" w:cs="Arial" w:eastAsia="Arial" w:hAnsi="Arial"/>
          <w:sz w:val="18"/>
          <w:szCs w:val="18"/>
          <w:b w:val="1"/>
          <w:bCs w:val="1"/>
          <w:color w:val="auto"/>
        </w:rPr>
        <w:t>Clauses, Schedules and Paragraphs</w:t>
      </w:r>
      <w:r>
        <w:rPr>
          <w:rFonts w:ascii="Arial" w:cs="Arial" w:eastAsia="Arial" w:hAnsi="Arial"/>
          <w:sz w:val="18"/>
          <w:szCs w:val="18"/>
          <w:color w:val="auto"/>
        </w:rPr>
        <w:t>: a reference to a Clause is to a clause in this Deed; a reference to a Schedule is to a schedule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Deed; a reference to a Paragraph is to a paragraph of a Schedule; and a reference to this Deed includes a reference to each of its Schedules.</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1"/>
          <w:numId w:val="745"/>
        </w:numPr>
        <w:rPr>
          <w:rFonts w:ascii="Arial" w:cs="Arial" w:eastAsia="Arial" w:hAnsi="Arial"/>
          <w:sz w:val="16"/>
          <w:szCs w:val="16"/>
          <w:color w:val="auto"/>
        </w:rPr>
      </w:pPr>
      <w:r>
        <w:rPr>
          <w:rFonts w:ascii="Arial" w:cs="Arial" w:eastAsia="Arial" w:hAnsi="Arial"/>
          <w:sz w:val="16"/>
          <w:szCs w:val="16"/>
          <w:b w:val="1"/>
          <w:bCs w:val="1"/>
          <w:color w:val="auto"/>
        </w:rPr>
        <w:t>Disposal</w:t>
      </w:r>
      <w:r>
        <w:rPr>
          <w:rFonts w:ascii="Arial" w:cs="Arial" w:eastAsia="Arial" w:hAnsi="Arial"/>
          <w:sz w:val="16"/>
          <w:szCs w:val="16"/>
          <w:color w:val="auto"/>
        </w:rPr>
        <w:t>: a reference to "disposal" includes any of the following, whether by a single transaction or series of transactions whether related</w:t>
      </w:r>
    </w:p>
    <w:p>
      <w:pPr>
        <w:spacing w:after="0" w:line="50" w:lineRule="exact"/>
        <w:rPr>
          <w:rFonts w:ascii="Arial" w:cs="Arial" w:eastAsia="Arial" w:hAnsi="Arial"/>
          <w:sz w:val="16"/>
          <w:szCs w:val="16"/>
          <w:color w:val="auto"/>
        </w:rPr>
      </w:pPr>
    </w:p>
    <w:p>
      <w:pPr>
        <w:jc w:val="both"/>
        <w:ind w:left="1300"/>
        <w:spacing w:after="0" w:line="255" w:lineRule="auto"/>
        <w:rPr>
          <w:rFonts w:ascii="Arial" w:cs="Arial" w:eastAsia="Arial" w:hAnsi="Arial"/>
          <w:sz w:val="16"/>
          <w:szCs w:val="16"/>
          <w:color w:val="auto"/>
        </w:rPr>
      </w:pPr>
      <w:r>
        <w:rPr>
          <w:rFonts w:ascii="Arial" w:cs="Arial" w:eastAsia="Arial" w:hAnsi="Arial"/>
          <w:sz w:val="18"/>
          <w:szCs w:val="18"/>
          <w:color w:val="auto"/>
        </w:rPr>
        <w:t>or not, and whether voluntary or involuntary: a sale, transfer, assignment, loan, parting with any interest in or permitting the use by another person of, the grant of any option to purchase or pre-emption right or other present or future right to acquire or create any interest in, or any other disposal or dealing, and "dispose" shall be construed accordingly.</w:t>
      </w:r>
    </w:p>
    <w:p>
      <w:pPr>
        <w:spacing w:after="0" w:line="185" w:lineRule="exact"/>
        <w:rPr>
          <w:rFonts w:ascii="Arial" w:cs="Arial" w:eastAsia="Arial" w:hAnsi="Arial"/>
          <w:sz w:val="16"/>
          <w:szCs w:val="16"/>
          <w:color w:val="auto"/>
        </w:rPr>
      </w:pPr>
    </w:p>
    <w:p>
      <w:pPr>
        <w:jc w:val="both"/>
        <w:ind w:left="1300" w:hanging="644"/>
        <w:spacing w:after="0" w:line="303" w:lineRule="auto"/>
        <w:tabs>
          <w:tab w:leader="none" w:pos="1300" w:val="left"/>
        </w:tabs>
        <w:numPr>
          <w:ilvl w:val="1"/>
          <w:numId w:val="745"/>
        </w:numPr>
        <w:rPr>
          <w:rFonts w:ascii="Arial" w:cs="Arial" w:eastAsia="Arial" w:hAnsi="Arial"/>
          <w:sz w:val="16"/>
          <w:szCs w:val="16"/>
          <w:color w:val="auto"/>
        </w:rPr>
      </w:pPr>
      <w:r>
        <w:rPr>
          <w:rFonts w:ascii="Arial" w:cs="Arial" w:eastAsia="Arial" w:hAnsi="Arial"/>
          <w:sz w:val="16"/>
          <w:szCs w:val="16"/>
          <w:b w:val="1"/>
          <w:bCs w:val="1"/>
          <w:color w:val="auto"/>
        </w:rPr>
        <w:t>Loan Agreement and Intercreditor Agreement</w:t>
      </w:r>
      <w:r>
        <w:rPr>
          <w:rFonts w:ascii="Arial" w:cs="Arial" w:eastAsia="Arial" w:hAnsi="Arial"/>
          <w:sz w:val="16"/>
          <w:szCs w:val="16"/>
          <w:color w:val="auto"/>
        </w:rPr>
        <w:t>: The undertakings and other obligations of the Mortgagor, Collateral Agent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under this Deed shall at all times be read and construed as subject to the provisions of the Loan Agreement, the Intercreditor Agreement and the Guarantee which shall prevail in case of any conflict. The terms of this Deed shall not operate or be construed so as to prohibit or restrict any transaction or matter that is permitted by the Loan Agreement or the Intercreditor Agreement.</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746"/>
        </w:numPr>
        <w:rPr>
          <w:rFonts w:ascii="Arial" w:cs="Arial" w:eastAsia="Arial" w:hAnsi="Arial"/>
          <w:sz w:val="18"/>
          <w:szCs w:val="18"/>
          <w:color w:val="auto"/>
        </w:rPr>
      </w:pPr>
      <w:r>
        <w:rPr>
          <w:rFonts w:ascii="Arial" w:cs="Arial" w:eastAsia="Arial" w:hAnsi="Arial"/>
          <w:sz w:val="18"/>
          <w:szCs w:val="18"/>
          <w:b w:val="1"/>
          <w:bCs w:val="1"/>
          <w:color w:val="auto"/>
        </w:rPr>
        <w:t>TRUST</w:t>
      </w:r>
    </w:p>
    <w:p>
      <w:pPr>
        <w:spacing w:after="0" w:line="229"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2.1     The Collateral Agent shall hold, and hereby declares that it shall hold, the benefit of the Security and the benefit of all representations, warranties, covenants and undertakings under this Deed on trust for the Secured Parties on and subject to the terms of this Deed and the Mortgagor hereby</w:t>
      </w:r>
    </w:p>
    <w:p>
      <w:pPr>
        <w:sectPr>
          <w:pgSz w:w="11900" w:h="16889" w:orient="portrait"/>
          <w:cols w:equalWidth="0" w:num="1">
            <w:col w:w="11240"/>
          </w:cols>
          <w:pgMar w:left="320" w:top="126" w:right="339" w:bottom="0" w:gutter="0" w:footer="0" w:header="0"/>
        </w:sectPr>
      </w:pPr>
    </w:p>
    <w:bookmarkStart w:id="620" w:name="page621"/>
    <w:bookmarkEnd w:id="620"/>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acknowledges such trusts.</w:t>
      </w:r>
    </w:p>
    <w:p>
      <w:pPr>
        <w:spacing w:after="0" w:line="225" w:lineRule="exact"/>
        <w:rPr>
          <w:sz w:val="20"/>
          <w:szCs w:val="20"/>
          <w:color w:val="auto"/>
        </w:rPr>
      </w:pPr>
    </w:p>
    <w:p>
      <w:pPr>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In this Deed the Collateral Agent acts under the authority of the Secured Parties contained in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 of the Loan Agreement and in accordance with, subject to and with the full benefit of the provisions of such Article X (</w:t>
      </w:r>
      <w:r>
        <w:rPr>
          <w:rFonts w:ascii="Arial" w:cs="Arial" w:eastAsia="Arial" w:hAnsi="Arial"/>
          <w:sz w:val="17"/>
          <w:szCs w:val="17"/>
          <w:i w:val="1"/>
          <w:iCs w:val="1"/>
          <w:color w:val="auto"/>
        </w:rPr>
        <w:t>Administrative Agent</w:t>
      </w:r>
      <w:r>
        <w:rPr>
          <w:rFonts w:ascii="Arial" w:cs="Arial" w:eastAsia="Arial" w:hAnsi="Arial"/>
          <w:sz w:val="17"/>
          <w:szCs w:val="17"/>
          <w:color w:val="auto"/>
        </w:rPr>
        <w:t>).</w:t>
      </w:r>
    </w:p>
    <w:p>
      <w:pPr>
        <w:spacing w:after="0" w:line="142" w:lineRule="exact"/>
        <w:rPr>
          <w:sz w:val="20"/>
          <w:szCs w:val="20"/>
          <w:color w:val="auto"/>
        </w:rPr>
      </w:pPr>
    </w:p>
    <w:p>
      <w:pPr>
        <w:ind w:left="660" w:hanging="652"/>
        <w:spacing w:after="0"/>
        <w:tabs>
          <w:tab w:leader="none" w:pos="660" w:val="left"/>
        </w:tabs>
        <w:numPr>
          <w:ilvl w:val="0"/>
          <w:numId w:val="747"/>
        </w:numPr>
        <w:rPr>
          <w:rFonts w:ascii="Arial" w:cs="Arial" w:eastAsia="Arial" w:hAnsi="Arial"/>
          <w:sz w:val="18"/>
          <w:szCs w:val="18"/>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priority of claims in relation to this Deed and the ABL Equitable Share Mortgage shall be subject to the Intercreditor Agreement. Each Secured Party, of its acceptance of the benefits of this Deed (a) consents to the 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9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167" w:lineRule="exact"/>
        <w:rPr>
          <w:sz w:val="20"/>
          <w:szCs w:val="20"/>
          <w:color w:val="auto"/>
        </w:rPr>
      </w:pPr>
    </w:p>
    <w:p>
      <w:pPr>
        <w:ind w:left="660" w:hanging="652"/>
        <w:spacing w:after="0"/>
        <w:tabs>
          <w:tab w:leader="none" w:pos="660" w:val="left"/>
        </w:tabs>
        <w:numPr>
          <w:ilvl w:val="0"/>
          <w:numId w:val="748"/>
        </w:numPr>
        <w:rPr>
          <w:rFonts w:ascii="Arial" w:cs="Arial" w:eastAsia="Arial" w:hAnsi="Arial"/>
          <w:sz w:val="18"/>
          <w:szCs w:val="18"/>
          <w:color w:val="auto"/>
        </w:rPr>
      </w:pPr>
      <w:r>
        <w:rPr>
          <w:rFonts w:ascii="Arial" w:cs="Arial" w:eastAsia="Arial" w:hAnsi="Arial"/>
          <w:sz w:val="18"/>
          <w:szCs w:val="18"/>
          <w:b w:val="1"/>
          <w:bCs w:val="1"/>
          <w:color w:val="auto"/>
        </w:rPr>
        <w:t>ABL EQUITABLE SHARE MORTGAGE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All security created under this Deed does not affect the security created by the ABL Equitable Share Mortgage.</w:t>
      </w:r>
    </w:p>
    <w:p>
      <w:pPr>
        <w:spacing w:after="0" w:line="22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Notwithstanding any provision of this Deed, provided that the Mortgagor is in compliance with the terms of the ABL Equitable Share Mortgage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Mortgagor will be deemed to have complied with the relevant obligations under this Deed by virtue of its compliance under the ABL Equitable Share Mortgage, provided however that, in the event that the terms of the ABL Equitable Share Mortgage no longer continue to be in full force and effect or the ABL Equitable Share Mortgage is released or discharged (or as otherwise required by the Intercreditor Agreement) the Mortgagor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162" w:lineRule="exact"/>
        <w:rPr>
          <w:sz w:val="20"/>
          <w:szCs w:val="20"/>
          <w:color w:val="auto"/>
        </w:rPr>
      </w:pPr>
    </w:p>
    <w:p>
      <w:pPr>
        <w:ind w:left="660" w:hanging="652"/>
        <w:spacing w:after="0"/>
        <w:tabs>
          <w:tab w:leader="none" w:pos="660" w:val="left"/>
        </w:tabs>
        <w:numPr>
          <w:ilvl w:val="0"/>
          <w:numId w:val="749"/>
        </w:numPr>
        <w:rPr>
          <w:rFonts w:ascii="Arial" w:cs="Arial" w:eastAsia="Arial" w:hAnsi="Arial"/>
          <w:sz w:val="18"/>
          <w:szCs w:val="18"/>
          <w:color w:val="auto"/>
        </w:rPr>
      </w:pPr>
      <w:r>
        <w:rPr>
          <w:rFonts w:ascii="Arial" w:cs="Arial" w:eastAsia="Arial" w:hAnsi="Arial"/>
          <w:sz w:val="18"/>
          <w:szCs w:val="18"/>
          <w:b w:val="1"/>
          <w:bCs w:val="1"/>
          <w:color w:val="auto"/>
        </w:rPr>
        <w:t>COVENANT TO PAY</w:t>
      </w:r>
    </w:p>
    <w:p>
      <w:pPr>
        <w:spacing w:after="0" w:line="235"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Subject to any limits on its liability and any grace periods specifically recorded in the Loan Documents, the Mortgagor covenants with the Collateral Agent to pay and discharge all Secured Obligations which may from time to time be or become due, owing or payable by the Mortgagor (whether as principal or surety and whether or not jointly with another) to or to the order of the Collateral Agent under, pursuant to or in connection with the Loan Agreement, the Guarantee and/or this Deed, as applicable, in each case at the times when, and in the currency or currencies and in the manner in which, they are expressed to be due, owing or payable herein or therein.</w:t>
      </w:r>
    </w:p>
    <w:p>
      <w:pPr>
        <w:spacing w:after="0" w:line="171" w:lineRule="exact"/>
        <w:rPr>
          <w:sz w:val="20"/>
          <w:szCs w:val="20"/>
          <w:color w:val="auto"/>
        </w:rPr>
      </w:pPr>
    </w:p>
    <w:p>
      <w:pPr>
        <w:ind w:left="660" w:hanging="652"/>
        <w:spacing w:after="0"/>
        <w:tabs>
          <w:tab w:leader="none" w:pos="660" w:val="left"/>
        </w:tabs>
        <w:numPr>
          <w:ilvl w:val="0"/>
          <w:numId w:val="750"/>
        </w:numPr>
        <w:rPr>
          <w:rFonts w:ascii="Arial" w:cs="Arial" w:eastAsia="Arial" w:hAnsi="Arial"/>
          <w:sz w:val="18"/>
          <w:szCs w:val="18"/>
          <w:color w:val="auto"/>
        </w:rPr>
      </w:pPr>
      <w:r>
        <w:rPr>
          <w:rFonts w:ascii="Arial" w:cs="Arial" w:eastAsia="Arial" w:hAnsi="Arial"/>
          <w:sz w:val="18"/>
          <w:szCs w:val="18"/>
          <w:b w:val="1"/>
          <w:bCs w:val="1"/>
          <w:color w:val="auto"/>
        </w:rPr>
        <w:t>CREATION OF SECURITY</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Mortgagor, as continuing security for the payment and discharge of the Secured Obligations and with full title guarantee, charges by way of fixed charge all of its Rights, title and interest in and to the Original Shares, all Further Shares, all Derived Assets and all Dividends in favour of the Collateral Agent.</w:t>
      </w:r>
    </w:p>
    <w:p>
      <w:pPr>
        <w:spacing w:after="0" w:line="175" w:lineRule="exact"/>
        <w:rPr>
          <w:sz w:val="20"/>
          <w:szCs w:val="20"/>
          <w:color w:val="auto"/>
        </w:rPr>
      </w:pPr>
    </w:p>
    <w:p>
      <w:pPr>
        <w:ind w:left="660" w:hanging="652"/>
        <w:spacing w:after="0"/>
        <w:tabs>
          <w:tab w:leader="none" w:pos="660" w:val="left"/>
        </w:tabs>
        <w:numPr>
          <w:ilvl w:val="0"/>
          <w:numId w:val="751"/>
        </w:numPr>
        <w:rPr>
          <w:rFonts w:ascii="Arial" w:cs="Arial" w:eastAsia="Arial" w:hAnsi="Arial"/>
          <w:sz w:val="18"/>
          <w:szCs w:val="18"/>
          <w:color w:val="auto"/>
        </w:rPr>
      </w:pPr>
      <w:r>
        <w:rPr>
          <w:rFonts w:ascii="Arial" w:cs="Arial" w:eastAsia="Arial" w:hAnsi="Arial"/>
          <w:sz w:val="18"/>
          <w:szCs w:val="18"/>
          <w:b w:val="1"/>
          <w:bCs w:val="1"/>
          <w:color w:val="auto"/>
        </w:rPr>
        <w:t>COVENANT TO DEPOSIT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Original Shares and Further Shares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Mortgagor shall, promptly after execution of this Deed in the case of the Original Shares, and within 15 Business Days (or such later date as may be agreed upon by the Collateral Agent) of issue of any Further Shares deposit with the Collateral Agent (or other person nominated by the Collateral Agent):</w:t>
      </w:r>
    </w:p>
    <w:p>
      <w:pPr>
        <w:spacing w:after="0" w:line="179" w:lineRule="exact"/>
        <w:rPr>
          <w:sz w:val="20"/>
          <w:szCs w:val="20"/>
          <w:color w:val="auto"/>
        </w:rPr>
      </w:pPr>
    </w:p>
    <w:p>
      <w:pPr>
        <w:ind w:left="1300" w:hanging="644"/>
        <w:spacing w:after="0"/>
        <w:tabs>
          <w:tab w:leader="none" w:pos="130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all share certificates, documents of title and other documentary evidence of ownership in relation to such Shares; and</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752"/>
        </w:numPr>
        <w:rPr>
          <w:rFonts w:ascii="Arial" w:cs="Arial" w:eastAsia="Arial" w:hAnsi="Arial"/>
          <w:sz w:val="17"/>
          <w:szCs w:val="17"/>
          <w:color w:val="auto"/>
        </w:rPr>
      </w:pPr>
      <w:r>
        <w:rPr>
          <w:rFonts w:ascii="Arial" w:cs="Arial" w:eastAsia="Arial" w:hAnsi="Arial"/>
          <w:sz w:val="17"/>
          <w:szCs w:val="17"/>
          <w:color w:val="auto"/>
        </w:rPr>
        <w:t>transfers of such Shares duly executed by the Mortgagor or its nominee with the name of the transferee left blank, or if the Collateral Agent so requires, duly executed by the Mortgagor or its nominee in favour of the Collateral Agent (or its nominee).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Derived Assets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The Mortgagor shall promptly and in any event within 15 Business Days (or such later date as may be agreed upon by the Collateral Agent) of the issue, accrual or offer of any Derived Assets, deliver to the Collateral Agent or procure the delivery to the Collateral Agent of:</w:t>
      </w:r>
    </w:p>
    <w:p>
      <w:pPr>
        <w:spacing w:after="0" w:line="179" w:lineRule="exact"/>
        <w:rPr>
          <w:sz w:val="20"/>
          <w:szCs w:val="20"/>
          <w:color w:val="auto"/>
        </w:rPr>
      </w:pPr>
    </w:p>
    <w:p>
      <w:pPr>
        <w:ind w:left="1300" w:right="20" w:hanging="644"/>
        <w:spacing w:after="0" w:line="277" w:lineRule="auto"/>
        <w:tabs>
          <w:tab w:leader="none" w:pos="130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all share certificates, renounceable certificates, letters of allotment, documents of title and other documentary evidence of ownership in relation to the Derived Assets;</w:t>
      </w:r>
    </w:p>
    <w:p>
      <w:pPr>
        <w:sectPr>
          <w:pgSz w:w="11900" w:h="16955" w:orient="portrait"/>
          <w:cols w:equalWidth="0" w:num="1">
            <w:col w:w="11240"/>
          </w:cols>
          <w:pgMar w:left="320" w:top="126" w:right="339" w:bottom="0" w:gutter="0" w:footer="0" w:header="0"/>
        </w:sectPr>
      </w:pP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such documents as are referred to Clauses 0 (</w:t>
      </w:r>
      <w:r>
        <w:rPr>
          <w:rFonts w:ascii="Arial" w:cs="Arial" w:eastAsia="Arial" w:hAnsi="Arial"/>
          <w:sz w:val="15"/>
          <w:szCs w:val="15"/>
          <w:i w:val="1"/>
          <w:iCs w:val="1"/>
          <w:color w:val="auto"/>
        </w:rPr>
        <w:t>7.1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Original Shares and Further </w:t>
      </w:r>
      <w:r>
        <w:rPr>
          <w:rFonts w:ascii="Arial" w:cs="Arial" w:eastAsia="Arial" w:hAnsi="Arial"/>
          <w:sz w:val="18"/>
          <w:szCs w:val="18"/>
          <w:b w:val="1"/>
          <w:bCs w:val="1"/>
          <w:color w:val="auto"/>
        </w:rPr>
        <w:t>Shares</w:t>
      </w:r>
      <w:r>
        <w:rPr>
          <w:rFonts w:ascii="Arial" w:cs="Arial" w:eastAsia="Arial" w:hAnsi="Arial"/>
          <w:sz w:val="18"/>
          <w:szCs w:val="18"/>
          <w:color w:val="auto"/>
        </w:rPr>
        <w:t>) in relation to any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in such Derived Assets; and</w:t>
      </w:r>
    </w:p>
    <w:p>
      <w:pPr>
        <w:sectPr>
          <w:pgSz w:w="11900" w:h="16955" w:orient="portrait"/>
          <w:cols w:equalWidth="0" w:num="2">
            <w:col w:w="5780" w:space="720"/>
            <w:col w:w="4740"/>
          </w:cols>
          <w:pgMar w:left="320" w:top="126" w:right="339" w:bottom="0" w:gutter="0" w:footer="0" w:header="0"/>
          <w:type w:val="continuous"/>
        </w:sectPr>
      </w:pPr>
    </w:p>
    <w:bookmarkStart w:id="621" w:name="page622"/>
    <w:bookmarkEnd w:id="621"/>
    <w:p>
      <w:pPr>
        <w:jc w:val="both"/>
        <w:ind w:left="1300" w:hanging="644"/>
        <w:spacing w:after="0" w:line="263" w:lineRule="auto"/>
        <w:tabs>
          <w:tab w:leader="none" w:pos="1300" w:val="left"/>
        </w:tabs>
        <w:numPr>
          <w:ilvl w:val="1"/>
          <w:numId w:val="754"/>
        </w:numPr>
        <w:rPr>
          <w:rFonts w:ascii="Arial" w:cs="Arial" w:eastAsia="Arial" w:hAnsi="Arial"/>
          <w:sz w:val="18"/>
          <w:szCs w:val="18"/>
          <w:color w:val="auto"/>
        </w:rPr>
      </w:pPr>
      <w:r>
        <w:rPr>
          <w:rFonts w:ascii="Arial" w:cs="Arial" w:eastAsia="Arial" w:hAnsi="Arial"/>
          <w:sz w:val="18"/>
          <w:szCs w:val="18"/>
          <w:color w:val="auto"/>
        </w:rPr>
        <w:t>such other documents as the Collateral Agent may reasonably require to enable the Collateral Agent (or its nominee) or, after the occurrence of an Enforcement Event, any Receiver or any purchaser to be registered as the owner of, or otherwise to obtain legal title to, the Derived Assets in accordance with this Deed.</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755"/>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The Mortgagor shall, at its own cost, promptly take whatever action the Collateral Agent or any Receiver may reasonably require with a view to:</w:t>
      </w:r>
    </w:p>
    <w:p>
      <w:pPr>
        <w:spacing w:after="0" w:line="168" w:lineRule="exact"/>
        <w:rPr>
          <w:sz w:val="20"/>
          <w:szCs w:val="20"/>
          <w:color w:val="auto"/>
        </w:rPr>
      </w:pPr>
    </w:p>
    <w:p>
      <w:pPr>
        <w:ind w:left="1300" w:hanging="644"/>
        <w:spacing w:after="0" w:line="277" w:lineRule="auto"/>
        <w:tabs>
          <w:tab w:leader="none" w:pos="130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creating, preserving, perfecting or protecting any of the Security or the first priority of any of the Security (subject to any Liens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facilitating the enforcement of the Security or the exercise of any Rights vested in the Collateral Agent or any Receiver in connection with this Deed;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177"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including, without limitation, executing such assignments, transfers and conveyances of the Secured Assets (whether in favour of the Collateral Agent,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pacing w:after="0" w:line="181" w:lineRule="exact"/>
        <w:rPr>
          <w:sz w:val="20"/>
          <w:szCs w:val="20"/>
          <w:color w:val="auto"/>
        </w:rPr>
      </w:pPr>
    </w:p>
    <w:p>
      <w:pPr>
        <w:ind w:left="660" w:hanging="652"/>
        <w:spacing w:after="0"/>
        <w:tabs>
          <w:tab w:leader="none" w:pos="660" w:val="left"/>
        </w:tabs>
        <w:numPr>
          <w:ilvl w:val="0"/>
          <w:numId w:val="757"/>
        </w:numPr>
        <w:rPr>
          <w:rFonts w:ascii="Arial" w:cs="Arial" w:eastAsia="Arial" w:hAnsi="Arial"/>
          <w:sz w:val="18"/>
          <w:szCs w:val="18"/>
          <w:color w:val="auto"/>
        </w:rPr>
      </w:pPr>
      <w:r>
        <w:rPr>
          <w:rFonts w:ascii="Arial" w:cs="Arial" w:eastAsia="Arial" w:hAnsi="Arial"/>
          <w:sz w:val="18"/>
          <w:szCs w:val="18"/>
          <w:b w:val="1"/>
          <w:bCs w:val="1"/>
          <w:color w:val="auto"/>
        </w:rPr>
        <w:t>VOTING RIGHTS AND DIVIDENDS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Prior to a Enforcement Event</w:t>
      </w:r>
    </w:p>
    <w:p>
      <w:pPr>
        <w:spacing w:after="0" w:line="229" w:lineRule="exact"/>
        <w:rPr>
          <w:sz w:val="20"/>
          <w:szCs w:val="20"/>
          <w:color w:val="auto"/>
        </w:rPr>
      </w:pPr>
    </w:p>
    <w:p>
      <w:pPr>
        <w:jc w:val="both"/>
        <w:ind w:left="1300" w:hanging="644"/>
        <w:spacing w:after="0" w:line="263" w:lineRule="auto"/>
        <w:tabs>
          <w:tab w:leader="none" w:pos="130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Prior to such time as the Collateral Agent has, following the occurrence of an Enforcement Event, notified the Mortgagor in writing that it has elected to collect any Dividends in accordance with the terms of this Deed, the Mortgagor shall be entitled to receive and retain free from the Security any Dividends paid to it.</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Prior to such time as the Collateral Agent has, following the occurrence of an Enforcement Event, notified the Mortgagor in writing that it has elected to exercise voting and other Rights relating to the Secured Assets in accordance with the terms of this Deed, the Mortgagor shall be entitled to exercise and control the exercise of all voting and other Rights relating to the Secured Assets provided that it shall not exercise any such voting rights or powers in a manner which would diminish the effectiveness or enforceability of the Security Interests created under this Deed in any material respect or restrict the transferability of the Secured Assets by the Collateral Agent or any Relevant Person.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Following an Enforcement Event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and at all times after, the occurrence of any Enforcement Event:</w:t>
      </w:r>
    </w:p>
    <w:p>
      <w:pPr>
        <w:spacing w:after="0" w:line="227" w:lineRule="exact"/>
        <w:rPr>
          <w:sz w:val="20"/>
          <w:szCs w:val="20"/>
          <w:color w:val="auto"/>
        </w:rPr>
      </w:pPr>
    </w:p>
    <w:p>
      <w:pPr>
        <w:jc w:val="both"/>
        <w:ind w:left="1300" w:hanging="644"/>
        <w:spacing w:after="0" w:line="263" w:lineRule="auto"/>
        <w:tabs>
          <w:tab w:leader="none" w:pos="130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at the request of the Collateral Agent, all Dividends shall be paid to and retained by the Collateral Agent or, if appointed, any Receiver and any such monies which may be received by the Mortgagor shall, pending such payment, be segregated from any other property of the Mortgagor and held in trust for the Collateral Agent; and</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the Collateral Agent or, if appointed, any Receiver may, for the purpose of preserving the value of the Security or realising it, direct the exercise of all voting and other Rights relating to the Secured Assets and the Mortgagor shall procure that all voting and other Rights relating to the Secured Assets are exercised in accordance with such instructions as may, from time to time, be given to the Mortgagor by the Collateral Agent, or, if appointed, any Receiver and the Mortgagor shall deliver to the Collateral Agent or, if appointed, any Receiver such forms of proxy or other appropriate forms of authorisation as may be required to enable the Collateral Agent or, as the case may be, Receiver to exercise such voting and other Rights.</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760"/>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35" w:lineRule="exact"/>
        <w:rPr>
          <w:sz w:val="20"/>
          <w:szCs w:val="20"/>
          <w:color w:val="auto"/>
        </w:rPr>
      </w:pPr>
    </w:p>
    <w:p>
      <w:pPr>
        <w:jc w:val="both"/>
        <w:ind w:left="660"/>
        <w:spacing w:after="0" w:line="327" w:lineRule="auto"/>
        <w:rPr>
          <w:sz w:val="20"/>
          <w:szCs w:val="20"/>
          <w:color w:val="auto"/>
        </w:rPr>
      </w:pPr>
      <w:r>
        <w:rPr>
          <w:rFonts w:ascii="Arial" w:cs="Arial" w:eastAsia="Arial" w:hAnsi="Arial"/>
          <w:sz w:val="19"/>
          <w:szCs w:val="19"/>
          <w:color w:val="auto"/>
        </w:rPr>
        <w:t>The Mortgagor represents and warrants to the Collateral Agent that each of the matters set out in Schedule 2 (</w:t>
      </w:r>
      <w:r>
        <w:rPr>
          <w:rFonts w:ascii="Arial" w:cs="Arial" w:eastAsia="Arial" w:hAnsi="Arial"/>
          <w:sz w:val="19"/>
          <w:szCs w:val="19"/>
          <w:i w:val="1"/>
          <w:iCs w:val="1"/>
          <w:color w:val="auto"/>
        </w:rPr>
        <w:t>Assigned</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w:t>
      </w:r>
      <w:r>
        <w:rPr>
          <w:rFonts w:ascii="Arial" w:cs="Arial" w:eastAsia="Arial" w:hAnsi="Arial"/>
          <w:sz w:val="19"/>
          <w:szCs w:val="19"/>
          <w:color w:val="auto"/>
        </w:rPr>
        <w:t>) (save the matters in paragraph 0) is true and correct as at the date hereof. Each representation and warranty 0</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given (and the matters therein true and correct) on the date of each issue of any Shares referred to in it.</w:t>
      </w:r>
    </w:p>
    <w:p>
      <w:pPr>
        <w:spacing w:after="0" w:line="123" w:lineRule="exact"/>
        <w:rPr>
          <w:sz w:val="20"/>
          <w:szCs w:val="20"/>
          <w:color w:val="auto"/>
        </w:rPr>
      </w:pPr>
    </w:p>
    <w:p>
      <w:pPr>
        <w:ind w:left="660" w:hanging="652"/>
        <w:spacing w:after="0"/>
        <w:tabs>
          <w:tab w:leader="none" w:pos="660" w:val="left"/>
        </w:tabs>
        <w:numPr>
          <w:ilvl w:val="0"/>
          <w:numId w:val="761"/>
        </w:numPr>
        <w:rPr>
          <w:rFonts w:ascii="Arial" w:cs="Arial" w:eastAsia="Arial" w:hAnsi="Arial"/>
          <w:sz w:val="18"/>
          <w:szCs w:val="18"/>
          <w:color w:val="auto"/>
        </w:rPr>
      </w:pPr>
      <w:r>
        <w:rPr>
          <w:rFonts w:ascii="Arial" w:cs="Arial" w:eastAsia="Arial" w:hAnsi="Arial"/>
          <w:sz w:val="18"/>
          <w:szCs w:val="18"/>
          <w:b w:val="1"/>
          <w:bCs w:val="1"/>
          <w:color w:val="auto"/>
        </w:rPr>
        <w:t>RESTRICTIONS ON DEALINGS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Security</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The Mortgagor may only create, incur, assume or permit to exist a Security Interest on any Secured Asset if it is permitted by Section 8.04 (</w:t>
      </w:r>
      <w:r>
        <w:rPr>
          <w:rFonts w:ascii="Arial" w:cs="Arial" w:eastAsia="Arial" w:hAnsi="Arial"/>
          <w:sz w:val="22"/>
          <w:szCs w:val="22"/>
          <w:i w:val="1"/>
          <w:iCs w:val="1"/>
          <w:color w:val="auto"/>
        </w:rPr>
        <w:t>Liens</w:t>
      </w:r>
      <w:r>
        <w:rPr>
          <w:rFonts w:ascii="Arial" w:cs="Arial" w:eastAsia="Arial" w:hAnsi="Arial"/>
          <w:sz w:val="22"/>
          <w:szCs w:val="22"/>
          <w:color w:val="auto"/>
        </w:rPr>
        <w:t>) of the Loan Agreement.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Disposals</w:t>
      </w:r>
    </w:p>
    <w:p>
      <w:pPr>
        <w:spacing w:after="0" w:line="235" w:lineRule="exact"/>
        <w:rPr>
          <w:sz w:val="20"/>
          <w:szCs w:val="20"/>
          <w:color w:val="auto"/>
        </w:rPr>
      </w:pPr>
    </w:p>
    <w:p>
      <w:pPr>
        <w:ind w:left="660" w:right="20"/>
        <w:spacing w:after="0" w:line="276" w:lineRule="auto"/>
        <w:rPr>
          <w:sz w:val="20"/>
          <w:szCs w:val="20"/>
          <w:color w:val="auto"/>
        </w:rPr>
      </w:pPr>
      <w:r>
        <w:rPr>
          <w:rFonts w:ascii="Arial" w:cs="Arial" w:eastAsia="Arial" w:hAnsi="Arial"/>
          <w:sz w:val="22"/>
          <w:szCs w:val="22"/>
          <w:color w:val="auto"/>
        </w:rPr>
        <w:t>The Mortgagor may only Dispose of any Secured Asset if it is permitted by Section 8.05 (</w:t>
      </w:r>
      <w:r>
        <w:rPr>
          <w:rFonts w:ascii="Arial" w:cs="Arial" w:eastAsia="Arial" w:hAnsi="Arial"/>
          <w:sz w:val="22"/>
          <w:szCs w:val="22"/>
          <w:i w:val="1"/>
          <w:iCs w:val="1"/>
          <w:color w:val="auto"/>
        </w:rPr>
        <w:t>Asset Dispositions</w:t>
      </w:r>
      <w:r>
        <w:rPr>
          <w:rFonts w:ascii="Arial" w:cs="Arial" w:eastAsia="Arial" w:hAnsi="Arial"/>
          <w:sz w:val="22"/>
          <w:szCs w:val="22"/>
          <w:color w:val="auto"/>
        </w:rPr>
        <w:t>) of the Loan Agreement.</w:t>
      </w:r>
    </w:p>
    <w:p>
      <w:pPr>
        <w:sectPr>
          <w:pgSz w:w="11900" w:h="16838" w:orient="portrait"/>
          <w:cols w:equalWidth="0" w:num="1">
            <w:col w:w="11240"/>
          </w:cols>
          <w:pgMar w:left="320" w:top="126" w:right="339" w:bottom="0" w:gutter="0" w:footer="0" w:header="0"/>
        </w:sectPr>
      </w:pPr>
    </w:p>
    <w:p>
      <w:pPr>
        <w:spacing w:after="0" w:line="164" w:lineRule="exact"/>
        <w:rPr>
          <w:sz w:val="20"/>
          <w:szCs w:val="20"/>
          <w:color w:val="auto"/>
        </w:rPr>
      </w:pPr>
    </w:p>
    <w:p>
      <w:pPr>
        <w:ind w:left="660" w:hanging="652"/>
        <w:spacing w:after="0"/>
        <w:tabs>
          <w:tab w:leader="none" w:pos="660" w:val="left"/>
        </w:tabs>
        <w:numPr>
          <w:ilvl w:val="0"/>
          <w:numId w:val="762"/>
        </w:numPr>
        <w:rPr>
          <w:rFonts w:ascii="Arial" w:cs="Arial" w:eastAsia="Arial" w:hAnsi="Arial"/>
          <w:sz w:val="17"/>
          <w:szCs w:val="17"/>
          <w:color w:val="auto"/>
        </w:rPr>
      </w:pPr>
      <w:r>
        <w:rPr>
          <w:rFonts w:ascii="Arial" w:cs="Arial" w:eastAsia="Arial" w:hAnsi="Arial"/>
          <w:sz w:val="17"/>
          <w:szCs w:val="17"/>
          <w:b w:val="1"/>
          <w:bCs w:val="1"/>
          <w:color w:val="auto"/>
        </w:rPr>
        <w:t>COVENANTS</w:t>
      </w:r>
    </w:p>
    <w:p>
      <w:pPr>
        <w:sectPr>
          <w:pgSz w:w="11900" w:h="16838" w:orient="portrait"/>
          <w:cols w:equalWidth="0" w:num="1">
            <w:col w:w="11240"/>
          </w:cols>
          <w:pgMar w:left="320" w:top="126" w:right="339" w:bottom="0" w:gutter="0" w:footer="0" w:header="0"/>
          <w:type w:val="continuous"/>
        </w:sectPr>
      </w:pPr>
    </w:p>
    <w:bookmarkStart w:id="622" w:name="page623"/>
    <w:bookmarkEnd w:id="622"/>
    <w:p>
      <w:pPr>
        <w:ind w:left="660"/>
        <w:spacing w:after="0"/>
        <w:rPr>
          <w:sz w:val="20"/>
          <w:szCs w:val="20"/>
          <w:color w:val="auto"/>
        </w:rPr>
      </w:pPr>
      <w:r>
        <w:rPr>
          <w:rFonts w:ascii="Arial" w:cs="Arial" w:eastAsia="Arial" w:hAnsi="Arial"/>
          <w:sz w:val="21"/>
          <w:szCs w:val="21"/>
          <w:color w:val="auto"/>
        </w:rPr>
        <w:t>The Mortgagor covenants with the Collateral Agent in the terms set out in Schedule 3 (</w:t>
      </w:r>
      <w:r>
        <w:rPr>
          <w:rFonts w:ascii="Arial" w:cs="Arial" w:eastAsia="Arial" w:hAnsi="Arial"/>
          <w:sz w:val="21"/>
          <w:szCs w:val="21"/>
          <w:i w:val="1"/>
          <w:iCs w:val="1"/>
          <w:color w:val="auto"/>
        </w:rPr>
        <w:t>Insurance</w:t>
      </w:r>
      <w:r>
        <w:rPr>
          <w:rFonts w:ascii="Arial" w:cs="Arial" w:eastAsia="Arial" w:hAnsi="Arial"/>
          <w:sz w:val="21"/>
          <w:szCs w:val="21"/>
          <w:color w:val="auto"/>
        </w:rPr>
        <w:t xml:space="preserve"> </w:t>
      </w:r>
      <w:r>
        <w:rPr>
          <w:rFonts w:ascii="Arial" w:cs="Arial" w:eastAsia="Arial" w:hAnsi="Arial"/>
          <w:sz w:val="21"/>
          <w:szCs w:val="21"/>
          <w:b w:val="1"/>
          <w:bCs w:val="1"/>
          <w:color w:val="auto"/>
        </w:rPr>
        <w:t>POLICIES</w:t>
      </w:r>
      <w:r>
        <w:rPr>
          <w:rFonts w:ascii="Arial" w:cs="Arial" w:eastAsia="Arial" w:hAnsi="Arial"/>
          <w:sz w:val="21"/>
          <w:szCs w:val="21"/>
          <w:color w:val="auto"/>
        </w:rPr>
        <w:t>).</w:t>
      </w:r>
    </w:p>
    <w:p>
      <w:pPr>
        <w:spacing w:after="0" w:line="240" w:lineRule="exact"/>
        <w:rPr>
          <w:sz w:val="20"/>
          <w:szCs w:val="20"/>
          <w:color w:val="auto"/>
        </w:rPr>
      </w:pPr>
    </w:p>
    <w:p>
      <w:pPr>
        <w:ind w:left="660" w:hanging="652"/>
        <w:spacing w:after="0"/>
        <w:tabs>
          <w:tab w:leader="none" w:pos="660" w:val="left"/>
        </w:tabs>
        <w:numPr>
          <w:ilvl w:val="0"/>
          <w:numId w:val="763"/>
        </w:numPr>
        <w:rPr>
          <w:rFonts w:ascii="Arial" w:cs="Arial" w:eastAsia="Arial" w:hAnsi="Arial"/>
          <w:sz w:val="18"/>
          <w:szCs w:val="18"/>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Mortgagor irrevocably and by way of security appoints the Collateral Agent and each Receiver severally to be its attorney (each with full powers of substitution and delegation), on its behalf, in its name or otherwise, and, after the occurrence of an Enforcement Event, at such times and in such manner as the attorney may reasonably think fit:</w:t>
      </w:r>
    </w:p>
    <w:p>
      <w:pPr>
        <w:spacing w:after="0" w:line="184" w:lineRule="exact"/>
        <w:rPr>
          <w:sz w:val="20"/>
          <w:szCs w:val="20"/>
          <w:color w:val="auto"/>
        </w:rPr>
      </w:pPr>
    </w:p>
    <w:p>
      <w:pPr>
        <w:ind w:left="1300" w:hanging="644"/>
        <w:spacing w:after="0"/>
        <w:tabs>
          <w:tab w:leader="none" w:pos="1300" w:val="left"/>
        </w:tabs>
        <w:numPr>
          <w:ilvl w:val="0"/>
          <w:numId w:val="764"/>
        </w:numPr>
        <w:rPr>
          <w:rFonts w:ascii="Arial" w:cs="Arial" w:eastAsia="Arial" w:hAnsi="Arial"/>
          <w:sz w:val="18"/>
          <w:szCs w:val="18"/>
          <w:color w:val="auto"/>
        </w:rPr>
      </w:pPr>
      <w:r>
        <w:rPr>
          <w:rFonts w:ascii="Arial" w:cs="Arial" w:eastAsia="Arial" w:hAnsi="Arial"/>
          <w:sz w:val="18"/>
          <w:szCs w:val="18"/>
          <w:color w:val="auto"/>
        </w:rPr>
        <w:t>to do anything which the Mortgagor is obliged to do under this Deed but has not done in a timely manner;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64"/>
        </w:numPr>
        <w:rPr>
          <w:rFonts w:ascii="Arial" w:cs="Arial" w:eastAsia="Arial" w:hAnsi="Arial"/>
          <w:sz w:val="18"/>
          <w:szCs w:val="18"/>
          <w:color w:val="auto"/>
        </w:rPr>
      </w:pPr>
      <w:r>
        <w:rPr>
          <w:rFonts w:ascii="Arial" w:cs="Arial" w:eastAsia="Arial" w:hAnsi="Arial"/>
          <w:sz w:val="18"/>
          <w:szCs w:val="18"/>
          <w:color w:val="auto"/>
        </w:rPr>
        <w:t>to do anything which it reasonably considers appropriate in relation to the exercise of any of its Rights under this Deed, the LPA, the Insolvency Act or otherwise,</w:t>
      </w:r>
    </w:p>
    <w:p>
      <w:pPr>
        <w:spacing w:after="0" w:line="177" w:lineRule="exact"/>
        <w:rPr>
          <w:sz w:val="20"/>
          <w:szCs w:val="20"/>
          <w:color w:val="auto"/>
        </w:rPr>
      </w:pPr>
    </w:p>
    <w:p>
      <w:pPr>
        <w:jc w:val="both"/>
        <w:ind w:left="660"/>
        <w:spacing w:after="0" w:line="299" w:lineRule="auto"/>
        <w:rPr>
          <w:sz w:val="20"/>
          <w:szCs w:val="20"/>
          <w:color w:val="auto"/>
        </w:rPr>
      </w:pPr>
      <w:r>
        <w:rPr>
          <w:rFonts w:ascii="Arial" w:cs="Arial" w:eastAsia="Arial" w:hAnsi="Arial"/>
          <w:sz w:val="19"/>
          <w:szCs w:val="19"/>
          <w:color w:val="auto"/>
        </w:rPr>
        <w:t>including, without limitation, the execution and delivery of transfers of any Secured Asset (to the Collateral Agent or otherwise) (but only after an Enforcement Event), the completion of any stock transfer form deposited with the Collateral</w:t>
      </w:r>
    </w:p>
    <w:p>
      <w:pPr>
        <w:jc w:val="both"/>
        <w:ind w:left="660"/>
        <w:spacing w:after="0" w:line="315" w:lineRule="auto"/>
        <w:rPr>
          <w:sz w:val="20"/>
          <w:szCs w:val="20"/>
          <w:color w:val="auto"/>
        </w:rPr>
      </w:pPr>
      <w:r>
        <w:rPr>
          <w:rFonts w:ascii="Arial" w:cs="Arial" w:eastAsia="Arial" w:hAnsi="Arial"/>
          <w:sz w:val="19"/>
          <w:szCs w:val="19"/>
          <w:color w:val="auto"/>
        </w:rPr>
        <w:t>Agent pursuant to Clause 0 (</w:t>
      </w:r>
      <w:r>
        <w:rPr>
          <w:rFonts w:ascii="Arial" w:cs="Arial" w:eastAsia="Arial" w:hAnsi="Arial"/>
          <w:sz w:val="19"/>
          <w:szCs w:val="19"/>
          <w:i w:val="1"/>
          <w:iCs w:val="1"/>
          <w:color w:val="auto"/>
        </w:rPr>
        <w:t>7. Covenant to</w:t>
      </w:r>
      <w:r>
        <w:rPr>
          <w:rFonts w:ascii="Arial" w:cs="Arial" w:eastAsia="Arial" w:hAnsi="Arial"/>
          <w:sz w:val="19"/>
          <w:szCs w:val="19"/>
          <w:color w:val="auto"/>
        </w:rPr>
        <w:t xml:space="preserve"> </w:t>
      </w:r>
      <w:r>
        <w:rPr>
          <w:rFonts w:ascii="Arial" w:cs="Arial" w:eastAsia="Arial" w:hAnsi="Arial"/>
          <w:sz w:val="19"/>
          <w:szCs w:val="19"/>
          <w:b w:val="1"/>
          <w:bCs w:val="1"/>
          <w:color w:val="auto"/>
        </w:rPr>
        <w:t>DEPOSIT</w:t>
      </w:r>
      <w:r>
        <w:rPr>
          <w:rFonts w:ascii="Arial" w:cs="Arial" w:eastAsia="Arial" w:hAnsi="Arial"/>
          <w:sz w:val="19"/>
          <w:szCs w:val="19"/>
          <w:color w:val="auto"/>
        </w:rPr>
        <w:t>) (but only after an Enforcement Event), the giving of any notice relating to all or any of the Secured Assets or Security, the execution of any other document whatsoever and (but only after an Enforcement Event) the exercise of any voting or other Rights of the Mortgagor in its capacity as legal owner of the Original Shares, Further Shares and any other shares comprised in any Derived Asset.</w:t>
      </w:r>
    </w:p>
    <w:p>
      <w:pPr>
        <w:spacing w:after="0" w:line="138"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Mortgagor hereby ratifies and confirms and agrees to ratify and confirm whatever the attorney shall do or purport to do in the exercise or purported exercise of its Rights as attorney.</w:t>
      </w:r>
    </w:p>
    <w:p>
      <w:pPr>
        <w:spacing w:after="0" w:line="166" w:lineRule="exact"/>
        <w:rPr>
          <w:sz w:val="20"/>
          <w:szCs w:val="20"/>
          <w:color w:val="auto"/>
        </w:rPr>
      </w:pPr>
    </w:p>
    <w:p>
      <w:pPr>
        <w:ind w:left="660" w:hanging="652"/>
        <w:spacing w:after="0"/>
        <w:tabs>
          <w:tab w:leader="none" w:pos="660" w:val="left"/>
        </w:tabs>
        <w:numPr>
          <w:ilvl w:val="0"/>
          <w:numId w:val="765"/>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Enforceability</w:t>
      </w: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The Security shall, subject to any prohibition or restriction imposed by law, become enforceable upon and at any time after an Event of Default occurs and is continuing (an "</w:t>
      </w:r>
      <w:r>
        <w:rPr>
          <w:rFonts w:ascii="Arial" w:cs="Arial" w:eastAsia="Arial" w:hAnsi="Arial"/>
          <w:sz w:val="22"/>
          <w:szCs w:val="22"/>
          <w:b w:val="1"/>
          <w:bCs w:val="1"/>
          <w:color w:val="auto"/>
        </w:rPr>
        <w:t>Enforcement Event</w:t>
      </w:r>
      <w:r>
        <w:rPr>
          <w:rFonts w:ascii="Arial" w:cs="Arial" w:eastAsia="Arial" w:hAnsi="Arial"/>
          <w:sz w:val="22"/>
          <w:szCs w:val="22"/>
          <w:color w:val="auto"/>
        </w:rPr>
        <w: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Enforcement</w:t>
      </w:r>
    </w:p>
    <w:p>
      <w:pPr>
        <w:spacing w:after="0" w:line="225" w:lineRule="exact"/>
        <w:rPr>
          <w:sz w:val="20"/>
          <w:szCs w:val="20"/>
          <w:color w:val="auto"/>
        </w:rPr>
      </w:pPr>
    </w:p>
    <w:p>
      <w:pPr>
        <w:ind w:left="1300" w:hanging="644"/>
        <w:spacing w:after="0" w:line="282" w:lineRule="auto"/>
        <w:tabs>
          <w:tab w:leader="none" w:pos="130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At any time after the Security has become enforceable in accordance with Clause 0 (</w:t>
      </w:r>
      <w:r>
        <w:rPr>
          <w:rFonts w:ascii="Arial" w:cs="Arial" w:eastAsia="Arial" w:hAnsi="Arial"/>
          <w:sz w:val="18"/>
          <w:szCs w:val="18"/>
          <w:i w:val="1"/>
          <w:iCs w:val="1"/>
          <w:color w:val="auto"/>
        </w:rPr>
        <w:t>14.1</w:t>
      </w:r>
      <w:r>
        <w:rPr>
          <w:rFonts w:ascii="Arial" w:cs="Arial" w:eastAsia="Arial" w:hAnsi="Arial"/>
          <w:sz w:val="18"/>
          <w:szCs w:val="18"/>
          <w:b w:val="1"/>
          <w:bCs w:val="1"/>
          <w:color w:val="auto"/>
        </w:rPr>
        <w:t>Enforceability</w:t>
      </w:r>
      <w:r>
        <w:rPr>
          <w:rFonts w:ascii="Arial" w:cs="Arial" w:eastAsia="Arial" w:hAnsi="Arial"/>
          <w:sz w:val="18"/>
          <w:szCs w:val="18"/>
          <w:color w:val="auto"/>
        </w:rPr>
        <w:t>), the Collateral Agent may (but shall not be obliged to) do any one or more of the following:</w:t>
      </w:r>
    </w:p>
    <w:p>
      <w:pPr>
        <w:spacing w:after="0" w:line="16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766"/>
        </w:numPr>
        <w:rPr>
          <w:rFonts w:ascii="Arial" w:cs="Arial" w:eastAsia="Arial" w:hAnsi="Arial"/>
          <w:sz w:val="18"/>
          <w:szCs w:val="18"/>
          <w:color w:val="auto"/>
        </w:rPr>
      </w:pPr>
      <w:r>
        <w:rPr>
          <w:rFonts w:ascii="Arial" w:cs="Arial" w:eastAsia="Arial" w:hAnsi="Arial"/>
          <w:sz w:val="18"/>
          <w:szCs w:val="18"/>
          <w:color w:val="auto"/>
        </w:rPr>
        <w:t>take possession of, get in and collect all or any of the Secured Assets, and in particular take any steps necessary to vest all or any of the Secured Assets in the name of the Collateral Agent or its nominee including completing any transfers of any shares comprised in the Secured Assets and receive and retain any dividends;</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766"/>
        </w:numPr>
        <w:rPr>
          <w:rFonts w:ascii="Arial" w:cs="Arial" w:eastAsia="Arial" w:hAnsi="Arial"/>
          <w:sz w:val="18"/>
          <w:szCs w:val="18"/>
          <w:color w:val="auto"/>
        </w:rPr>
      </w:pPr>
      <w:r>
        <w:rPr>
          <w:rFonts w:ascii="Arial" w:cs="Arial" w:eastAsia="Arial" w:hAnsi="Arial"/>
          <w:sz w:val="18"/>
          <w:szCs w:val="18"/>
          <w:color w:val="auto"/>
        </w:rPr>
        <w:t>exercise all rights conferred on a mortgagee by law including, without limitation, under the LPA (as such rights are varied or extended, where applicable, by this Deed);</w:t>
      </w:r>
    </w:p>
    <w:p>
      <w:pPr>
        <w:spacing w:after="0" w:line="166" w:lineRule="exact"/>
        <w:rPr>
          <w:sz w:val="20"/>
          <w:szCs w:val="20"/>
          <w:color w:val="auto"/>
        </w:rPr>
      </w:pPr>
    </w:p>
    <w:p>
      <w:pPr>
        <w:ind w:left="1300"/>
        <w:spacing w:after="0"/>
        <w:tabs>
          <w:tab w:leader="none" w:pos="2020" w:val="left"/>
          <w:tab w:leader="none" w:pos="59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exercise its rights under Clause 0 (</w:t>
      </w:r>
      <w:r>
        <w:rPr>
          <w:rFonts w:ascii="Arial" w:cs="Arial" w:eastAsia="Arial" w:hAnsi="Arial"/>
          <w:sz w:val="18"/>
          <w:szCs w:val="18"/>
          <w:i w:val="1"/>
          <w:iCs w:val="1"/>
          <w:color w:val="auto"/>
        </w:rPr>
        <w:t>14.3</w:t>
      </w:r>
      <w:r>
        <w:rPr>
          <w:sz w:val="20"/>
          <w:szCs w:val="20"/>
          <w:color w:val="auto"/>
        </w:rPr>
        <w:tab/>
      </w:r>
      <w:r>
        <w:rPr>
          <w:rFonts w:ascii="Arial" w:cs="Arial" w:eastAsia="Arial" w:hAnsi="Arial"/>
          <w:sz w:val="17"/>
          <w:szCs w:val="17"/>
          <w:i w:val="1"/>
          <w:iCs w:val="1"/>
          <w:color w:val="auto"/>
        </w:rPr>
        <w:t xml:space="preserve">Appropriation of Financial </w:t>
      </w:r>
      <w:r>
        <w:rPr>
          <w:rFonts w:ascii="Arial" w:cs="Arial" w:eastAsia="Arial" w:hAnsi="Arial"/>
          <w:sz w:val="17"/>
          <w:szCs w:val="17"/>
          <w:b w:val="1"/>
          <w:bCs w:val="1"/>
          <w:color w:val="auto"/>
        </w:rPr>
        <w:t>Collateral</w:t>
      </w:r>
      <w:r>
        <w:rPr>
          <w:rFonts w:ascii="Arial" w:cs="Arial" w:eastAsia="Arial" w:hAnsi="Arial"/>
          <w:sz w:val="17"/>
          <w:szCs w:val="17"/>
          <w:color w:val="auto"/>
        </w:rPr>
        <w:t>);</w:t>
      </w:r>
    </w:p>
    <w:p>
      <w:pPr>
        <w:spacing w:after="0" w:line="229" w:lineRule="exact"/>
        <w:rPr>
          <w:sz w:val="20"/>
          <w:szCs w:val="20"/>
          <w:color w:val="auto"/>
        </w:rPr>
      </w:pPr>
    </w:p>
    <w:p>
      <w:pPr>
        <w:jc w:val="both"/>
        <w:ind w:left="1960" w:hanging="656"/>
        <w:spacing w:after="0" w:line="279" w:lineRule="auto"/>
        <w:tabs>
          <w:tab w:leader="none" w:pos="1960" w:val="left"/>
        </w:tabs>
        <w:numPr>
          <w:ilvl w:val="0"/>
          <w:numId w:val="767"/>
        </w:numPr>
        <w:rPr>
          <w:rFonts w:ascii="Arial" w:cs="Arial" w:eastAsia="Arial" w:hAnsi="Arial"/>
          <w:sz w:val="17"/>
          <w:szCs w:val="17"/>
          <w:color w:val="auto"/>
        </w:rPr>
      </w:pPr>
      <w:r>
        <w:rPr>
          <w:rFonts w:ascii="Arial" w:cs="Arial" w:eastAsia="Arial" w:hAnsi="Arial"/>
          <w:sz w:val="17"/>
          <w:szCs w:val="17"/>
          <w:color w:val="auto"/>
        </w:rPr>
        <w:t>sell, exchange, convert into money or otherwise dispose of or realise the Secured Assets (whether by public offer or private contract) to any person and for such consideration (whether comprising cash, debentures or other obligations, shares or other valuable consideration of any kind) and on such terms (whether payable or deliverable in a lump sum or by instalments) as it may reasonably think fit, and for this purpose complete any transfers of any of the Secured Assets;</w:t>
      </w:r>
    </w:p>
    <w:p>
      <w:pPr>
        <w:spacing w:after="0" w:line="171" w:lineRule="exact"/>
        <w:rPr>
          <w:rFonts w:ascii="Arial" w:cs="Arial" w:eastAsia="Arial" w:hAnsi="Arial"/>
          <w:sz w:val="17"/>
          <w:szCs w:val="17"/>
          <w:color w:val="auto"/>
        </w:rPr>
      </w:pPr>
    </w:p>
    <w:p>
      <w:pPr>
        <w:ind w:left="1960" w:hanging="656"/>
        <w:spacing w:after="0" w:line="277" w:lineRule="auto"/>
        <w:tabs>
          <w:tab w:leader="none" w:pos="196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following written notice to the Mortgagor, exercise or direct the exercise of all voting and other Rights relating to the Secured Assets in such manner as it may reasonably think fit;</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settle, adjust, refer to arbitration, compromise and arrange any claims, accounts, Disputes, questions and demands relating in any way to the Secured Assets;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bring, prosecute, enforce, defend and abandon actions, suits and Proceedings in relation to the Secured Assets;</w:t>
      </w:r>
    </w:p>
    <w:p>
      <w:pPr>
        <w:spacing w:after="0" w:line="221" w:lineRule="exact"/>
        <w:rPr>
          <w:sz w:val="20"/>
          <w:szCs w:val="20"/>
          <w:color w:val="auto"/>
        </w:rPr>
      </w:pPr>
    </w:p>
    <w:p>
      <w:pPr>
        <w:ind w:left="1300"/>
        <w:spacing w:after="0"/>
        <w:tabs>
          <w:tab w:leader="none" w:pos="2100" w:val="left"/>
          <w:tab w:leader="none" w:pos="598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color w:val="auto"/>
        </w:rPr>
        <w:t>exercise its rights under Clause 0 (</w:t>
      </w:r>
      <w:r>
        <w:rPr>
          <w:rFonts w:ascii="Arial" w:cs="Arial" w:eastAsia="Arial" w:hAnsi="Arial"/>
          <w:sz w:val="18"/>
          <w:szCs w:val="18"/>
          <w:i w:val="1"/>
          <w:iCs w:val="1"/>
          <w:color w:val="auto"/>
        </w:rPr>
        <w:t>15.</w:t>
      </w:r>
      <w:r>
        <w:rPr>
          <w:sz w:val="20"/>
          <w:szCs w:val="20"/>
          <w:color w:val="auto"/>
        </w:rPr>
        <w:tab/>
      </w:r>
      <w:r>
        <w:rPr>
          <w:rFonts w:ascii="Arial" w:cs="Arial" w:eastAsia="Arial" w:hAnsi="Arial"/>
          <w:sz w:val="16"/>
          <w:szCs w:val="16"/>
          <w:i w:val="1"/>
          <w:iCs w:val="1"/>
          <w:color w:val="auto"/>
        </w:rPr>
        <w:t xml:space="preserve">Appointment Of </w:t>
      </w:r>
      <w:r>
        <w:rPr>
          <w:rFonts w:ascii="Arial" w:cs="Arial" w:eastAsia="Arial" w:hAnsi="Arial"/>
          <w:sz w:val="16"/>
          <w:szCs w:val="16"/>
          <w:b w:val="1"/>
          <w:bCs w:val="1"/>
          <w:color w:val="auto"/>
        </w:rPr>
        <w:t>Receivers</w:t>
      </w:r>
      <w:r>
        <w:rPr>
          <w:rFonts w:ascii="Arial" w:cs="Arial" w:eastAsia="Arial" w:hAnsi="Arial"/>
          <w:sz w:val="16"/>
          <w:szCs w:val="16"/>
          <w:color w:val="auto"/>
        </w:rPr>
        <w:t>); and</w:t>
      </w:r>
    </w:p>
    <w:p>
      <w:pPr>
        <w:spacing w:after="0" w:line="229" w:lineRule="exact"/>
        <w:rPr>
          <w:sz w:val="20"/>
          <w:szCs w:val="20"/>
          <w:color w:val="auto"/>
        </w:rPr>
      </w:pPr>
    </w:p>
    <w:p>
      <w:pPr>
        <w:jc w:val="both"/>
        <w:ind w:left="1960" w:hanging="656"/>
        <w:spacing w:after="0" w:line="263" w:lineRule="auto"/>
        <w:tabs>
          <w:tab w:leader="none" w:pos="1960" w:val="left"/>
        </w:tabs>
        <w:numPr>
          <w:ilvl w:val="1"/>
          <w:numId w:val="768"/>
        </w:numPr>
        <w:rPr>
          <w:rFonts w:ascii="Arial" w:cs="Arial" w:eastAsia="Arial" w:hAnsi="Arial"/>
          <w:sz w:val="18"/>
          <w:szCs w:val="18"/>
          <w:color w:val="auto"/>
        </w:rPr>
      </w:pPr>
      <w:r>
        <w:rPr>
          <w:rFonts w:ascii="Arial" w:cs="Arial" w:eastAsia="Arial" w:hAnsi="Arial"/>
          <w:sz w:val="18"/>
          <w:szCs w:val="18"/>
          <w:color w:val="auto"/>
        </w:rPr>
        <w:t>do all such other acts and things it may consider necessary or expedient for the realisation of the Secured Assets, or incidental to the exercise of any of the Rights conferred on it, under or in connection with this Deed or the LPA and to concur in the doing of anything which it has the Right to do and to do any such thing jointly with any other person.</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769"/>
        </w:numPr>
        <w:rPr>
          <w:rFonts w:ascii="Arial" w:cs="Arial" w:eastAsia="Arial" w:hAnsi="Arial"/>
          <w:sz w:val="16"/>
          <w:szCs w:val="16"/>
          <w:color w:val="auto"/>
        </w:rPr>
      </w:pPr>
      <w:r>
        <w:rPr>
          <w:rFonts w:ascii="Arial" w:cs="Arial" w:eastAsia="Arial" w:hAnsi="Arial"/>
          <w:sz w:val="16"/>
          <w:szCs w:val="16"/>
          <w:color w:val="auto"/>
        </w:rPr>
        <w:t>For the purposes only of section 101 of the LPA, the Secured Obligations shall be deemed to have become due, and the powers conferred by that section (as varied and extended by this Deed) shall be deemed to have arisen immediately upon execution of this Deed.</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Sections 93 and 103 of the LPA shall not apply to this Deed.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color w:val="auto"/>
        </w:rPr>
        <w:t>Appropriation of Financial Collateral</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At any time after the Security has become enforceable in accordance with Clause 0 (</w:t>
      </w:r>
      <w:r>
        <w:rPr>
          <w:rFonts w:ascii="Arial" w:cs="Arial" w:eastAsia="Arial" w:hAnsi="Arial"/>
          <w:sz w:val="18"/>
          <w:szCs w:val="18"/>
          <w:i w:val="1"/>
          <w:iCs w:val="1"/>
          <w:color w:val="auto"/>
        </w:rPr>
        <w:t>14.1</w:t>
      </w:r>
      <w:r>
        <w:rPr>
          <w:rFonts w:ascii="Arial" w:cs="Arial" w:eastAsia="Arial" w:hAnsi="Arial"/>
          <w:sz w:val="18"/>
          <w:szCs w:val="18"/>
          <w:b w:val="1"/>
          <w:bCs w:val="1"/>
          <w:color w:val="auto"/>
        </w:rPr>
        <w:t>Enforceability</w:t>
      </w:r>
      <w:r>
        <w:rPr>
          <w:rFonts w:ascii="Arial" w:cs="Arial" w:eastAsia="Arial" w:hAnsi="Arial"/>
          <w:sz w:val="18"/>
          <w:szCs w:val="18"/>
          <w:color w:val="auto"/>
        </w:rPr>
        <w:t>), the Collateral Agent may, by the giving of written notice to the Mortgagor, appropriate all or any part of the Original Shares, Further Shares, any Shares comprised in any Derived Asset and any other Secured Asset which constitutes Financial Collateral.</w:t>
      </w:r>
    </w:p>
    <w:p>
      <w:pPr>
        <w:sectPr>
          <w:pgSz w:w="11900" w:h="16838" w:orient="portrait"/>
          <w:cols w:equalWidth="0" w:num="1">
            <w:col w:w="11240"/>
          </w:cols>
          <w:pgMar w:left="320" w:top="126" w:right="339" w:bottom="0" w:gutter="0" w:footer="0" w:header="0"/>
        </w:sectPr>
      </w:pPr>
    </w:p>
    <w:bookmarkStart w:id="623" w:name="page624"/>
    <w:bookmarkEnd w:id="623"/>
    <w:p>
      <w:pPr>
        <w:ind w:left="1300" w:hanging="644"/>
        <w:spacing w:after="0"/>
        <w:tabs>
          <w:tab w:leader="none" w:pos="1300" w:val="left"/>
        </w:tabs>
        <w:numPr>
          <w:ilvl w:val="1"/>
          <w:numId w:val="771"/>
        </w:numPr>
        <w:rPr>
          <w:rFonts w:ascii="Arial" w:cs="Arial" w:eastAsia="Arial" w:hAnsi="Arial"/>
          <w:sz w:val="18"/>
          <w:szCs w:val="18"/>
          <w:color w:val="auto"/>
        </w:rPr>
      </w:pPr>
      <w:r>
        <w:rPr>
          <w:rFonts w:ascii="Arial" w:cs="Arial" w:eastAsia="Arial" w:hAnsi="Arial"/>
          <w:sz w:val="18"/>
          <w:szCs w:val="18"/>
          <w:color w:val="auto"/>
        </w:rPr>
        <w:t>If the Collateral Agent exercises that power of appropriation:</w:t>
      </w:r>
    </w:p>
    <w:p>
      <w:pPr>
        <w:spacing w:after="0" w:line="225" w:lineRule="exact"/>
        <w:rPr>
          <w:rFonts w:ascii="Arial" w:cs="Arial" w:eastAsia="Arial" w:hAnsi="Arial"/>
          <w:sz w:val="18"/>
          <w:szCs w:val="18"/>
          <w:color w:val="auto"/>
        </w:rPr>
      </w:pPr>
    </w:p>
    <w:p>
      <w:pPr>
        <w:jc w:val="both"/>
        <w:ind w:left="1960" w:hanging="656"/>
        <w:spacing w:after="0" w:line="257" w:lineRule="auto"/>
        <w:tabs>
          <w:tab w:leader="none" w:pos="1960" w:val="left"/>
        </w:tabs>
        <w:numPr>
          <w:ilvl w:val="2"/>
          <w:numId w:val="771"/>
        </w:numPr>
        <w:rPr>
          <w:rFonts w:ascii="Arial" w:cs="Arial" w:eastAsia="Arial" w:hAnsi="Arial"/>
          <w:sz w:val="18"/>
          <w:szCs w:val="18"/>
          <w:color w:val="auto"/>
        </w:rPr>
      </w:pPr>
      <w:r>
        <w:rPr>
          <w:rFonts w:ascii="Arial" w:cs="Arial" w:eastAsia="Arial" w:hAnsi="Arial"/>
          <w:sz w:val="18"/>
          <w:szCs w:val="18"/>
          <w:color w:val="auto"/>
        </w:rPr>
        <w:t>any Original Shares, Further Shares or Shares comprised in any Derived Asset shall be valued by the Collateral Agent as at the time of exercise of the power; their value shall be the amount of any cash payment which the Collateral Agent reasonably determines would be received on a sale or other disposal of such Shares effected for payment as soon as reasonably possible after that time; and the Collateral Agent will make that determination in a commercially reasonable manner (including by way of an independent valuation); and</w:t>
      </w:r>
    </w:p>
    <w:p>
      <w:pPr>
        <w:spacing w:after="0" w:line="187" w:lineRule="exact"/>
        <w:rPr>
          <w:rFonts w:ascii="Arial" w:cs="Arial" w:eastAsia="Arial" w:hAnsi="Arial"/>
          <w:sz w:val="18"/>
          <w:szCs w:val="18"/>
          <w:color w:val="auto"/>
        </w:rPr>
      </w:pPr>
    </w:p>
    <w:p>
      <w:pPr>
        <w:jc w:val="both"/>
        <w:ind w:left="1960" w:hanging="656"/>
        <w:spacing w:after="0" w:line="301" w:lineRule="auto"/>
        <w:tabs>
          <w:tab w:leader="none" w:pos="1960" w:val="left"/>
        </w:tabs>
        <w:numPr>
          <w:ilvl w:val="2"/>
          <w:numId w:val="771"/>
        </w:numPr>
        <w:rPr>
          <w:rFonts w:ascii="Arial" w:cs="Arial" w:eastAsia="Arial" w:hAnsi="Arial"/>
          <w:sz w:val="16"/>
          <w:szCs w:val="16"/>
          <w:color w:val="auto"/>
        </w:rPr>
      </w:pPr>
      <w:r>
        <w:rPr>
          <w:rFonts w:ascii="Arial" w:cs="Arial" w:eastAsia="Arial" w:hAnsi="Arial"/>
          <w:sz w:val="16"/>
          <w:szCs w:val="16"/>
          <w:color w:val="auto"/>
        </w:rPr>
        <w:t>any Secured Asset appropriated which constitutes Cash and which is not denominated in the currency in which any Secured Obligations which then remain unpaid are required to be paid (the "</w:t>
      </w:r>
      <w:r>
        <w:rPr>
          <w:rFonts w:ascii="Arial" w:cs="Arial" w:eastAsia="Arial" w:hAnsi="Arial"/>
          <w:sz w:val="16"/>
          <w:szCs w:val="16"/>
          <w:b w:val="1"/>
          <w:bCs w:val="1"/>
          <w:color w:val="auto"/>
        </w:rPr>
        <w:t>Required Currency</w:t>
      </w:r>
      <w:r>
        <w:rPr>
          <w:rFonts w:ascii="Arial" w:cs="Arial" w:eastAsia="Arial" w:hAnsi="Arial"/>
          <w:sz w:val="16"/>
          <w:szCs w:val="16"/>
          <w:color w:val="auto"/>
        </w:rPr>
        <w:t>") shall be valued as if it had been converted into the Required Currency on the date of appropriation (or as soon as practicable thereafter) at the rate of exchange at which the Collateral Agent is able, on the relevant day, to purchase the Required Currency with the other.</w:t>
      </w:r>
    </w:p>
    <w:p>
      <w:pPr>
        <w:spacing w:after="0" w:line="153" w:lineRule="exact"/>
        <w:rPr>
          <w:rFonts w:ascii="Arial" w:cs="Arial" w:eastAsia="Arial" w:hAnsi="Arial"/>
          <w:sz w:val="16"/>
          <w:szCs w:val="16"/>
          <w:color w:val="auto"/>
        </w:rPr>
      </w:pPr>
    </w:p>
    <w:p>
      <w:pPr>
        <w:ind w:left="660" w:hanging="652"/>
        <w:spacing w:after="0"/>
        <w:tabs>
          <w:tab w:leader="none" w:pos="660" w:val="left"/>
        </w:tabs>
        <w:numPr>
          <w:ilvl w:val="0"/>
          <w:numId w:val="772"/>
        </w:numPr>
        <w:rPr>
          <w:rFonts w:ascii="Arial" w:cs="Arial" w:eastAsia="Arial" w:hAnsi="Arial"/>
          <w:sz w:val="18"/>
          <w:szCs w:val="18"/>
          <w:color w:val="auto"/>
        </w:rPr>
      </w:pPr>
      <w:r>
        <w:rPr>
          <w:rFonts w:ascii="Arial" w:cs="Arial" w:eastAsia="Arial" w:hAnsi="Arial"/>
          <w:sz w:val="18"/>
          <w:szCs w:val="18"/>
          <w:b w:val="1"/>
          <w:bCs w:val="1"/>
          <w:color w:val="auto"/>
        </w:rPr>
        <w:t>APPOINTMENT OF RECEIVERS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Appointment and removal</w:t>
      </w:r>
    </w:p>
    <w:p>
      <w:pPr>
        <w:spacing w:after="0" w:line="229" w:lineRule="exact"/>
        <w:rPr>
          <w:sz w:val="20"/>
          <w:szCs w:val="20"/>
          <w:color w:val="auto"/>
        </w:rPr>
      </w:pPr>
    </w:p>
    <w:p>
      <w:pPr>
        <w:jc w:val="both"/>
        <w:ind w:left="660"/>
        <w:spacing w:after="0" w:line="276" w:lineRule="auto"/>
        <w:rPr>
          <w:sz w:val="20"/>
          <w:szCs w:val="20"/>
          <w:color w:val="auto"/>
        </w:rPr>
      </w:pPr>
      <w:r>
        <w:rPr>
          <w:rFonts w:ascii="Arial" w:cs="Arial" w:eastAsia="Arial" w:hAnsi="Arial"/>
          <w:sz w:val="21"/>
          <w:szCs w:val="21"/>
          <w:color w:val="auto"/>
        </w:rPr>
        <w:t>At any time after the Security has become enforceable in accordance with Clause 0 (</w:t>
      </w:r>
      <w:r>
        <w:rPr>
          <w:rFonts w:ascii="Arial" w:cs="Arial" w:eastAsia="Arial" w:hAnsi="Arial"/>
          <w:sz w:val="21"/>
          <w:szCs w:val="21"/>
          <w:i w:val="1"/>
          <w:iCs w:val="1"/>
          <w:color w:val="auto"/>
        </w:rPr>
        <w:t>14.1</w:t>
      </w:r>
      <w:r>
        <w:rPr>
          <w:rFonts w:ascii="Arial" w:cs="Arial" w:eastAsia="Arial" w:hAnsi="Arial"/>
          <w:sz w:val="21"/>
          <w:szCs w:val="21"/>
          <w:color w:val="auto"/>
        </w:rPr>
        <w:t xml:space="preserve"> </w:t>
      </w:r>
      <w:r>
        <w:rPr>
          <w:rFonts w:ascii="Arial" w:cs="Arial" w:eastAsia="Arial" w:hAnsi="Arial"/>
          <w:sz w:val="21"/>
          <w:szCs w:val="21"/>
          <w:b w:val="1"/>
          <w:bCs w:val="1"/>
          <w:color w:val="auto"/>
        </w:rPr>
        <w:t>Enforceability</w:t>
      </w:r>
      <w:r>
        <w:rPr>
          <w:rFonts w:ascii="Arial" w:cs="Arial" w:eastAsia="Arial" w:hAnsi="Arial"/>
          <w:sz w:val="21"/>
          <w:szCs w:val="21"/>
          <w:color w:val="auto"/>
        </w:rPr>
        <w:t>) the Collateral Agent may, by deed or other instrument signed by any manager or officer of the Collateral Agent or by any other person authorised for this purpose by the Collateral Agent, appoint any person or persons to be Receiver or Receivers of all or any part of the Secured Assets, on such terms as the Collateral Agent reasonably thinks fit, and may similarly remove any Receiver (subject, where relevant, to any requirement for a court order) whether or not the Collateral Agent appoints any person in his place and may replace any Receiver.</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More than one Receiver</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If more than one person is appointed as Receiver, the Collateral Agent may give the relevant persons power to act jointly or severally.</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b w:val="1"/>
          <w:bCs w:val="1"/>
          <w:color w:val="auto"/>
        </w:rPr>
        <w:t>Appointment over part of the Secured Assets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any Receiver is appointed over only part of the Secured Assets:</w:t>
      </w:r>
    </w:p>
    <w:p>
      <w:pPr>
        <w:spacing w:after="0" w:line="227" w:lineRule="exact"/>
        <w:rPr>
          <w:sz w:val="20"/>
          <w:szCs w:val="20"/>
          <w:color w:val="auto"/>
        </w:rPr>
      </w:pPr>
    </w:p>
    <w:p>
      <w:pPr>
        <w:ind w:left="1300" w:hanging="644"/>
        <w:spacing w:after="0" w:line="277" w:lineRule="auto"/>
        <w:tabs>
          <w:tab w:leader="none" w:pos="130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references in this Deed to the Rights of a Receiver in relation to Secured Assets shall be construed as references to the relevant part of the Secured Assets;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the Collateral Agent may subsequently extend his appointment (or that of any Receiver replacing him) to any other part of the Secured Assets, or appoint another Receiver over that or any other part of the Secured Assets.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Statutory restrictions</w:t>
      </w:r>
    </w:p>
    <w:p>
      <w:pPr>
        <w:spacing w:after="0" w:line="229" w:lineRule="exact"/>
        <w:rPr>
          <w:sz w:val="20"/>
          <w:szCs w:val="20"/>
          <w:color w:val="auto"/>
        </w:rPr>
      </w:pPr>
    </w:p>
    <w:p>
      <w:pPr>
        <w:ind w:left="1300" w:hanging="644"/>
        <w:spacing w:after="0"/>
        <w:tabs>
          <w:tab w:leader="none" w:pos="130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Section 109(1) of the LPA shall not apply to this Deed.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The Collateral Agent's rights to appoint a Receiver or Receivers hereunder are subject to the restrictions set out in Part III of Schedule A1 to the Insolvency Act.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Agent of the Mortgagor</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Each Receiver shall, so far as the law permits, be the agent of the Mortgagor and the Mortgagor alone shall be responsible for each Receiver's remuneration and for his acts, omissions or defaults, and shall be liable on any contracts or engagements made, entered into or adopted by him and for any Losses incurred by him save, in each case, in circumstances where the liabilities or Losses arises as a direct result of the Receiver’s gross negligence or wilful misconduct.</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or incur any liability (whether to the Mortgagor or any other person) in connection with any Receiver's acts, omissions, defaults, contracts, engagements or Losses save, in each case, in circumstances where the liabilities or Losses arises as a direct result of the Receiver’s gross negligence or wilful misconduct.</w:t>
      </w:r>
    </w:p>
    <w:p>
      <w:pPr>
        <w:spacing w:after="0" w:line="180" w:lineRule="exact"/>
        <w:rPr>
          <w:sz w:val="20"/>
          <w:szCs w:val="20"/>
          <w:color w:val="auto"/>
        </w:rPr>
      </w:pPr>
    </w:p>
    <w:p>
      <w:pPr>
        <w:ind w:left="660"/>
        <w:spacing w:after="0"/>
        <w:tabs>
          <w:tab w:leader="none" w:pos="1300" w:val="left"/>
          <w:tab w:leader="none" w:pos="45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Notwithstanding Clause 00 (</w:t>
      </w:r>
      <w:r>
        <w:rPr>
          <w:rFonts w:ascii="Arial" w:cs="Arial" w:eastAsia="Arial" w:hAnsi="Arial"/>
          <w:sz w:val="18"/>
          <w:szCs w:val="18"/>
          <w:i w:val="1"/>
          <w:iCs w:val="1"/>
          <w:color w:val="auto"/>
        </w:rPr>
        <w:t>15.5</w:t>
      </w:r>
      <w:r>
        <w:rPr>
          <w:sz w:val="20"/>
          <w:szCs w:val="20"/>
          <w:color w:val="auto"/>
        </w:rPr>
        <w:tab/>
      </w:r>
      <w:r>
        <w:rPr>
          <w:rFonts w:ascii="Arial" w:cs="Arial" w:eastAsia="Arial" w:hAnsi="Arial"/>
          <w:sz w:val="17"/>
          <w:szCs w:val="17"/>
          <w:i w:val="1"/>
          <w:iCs w:val="1"/>
          <w:color w:val="auto"/>
        </w:rPr>
        <w:t xml:space="preserve">Agent of the </w:t>
      </w:r>
      <w:r>
        <w:rPr>
          <w:rFonts w:ascii="Arial" w:cs="Arial" w:eastAsia="Arial" w:hAnsi="Arial"/>
          <w:sz w:val="17"/>
          <w:szCs w:val="17"/>
          <w:b w:val="1"/>
          <w:bCs w:val="1"/>
          <w:color w:val="auto"/>
        </w:rPr>
        <w:t>Mortgagor</w:t>
      </w:r>
      <w:r>
        <w:rPr>
          <w:rFonts w:ascii="Arial" w:cs="Arial" w:eastAsia="Arial" w:hAnsi="Arial"/>
          <w:sz w:val="17"/>
          <w:szCs w:val="17"/>
          <w:color w:val="auto"/>
        </w:rPr>
        <w:t>) if a liquidator of the Mortgagor is appointed, the Receiver shall</w:t>
      </w:r>
    </w:p>
    <w:p>
      <w:pPr>
        <w:spacing w:after="0" w:line="27" w:lineRule="exact"/>
        <w:rPr>
          <w:sz w:val="20"/>
          <w:szCs w:val="20"/>
          <w:color w:val="auto"/>
        </w:rPr>
      </w:pPr>
    </w:p>
    <w:p>
      <w:pPr>
        <w:ind w:left="4560"/>
        <w:spacing w:after="0" w:line="260" w:lineRule="auto"/>
        <w:rPr>
          <w:sz w:val="20"/>
          <w:szCs w:val="20"/>
          <w:color w:val="auto"/>
        </w:rPr>
      </w:pPr>
      <w:r>
        <w:rPr>
          <w:rFonts w:ascii="Arial" w:cs="Arial" w:eastAsia="Arial" w:hAnsi="Arial"/>
          <w:sz w:val="18"/>
          <w:szCs w:val="18"/>
          <w:color w:val="auto"/>
        </w:rPr>
        <w:t>thereafter act as principal and not as agent for the Collateral Agent, unless otherwise agreed by the Collateral Agent.</w:t>
      </w:r>
    </w:p>
    <w:p>
      <w:pPr>
        <w:spacing w:after="0" w:line="181" w:lineRule="exact"/>
        <w:rPr>
          <w:sz w:val="20"/>
          <w:szCs w:val="20"/>
          <w:color w:val="auto"/>
        </w:rPr>
      </w:pPr>
    </w:p>
    <w:p>
      <w:pPr>
        <w:ind w:left="660" w:hanging="652"/>
        <w:spacing w:after="0"/>
        <w:tabs>
          <w:tab w:leader="none" w:pos="66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RIGHTS OF RECEIVERS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b w:val="1"/>
          <w:bCs w:val="1"/>
          <w:color w:val="auto"/>
        </w:rPr>
        <w:t>General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Receiver appointed under this Deed shall (subject to any contrary provision specified in his appointment) have all the</w:t>
      </w:r>
    </w:p>
    <w:p>
      <w:pPr>
        <w:spacing w:after="0" w:line="56" w:lineRule="exact"/>
        <w:rPr>
          <w:sz w:val="20"/>
          <w:szCs w:val="20"/>
          <w:color w:val="auto"/>
        </w:rPr>
      </w:pPr>
    </w:p>
    <w:p>
      <w:pPr>
        <w:jc w:val="both"/>
        <w:ind w:left="660"/>
        <w:spacing w:after="0" w:line="282" w:lineRule="auto"/>
        <w:rPr>
          <w:sz w:val="20"/>
          <w:szCs w:val="20"/>
          <w:color w:val="auto"/>
        </w:rPr>
      </w:pPr>
      <w:r>
        <w:rPr>
          <w:rFonts w:ascii="Arial" w:cs="Arial" w:eastAsia="Arial" w:hAnsi="Arial"/>
          <w:sz w:val="21"/>
          <w:szCs w:val="21"/>
          <w:color w:val="auto"/>
        </w:rPr>
        <w:t>Rights of the Collateral Agent under Clause 0 (</w:t>
      </w:r>
      <w:r>
        <w:rPr>
          <w:rFonts w:ascii="Arial" w:cs="Arial" w:eastAsia="Arial" w:hAnsi="Arial"/>
          <w:sz w:val="21"/>
          <w:szCs w:val="21"/>
          <w:i w:val="1"/>
          <w:iCs w:val="1"/>
          <w:color w:val="auto"/>
        </w:rPr>
        <w:t>17. Rights of Collateral Agent and Secured</w:t>
      </w:r>
      <w:r>
        <w:rPr>
          <w:rFonts w:ascii="Arial" w:cs="Arial" w:eastAsia="Arial" w:hAnsi="Arial"/>
          <w:sz w:val="21"/>
          <w:szCs w:val="21"/>
          <w:color w:val="auto"/>
        </w:rPr>
        <w:t xml:space="preserve"> </w:t>
      </w:r>
      <w:r>
        <w:rPr>
          <w:rFonts w:ascii="Arial" w:cs="Arial" w:eastAsia="Arial" w:hAnsi="Arial"/>
          <w:sz w:val="21"/>
          <w:szCs w:val="21"/>
          <w:b w:val="1"/>
          <w:bCs w:val="1"/>
          <w:color w:val="auto"/>
        </w:rPr>
        <w:t>PARTIES</w:t>
      </w:r>
      <w:r>
        <w:rPr>
          <w:rFonts w:ascii="Arial" w:cs="Arial" w:eastAsia="Arial" w:hAnsi="Arial"/>
          <w:sz w:val="21"/>
          <w:szCs w:val="21"/>
          <w:color w:val="auto"/>
        </w:rPr>
        <w:t>) (insofar as applicable to a Receiver) and shall exercise the Rights, either in his own name or in the name of the Mortgagor or otherwise and in such manner and upon such terms and conditions as the Receiver reasonably thinks fit:</w:t>
      </w:r>
    </w:p>
    <w:p>
      <w:pPr>
        <w:sectPr>
          <w:pgSz w:w="11900" w:h="16838" w:orient="portrait"/>
          <w:cols w:equalWidth="0" w:num="1">
            <w:col w:w="11240"/>
          </w:cols>
          <w:pgMar w:left="320" w:top="126" w:right="339" w:bottom="0" w:gutter="0" w:footer="0" w:header="0"/>
        </w:sectPr>
      </w:pPr>
    </w:p>
    <w:p>
      <w:pPr>
        <w:spacing w:after="0" w:line="160" w:lineRule="exact"/>
        <w:rPr>
          <w:sz w:val="20"/>
          <w:szCs w:val="20"/>
          <w:color w:val="auto"/>
        </w:rPr>
      </w:pPr>
    </w:p>
    <w:p>
      <w:pPr>
        <w:ind w:left="660"/>
        <w:spacing w:after="0"/>
        <w:tabs>
          <w:tab w:leader="none" w:pos="1300" w:val="left"/>
          <w:tab w:leader="none" w:pos="45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b w:val="1"/>
          <w:bCs w:val="1"/>
          <w:color w:val="auto"/>
        </w:rPr>
        <w:t>Rights under Clause 0 (</w:t>
      </w:r>
      <w:r>
        <w:rPr>
          <w:rFonts w:ascii="Arial" w:cs="Arial" w:eastAsia="Arial" w:hAnsi="Arial"/>
          <w:sz w:val="18"/>
          <w:szCs w:val="18"/>
          <w:b w:val="1"/>
          <w:bCs w:val="1"/>
          <w:i w:val="1"/>
          <w:iCs w:val="1"/>
          <w:color w:val="auto"/>
        </w:rPr>
        <w:t>14.2</w:t>
      </w:r>
      <w:r>
        <w:rPr>
          <w:sz w:val="20"/>
          <w:szCs w:val="20"/>
          <w:color w:val="auto"/>
        </w:rPr>
        <w:tab/>
      </w:r>
      <w:r>
        <w:rPr>
          <w:rFonts w:ascii="Arial" w:cs="Arial" w:eastAsia="Arial" w:hAnsi="Arial"/>
          <w:sz w:val="17"/>
          <w:szCs w:val="17"/>
          <w:b w:val="1"/>
          <w:bCs w:val="1"/>
          <w:color w:val="auto"/>
        </w:rPr>
        <w:t>Enforcement)</w:t>
      </w:r>
      <w:r>
        <w:rPr>
          <w:rFonts w:ascii="Arial" w:cs="Arial" w:eastAsia="Arial" w:hAnsi="Arial"/>
          <w:sz w:val="17"/>
          <w:szCs w:val="17"/>
          <w:color w:val="auto"/>
        </w:rPr>
        <w:t>: to exercise any or all of the Rights conferred upon the Collateral Agent</w:t>
      </w:r>
    </w:p>
    <w:p>
      <w:pPr>
        <w:spacing w:after="0" w:line="27" w:lineRule="exact"/>
        <w:rPr>
          <w:sz w:val="20"/>
          <w:szCs w:val="20"/>
          <w:color w:val="auto"/>
        </w:rPr>
      </w:pPr>
    </w:p>
    <w:p>
      <w:pPr>
        <w:ind w:left="4560"/>
        <w:spacing w:after="0" w:line="260" w:lineRule="auto"/>
        <w:rPr>
          <w:sz w:val="20"/>
          <w:szCs w:val="20"/>
          <w:color w:val="auto"/>
        </w:rPr>
      </w:pPr>
      <w:r>
        <w:rPr>
          <w:rFonts w:ascii="Arial" w:cs="Arial" w:eastAsia="Arial" w:hAnsi="Arial"/>
          <w:sz w:val="18"/>
          <w:szCs w:val="18"/>
          <w:color w:val="auto"/>
        </w:rPr>
        <w:t>under Clause 0 to 0 and under Clause 0, as if reference to "Collateral Agent" in Clause 0 were a reference to "Receiver";</w:t>
      </w:r>
    </w:p>
    <w:p>
      <w:pPr>
        <w:sectPr>
          <w:pgSz w:w="11900" w:h="16838" w:orient="portrait"/>
          <w:cols w:equalWidth="0" w:num="1">
            <w:col w:w="11240"/>
          </w:cols>
          <w:pgMar w:left="320" w:top="126" w:right="339" w:bottom="0" w:gutter="0" w:footer="0" w:header="0"/>
          <w:type w:val="continuous"/>
        </w:sectPr>
      </w:pPr>
    </w:p>
    <w:bookmarkStart w:id="624" w:name="page625"/>
    <w:bookmarkEnd w:id="624"/>
    <w:p>
      <w:pPr>
        <w:ind w:left="1300" w:right="20" w:hanging="644"/>
        <w:spacing w:after="0" w:line="282" w:lineRule="auto"/>
        <w:tabs>
          <w:tab w:leader="none" w:pos="1300" w:val="left"/>
        </w:tabs>
        <w:numPr>
          <w:ilvl w:val="0"/>
          <w:numId w:val="777"/>
        </w:numPr>
        <w:rPr>
          <w:rFonts w:ascii="Arial" w:cs="Arial" w:eastAsia="Arial" w:hAnsi="Arial"/>
          <w:sz w:val="18"/>
          <w:szCs w:val="18"/>
          <w:color w:val="auto"/>
        </w:rPr>
      </w:pPr>
      <w:r>
        <w:rPr>
          <w:rFonts w:ascii="Arial" w:cs="Arial" w:eastAsia="Arial" w:hAnsi="Arial"/>
          <w:sz w:val="18"/>
          <w:szCs w:val="18"/>
          <w:b w:val="1"/>
          <w:bCs w:val="1"/>
          <w:color w:val="auto"/>
        </w:rPr>
        <w:t>Insolvency Act</w:t>
      </w:r>
      <w:r>
        <w:rPr>
          <w:rFonts w:ascii="Arial" w:cs="Arial" w:eastAsia="Arial" w:hAnsi="Arial"/>
          <w:sz w:val="18"/>
          <w:szCs w:val="18"/>
          <w:color w:val="auto"/>
        </w:rPr>
        <w:t>: to exercise all rights set out in Schedule 1 of the Insolvency Act as in force at the date of this Deed (whether or not in</w:t>
      </w:r>
      <w:r>
        <w:rPr>
          <w:rFonts w:ascii="Arial" w:cs="Arial" w:eastAsia="Arial" w:hAnsi="Arial"/>
          <w:sz w:val="18"/>
          <w:szCs w:val="18"/>
          <w:b w:val="1"/>
          <w:bCs w:val="1"/>
          <w:color w:val="auto"/>
        </w:rPr>
        <w:t xml:space="preserve"> </w:t>
      </w:r>
      <w:r>
        <w:rPr>
          <w:rFonts w:ascii="Arial" w:cs="Arial" w:eastAsia="Arial" w:hAnsi="Arial"/>
          <w:sz w:val="18"/>
          <w:szCs w:val="18"/>
          <w:color w:val="auto"/>
        </w:rPr>
        <w:t>force at the date of exercise) and all other powers conferred by law, at the time of exercise, on Receivers;</w:t>
      </w:r>
    </w:p>
    <w:p>
      <w:pPr>
        <w:spacing w:after="0" w:line="161" w:lineRule="exact"/>
        <w:rPr>
          <w:rFonts w:ascii="Arial" w:cs="Arial" w:eastAsia="Arial" w:hAnsi="Arial"/>
          <w:sz w:val="18"/>
          <w:szCs w:val="18"/>
          <w:color w:val="auto"/>
        </w:rPr>
      </w:pPr>
    </w:p>
    <w:p>
      <w:pPr>
        <w:jc w:val="both"/>
        <w:ind w:left="1300" w:hanging="644"/>
        <w:spacing w:after="0" w:line="277" w:lineRule="auto"/>
        <w:tabs>
          <w:tab w:leader="none" w:pos="1300" w:val="left"/>
        </w:tabs>
        <w:numPr>
          <w:ilvl w:val="0"/>
          <w:numId w:val="777"/>
        </w:numPr>
        <w:rPr>
          <w:rFonts w:ascii="Arial" w:cs="Arial" w:eastAsia="Arial" w:hAnsi="Arial"/>
          <w:sz w:val="17"/>
          <w:szCs w:val="17"/>
          <w:color w:val="auto"/>
        </w:rPr>
      </w:pPr>
      <w:r>
        <w:rPr>
          <w:rFonts w:ascii="Arial" w:cs="Arial" w:eastAsia="Arial" w:hAnsi="Arial"/>
          <w:sz w:val="17"/>
          <w:szCs w:val="17"/>
          <w:b w:val="1"/>
          <w:bCs w:val="1"/>
          <w:color w:val="auto"/>
        </w:rPr>
        <w:t>Raise or borrow money</w:t>
      </w:r>
      <w:r>
        <w:rPr>
          <w:rFonts w:ascii="Arial" w:cs="Arial" w:eastAsia="Arial" w:hAnsi="Arial"/>
          <w:sz w:val="17"/>
          <w:szCs w:val="17"/>
          <w:color w:val="auto"/>
        </w:rPr>
        <w:t>: to raise or borrow money, either unsecured or on the security of any Secured Asset (either in priority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or otherwise) for any purpose whatsoever, including, without limitation, for the purpose of exercising any of the Rights conferred upon the Receiver by or pursuant to this Deed or of defraying any costs, charges, Losses, liabilities or expenses (including his remuneration) incurred by or due to the Receiver in the exercise thereof, in each case and at all times, in accordance with its express power to raise or borrow money pursuant to Schedule 1 of the Insolvency Act;</w:t>
      </w:r>
    </w:p>
    <w:p>
      <w:pPr>
        <w:spacing w:after="0" w:line="167" w:lineRule="exact"/>
        <w:rPr>
          <w:rFonts w:ascii="Arial" w:cs="Arial" w:eastAsia="Arial" w:hAnsi="Arial"/>
          <w:sz w:val="17"/>
          <w:szCs w:val="17"/>
          <w:color w:val="auto"/>
        </w:rPr>
      </w:pPr>
    </w:p>
    <w:p>
      <w:pPr>
        <w:jc w:val="both"/>
        <w:ind w:left="1300" w:hanging="644"/>
        <w:spacing w:after="0" w:line="347" w:lineRule="auto"/>
        <w:tabs>
          <w:tab w:leader="none" w:pos="1300" w:val="left"/>
        </w:tabs>
        <w:numPr>
          <w:ilvl w:val="0"/>
          <w:numId w:val="777"/>
        </w:numPr>
        <w:rPr>
          <w:rFonts w:ascii="Arial" w:cs="Arial" w:eastAsia="Arial" w:hAnsi="Arial"/>
          <w:sz w:val="16"/>
          <w:szCs w:val="16"/>
          <w:color w:val="auto"/>
        </w:rPr>
      </w:pPr>
      <w:r>
        <w:rPr>
          <w:rFonts w:ascii="Arial" w:cs="Arial" w:eastAsia="Arial" w:hAnsi="Arial"/>
          <w:sz w:val="16"/>
          <w:szCs w:val="16"/>
          <w:b w:val="1"/>
          <w:bCs w:val="1"/>
          <w:color w:val="auto"/>
        </w:rPr>
        <w:t>Redemption of Security Interests</w:t>
      </w:r>
      <w:r>
        <w:rPr>
          <w:rFonts w:ascii="Arial" w:cs="Arial" w:eastAsia="Arial" w:hAnsi="Arial"/>
          <w:sz w:val="16"/>
          <w:szCs w:val="16"/>
          <w:color w:val="auto"/>
        </w:rPr>
        <w:t>: to redeem any Security Interest (whether or not having priority to the Security) over any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Asset and to settle the accounts of holders of such interests and any accounts so settled shall be conclusive and binding on the Mortgagor;</w:t>
      </w:r>
    </w:p>
    <w:p>
      <w:pPr>
        <w:spacing w:after="0" w:line="115" w:lineRule="exact"/>
        <w:rPr>
          <w:rFonts w:ascii="Arial" w:cs="Arial" w:eastAsia="Arial" w:hAnsi="Arial"/>
          <w:sz w:val="16"/>
          <w:szCs w:val="16"/>
          <w:color w:val="auto"/>
        </w:rPr>
      </w:pPr>
    </w:p>
    <w:p>
      <w:pPr>
        <w:ind w:left="1300" w:right="20" w:hanging="644"/>
        <w:spacing w:after="0" w:line="282" w:lineRule="auto"/>
        <w:tabs>
          <w:tab w:leader="none" w:pos="1300" w:val="left"/>
        </w:tabs>
        <w:numPr>
          <w:ilvl w:val="0"/>
          <w:numId w:val="777"/>
        </w:numPr>
        <w:rPr>
          <w:rFonts w:ascii="Arial" w:cs="Arial" w:eastAsia="Arial" w:hAnsi="Arial"/>
          <w:sz w:val="18"/>
          <w:szCs w:val="18"/>
          <w:color w:val="auto"/>
        </w:rPr>
      </w:pPr>
      <w:r>
        <w:rPr>
          <w:rFonts w:ascii="Arial" w:cs="Arial" w:eastAsia="Arial" w:hAnsi="Arial"/>
          <w:sz w:val="18"/>
          <w:szCs w:val="18"/>
          <w:b w:val="1"/>
          <w:bCs w:val="1"/>
          <w:color w:val="auto"/>
        </w:rPr>
        <w:t>Receipts</w:t>
      </w:r>
      <w:r>
        <w:rPr>
          <w:rFonts w:ascii="Arial" w:cs="Arial" w:eastAsia="Arial" w:hAnsi="Arial"/>
          <w:sz w:val="18"/>
          <w:szCs w:val="18"/>
          <w:color w:val="auto"/>
        </w:rPr>
        <w:t>: to give a valid receipt for any moneys and execute any assurance or thing which may be proper or desirable for realising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Asset;</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777"/>
        </w:numPr>
        <w:rPr>
          <w:rFonts w:ascii="Arial" w:cs="Arial" w:eastAsia="Arial" w:hAnsi="Arial"/>
          <w:sz w:val="18"/>
          <w:szCs w:val="18"/>
          <w:color w:val="auto"/>
        </w:rPr>
      </w:pPr>
      <w:r>
        <w:rPr>
          <w:rFonts w:ascii="Arial" w:cs="Arial" w:eastAsia="Arial" w:hAnsi="Arial"/>
          <w:sz w:val="18"/>
          <w:szCs w:val="18"/>
          <w:b w:val="1"/>
          <w:bCs w:val="1"/>
          <w:color w:val="auto"/>
        </w:rPr>
        <w:t>Delegation</w:t>
      </w:r>
      <w:r>
        <w:rPr>
          <w:rFonts w:ascii="Arial" w:cs="Arial" w:eastAsia="Arial" w:hAnsi="Arial"/>
          <w:sz w:val="18"/>
          <w:szCs w:val="18"/>
          <w:color w:val="auto"/>
        </w:rPr>
        <w:t>: to delegate to any person any Rights exercisable by the Receiver under or in connection with this Deed, either generally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and on such terms as the Receiver reasonably thinks fit; and</w:t>
      </w:r>
    </w:p>
    <w:p>
      <w:pPr>
        <w:spacing w:after="0" w:line="161" w:lineRule="exact"/>
        <w:rPr>
          <w:rFonts w:ascii="Arial" w:cs="Arial" w:eastAsia="Arial" w:hAnsi="Arial"/>
          <w:sz w:val="18"/>
          <w:szCs w:val="18"/>
          <w:color w:val="auto"/>
        </w:rPr>
      </w:pPr>
    </w:p>
    <w:p>
      <w:pPr>
        <w:jc w:val="both"/>
        <w:ind w:left="1300" w:hanging="644"/>
        <w:spacing w:after="0" w:line="314" w:lineRule="auto"/>
        <w:tabs>
          <w:tab w:leader="none" w:pos="1300" w:val="left"/>
        </w:tabs>
        <w:numPr>
          <w:ilvl w:val="0"/>
          <w:numId w:val="777"/>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to do all such other acts and things the Receiver considers necessary or desirable in connection with the exercise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conferred upon the Receiver hereunder or by law and all things the Receiver considers incidental or conducive to the exercise and performance of such Rights and obligations and to do anything which the Receiver has the right to do jointly with any other person.</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Remuneration</w:t>
      </w:r>
    </w:p>
    <w:p>
      <w:pPr>
        <w:spacing w:after="0" w:line="235" w:lineRule="exact"/>
        <w:rPr>
          <w:sz w:val="20"/>
          <w:szCs w:val="20"/>
          <w:color w:val="auto"/>
        </w:rPr>
      </w:pPr>
    </w:p>
    <w:p>
      <w:pPr>
        <w:jc w:val="both"/>
        <w:ind w:left="660"/>
        <w:spacing w:after="0" w:line="308" w:lineRule="auto"/>
        <w:rPr>
          <w:sz w:val="20"/>
          <w:szCs w:val="20"/>
          <w:color w:val="auto"/>
        </w:rPr>
      </w:pPr>
      <w:r>
        <w:rPr>
          <w:rFonts w:ascii="Arial" w:cs="Arial" w:eastAsia="Arial" w:hAnsi="Arial"/>
          <w:sz w:val="19"/>
          <w:szCs w:val="19"/>
          <w:color w:val="auto"/>
        </w:rPr>
        <w:t>Subject to section 36 of the Insolvency Act, the remuneration of any Receiver may be fixed by the Collateral Agent without being limited to the maximum rate specified by section 109(6) of the LPA. Such remuneration shall be payable by the Mortgagor alone. The amount of such remuneration may be debited by the Collateral Agent from any account of the Mortgagor but shall, in any event, form part of the Secured Obligations and accordingly be secured on the Secured Assets under the Security. Such remuneration shall be paid on such terms and in such manner as the Collateral Agent and Receiver may from time to time agree or failing such agreement as the Collateral Agent reasonably determines.</w:t>
      </w:r>
    </w:p>
    <w:p>
      <w:pPr>
        <w:spacing w:after="0" w:line="143" w:lineRule="exact"/>
        <w:rPr>
          <w:sz w:val="20"/>
          <w:szCs w:val="20"/>
          <w:color w:val="auto"/>
        </w:rPr>
      </w:pPr>
    </w:p>
    <w:p>
      <w:pPr>
        <w:ind w:left="660" w:hanging="652"/>
        <w:spacing w:after="0"/>
        <w:tabs>
          <w:tab w:leader="none" w:pos="660" w:val="left"/>
        </w:tabs>
        <w:numPr>
          <w:ilvl w:val="0"/>
          <w:numId w:val="778"/>
        </w:numPr>
        <w:rPr>
          <w:rFonts w:ascii="Arial" w:cs="Arial" w:eastAsia="Arial" w:hAnsi="Arial"/>
          <w:sz w:val="18"/>
          <w:szCs w:val="18"/>
          <w:color w:val="auto"/>
        </w:rPr>
      </w:pPr>
      <w:r>
        <w:rPr>
          <w:rFonts w:ascii="Arial" w:cs="Arial" w:eastAsia="Arial" w:hAnsi="Arial"/>
          <w:sz w:val="18"/>
          <w:szCs w:val="18"/>
          <w:b w:val="1"/>
          <w:bCs w:val="1"/>
          <w:color w:val="auto"/>
        </w:rPr>
        <w:t>RIGHTS OF COLLATERAL AGENT AND SECURED PARTIES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b w:val="1"/>
          <w:bCs w:val="1"/>
          <w:color w:val="auto"/>
        </w:rPr>
        <w:t>Receipts</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The Collateral Agent may give a valid receipt for any moneys and execute any assurance or thing which may be proper or desirable for realising any Secured Asset.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Delegation</w:t>
      </w:r>
    </w:p>
    <w:p>
      <w:pPr>
        <w:spacing w:after="0" w:line="235"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22"/>
          <w:szCs w:val="22"/>
          <w:color w:val="auto"/>
        </w:rPr>
        <w:t>The Collateral Agent may at any time, and from time to time, delegate to any person any Rights exercisable by the Collateral Agent under or in connection with this Deed on such terms and conditions (including power to sub-delegate) as the Collateral Agent thinks fit.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Redemption of prior Security Interests</w:t>
      </w:r>
    </w:p>
    <w:p>
      <w:pPr>
        <w:spacing w:after="0" w:line="235"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The Collateral Agent may, at any time after an Enforcement Event has occurred, redeem any Security Interest having priority to the Security at any time or procure the transfer thereof to the Collateral Agent and may settle the accounts of holders of such interests and any account so settled shall be conclusive and binding on the Mortgagor. All principal monies, interest and Losses of and incidental to such redemption or transfer shall be paid by the Mortgagor to the Collateral Agent promptly on demand.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5"/>
          <w:szCs w:val="15"/>
          <w:b w:val="1"/>
          <w:bCs w:val="1"/>
          <w:color w:val="auto"/>
        </w:rPr>
        <w:t>Suspense account</w:t>
      </w:r>
    </w:p>
    <w:p>
      <w:pPr>
        <w:spacing w:after="0" w:line="235"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5"/>
          <w:szCs w:val="15"/>
          <w:b w:val="1"/>
          <w:bCs w:val="1"/>
          <w:color w:val="auto"/>
        </w:rPr>
        <w:t>New account</w:t>
      </w:r>
    </w:p>
    <w:p>
      <w:pPr>
        <w:spacing w:after="0" w:line="235"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If the Collateral Agent receives notice (actual or constructive) of any subsequent Security Interest (other than any Security Interest permitted under the Loan Agreement) over any Secured Asset, or if an Insolvency Event in relation to the Mortgagor occurs, each Secured Party may open a new account in the name of the Mortgagor (whether or not it allows any existing account to continue), and if it does not do so, it shall be deemed to have done so at the time the Collateral Agent received or was deemed to have received such notice or at the time that the Insolvency Event commenced (such time the "</w:t>
      </w:r>
      <w:r>
        <w:rPr>
          <w:rFonts w:ascii="Arial" w:cs="Arial" w:eastAsia="Arial" w:hAnsi="Arial"/>
          <w:sz w:val="19"/>
          <w:szCs w:val="19"/>
          <w:b w:val="1"/>
          <w:bCs w:val="1"/>
          <w:color w:val="auto"/>
        </w:rPr>
        <w:t>Relevant Time</w:t>
      </w:r>
      <w:r>
        <w:rPr>
          <w:rFonts w:ascii="Arial" w:cs="Arial" w:eastAsia="Arial" w:hAnsi="Arial"/>
          <w:sz w:val="19"/>
          <w:szCs w:val="19"/>
          <w:color w:val="auto"/>
        </w:rPr>
        <w:t>"). Thereafter, all subsequent payments by the Mortgagor to the relevant Secured Party and all payments received by the relevant Secured Party for the account of the Mortgagor, whether received from the Collateral</w:t>
      </w:r>
    </w:p>
    <w:p>
      <w:pPr>
        <w:sectPr>
          <w:pgSz w:w="11900" w:h="16838" w:orient="portrait"/>
          <w:cols w:equalWidth="0" w:num="1">
            <w:col w:w="11240"/>
          </w:cols>
          <w:pgMar w:left="320" w:top="122" w:right="339" w:bottom="0" w:gutter="0" w:footer="0" w:header="0"/>
        </w:sectPr>
      </w:pPr>
    </w:p>
    <w:bookmarkStart w:id="625" w:name="page626"/>
    <w:bookmarkEnd w:id="625"/>
    <w:p>
      <w:pPr>
        <w:jc w:val="both"/>
        <w:ind w:left="660"/>
        <w:spacing w:after="0" w:line="276" w:lineRule="auto"/>
        <w:rPr>
          <w:sz w:val="20"/>
          <w:szCs w:val="20"/>
          <w:color w:val="auto"/>
        </w:rPr>
      </w:pPr>
      <w:r>
        <w:rPr>
          <w:rFonts w:ascii="Arial" w:cs="Arial" w:eastAsia="Arial" w:hAnsi="Arial"/>
          <w:sz w:val="22"/>
          <w:szCs w:val="22"/>
          <w:color w:val="auto"/>
        </w:rPr>
        <w:t>Agent or otherwise, shall be credited or deemed to have been credited to the new account, and shall not operate to reduce the Secured Obligations owing to such Secured Party at the Relevant Time.</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b w:val="1"/>
          <w:bCs w:val="1"/>
          <w:color w:val="auto"/>
        </w:rPr>
        <w:t>Other security and rights</w:t>
      </w:r>
    </w:p>
    <w:p>
      <w:pPr>
        <w:spacing w:after="0" w:line="235"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The Collateral Agent may, at any time, without affecting the Security or the liability of the Mortgagor under this Deed: (a) refrain from applying or enforcing any other moneys, Security Interests or rights held or received by it (or any trustee or agent on its behalf) in respect of any Secured Obligations; or (b) apply and enforce the same in such manner and order as it reasonably sees fit (whether against those amounts or otherwise), and the Mortgagor waives any right it may have of first requiring the Collateral Agent to proceed against any other person, exercise any other rights or take any other steps before exercising any Rights under or pursuant to this Deed.</w:t>
      </w:r>
    </w:p>
    <w:p>
      <w:pPr>
        <w:spacing w:after="0" w:line="171" w:lineRule="exact"/>
        <w:rPr>
          <w:sz w:val="20"/>
          <w:szCs w:val="20"/>
          <w:color w:val="auto"/>
        </w:rPr>
      </w:pPr>
    </w:p>
    <w:p>
      <w:pPr>
        <w:ind w:left="660" w:hanging="652"/>
        <w:spacing w:after="0"/>
        <w:tabs>
          <w:tab w:leader="none" w:pos="660" w:val="left"/>
        </w:tabs>
        <w:numPr>
          <w:ilvl w:val="0"/>
          <w:numId w:val="779"/>
        </w:numPr>
        <w:rPr>
          <w:rFonts w:ascii="Arial" w:cs="Arial" w:eastAsia="Arial" w:hAnsi="Arial"/>
          <w:sz w:val="18"/>
          <w:szCs w:val="18"/>
          <w:color w:val="auto"/>
        </w:rPr>
      </w:pPr>
      <w:r>
        <w:rPr>
          <w:rFonts w:ascii="Arial" w:cs="Arial" w:eastAsia="Arial" w:hAnsi="Arial"/>
          <w:sz w:val="18"/>
          <w:szCs w:val="18"/>
          <w:b w:val="1"/>
          <w:bCs w:val="1"/>
          <w:color w:val="auto"/>
        </w:rPr>
        <w:t>APPLICATION OF MONEYS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Application</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All moneys realised, received or recovered by the Collateral Agent or any Receiver in the exercise of their respective Rights under or in connection with this Deed, shall (subject, in each case, to any claims ranking in priority as a matter of law) be applied in or towards, in the order specified in the Loan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b w:val="1"/>
          <w:bCs w:val="1"/>
          <w:color w:val="auto"/>
        </w:rPr>
        <w:t>Statutory Provisions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Sections 105, 107(2) and 109(8) of the LPA shall not apply to this Deed.</w:t>
      </w:r>
    </w:p>
    <w:p>
      <w:pPr>
        <w:spacing w:after="0" w:line="223" w:lineRule="exact"/>
        <w:rPr>
          <w:sz w:val="20"/>
          <w:szCs w:val="20"/>
          <w:color w:val="auto"/>
        </w:rPr>
      </w:pPr>
    </w:p>
    <w:p>
      <w:pPr>
        <w:ind w:left="660" w:hanging="652"/>
        <w:spacing w:after="0"/>
        <w:tabs>
          <w:tab w:leader="none" w:pos="660" w:val="left"/>
        </w:tabs>
        <w:numPr>
          <w:ilvl w:val="0"/>
          <w:numId w:val="780"/>
        </w:numPr>
        <w:rPr>
          <w:rFonts w:ascii="Arial" w:cs="Arial" w:eastAsia="Arial" w:hAnsi="Arial"/>
          <w:sz w:val="18"/>
          <w:szCs w:val="18"/>
          <w:color w:val="auto"/>
        </w:rPr>
      </w:pPr>
      <w:r>
        <w:rPr>
          <w:rFonts w:ascii="Arial" w:cs="Arial" w:eastAsia="Arial" w:hAnsi="Arial"/>
          <w:sz w:val="18"/>
          <w:szCs w:val="18"/>
          <w:b w:val="1"/>
          <w:bCs w:val="1"/>
          <w:color w:val="auto"/>
        </w:rPr>
        <w:t>LIABILITY OF COLLATERAL AGENT, RECEIVER AND DELEGATES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19.1</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3"/>
              </w:rPr>
              <w:t>No Relevant Person shall, in any circumstances, (whether as mortgagee in possession or otherwise) be liable to the Mortgagor or to any other</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6"/>
              </w:rPr>
              <w:t>person for any Loss arising under or in connection with this Deed or the Security, including, without limitation, any Loss relating to: (a) the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1"/>
              </w:rPr>
              <w:t>enforcement of the Security in accordance with this Deed; or (b) any exercise, purported exercise or non-exercise of any Right under or in relation</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to this Deed or the Security.</w:t>
            </w:r>
          </w:p>
        </w:tc>
      </w:tr>
      <w:tr>
        <w:trPr>
          <w:trHeight w:val="41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19.2</w:t>
            </w:r>
          </w:p>
        </w:tc>
        <w:tc>
          <w:tcPr>
            <w:tcW w:w="1420" w:type="dxa"/>
            <w:vAlign w:val="bottom"/>
          </w:tcPr>
          <w:p>
            <w:pPr>
              <w:ind w:left="300"/>
              <w:spacing w:after="0"/>
              <w:rPr>
                <w:sz w:val="20"/>
                <w:szCs w:val="20"/>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19.</w:t>
            </w:r>
          </w:p>
        </w:tc>
        <w:tc>
          <w:tcPr>
            <w:tcW w:w="9340" w:type="dxa"/>
            <w:vAlign w:val="bottom"/>
          </w:tcPr>
          <w:p>
            <w:pPr>
              <w:ind w:left="180"/>
              <w:spacing w:after="0"/>
              <w:rPr>
                <w:sz w:val="20"/>
                <w:szCs w:val="20"/>
                <w:color w:val="auto"/>
              </w:rPr>
            </w:pPr>
            <w:r>
              <w:rPr>
                <w:rFonts w:ascii="Arial" w:cs="Arial" w:eastAsia="Arial" w:hAnsi="Arial"/>
                <w:sz w:val="18"/>
                <w:szCs w:val="18"/>
                <w:i w:val="1"/>
                <w:iCs w:val="1"/>
                <w:color w:val="auto"/>
                <w:w w:val="96"/>
              </w:rPr>
              <w:t xml:space="preserve">Liability of Collateral Agent, </w:t>
            </w:r>
            <w:r>
              <w:rPr>
                <w:rFonts w:ascii="Arial" w:cs="Arial" w:eastAsia="Arial" w:hAnsi="Arial"/>
                <w:sz w:val="18"/>
                <w:szCs w:val="18"/>
                <w:b w:val="1"/>
                <w:bCs w:val="1"/>
                <w:color w:val="auto"/>
                <w:w w:val="96"/>
              </w:rPr>
              <w:t>RECEIVER</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 shall not apply in respect of any Loss to the extent that it has been found by a</w:t>
            </w:r>
          </w:p>
        </w:tc>
      </w:tr>
      <w:tr>
        <w:trPr>
          <w:trHeight w:val="216"/>
        </w:trPr>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340" w:type="dxa"/>
            <w:vAlign w:val="bottom"/>
          </w:tcPr>
          <w:p>
            <w:pPr>
              <w:ind w:left="180"/>
              <w:spacing w:after="0"/>
              <w:rPr>
                <w:sz w:val="20"/>
                <w:szCs w:val="20"/>
                <w:color w:val="auto"/>
              </w:rPr>
            </w:pPr>
            <w:r>
              <w:rPr>
                <w:rFonts w:ascii="Arial" w:cs="Arial" w:eastAsia="Arial" w:hAnsi="Arial"/>
                <w:sz w:val="18"/>
                <w:szCs w:val="18"/>
                <w:color w:val="auto"/>
                <w:w w:val="92"/>
              </w:rPr>
              <w:t>final non-appealable judgment of a court of competent jurisdiction to have been incurred by reason of the Relevant Person’s</w:t>
            </w:r>
          </w:p>
        </w:tc>
      </w:tr>
      <w:tr>
        <w:trPr>
          <w:trHeight w:val="230"/>
        </w:trPr>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40" w:type="dxa"/>
            <w:vAlign w:val="bottom"/>
          </w:tcPr>
          <w:p>
            <w:pPr>
              <w:ind w:left="180"/>
              <w:spacing w:after="0"/>
              <w:rPr>
                <w:sz w:val="20"/>
                <w:szCs w:val="20"/>
                <w:color w:val="auto"/>
              </w:rPr>
            </w:pPr>
            <w:r>
              <w:rPr>
                <w:rFonts w:ascii="Arial" w:cs="Arial" w:eastAsia="Arial" w:hAnsi="Arial"/>
                <w:sz w:val="18"/>
                <w:szCs w:val="18"/>
                <w:color w:val="auto"/>
              </w:rPr>
              <w:t>gross negligence, wilful misconduct or unlawful conduct.</w:t>
            </w:r>
          </w:p>
        </w:tc>
      </w:tr>
      <w:tr>
        <w:trPr>
          <w:trHeight w:val="41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19.3</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1"/>
              </w:rPr>
              <w:t>The Mortgagor may not take any proceedings against any officer, employee or agent of the Collateral Agent or of any Receiver or of any Delegate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2"/>
              </w:rPr>
              <w:t>in respect of any claim against the Collateral Agent, Receiver or Delegate or in respect of any act or omission of such officer, employee or agent</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1"/>
              </w:rPr>
              <w:t>(save where such act has been found by a final non</w:t>
            </w:r>
            <w:r>
              <w:rPr>
                <w:rFonts w:ascii="MS PGothic" w:cs="MS PGothic" w:eastAsia="MS PGothic" w:hAnsi="MS PGothic"/>
                <w:sz w:val="18"/>
                <w:szCs w:val="18"/>
                <w:color w:val="auto"/>
                <w:w w:val="91"/>
              </w:rPr>
              <w:t>‑</w:t>
            </w:r>
            <w:r>
              <w:rPr>
                <w:rFonts w:ascii="Arial" w:cs="Arial" w:eastAsia="Arial" w:hAnsi="Arial"/>
                <w:sz w:val="18"/>
                <w:szCs w:val="18"/>
                <w:color w:val="auto"/>
                <w:w w:val="91"/>
              </w:rPr>
              <w:t>appealable judgment of a court of competent jurisdiction to have been a direct result of his or</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its gross negligence, wilful misconduct or unlawful conduct), in each case in connection with this Deed.</w:t>
            </w:r>
          </w:p>
        </w:tc>
      </w:tr>
      <w:tr>
        <w:trPr>
          <w:trHeight w:val="414"/>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19.4</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5"/>
              </w:rPr>
              <w:t>Each officer, employee and agent of the Collateral Agent or of any Receiver or Delegate may rely on this Clause 0 (</w:t>
            </w:r>
            <w:r>
              <w:rPr>
                <w:rFonts w:ascii="Arial" w:cs="Arial" w:eastAsia="Arial" w:hAnsi="Arial"/>
                <w:sz w:val="18"/>
                <w:szCs w:val="18"/>
                <w:i w:val="1"/>
                <w:iCs w:val="1"/>
                <w:color w:val="auto"/>
                <w:w w:val="95"/>
              </w:rPr>
              <w:t>19.Liability of Collateral</w:t>
            </w:r>
          </w:p>
        </w:tc>
      </w:tr>
      <w:tr>
        <w:trPr>
          <w:trHeight w:val="234"/>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b w:val="1"/>
                <w:bCs w:val="1"/>
                <w:color w:val="auto"/>
              </w:rPr>
              <w:t>RECEIVER</w:t>
            </w:r>
            <w:r>
              <w:rPr>
                <w:rFonts w:ascii="Arial" w:cs="Arial" w:eastAsia="Arial" w:hAnsi="Arial"/>
                <w:sz w:val="18"/>
                <w:szCs w:val="18"/>
                <w:i w:val="1"/>
                <w:iCs w:val="1"/>
                <w:color w:val="auto"/>
              </w:rPr>
              <w:t xml:space="preserve"> </w:t>
            </w:r>
            <w:r>
              <w:rPr>
                <w:rFonts w:ascii="Arial" w:cs="Arial" w:eastAsia="Arial" w:hAnsi="Arial"/>
                <w:sz w:val="18"/>
                <w:szCs w:val="18"/>
                <w:color w:val="auto"/>
              </w:rPr>
              <w:t>) in accordance with the Third Parties Act (but subject to Clause 0 (</w:t>
            </w:r>
            <w:r>
              <w:rPr>
                <w:rFonts w:ascii="Arial" w:cs="Arial" w:eastAsia="Arial" w:hAnsi="Arial"/>
                <w:sz w:val="18"/>
                <w:szCs w:val="18"/>
                <w:i w:val="1"/>
                <w:iCs w:val="1"/>
                <w:color w:val="auto"/>
              </w:rPr>
              <w:t xml:space="preserve">27.5Third party </w:t>
            </w:r>
            <w:r>
              <w:rPr>
                <w:rFonts w:ascii="Arial" w:cs="Arial" w:eastAsia="Arial" w:hAnsi="Arial"/>
                <w:sz w:val="18"/>
                <w:szCs w:val="18"/>
                <w:b w:val="1"/>
                <w:bCs w:val="1"/>
                <w:color w:val="auto"/>
              </w:rPr>
              <w:t>rights</w:t>
            </w:r>
            <w:r>
              <w:rPr>
                <w:rFonts w:ascii="Arial" w:cs="Arial" w:eastAsia="Arial" w:hAnsi="Arial"/>
                <w:sz w:val="18"/>
                <w:szCs w:val="18"/>
                <w:color w:val="auto"/>
              </w:rPr>
              <w:t>)).</w:t>
            </w:r>
          </w:p>
        </w:tc>
      </w:tr>
    </w:tbl>
    <w:p>
      <w:pPr>
        <w:spacing w:after="0" w:line="198" w:lineRule="exact"/>
        <w:rPr>
          <w:sz w:val="20"/>
          <w:szCs w:val="20"/>
          <w:color w:val="auto"/>
        </w:rPr>
      </w:pPr>
    </w:p>
    <w:p>
      <w:pPr>
        <w:ind w:left="660" w:hanging="652"/>
        <w:spacing w:after="0"/>
        <w:tabs>
          <w:tab w:leader="none" w:pos="660" w:val="left"/>
        </w:tabs>
        <w:numPr>
          <w:ilvl w:val="0"/>
          <w:numId w:val="781"/>
        </w:numPr>
        <w:rPr>
          <w:rFonts w:ascii="Arial" w:cs="Arial" w:eastAsia="Arial" w:hAnsi="Arial"/>
          <w:sz w:val="18"/>
          <w:szCs w:val="18"/>
          <w:color w:val="auto"/>
        </w:rPr>
      </w:pPr>
      <w:r>
        <w:rPr>
          <w:rFonts w:ascii="Arial" w:cs="Arial" w:eastAsia="Arial" w:hAnsi="Arial"/>
          <w:sz w:val="18"/>
          <w:szCs w:val="18"/>
          <w:b w:val="1"/>
          <w:bCs w:val="1"/>
          <w:color w:val="auto"/>
        </w:rPr>
        <w:t>INDEMNITY</w:t>
      </w:r>
    </w:p>
    <w:p>
      <w:pPr>
        <w:spacing w:after="0" w:line="235" w:lineRule="exact"/>
        <w:rPr>
          <w:sz w:val="20"/>
          <w:szCs w:val="20"/>
          <w:color w:val="auto"/>
        </w:rPr>
      </w:pPr>
    </w:p>
    <w:p>
      <w:pPr>
        <w:ind w:left="660"/>
        <w:spacing w:after="0" w:line="299" w:lineRule="auto"/>
        <w:rPr>
          <w:sz w:val="20"/>
          <w:szCs w:val="20"/>
          <w:color w:val="auto"/>
        </w:rPr>
      </w:pPr>
      <w:r>
        <w:rPr>
          <w:rFonts w:ascii="Arial" w:cs="Arial" w:eastAsia="Arial" w:hAnsi="Arial"/>
          <w:sz w:val="19"/>
          <w:szCs w:val="19"/>
          <w:color w:val="auto"/>
        </w:rPr>
        <w:t>The Mortgagor shall indemnify each Relevant Person to the extent that and in the manner in which the Borrowers indemnify the Indemnitees under Section 11.04 (</w:t>
      </w:r>
      <w:r>
        <w:rPr>
          <w:rFonts w:ascii="Arial" w:cs="Arial" w:eastAsia="Arial" w:hAnsi="Arial"/>
          <w:sz w:val="19"/>
          <w:szCs w:val="19"/>
          <w:i w:val="1"/>
          <w:iCs w:val="1"/>
          <w:color w:val="auto"/>
        </w:rPr>
        <w:t>Indemnity</w:t>
      </w:r>
      <w:r>
        <w:rPr>
          <w:rFonts w:ascii="Arial" w:cs="Arial" w:eastAsia="Arial" w:hAnsi="Arial"/>
          <w:sz w:val="19"/>
          <w:szCs w:val="19"/>
          <w:color w:val="auto"/>
        </w:rPr>
        <w:t>) of the Loan Agreement. Each Relevant Person may rely on</w:t>
      </w:r>
    </w:p>
    <w:p>
      <w:pPr>
        <w:ind w:left="660"/>
        <w:spacing w:after="0" w:line="272" w:lineRule="auto"/>
        <w:rPr>
          <w:sz w:val="20"/>
          <w:szCs w:val="20"/>
          <w:color w:val="auto"/>
        </w:rPr>
      </w:pPr>
      <w:r>
        <w:rPr>
          <w:rFonts w:ascii="Arial" w:cs="Arial" w:eastAsia="Arial" w:hAnsi="Arial"/>
          <w:sz w:val="22"/>
          <w:szCs w:val="22"/>
          <w:color w:val="auto"/>
        </w:rPr>
        <w:t>this Clause 0 (</w:t>
      </w:r>
      <w:r>
        <w:rPr>
          <w:rFonts w:ascii="Arial" w:cs="Arial" w:eastAsia="Arial" w:hAnsi="Arial"/>
          <w:sz w:val="22"/>
          <w:szCs w:val="22"/>
          <w:i w:val="1"/>
          <w:iCs w:val="1"/>
          <w:color w:val="auto"/>
        </w:rPr>
        <w:t>20.</w:t>
      </w:r>
      <w:r>
        <w:rPr>
          <w:rFonts w:ascii="Arial" w:cs="Arial" w:eastAsia="Arial" w:hAnsi="Arial"/>
          <w:sz w:val="22"/>
          <w:szCs w:val="22"/>
          <w:color w:val="auto"/>
        </w:rPr>
        <w:t xml:space="preserve"> </w:t>
      </w:r>
      <w:r>
        <w:rPr>
          <w:rFonts w:ascii="Arial" w:cs="Arial" w:eastAsia="Arial" w:hAnsi="Arial"/>
          <w:sz w:val="22"/>
          <w:szCs w:val="22"/>
          <w:b w:val="1"/>
          <w:bCs w:val="1"/>
          <w:color w:val="auto"/>
        </w:rPr>
        <w:t>INDEMNITY</w:t>
      </w:r>
      <w:r>
        <w:rPr>
          <w:rFonts w:ascii="Arial" w:cs="Arial" w:eastAsia="Arial" w:hAnsi="Arial"/>
          <w:sz w:val="22"/>
          <w:szCs w:val="22"/>
          <w:color w:val="auto"/>
        </w:rPr>
        <w:t>) in accordance with the Third Parties Act but subject to Clause 0 (</w:t>
      </w:r>
      <w:r>
        <w:rPr>
          <w:rFonts w:ascii="Arial" w:cs="Arial" w:eastAsia="Arial" w:hAnsi="Arial"/>
          <w:sz w:val="22"/>
          <w:szCs w:val="22"/>
          <w:i w:val="1"/>
          <w:iCs w:val="1"/>
          <w:color w:val="auto"/>
        </w:rPr>
        <w:t>27.5Third party</w:t>
      </w:r>
      <w:r>
        <w:rPr>
          <w:rFonts w:ascii="Arial" w:cs="Arial" w:eastAsia="Arial" w:hAnsi="Arial"/>
          <w:sz w:val="22"/>
          <w:szCs w:val="22"/>
          <w:color w:val="auto"/>
        </w:rPr>
        <w:t xml:space="preserve"> </w:t>
      </w:r>
      <w:r>
        <w:rPr>
          <w:rFonts w:ascii="Arial" w:cs="Arial" w:eastAsia="Arial" w:hAnsi="Arial"/>
          <w:sz w:val="22"/>
          <w:szCs w:val="22"/>
          <w:b w:val="1"/>
          <w:bCs w:val="1"/>
          <w:color w:val="auto"/>
        </w:rPr>
        <w:t>rights</w:t>
      </w:r>
      <w:r>
        <w:rPr>
          <w:rFonts w:ascii="Arial" w:cs="Arial" w:eastAsia="Arial" w:hAnsi="Arial"/>
          <w:sz w:val="22"/>
          <w:szCs w:val="22"/>
          <w:color w:val="auto"/>
        </w:rPr>
        <w:t>).</w:t>
      </w:r>
    </w:p>
    <w:p>
      <w:pPr>
        <w:spacing w:after="0" w:line="168" w:lineRule="exact"/>
        <w:rPr>
          <w:sz w:val="20"/>
          <w:szCs w:val="20"/>
          <w:color w:val="auto"/>
        </w:rPr>
      </w:pPr>
    </w:p>
    <w:p>
      <w:pPr>
        <w:ind w:left="660" w:hanging="652"/>
        <w:spacing w:after="0"/>
        <w:tabs>
          <w:tab w:leader="none" w:pos="660" w:val="left"/>
        </w:tabs>
        <w:numPr>
          <w:ilvl w:val="0"/>
          <w:numId w:val="782"/>
        </w:numPr>
        <w:rPr>
          <w:rFonts w:ascii="Arial" w:cs="Arial" w:eastAsia="Arial" w:hAnsi="Arial"/>
          <w:sz w:val="18"/>
          <w:szCs w:val="18"/>
          <w:color w:val="auto"/>
        </w:rPr>
      </w:pPr>
      <w:r>
        <w:rPr>
          <w:rFonts w:ascii="Arial" w:cs="Arial" w:eastAsia="Arial" w:hAnsi="Arial"/>
          <w:sz w:val="18"/>
          <w:szCs w:val="18"/>
          <w:b w:val="1"/>
          <w:bCs w:val="1"/>
          <w:color w:val="auto"/>
        </w:rPr>
        <w:t>PROTECTION OF THIRD PARTIES</w:t>
      </w:r>
    </w:p>
    <w:p>
      <w:pPr>
        <w:spacing w:after="0" w:line="235" w:lineRule="exact"/>
        <w:rPr>
          <w:sz w:val="20"/>
          <w:szCs w:val="20"/>
          <w:color w:val="auto"/>
        </w:rPr>
      </w:pPr>
    </w:p>
    <w:p>
      <w:pPr>
        <w:jc w:val="both"/>
        <w:ind w:left="660"/>
        <w:spacing w:after="0" w:line="305" w:lineRule="auto"/>
        <w:rPr>
          <w:sz w:val="20"/>
          <w:szCs w:val="20"/>
          <w:color w:val="auto"/>
        </w:rPr>
      </w:pPr>
      <w:r>
        <w:rPr>
          <w:rFonts w:ascii="Arial" w:cs="Arial" w:eastAsia="Arial" w:hAnsi="Arial"/>
          <w:sz w:val="19"/>
          <w:szCs w:val="19"/>
          <w:color w:val="auto"/>
        </w:rPr>
        <w:t>No person (including a purchaser) dealing with the Collateral Agent, any Receiver or any Delegate shall be concerned to enquire: (a) whether any Secured Obligation has become payable or remains outstanding; (b) whether any event has happened upon which any of the Rights exercised or purported to be exercised by the Collateral Agent, any Receiver or any Delegate under or in connection with this Deed, the LPA, the Insolvency Act or otherwise has arisen or become exercisable; (c) whether any consents, regulations, restrictions or directions relating to any such Rights have been obtained or complied with; (d) otherwise as to the propriety, regularity or validity of the exercise or purported exercise of any such Rights; or (e) as to the application of any moneys borrowed or raised or any realisation proceeds and the receipt of the Collateral Agent, Receiver or Delegate shall be an absolute and conclusive discharge to the relevant person.</w:t>
      </w:r>
    </w:p>
    <w:p>
      <w:pPr>
        <w:spacing w:after="0" w:line="144" w:lineRule="exact"/>
        <w:rPr>
          <w:sz w:val="20"/>
          <w:szCs w:val="20"/>
          <w:color w:val="auto"/>
        </w:rPr>
      </w:pPr>
    </w:p>
    <w:p>
      <w:pPr>
        <w:ind w:left="660" w:hanging="652"/>
        <w:spacing w:after="0"/>
        <w:tabs>
          <w:tab w:leader="none" w:pos="660" w:val="left"/>
        </w:tabs>
        <w:numPr>
          <w:ilvl w:val="0"/>
          <w:numId w:val="783"/>
        </w:numPr>
        <w:rPr>
          <w:rFonts w:ascii="Arial" w:cs="Arial" w:eastAsia="Arial" w:hAnsi="Arial"/>
          <w:sz w:val="18"/>
          <w:szCs w:val="18"/>
          <w:color w:val="auto"/>
        </w:rPr>
      </w:pPr>
      <w:r>
        <w:rPr>
          <w:rFonts w:ascii="Arial" w:cs="Arial" w:eastAsia="Arial" w:hAnsi="Arial"/>
          <w:sz w:val="18"/>
          <w:szCs w:val="18"/>
          <w:b w:val="1"/>
          <w:bCs w:val="1"/>
          <w:color w:val="auto"/>
        </w:rPr>
        <w:t>SECURITY CONTINUING, CUMULATIVE AND NOT TO BE AFFECTED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Continuing security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Subject to Clauses 0, 0 and 0 (</w:t>
      </w:r>
      <w:r>
        <w:rPr>
          <w:rFonts w:ascii="Arial" w:cs="Arial" w:eastAsia="Arial" w:hAnsi="Arial"/>
          <w:sz w:val="22"/>
          <w:szCs w:val="22"/>
          <w:i w:val="1"/>
          <w:iCs w:val="1"/>
          <w:color w:val="auto"/>
        </w:rPr>
        <w:t>26. Release of</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w:t>
      </w:r>
      <w:r>
        <w:rPr>
          <w:rFonts w:ascii="Arial" w:cs="Arial" w:eastAsia="Arial" w:hAnsi="Arial"/>
          <w:sz w:val="22"/>
          <w:szCs w:val="22"/>
          <w:color w:val="auto"/>
        </w:rPr>
        <w:t>), the Security shall remain in full force and effect as a continuing security to the Collateral Agent for the Secured Obligations and shall not be satisfied, discharged or affected by any intermediate payment or discharge of all or part of the Secured Obligations or by any other matter or thing whatsoever.</w:t>
      </w:r>
    </w:p>
    <w:p>
      <w:pPr>
        <w:sectPr>
          <w:pgSz w:w="11900" w:h="16838" w:orient="portrait"/>
          <w:cols w:equalWidth="0" w:num="1">
            <w:col w:w="11240"/>
          </w:cols>
          <w:pgMar w:left="320" w:top="132" w:right="339" w:bottom="0" w:gutter="0" w:footer="0" w:header="0"/>
        </w:sectPr>
      </w:pPr>
    </w:p>
    <w:bookmarkStart w:id="626" w:name="page627"/>
    <w:bookmarkEnd w:id="626"/>
    <w:p>
      <w:pPr>
        <w:spacing w:after="0"/>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Security Interests cumulative</w:t>
      </w:r>
    </w:p>
    <w:p>
      <w:pPr>
        <w:spacing w:after="0" w:line="235" w:lineRule="exact"/>
        <w:rPr>
          <w:sz w:val="20"/>
          <w:szCs w:val="20"/>
          <w:color w:val="auto"/>
        </w:rPr>
      </w:pPr>
    </w:p>
    <w:p>
      <w:pPr>
        <w:jc w:val="both"/>
        <w:ind w:left="660"/>
        <w:spacing w:after="0" w:line="284" w:lineRule="auto"/>
        <w:rPr>
          <w:sz w:val="20"/>
          <w:szCs w:val="20"/>
          <w:color w:val="auto"/>
        </w:rPr>
      </w:pPr>
      <w:r>
        <w:rPr>
          <w:rFonts w:ascii="Arial" w:cs="Arial" w:eastAsia="Arial" w:hAnsi="Arial"/>
          <w:sz w:val="21"/>
          <w:szCs w:val="21"/>
          <w:color w:val="auto"/>
        </w:rPr>
        <w:t>The Security is in addition to, and shall not be prejudiced by, any other Security Interest, guarantee, indemnity, right of recourse or any other right which the Collateral Agent or any Secured Party may now or hereafter have in respect of all or any part of the Secured Obligations. No prior Security Interest shall merge with any Security.</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Security not to be affected</w:t>
      </w:r>
    </w:p>
    <w:p>
      <w:pPr>
        <w:spacing w:after="0" w:line="235" w:lineRule="exact"/>
        <w:rPr>
          <w:sz w:val="20"/>
          <w:szCs w:val="20"/>
          <w:color w:val="auto"/>
        </w:rPr>
      </w:pPr>
    </w:p>
    <w:p>
      <w:pPr>
        <w:jc w:val="both"/>
        <w:ind w:left="660"/>
        <w:spacing w:after="0" w:line="300" w:lineRule="auto"/>
        <w:rPr>
          <w:sz w:val="20"/>
          <w:szCs w:val="20"/>
          <w:color w:val="auto"/>
        </w:rPr>
      </w:pPr>
      <w:r>
        <w:rPr>
          <w:rFonts w:ascii="Arial" w:cs="Arial" w:eastAsia="Arial" w:hAnsi="Arial"/>
          <w:sz w:val="19"/>
          <w:szCs w:val="19"/>
          <w:color w:val="auto"/>
        </w:rPr>
        <w:t>Neither the obligations of the Mortgagor under or pursuant to this Deed nor the Security will be prejudiced or affected by any act, omission or thing (whether or not known to the Mortgagor or the Collateral Agent or any Secured Party) which, but for this provision, would reduce, release, prejudice or provide any defence in respect of any of the Mortgagor's obligations under or pursuant to this Deed or the Security including, without limitation: (a) any variation, amendment, novation, supplement, extension, restatement or replacement of, or any waiver or release granted under or in connection with, any Loan Document, any document the obligations under which are secured hereunder, any other security, any guarantee, any indemnity or any other document; (b) any time being given, or any other indulgence or concession being granted, by the Collateral Agent to the Mortgagor or any other person; (c) the taking, variation, compromise, exchange, renewal or release of, or refusal or neglect to perfect, take up or enforce, any rights against, or any Security Interest over assets of, any other person; (d) any non-observance of any formality; (e) any incapacity or lack of power or authority of the Mortgagor or any other person; (f) any change in the constitution, membership, ownership, legal form, name or status of the Mortgagor or any other person; (g) any unenforceability, illegality or invalidity of any obligation of any person under any other deed or document; or (h) any insolvency or similar proceedings; (i) any amalgamation, merger or reconstruction effected by the Collateral Agent with any other person or any sale or transfer of the whole or any part of the undertaking and assets of the Collateral Agent to any other person; (j) the existence of any claim, set-off or other right which the Mortgagor may have at any time against the Collateral Agent or any other person; or (k) the making or absence of any demand for payment of any Obligation by the Collateral Agent or otherwise.</w:t>
      </w:r>
    </w:p>
    <w:p>
      <w:pPr>
        <w:spacing w:after="0" w:line="153" w:lineRule="exact"/>
        <w:rPr>
          <w:sz w:val="20"/>
          <w:szCs w:val="20"/>
          <w:color w:val="auto"/>
        </w:rPr>
      </w:pPr>
    </w:p>
    <w:p>
      <w:pPr>
        <w:ind w:left="660" w:hanging="652"/>
        <w:spacing w:after="0"/>
        <w:tabs>
          <w:tab w:leader="none" w:pos="660" w:val="left"/>
        </w:tabs>
        <w:numPr>
          <w:ilvl w:val="0"/>
          <w:numId w:val="784"/>
        </w:numPr>
        <w:rPr>
          <w:rFonts w:ascii="Arial" w:cs="Arial" w:eastAsia="Arial" w:hAnsi="Arial"/>
          <w:sz w:val="18"/>
          <w:szCs w:val="18"/>
          <w:color w:val="auto"/>
        </w:rPr>
      </w:pPr>
      <w:r>
        <w:rPr>
          <w:rFonts w:ascii="Arial" w:cs="Arial" w:eastAsia="Arial" w:hAnsi="Arial"/>
          <w:sz w:val="18"/>
          <w:szCs w:val="18"/>
          <w:b w:val="1"/>
          <w:bCs w:val="1"/>
          <w:color w:val="auto"/>
        </w:rPr>
        <w:t>CERTIFICATE CONCLUSIVE, ETC</w:t>
      </w:r>
    </w:p>
    <w:p>
      <w:pPr>
        <w:spacing w:after="0" w:line="235"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21"/>
          <w:szCs w:val="21"/>
          <w:color w:val="auto"/>
        </w:rPr>
        <w:t>For all purposes, including any Proceedings, a certificate signed by any officer or manager of the Collateral Agent (or copy thereof) as to the amount of any indebtedness comprised in the Secured Obligations, any applicable rate of interest or any other amount or interest rate for the purpose of this Deed shall, in the absence of manifest error, be conclusive and binding on the Mortgagor and all entries in any accounts maintained by the Collateral Agent for the purposes of this Deed shall be prima facie evidence of the matters to which they relate.</w:t>
      </w:r>
    </w:p>
    <w:p>
      <w:pPr>
        <w:spacing w:after="0" w:line="167" w:lineRule="exact"/>
        <w:rPr>
          <w:sz w:val="20"/>
          <w:szCs w:val="20"/>
          <w:color w:val="auto"/>
        </w:rPr>
      </w:pPr>
    </w:p>
    <w:p>
      <w:pPr>
        <w:ind w:left="660" w:hanging="652"/>
        <w:spacing w:after="0"/>
        <w:tabs>
          <w:tab w:leader="none" w:pos="6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NO SET-OFF BY MORTGAGOR</w:t>
      </w:r>
    </w:p>
    <w:p>
      <w:pPr>
        <w:spacing w:after="0" w:line="235" w:lineRule="exact"/>
        <w:rPr>
          <w:sz w:val="20"/>
          <w:szCs w:val="20"/>
          <w:color w:val="auto"/>
        </w:rPr>
      </w:pPr>
    </w:p>
    <w:p>
      <w:pPr>
        <w:jc w:val="both"/>
        <w:ind w:left="660"/>
        <w:spacing w:after="0" w:line="279" w:lineRule="auto"/>
        <w:rPr>
          <w:sz w:val="20"/>
          <w:szCs w:val="20"/>
          <w:color w:val="auto"/>
        </w:rPr>
      </w:pPr>
      <w:r>
        <w:rPr>
          <w:rFonts w:ascii="Arial" w:cs="Arial" w:eastAsia="Arial" w:hAnsi="Arial"/>
          <w:sz w:val="21"/>
          <w:szCs w:val="21"/>
          <w:color w:val="auto"/>
        </w:rPr>
        <w:t>The Mortgagor shall not be entitled to, and shall not, set off any obligation owed by the Collateral Agent or any other Secured Party to the Mortgagor against any obligation whether or not matured owed by the Mortgagor to the Collateral Agent or other Secured Party and shall make all payments to be made by it under this Deed in full without any set off, restriction or condition and without any deduction for or on account of any counterclaim.</w:t>
      </w:r>
    </w:p>
    <w:p>
      <w:pPr>
        <w:spacing w:after="0" w:line="163" w:lineRule="exact"/>
        <w:rPr>
          <w:sz w:val="20"/>
          <w:szCs w:val="20"/>
          <w:color w:val="auto"/>
        </w:rPr>
      </w:pPr>
    </w:p>
    <w:p>
      <w:pPr>
        <w:ind w:left="660" w:hanging="652"/>
        <w:spacing w:after="0"/>
        <w:tabs>
          <w:tab w:leader="none" w:pos="660" w:val="left"/>
        </w:tabs>
        <w:numPr>
          <w:ilvl w:val="0"/>
          <w:numId w:val="786"/>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235" w:lineRule="exact"/>
        <w:rPr>
          <w:sz w:val="20"/>
          <w:szCs w:val="20"/>
          <w:color w:val="auto"/>
        </w:rPr>
      </w:pPr>
    </w:p>
    <w:p>
      <w:pPr>
        <w:ind w:left="660"/>
        <w:spacing w:after="0" w:line="301" w:lineRule="auto"/>
        <w:rPr>
          <w:sz w:val="20"/>
          <w:szCs w:val="20"/>
          <w:color w:val="auto"/>
        </w:rPr>
      </w:pPr>
      <w:r>
        <w:rPr>
          <w:rFonts w:ascii="Arial" w:cs="Arial" w:eastAsia="Arial" w:hAnsi="Arial"/>
          <w:sz w:val="21"/>
          <w:szCs w:val="21"/>
          <w:color w:val="auto"/>
        </w:rPr>
        <w:t>The Mortgagor shall pay to the Collateral Agent in relation to this Deed such costs and expenses as are of the type which are reimbursable by the Borrowers pursuant to Section 11.03 (</w:t>
      </w:r>
      <w:r>
        <w:rPr>
          <w:rFonts w:ascii="Arial" w:cs="Arial" w:eastAsia="Arial" w:hAnsi="Arial"/>
          <w:sz w:val="21"/>
          <w:szCs w:val="21"/>
          <w:i w:val="1"/>
          <w:iCs w:val="1"/>
          <w:color w:val="auto"/>
        </w:rPr>
        <w:t>Expenses, Etc.</w:t>
      </w:r>
      <w:r>
        <w:rPr>
          <w:rFonts w:ascii="Arial" w:cs="Arial" w:eastAsia="Arial" w:hAnsi="Arial"/>
          <w:sz w:val="21"/>
          <w:szCs w:val="21"/>
          <w:color w:val="auto"/>
        </w:rPr>
        <w:t>) of the Loan Agreement.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RELEASE OF SECURITY</w:t>
            </w:r>
          </w:p>
        </w:tc>
        <w:tc>
          <w:tcPr>
            <w:tcW w:w="772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26.1</w:t>
            </w:r>
          </w:p>
        </w:tc>
        <w:tc>
          <w:tcPr>
            <w:tcW w:w="3040" w:type="dxa"/>
            <w:vAlign w:val="bottom"/>
          </w:tcPr>
          <w:p>
            <w:pPr>
              <w:ind w:left="300"/>
              <w:spacing w:after="0"/>
              <w:rPr>
                <w:sz w:val="20"/>
                <w:szCs w:val="20"/>
                <w:color w:val="auto"/>
              </w:rPr>
            </w:pPr>
            <w:r>
              <w:rPr>
                <w:rFonts w:ascii="Arial" w:cs="Arial" w:eastAsia="Arial" w:hAnsi="Arial"/>
                <w:sz w:val="18"/>
                <w:szCs w:val="18"/>
                <w:color w:val="auto"/>
              </w:rPr>
              <w:t xml:space="preserve">Subject to Clauses 0 and 0 </w:t>
            </w:r>
            <w:r>
              <w:rPr>
                <w:rFonts w:ascii="Arial" w:cs="Arial" w:eastAsia="Arial" w:hAnsi="Arial"/>
                <w:sz w:val="18"/>
                <w:szCs w:val="18"/>
                <w:i w:val="1"/>
                <w:iCs w:val="1"/>
                <w:color w:val="auto"/>
              </w:rPr>
              <w:t>(26.</w:t>
            </w:r>
          </w:p>
        </w:tc>
        <w:tc>
          <w:tcPr>
            <w:tcW w:w="7720" w:type="dxa"/>
            <w:vAlign w:val="bottom"/>
          </w:tcPr>
          <w:p>
            <w:pPr>
              <w:ind w:left="500"/>
              <w:spacing w:after="0"/>
              <w:rPr>
                <w:sz w:val="20"/>
                <w:szCs w:val="20"/>
                <w:color w:val="auto"/>
              </w:rPr>
            </w:pPr>
            <w:r>
              <w:rPr>
                <w:rFonts w:ascii="Arial" w:cs="Arial" w:eastAsia="Arial" w:hAnsi="Arial"/>
                <w:sz w:val="18"/>
                <w:szCs w:val="18"/>
                <w:i w:val="1"/>
                <w:iCs w:val="1"/>
                <w:color w:val="auto"/>
                <w:w w:val="93"/>
              </w:rPr>
              <w:t xml:space="preserve">Release of </w:t>
            </w:r>
            <w:r>
              <w:rPr>
                <w:rFonts w:ascii="Arial" w:cs="Arial" w:eastAsia="Arial" w:hAnsi="Arial"/>
                <w:sz w:val="18"/>
                <w:szCs w:val="18"/>
                <w:b w:val="1"/>
                <w:bCs w:val="1"/>
                <w:color w:val="auto"/>
                <w:w w:val="93"/>
              </w:rPr>
              <w:t>SECURITY)</w:t>
            </w:r>
            <w:r>
              <w:rPr>
                <w:rFonts w:ascii="Arial" w:cs="Arial" w:eastAsia="Arial" w:hAnsi="Arial"/>
                <w:sz w:val="18"/>
                <w:szCs w:val="18"/>
                <w:color w:val="auto"/>
                <w:w w:val="93"/>
              </w:rPr>
              <w:t>, upon Payment in Full, the Collateral Agent shall, at the request and cost</w:t>
            </w:r>
          </w:p>
        </w:tc>
      </w:tr>
      <w:tr>
        <w:trPr>
          <w:trHeight w:val="216"/>
        </w:trPr>
        <w:tc>
          <w:tcPr>
            <w:tcW w:w="4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w w:val="88"/>
              </w:rPr>
              <w:t>of the Mortgagor, execute such documents and do all such things as may be necessary to release the</w:t>
            </w:r>
          </w:p>
        </w:tc>
      </w:tr>
      <w:tr>
        <w:trPr>
          <w:trHeight w:val="230"/>
        </w:trPr>
        <w:tc>
          <w:tcPr>
            <w:tcW w:w="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720" w:type="dxa"/>
            <w:vAlign w:val="bottom"/>
          </w:tcPr>
          <w:p>
            <w:pPr>
              <w:ind w:left="500"/>
              <w:spacing w:after="0"/>
              <w:rPr>
                <w:sz w:val="20"/>
                <w:szCs w:val="20"/>
                <w:color w:val="auto"/>
              </w:rPr>
            </w:pPr>
            <w:r>
              <w:rPr>
                <w:rFonts w:ascii="Arial" w:cs="Arial" w:eastAsia="Arial" w:hAnsi="Arial"/>
                <w:sz w:val="18"/>
                <w:szCs w:val="18"/>
                <w:color w:val="auto"/>
              </w:rPr>
              <w:t>Secured Assets from the Security.</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26.2</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5"/>
              </w:rPr>
              <w:t>Notwithstanding anything to the contrary in this Deed (including, without limitation, Clauses 0 and 0 (</w:t>
            </w:r>
            <w:r>
              <w:rPr>
                <w:rFonts w:ascii="Arial" w:cs="Arial" w:eastAsia="Arial" w:hAnsi="Arial"/>
                <w:sz w:val="18"/>
                <w:szCs w:val="18"/>
                <w:i w:val="1"/>
                <w:iCs w:val="1"/>
                <w:color w:val="auto"/>
                <w:w w:val="95"/>
              </w:rPr>
              <w:t>26.Release of</w:t>
            </w:r>
            <w:r>
              <w:rPr>
                <w:rFonts w:ascii="Arial" w:cs="Arial" w:eastAsia="Arial" w:hAnsi="Arial"/>
                <w:sz w:val="18"/>
                <w:szCs w:val="18"/>
                <w:color w:val="auto"/>
                <w:w w:val="95"/>
              </w:rPr>
              <w:t xml:space="preserve"> </w:t>
            </w:r>
            <w:r>
              <w:rPr>
                <w:rFonts w:ascii="Arial" w:cs="Arial" w:eastAsia="Arial" w:hAnsi="Arial"/>
                <w:sz w:val="18"/>
                <w:szCs w:val="18"/>
                <w:b w:val="1"/>
                <w:bCs w:val="1"/>
                <w:color w:val="auto"/>
                <w:w w:val="95"/>
              </w:rPr>
              <w:t>SECURITY</w:t>
            </w:r>
            <w:r>
              <w:rPr>
                <w:rFonts w:ascii="Arial" w:cs="Arial" w:eastAsia="Arial" w:hAnsi="Arial"/>
                <w:sz w:val="18"/>
                <w:szCs w:val="18"/>
                <w:color w:val="auto"/>
                <w:w w:val="95"/>
              </w:rPr>
              <w:t>) hereof), the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8"/>
              </w:rPr>
              <w:t>obligations of the Mortgagor under this Deed shall automatically terminate and the Collateral Agent shall, at the request and cost of the</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2"/>
              </w:rPr>
              <w:t>Mortgagor, execute such documents and do all such things as may be necessary to release the Secured Assets from the Security to the extent</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2"/>
              </w:rPr>
              <w:t>provided in and in accordance with Section 11.01(c) (</w:t>
            </w:r>
            <w:r>
              <w:rPr>
                <w:rFonts w:ascii="Arial" w:cs="Arial" w:eastAsia="Arial" w:hAnsi="Arial"/>
                <w:sz w:val="18"/>
                <w:szCs w:val="18"/>
                <w:i w:val="1"/>
                <w:iCs w:val="1"/>
                <w:color w:val="auto"/>
                <w:w w:val="92"/>
              </w:rPr>
              <w:t>Waiver; Amendments; Joinder; Release of Guarantors; Release of Collateral</w:t>
            </w:r>
            <w:r>
              <w:rPr>
                <w:rFonts w:ascii="Arial" w:cs="Arial" w:eastAsia="Arial" w:hAnsi="Arial"/>
                <w:sz w:val="18"/>
                <w:szCs w:val="18"/>
                <w:color w:val="auto"/>
                <w:w w:val="92"/>
              </w:rPr>
              <w:t>) and Section</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i w:val="1"/>
                <w:iCs w:val="1"/>
                <w:color w:val="auto"/>
              </w:rPr>
              <w:t>Release of Guarantors</w:t>
            </w:r>
            <w:r>
              <w:rPr>
                <w:rFonts w:ascii="Arial" w:cs="Arial" w:eastAsia="Arial" w:hAnsi="Arial"/>
                <w:sz w:val="18"/>
                <w:szCs w:val="18"/>
                <w:color w:val="auto"/>
              </w:rPr>
              <w:t>) of the Loan Agreement.</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26.3</w:t>
            </w: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8"/>
              </w:rPr>
              <w:t>If any amount paid by the Mortgagor in respect of the Secured Obligations is capable of being avoided or set aside on the liquidation or</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w w:val="90"/>
              </w:rPr>
              <w:t>administration of the Mortgagor or otherwise, then for the purposes of this Deed that amount shall not be considered to have been paid. No interest</w:t>
            </w:r>
          </w:p>
        </w:tc>
      </w:tr>
      <w:tr>
        <w:trPr>
          <w:trHeight w:val="230"/>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Arial" w:cs="Arial" w:eastAsia="Arial" w:hAnsi="Arial"/>
                <w:sz w:val="18"/>
                <w:szCs w:val="18"/>
                <w:color w:val="auto"/>
              </w:rPr>
              <w:t>shall accrue on any such amount, unless and until such amount is so avoided or set aside.</w:t>
            </w:r>
          </w:p>
        </w:tc>
      </w:tr>
    </w:tbl>
    <w:p>
      <w:pPr>
        <w:spacing w:after="0" w:line="198" w:lineRule="exact"/>
        <w:rPr>
          <w:sz w:val="20"/>
          <w:szCs w:val="20"/>
          <w:color w:val="auto"/>
        </w:rPr>
      </w:pPr>
    </w:p>
    <w:p>
      <w:pPr>
        <w:ind w:left="660" w:hanging="652"/>
        <w:spacing w:after="0"/>
        <w:tabs>
          <w:tab w:leader="none" w:pos="660" w:val="left"/>
        </w:tabs>
        <w:numPr>
          <w:ilvl w:val="0"/>
          <w:numId w:val="787"/>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b w:val="1"/>
          <w:bCs w:val="1"/>
          <w:color w:val="auto"/>
        </w:rPr>
        <w:t>Remedies and waivers</w:t>
      </w:r>
    </w:p>
    <w:p>
      <w:pPr>
        <w:sectPr>
          <w:pgSz w:w="11900" w:h="16838" w:orient="portrait"/>
          <w:cols w:equalWidth="0" w:num="1">
            <w:col w:w="11240"/>
          </w:cols>
          <w:pgMar w:left="320" w:top="122" w:right="339" w:bottom="0" w:gutter="0" w:footer="0" w:header="0"/>
        </w:sectPr>
      </w:pPr>
    </w:p>
    <w:p>
      <w:pPr>
        <w:spacing w:after="0" w:line="235" w:lineRule="exact"/>
        <w:rPr>
          <w:sz w:val="20"/>
          <w:szCs w:val="20"/>
          <w:color w:val="auto"/>
        </w:rPr>
      </w:pPr>
    </w:p>
    <w:p>
      <w:pPr>
        <w:ind w:left="660"/>
        <w:spacing w:after="0" w:line="358" w:lineRule="auto"/>
        <w:rPr>
          <w:sz w:val="20"/>
          <w:szCs w:val="20"/>
          <w:color w:val="auto"/>
        </w:rPr>
      </w:pPr>
      <w:r>
        <w:rPr>
          <w:rFonts w:ascii="Arial" w:cs="Arial" w:eastAsia="Arial" w:hAnsi="Arial"/>
          <w:sz w:val="19"/>
          <w:szCs w:val="19"/>
          <w:color w:val="auto"/>
        </w:rPr>
        <w:t>No failure to exercise or delay in exercising any right, power or remedy provided by law or under this Deed shall operate to impair the same or be construed as a waiver of it. No single or partial exercise of any such right, power or remedy shall</w:t>
      </w:r>
    </w:p>
    <w:p>
      <w:pPr>
        <w:sectPr>
          <w:pgSz w:w="11900" w:h="16838" w:orient="portrait"/>
          <w:cols w:equalWidth="0" w:num="1">
            <w:col w:w="11240"/>
          </w:cols>
          <w:pgMar w:left="320" w:top="122" w:right="339" w:bottom="0" w:gutter="0" w:footer="0" w:header="0"/>
          <w:type w:val="continuous"/>
        </w:sectPr>
      </w:pPr>
    </w:p>
    <w:bookmarkStart w:id="627" w:name="page628"/>
    <w:bookmarkEnd w:id="627"/>
    <w:p>
      <w:pPr>
        <w:jc w:val="both"/>
        <w:ind w:left="660"/>
        <w:spacing w:after="0" w:line="262" w:lineRule="auto"/>
        <w:rPr>
          <w:sz w:val="20"/>
          <w:szCs w:val="20"/>
          <w:color w:val="auto"/>
        </w:rPr>
      </w:pPr>
      <w:r>
        <w:rPr>
          <w:rFonts w:ascii="Arial" w:cs="Arial" w:eastAsia="Arial" w:hAnsi="Arial"/>
          <w:sz w:val="22"/>
          <w:szCs w:val="22"/>
          <w:color w:val="auto"/>
        </w:rPr>
        <w:t>preclude or restrict any further or other exercise of the same or the exercise of any other right, power or remedy. No waiver of any such right, power or remedy shall constitute a waiver of any other right, power or remedy. Except as expressly provided in this Deed, the rights, powers and remedies provided in this Deed are cumulative and not exclusive of any rights provided by law.</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5"/>
          <w:szCs w:val="15"/>
          <w:b w:val="1"/>
          <w:bCs w:val="1"/>
          <w:color w:val="auto"/>
        </w:rPr>
        <w:t>Variations and consents</w:t>
      </w:r>
    </w:p>
    <w:p>
      <w:pPr>
        <w:spacing w:after="0" w:line="235"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No consent, variation or waiver in respect of any provision of this Deed shall be effective unless it is agreed in writing and signed by or on behalf of each of the parties to this Deed.</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Invalidity and severability</w:t>
      </w:r>
    </w:p>
    <w:p>
      <w:pPr>
        <w:spacing w:after="0" w:line="235" w:lineRule="exact"/>
        <w:rPr>
          <w:sz w:val="20"/>
          <w:szCs w:val="20"/>
          <w:color w:val="auto"/>
        </w:rPr>
      </w:pPr>
    </w:p>
    <w:p>
      <w:pPr>
        <w:jc w:val="both"/>
        <w:ind w:left="660"/>
        <w:spacing w:after="0" w:line="279" w:lineRule="auto"/>
        <w:rPr>
          <w:sz w:val="20"/>
          <w:szCs w:val="20"/>
          <w:color w:val="auto"/>
        </w:rPr>
      </w:pPr>
      <w:r>
        <w:rPr>
          <w:rFonts w:ascii="Arial" w:cs="Arial" w:eastAsia="Arial" w:hAnsi="Arial"/>
          <w:sz w:val="21"/>
          <w:szCs w:val="21"/>
          <w:color w:val="auto"/>
        </w:rPr>
        <w:t>If any provision of this Deed is or becomes or is found by a court or other competent authority to be illegal, invalid or unenforceable in any respect, in whole or in part, under any law of any jurisdiction, that shall not affect or impair the legality, validity and enforceability in that jurisdiction of any other provision of this Deed or the legality, validity or enforceability in any other jurisdiction of that provision or any other provision of this Deed.</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b w:val="1"/>
          <w:bCs w:val="1"/>
          <w:color w:val="auto"/>
        </w:rPr>
        <w:t>Counterparts</w:t>
      </w:r>
    </w:p>
    <w:p>
      <w:pPr>
        <w:spacing w:after="0" w:line="235" w:lineRule="exact"/>
        <w:rPr>
          <w:sz w:val="20"/>
          <w:szCs w:val="20"/>
          <w:color w:val="auto"/>
        </w:rPr>
      </w:pPr>
    </w:p>
    <w:p>
      <w:pPr>
        <w:jc w:val="both"/>
        <w:ind w:left="660"/>
        <w:spacing w:after="0" w:line="317" w:lineRule="auto"/>
        <w:rPr>
          <w:sz w:val="20"/>
          <w:szCs w:val="20"/>
          <w:color w:val="auto"/>
        </w:rPr>
      </w:pPr>
      <w:r>
        <w:rPr>
          <w:rFonts w:ascii="Arial" w:cs="Arial" w:eastAsia="Arial" w:hAnsi="Arial"/>
          <w:sz w:val="19"/>
          <w:szCs w:val="19"/>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where relevant, delivered, shall constitute an original of this Deed or the relevant variation or waiver, but all the counterparts together shall constitute one and the same instrument.</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6"/>
          <w:szCs w:val="16"/>
          <w:b w:val="1"/>
          <w:bCs w:val="1"/>
          <w:color w:val="auto"/>
        </w:rPr>
        <w:t>Third party rights</w:t>
      </w:r>
    </w:p>
    <w:p>
      <w:pPr>
        <w:spacing w:after="0" w:line="235" w:lineRule="exact"/>
        <w:rPr>
          <w:sz w:val="20"/>
          <w:szCs w:val="20"/>
          <w:color w:val="auto"/>
        </w:rPr>
      </w:pPr>
    </w:p>
    <w:p>
      <w:pPr>
        <w:jc w:val="both"/>
        <w:ind w:left="660"/>
        <w:spacing w:after="0" w:line="311" w:lineRule="auto"/>
        <w:rPr>
          <w:sz w:val="20"/>
          <w:szCs w:val="20"/>
          <w:color w:val="auto"/>
        </w:rPr>
      </w:pPr>
      <w:r>
        <w:rPr>
          <w:rFonts w:ascii="Arial" w:cs="Arial" w:eastAsia="Arial" w:hAnsi="Arial"/>
          <w:sz w:val="19"/>
          <w:szCs w:val="19"/>
          <w:color w:val="auto"/>
        </w:rPr>
        <w:t>Except for each Secured Party who is not party to this Deed and as otherwise specifically provided herein a person who is not party to this Deed has no right under the Third Parties Act to enforce any provision of this Deed. Each Secured Party (who is not party to this Deed) may enforce and enjoy the benefits of the provisions of Clauses 0 (</w:t>
      </w:r>
      <w:r>
        <w:rPr>
          <w:rFonts w:ascii="Arial" w:cs="Arial" w:eastAsia="Arial" w:hAnsi="Arial"/>
          <w:sz w:val="19"/>
          <w:szCs w:val="19"/>
          <w:i w:val="1"/>
          <w:iCs w:val="1"/>
          <w:color w:val="auto"/>
        </w:rPr>
        <w:t>17.Rights of Collateral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Agent and Secured </w:t>
      </w:r>
      <w:r>
        <w:rPr>
          <w:rFonts w:ascii="Arial" w:cs="Arial" w:eastAsia="Arial" w:hAnsi="Arial"/>
          <w:sz w:val="19"/>
          <w:szCs w:val="19"/>
          <w:b w:val="1"/>
          <w:bCs w:val="1"/>
          <w:color w:val="auto"/>
        </w:rPr>
        <w:t>PARTIES</w:t>
      </w:r>
      <w:r>
        <w:rPr>
          <w:rFonts w:ascii="Arial" w:cs="Arial" w:eastAsia="Arial" w:hAnsi="Arial"/>
          <w:sz w:val="19"/>
          <w:szCs w:val="19"/>
          <w:color w:val="auto"/>
        </w:rPr>
        <w:t>), 0 (</w:t>
      </w:r>
      <w:r>
        <w:rPr>
          <w:rFonts w:ascii="Arial" w:cs="Arial" w:eastAsia="Arial" w:hAnsi="Arial"/>
          <w:sz w:val="19"/>
          <w:szCs w:val="19"/>
          <w:i w:val="1"/>
          <w:iCs w:val="1"/>
          <w:color w:val="auto"/>
        </w:rPr>
        <w:t>20.</w:t>
      </w:r>
      <w:r>
        <w:rPr>
          <w:rFonts w:ascii="Arial" w:cs="Arial" w:eastAsia="Arial" w:hAnsi="Arial"/>
          <w:sz w:val="19"/>
          <w:szCs w:val="19"/>
          <w:b w:val="1"/>
          <w:bCs w:val="1"/>
          <w:color w:val="auto"/>
        </w:rPr>
        <w:t>INDEMNITY</w:t>
      </w:r>
      <w:r>
        <w:rPr>
          <w:rFonts w:ascii="Arial" w:cs="Arial" w:eastAsia="Arial" w:hAnsi="Arial"/>
          <w:sz w:val="19"/>
          <w:szCs w:val="19"/>
          <w:color w:val="auto"/>
        </w:rPr>
        <w:t>) and 0 (</w:t>
      </w:r>
      <w:r>
        <w:rPr>
          <w:rFonts w:ascii="Arial" w:cs="Arial" w:eastAsia="Arial" w:hAnsi="Arial"/>
          <w:sz w:val="19"/>
          <w:szCs w:val="19"/>
          <w:i w:val="1"/>
          <w:iCs w:val="1"/>
          <w:color w:val="auto"/>
        </w:rPr>
        <w:t xml:space="preserve">25.Costs and </w:t>
      </w:r>
      <w:r>
        <w:rPr>
          <w:rFonts w:ascii="Arial" w:cs="Arial" w:eastAsia="Arial" w:hAnsi="Arial"/>
          <w:sz w:val="19"/>
          <w:szCs w:val="19"/>
          <w:b w:val="1"/>
          <w:bCs w:val="1"/>
          <w:color w:val="auto"/>
        </w:rPr>
        <w:t>EXPENSES</w:t>
      </w:r>
      <w:r>
        <w:rPr>
          <w:rFonts w:ascii="Arial" w:cs="Arial" w:eastAsia="Arial" w:hAnsi="Arial"/>
          <w:sz w:val="19"/>
          <w:szCs w:val="19"/>
          <w:color w:val="auto"/>
        </w:rPr>
        <w:t>) of this Deed. This does not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affect any right or remedy of a third </w:t>
      </w:r>
      <w:r>
        <w:rPr>
          <w:rFonts w:ascii="Arial" w:cs="Arial" w:eastAsia="Arial" w:hAnsi="Arial"/>
          <w:sz w:val="19"/>
          <w:szCs w:val="19"/>
          <w:i w:val="1"/>
          <w:iCs w:val="1"/>
          <w:color w:val="auto"/>
        </w:rPr>
        <w:t>party</w:t>
      </w:r>
      <w:r>
        <w:rPr>
          <w:rFonts w:ascii="Arial" w:cs="Arial" w:eastAsia="Arial" w:hAnsi="Arial"/>
          <w:sz w:val="19"/>
          <w:szCs w:val="19"/>
          <w:color w:val="auto"/>
        </w:rPr>
        <w:t xml:space="preserve"> which exists or is available other than under the Third Parties Act.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6"/>
          <w:szCs w:val="16"/>
          <w:b w:val="1"/>
          <w:bCs w:val="1"/>
          <w:color w:val="auto"/>
        </w:rPr>
        <w:t>Entire agreement</w:t>
      </w:r>
    </w:p>
    <w:p>
      <w:pPr>
        <w:spacing w:after="0" w:line="235"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This Deed together with the other Loan Documents constitutes the entire agreement and understanding between the parties relating to their subject matter. Accordingly this Deed supersedes all prior oral or written agreements, representations or warranties. Any liabilities for and any remedies in respect of any such agreements, representations or warranties made are excluded, save only in respect of such as are expressly made or repeated in this Deed or in the other Loan Documents. No party has entered into this Deed or any other Loan Document in reliance on any oral or written agreement, representation or warranty of any other party or any other person which is not made or repeated in this Deed or any other Loan Document. Nothing in this Clause shall operate to exclude liability for any fraudulent statement or act.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5"/>
          <w:szCs w:val="15"/>
          <w:b w:val="1"/>
          <w:bCs w:val="1"/>
          <w:color w:val="auto"/>
        </w:rPr>
        <w:t>Conflicts</w:t>
      </w:r>
    </w:p>
    <w:p>
      <w:pPr>
        <w:spacing w:after="0" w:line="229"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Subject to Clause 0 (</w:t>
      </w:r>
      <w:r>
        <w:rPr>
          <w:rFonts w:ascii="Arial" w:cs="Arial" w:eastAsia="Arial" w:hAnsi="Arial"/>
          <w:sz w:val="22"/>
          <w:szCs w:val="22"/>
          <w:i w:val="1"/>
          <w:iCs w:val="1"/>
          <w:color w:val="auto"/>
        </w:rPr>
        <w:t>1.2</w:t>
      </w:r>
      <w:r>
        <w:rPr>
          <w:rFonts w:ascii="Arial" w:cs="Arial" w:eastAsia="Arial" w:hAnsi="Arial"/>
          <w:sz w:val="22"/>
          <w:szCs w:val="22"/>
          <w:color w:val="auto"/>
        </w:rPr>
        <w:t xml:space="preserve"> </w:t>
      </w:r>
      <w:r>
        <w:rPr>
          <w:rFonts w:ascii="Arial" w:cs="Arial" w:eastAsia="Arial" w:hAnsi="Arial"/>
          <w:sz w:val="22"/>
          <w:szCs w:val="22"/>
          <w:b w:val="1"/>
          <w:bCs w:val="1"/>
          <w:color w:val="auto"/>
        </w:rPr>
        <w:t>Interpretation</w:t>
      </w:r>
      <w:r>
        <w:rPr>
          <w:rFonts w:ascii="Arial" w:cs="Arial" w:eastAsia="Arial" w:hAnsi="Arial"/>
          <w:sz w:val="22"/>
          <w:szCs w:val="22"/>
          <w:color w:val="auto"/>
        </w:rPr>
        <w:t>), if there is any conflict or inconsistency between the provisions of this Deed and any other Loan Document, the provisions of this Deed shall prevail.</w:t>
      </w:r>
    </w:p>
    <w:p>
      <w:pPr>
        <w:spacing w:after="0" w:line="157" w:lineRule="exact"/>
        <w:rPr>
          <w:sz w:val="20"/>
          <w:szCs w:val="20"/>
          <w:color w:val="auto"/>
        </w:rPr>
      </w:pPr>
    </w:p>
    <w:p>
      <w:pPr>
        <w:ind w:left="660" w:hanging="652"/>
        <w:spacing w:after="0"/>
        <w:tabs>
          <w:tab w:leader="none" w:pos="660" w:val="left"/>
        </w:tabs>
        <w:numPr>
          <w:ilvl w:val="0"/>
          <w:numId w:val="788"/>
        </w:numPr>
        <w:rPr>
          <w:rFonts w:ascii="Arial" w:cs="Arial" w:eastAsia="Arial" w:hAnsi="Arial"/>
          <w:sz w:val="18"/>
          <w:szCs w:val="18"/>
          <w:color w:val="auto"/>
        </w:rPr>
      </w:pPr>
      <w:r>
        <w:rPr>
          <w:rFonts w:ascii="Arial" w:cs="Arial" w:eastAsia="Arial" w:hAnsi="Arial"/>
          <w:sz w:val="18"/>
          <w:szCs w:val="18"/>
          <w:b w:val="1"/>
          <w:bCs w:val="1"/>
          <w:color w:val="auto"/>
        </w:rPr>
        <w:t>ASSIGNMENT, ETC</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The Collateral Agent may, at any time, in accordance with the Loan Agreement, assign, mortgage, charge, grant a trust over or otherwise dispose of all or any of its rights and benefits under this Deed.</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The Mortgagor shall not assign, charge, grant a trust over or otherwise dispose of all or any of its rights and benefits under this Deed, except as permitted under the Loan Agreement.</w:t>
      </w:r>
    </w:p>
    <w:p>
      <w:pPr>
        <w:spacing w:after="0" w:line="166" w:lineRule="exact"/>
        <w:rPr>
          <w:sz w:val="20"/>
          <w:szCs w:val="20"/>
          <w:color w:val="auto"/>
        </w:rPr>
      </w:pPr>
    </w:p>
    <w:p>
      <w:pPr>
        <w:ind w:left="660" w:hanging="652"/>
        <w:spacing w:after="0"/>
        <w:tabs>
          <w:tab w:leader="none" w:pos="660" w:val="left"/>
        </w:tabs>
        <w:numPr>
          <w:ilvl w:val="0"/>
          <w:numId w:val="789"/>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35"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Any notice or other communication under this Deed shall be made in accordance with the provisions set out in the Loan Agreement. Any notice delivered to the Parent or the Borrowers on behalf of the Mortgagor shall be deemed to have been delivered to the Mortgagor.</w:t>
      </w:r>
    </w:p>
    <w:p>
      <w:pPr>
        <w:spacing w:after="0" w:line="175" w:lineRule="exact"/>
        <w:rPr>
          <w:sz w:val="20"/>
          <w:szCs w:val="20"/>
          <w:color w:val="auto"/>
        </w:rPr>
      </w:pPr>
    </w:p>
    <w:p>
      <w:pPr>
        <w:ind w:left="660" w:hanging="652"/>
        <w:spacing w:after="0"/>
        <w:tabs>
          <w:tab w:leader="none" w:pos="660" w:val="left"/>
        </w:tabs>
        <w:numPr>
          <w:ilvl w:val="0"/>
          <w:numId w:val="790"/>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Governing law</w:t>
      </w:r>
    </w:p>
    <w:p>
      <w:pPr>
        <w:sectPr>
          <w:pgSz w:w="11900" w:h="16838" w:orient="portrait"/>
          <w:cols w:equalWidth="0" w:num="1">
            <w:col w:w="11240"/>
          </w:cols>
          <w:pgMar w:left="320" w:top="132" w:right="339" w:bottom="0" w:gutter="0" w:footer="0" w:header="0"/>
        </w:sectPr>
      </w:pPr>
    </w:p>
    <w:p>
      <w:pPr>
        <w:spacing w:after="0" w:line="235"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This Deed (including any non-contractual obligations or liabilities arising out of it or in connection with it) is governed by and is to be construed in accordance with English law.</w:t>
      </w:r>
    </w:p>
    <w:p>
      <w:pPr>
        <w:sectPr>
          <w:pgSz w:w="11900" w:h="16838" w:orient="portrait"/>
          <w:cols w:equalWidth="0" w:num="1">
            <w:col w:w="11240"/>
          </w:cols>
          <w:pgMar w:left="320" w:top="132" w:right="339" w:bottom="0" w:gutter="0" w:footer="0" w:header="0"/>
          <w:type w:val="continuous"/>
        </w:sectPr>
      </w:pPr>
    </w:p>
    <w:bookmarkStart w:id="628" w:name="page629"/>
    <w:bookmarkEnd w:id="628"/>
    <w:p>
      <w:pPr>
        <w:spacing w:after="0"/>
        <w:tabs>
          <w:tab w:leader="none" w:pos="6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1300" w:hanging="644"/>
        <w:spacing w:after="0"/>
        <w:tabs>
          <w:tab w:leader="none" w:pos="130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791"/>
        </w:numPr>
        <w:rPr>
          <w:rFonts w:ascii="Arial" w:cs="Arial" w:eastAsia="Arial" w:hAnsi="Arial"/>
          <w:sz w:val="18"/>
          <w:szCs w:val="18"/>
          <w:color w:val="auto"/>
        </w:rPr>
      </w:pPr>
      <w:r>
        <w:rPr>
          <w:rFonts w:ascii="Arial" w:cs="Arial" w:eastAsia="Arial" w:hAnsi="Arial"/>
          <w:sz w:val="18"/>
          <w:szCs w:val="18"/>
          <w:color w:val="auto"/>
        </w:rPr>
        <w:t>the English courts have non-exclusive jurisdiction to hear and determine any Proceedings and to settle any Disputes and each party irrevocably submits to the jurisdiction of the English courts;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791"/>
        </w:numPr>
        <w:rPr>
          <w:rFonts w:ascii="Arial" w:cs="Arial" w:eastAsia="Arial" w:hAnsi="Arial"/>
          <w:sz w:val="18"/>
          <w:szCs w:val="18"/>
          <w:color w:val="auto"/>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791"/>
        </w:numPr>
        <w:rPr>
          <w:rFonts w:ascii="Arial" w:cs="Arial" w:eastAsia="Arial" w:hAnsi="Arial"/>
          <w:sz w:val="18"/>
          <w:szCs w:val="18"/>
          <w:color w:val="auto"/>
        </w:rPr>
      </w:pPr>
      <w:r>
        <w:rPr>
          <w:rFonts w:ascii="Arial" w:cs="Arial" w:eastAsia="Arial" w:hAnsi="Arial"/>
          <w:sz w:val="18"/>
          <w:szCs w:val="18"/>
          <w:color w:val="auto"/>
        </w:rPr>
        <w:t>any judgment in Proceedings taken in any such court shall be conclusive and binding on it and may be enforced in any other jurisdiction.</w:t>
      </w:r>
    </w:p>
    <w:p>
      <w:pPr>
        <w:spacing w:after="0" w:line="170"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791"/>
        </w:numPr>
        <w:rPr>
          <w:rFonts w:ascii="Arial" w:cs="Arial" w:eastAsia="Arial" w:hAnsi="Arial"/>
          <w:sz w:val="16"/>
          <w:szCs w:val="16"/>
          <w:color w:val="auto"/>
        </w:rPr>
      </w:pPr>
      <w:r>
        <w:rPr>
          <w:rFonts w:ascii="Arial" w:cs="Arial" w:eastAsia="Arial" w:hAnsi="Arial"/>
          <w:sz w:val="16"/>
          <w:szCs w:val="16"/>
          <w:color w:val="auto"/>
        </w:rPr>
        <w:t>Each party also irrevocably waives (and irrevocably agrees not to raise) any objection which it might at any time have on the ground of forum non conveniens or on any other ground to Proceedings being taken in any court referred to in this Clause 0 (</w:t>
      </w:r>
      <w:r>
        <w:rPr>
          <w:rFonts w:ascii="Arial" w:cs="Arial" w:eastAsia="Arial" w:hAnsi="Arial"/>
          <w:sz w:val="16"/>
          <w:szCs w:val="16"/>
          <w:i w:val="1"/>
          <w:iCs w:val="1"/>
          <w:color w:val="auto"/>
        </w:rPr>
        <w:t>30.Governing Law and</w:t>
      </w:r>
    </w:p>
    <w:p>
      <w:pPr>
        <w:ind w:left="1300"/>
        <w:spacing w:after="0"/>
        <w:rPr>
          <w:rFonts w:ascii="Arial" w:cs="Arial" w:eastAsia="Arial" w:hAnsi="Arial"/>
          <w:sz w:val="16"/>
          <w:szCs w:val="16"/>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Nothing in this Clause 0 shall limit any party's right to take Proceedings against the other party in any other jurisdiction or in more than one jurisdiction concurrently.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This jurisdiction agreement is not concluded for the benefit of only one party.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Deed has been executed as a deed and is delivered on the date stated at the top of page one.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[S</w:t>
      </w:r>
      <w:r>
        <w:rPr>
          <w:rFonts w:ascii="Arial" w:cs="Arial" w:eastAsia="Arial" w:hAnsi="Arial"/>
          <w:sz w:val="22"/>
          <w:szCs w:val="22"/>
          <w:i w:val="1"/>
          <w:iCs w:val="1"/>
          <w:color w:val="auto"/>
        </w:rPr>
        <w:t>ignature pages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9" w:name="page630"/>
    <w:bookmarkEnd w:id="629"/>
    <w:p>
      <w:pPr>
        <w:spacing w:after="0"/>
        <w:rPr>
          <w:sz w:val="20"/>
          <w:szCs w:val="20"/>
          <w:color w:val="auto"/>
        </w:rPr>
      </w:pPr>
      <w:r>
        <w:rPr>
          <w:rFonts w:ascii="Arial" w:cs="Arial" w:eastAsia="Arial" w:hAnsi="Arial"/>
          <w:sz w:val="19"/>
          <w:szCs w:val="19"/>
          <w:color w:val="auto"/>
        </w:rPr>
        <w:t xml:space="preserve">Executed as deed by </w:t>
      </w:r>
      <w:r>
        <w:rPr>
          <w:rFonts w:ascii="Arial" w:cs="Arial" w:eastAsia="Arial" w:hAnsi="Arial"/>
          <w:sz w:val="19"/>
          <w:szCs w:val="19"/>
          <w:b w:val="1"/>
          <w:bCs w:val="1"/>
          <w:color w:val="auto"/>
        </w:rPr>
        <w:t>WEATHERFORD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ectPr>
          <w:pgSz w:w="11900" w:h="16838" w:orient="portrait"/>
          <w:cols w:equalWidth="0" w:num="2">
            <w:col w:w="3600" w:space="540"/>
            <w:col w:w="5999"/>
          </w:cols>
          <w:pgMar w:left="320" w:top="126" w:right="1440" w:bottom="1440" w:gutter="0" w:footer="0" w:header="0"/>
        </w:sectPr>
      </w:pPr>
    </w:p>
    <w:p>
      <w:pPr>
        <w:spacing w:after="0"/>
        <w:rPr>
          <w:sz w:val="20"/>
          <w:szCs w:val="20"/>
          <w:color w:val="auto"/>
        </w:rPr>
      </w:pPr>
      <w:r>
        <w:rPr>
          <w:rFonts w:ascii="Arial" w:cs="Arial" w:eastAsia="Arial" w:hAnsi="Arial"/>
          <w:sz w:val="21"/>
          <w:szCs w:val="21"/>
          <w:b w:val="1"/>
          <w:bCs w:val="1"/>
          <w:color w:val="auto"/>
        </w:rPr>
        <w:t xml:space="preserve">EURASIA LIMITED </w:t>
      </w:r>
      <w:r>
        <w:rPr>
          <w:rFonts w:ascii="Arial" w:cs="Arial" w:eastAsia="Arial" w:hAnsi="Arial"/>
          <w:sz w:val="21"/>
          <w:szCs w:val="21"/>
          <w:color w:val="auto"/>
        </w:rPr>
        <w:t>acting by 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sectPr>
          <w:pgSz w:w="11900" w:h="16838" w:orient="portrait"/>
          <w:cols w:equalWidth="0" w:num="2">
            <w:col w:w="3760" w:space="540"/>
            <w:col w:w="5839"/>
          </w:cols>
          <w:pgMar w:left="320" w:top="126" w:right="1440" w:bottom="1440" w:gutter="0" w:footer="0" w:header="0"/>
          <w:type w:val="continuous"/>
        </w:sectPr>
      </w:pPr>
    </w:p>
    <w:p>
      <w:pPr>
        <w:spacing w:after="0"/>
        <w:tabs>
          <w:tab w:leader="none" w:pos="2120" w:val="left"/>
        </w:tabs>
        <w:rPr>
          <w:sz w:val="20"/>
          <w:szCs w:val="20"/>
          <w:color w:val="auto"/>
        </w:rPr>
      </w:pPr>
      <w:r>
        <w:rPr>
          <w:rFonts w:ascii="Arial" w:cs="Arial" w:eastAsia="Arial" w:hAnsi="Arial"/>
          <w:sz w:val="22"/>
          <w:szCs w:val="22"/>
          <w:color w:val="auto"/>
        </w:rPr>
        <w:t>in the presence of:</w:t>
      </w:r>
      <w:r>
        <w:rPr>
          <w:sz w:val="20"/>
          <w:szCs w:val="20"/>
          <w:color w:val="auto"/>
        </w:rPr>
        <w:tab/>
      </w:r>
      <w:r>
        <w:rPr>
          <w:rFonts w:ascii="Arial" w:cs="Arial" w:eastAsia="Arial" w:hAnsi="Arial"/>
          <w:sz w:val="18"/>
          <w:szCs w:val="18"/>
          <w:color w:val="auto"/>
        </w:rPr>
        <w:t>)</w:t>
      </w:r>
    </w:p>
    <w:p>
      <w:pPr>
        <w:sectPr>
          <w:pgSz w:w="11900" w:h="16838" w:orient="portrait"/>
          <w:cols w:equalWidth="0" w:num="1">
            <w:col w:w="10139"/>
          </w:cols>
          <w:pgMar w:left="32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19"/>
          <w:szCs w:val="19"/>
          <w:i w:val="1"/>
          <w:iCs w:val="1"/>
          <w:color w:val="auto"/>
        </w:rPr>
        <w:t>___________________________</w:t>
      </w: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Witness: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Name:</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Occupation</w:t>
      </w:r>
      <w:r>
        <w:rPr>
          <w:rFonts w:ascii="Arial" w:cs="Arial" w:eastAsia="Arial" w:hAnsi="Arial"/>
          <w:sz w:val="22"/>
          <w:szCs w:val="22"/>
          <w:color w:val="auto"/>
        </w:rPr>
        <w:t>:</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630" w:name="page631"/>
    <w:bookmarkEnd w:id="630"/>
    <w:p>
      <w:pPr>
        <w:spacing w:after="0"/>
        <w:rPr>
          <w:sz w:val="20"/>
          <w:szCs w:val="20"/>
          <w:color w:val="auto"/>
        </w:rPr>
      </w:pPr>
      <w:r>
        <w:rPr>
          <w:rFonts w:ascii="Arial" w:cs="Arial" w:eastAsia="Arial" w:hAnsi="Arial"/>
          <w:sz w:val="21"/>
          <w:szCs w:val="21"/>
          <w:b w:val="1"/>
          <w:bCs w:val="1"/>
          <w:color w:val="auto"/>
        </w:rPr>
        <w:t>COLLATERAL AGENT</w:t>
      </w:r>
    </w:p>
    <w:p>
      <w:pPr>
        <w:sectPr>
          <w:pgSz w:w="11900" w:h="16838" w:orient="portrait"/>
          <w:cols w:equalWidth="0" w:num="1">
            <w:col w:w="10139"/>
          </w:cols>
          <w:pgMar w:left="320" w:top="396" w:right="1440" w:bottom="1440" w:gutter="0" w:footer="0" w:header="0"/>
        </w:sectPr>
      </w:pPr>
    </w:p>
    <w:p>
      <w:pPr>
        <w:spacing w:after="0" w:line="299" w:lineRule="exact"/>
        <w:rPr>
          <w:sz w:val="20"/>
          <w:szCs w:val="20"/>
          <w:color w:val="auto"/>
        </w:rPr>
      </w:pPr>
    </w:p>
    <w:p>
      <w:pPr>
        <w:spacing w:after="0"/>
        <w:tabs>
          <w:tab w:leader="none" w:pos="4360" w:val="left"/>
        </w:tabs>
        <w:rPr>
          <w:sz w:val="20"/>
          <w:szCs w:val="20"/>
          <w:color w:val="auto"/>
        </w:rPr>
      </w:pPr>
      <w:r>
        <w:rPr>
          <w:rFonts w:ascii="Arial" w:cs="Arial" w:eastAsia="Arial" w:hAnsi="Arial"/>
          <w:sz w:val="22"/>
          <w:szCs w:val="22"/>
          <w:color w:val="auto"/>
        </w:rPr>
        <w:t xml:space="preserve">Executed as a deed by </w:t>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 COMPANY AMERICAS</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acting by ...........................................................</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who, in accordance with the laws of the territory</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in which Deutsche Bank Trust Company Americas</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is incorporated, is/are acting under its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62" w:lineRule="exact"/>
        <w:rPr>
          <w:sz w:val="20"/>
          <w:szCs w:val="20"/>
          <w:color w:val="auto"/>
        </w:rPr>
      </w:pPr>
    </w:p>
    <w:p>
      <w:pPr>
        <w:sectPr>
          <w:pgSz w:w="11900" w:h="16838" w:orient="portrait"/>
          <w:cols w:equalWidth="0" w:num="4">
            <w:col w:w="4460" w:space="120"/>
            <w:col w:w="120" w:space="40"/>
            <w:col w:w="80" w:space="120"/>
            <w:col w:w="5199"/>
          </w:cols>
          <w:pgMar w:left="320" w:top="396" w:right="1440"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type w:val="continuous"/>
        </w:sectPr>
      </w:pPr>
    </w:p>
    <w:bookmarkStart w:id="631" w:name="page632"/>
    <w:bookmarkEnd w:id="631"/>
    <w:p>
      <w:pPr>
        <w:jc w:val="center"/>
        <w:ind w:right="100"/>
        <w:spacing w:after="0"/>
        <w:rPr>
          <w:sz w:val="20"/>
          <w:szCs w:val="20"/>
          <w:color w:val="auto"/>
        </w:rPr>
      </w:pPr>
      <w:r>
        <w:rPr>
          <w:rFonts w:ascii="Arial" w:cs="Arial" w:eastAsia="Arial" w:hAnsi="Arial"/>
          <w:sz w:val="22"/>
          <w:szCs w:val="22"/>
          <w:b w:val="1"/>
          <w:bCs w:val="1"/>
          <w:color w:val="auto"/>
        </w:rPr>
        <w:t>SCHEDULE 1</w:t>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ORIGINAL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163830</wp:posOffset>
            </wp:positionV>
            <wp:extent cx="7132320" cy="7200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ectPr>
          <w:pgSz w:w="11900" w:h="16838" w:orient="portrait"/>
          <w:cols w:equalWidth="0" w:num="1">
            <w:col w:w="10900"/>
          </w:cols>
          <w:pgMar w:left="540" w:top="126" w:right="45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of Company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Reeves Wireline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Technologies Limited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Class of Shares</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Ordinary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Nominal Value of each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Certificate number(s)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 holder as at</w:t>
            </w:r>
          </w:p>
        </w:tc>
      </w:tr>
      <w:tr>
        <w:trPr>
          <w:trHeight w:val="220"/>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8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the date hereof</w:t>
            </w:r>
          </w:p>
        </w:tc>
      </w:tr>
      <w:tr>
        <w:trPr>
          <w:trHeight w:val="216"/>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£10.00</w:t>
            </w:r>
          </w:p>
        </w:tc>
        <w:tc>
          <w:tcPr>
            <w:tcW w:w="176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983,414</w:t>
            </w:r>
          </w:p>
        </w:tc>
        <w:tc>
          <w:tcPr>
            <w:tcW w:w="19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10</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Weatherford Eurasia</w:t>
            </w:r>
          </w:p>
        </w:tc>
      </w:tr>
      <w:tr>
        <w:trPr>
          <w:trHeight w:val="230"/>
        </w:trPr>
        <w:tc>
          <w:tcPr>
            <w:tcW w:w="178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40" w:type="dxa"/>
            <w:vAlign w:val="bottom"/>
          </w:tcPr>
          <w:p>
            <w:pPr>
              <w:jc w:val="center"/>
              <w:ind w:left="10"/>
              <w:spacing w:after="0"/>
              <w:rPr>
                <w:sz w:val="20"/>
                <w:szCs w:val="20"/>
                <w:color w:val="auto"/>
              </w:rPr>
            </w:pPr>
            <w:r>
              <w:rPr>
                <w:rFonts w:ascii="Arial" w:cs="Arial" w:eastAsia="Arial" w:hAnsi="Arial"/>
                <w:sz w:val="18"/>
                <w:szCs w:val="18"/>
                <w:color w:val="auto"/>
                <w:w w:val="99"/>
              </w:rPr>
              <w:t>Limited</w:t>
            </w:r>
          </w:p>
        </w:tc>
      </w:tr>
      <w:tr>
        <w:trPr>
          <w:trHeight w:val="243"/>
        </w:trPr>
        <w:tc>
          <w:tcPr>
            <w:tcW w:w="178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308610</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3">
            <w:col w:w="1580" w:space="520"/>
            <w:col w:w="1160" w:space="360"/>
            <w:col w:w="7280"/>
          </w:cols>
          <w:pgMar w:left="540" w:top="126" w:right="459" w:bottom="1440" w:gutter="0" w:footer="0" w:header="0"/>
          <w:type w:val="continuous"/>
        </w:sectPr>
      </w:pPr>
    </w:p>
    <w:bookmarkStart w:id="632" w:name="page633"/>
    <w:bookmarkEnd w:id="632"/>
    <w:p>
      <w:pPr>
        <w:jc w:val="center"/>
        <w:ind w:right="-11"/>
        <w:spacing w:after="0"/>
        <w:rPr>
          <w:sz w:val="20"/>
          <w:szCs w:val="20"/>
          <w:color w:val="auto"/>
        </w:rPr>
      </w:pPr>
      <w:r>
        <w:rPr>
          <w:rFonts w:ascii="Arial" w:cs="Arial" w:eastAsia="Arial" w:hAnsi="Arial"/>
          <w:sz w:val="22"/>
          <w:szCs w:val="22"/>
          <w:b w:val="1"/>
          <w:bCs w:val="1"/>
          <w:color w:val="auto"/>
        </w:rPr>
        <w:t>SCHEDULE 2</w:t>
      </w:r>
    </w:p>
    <w:p>
      <w:pPr>
        <w:spacing w:after="0" w:line="200" w:lineRule="exact"/>
        <w:rPr>
          <w:sz w:val="20"/>
          <w:szCs w:val="20"/>
          <w:color w:val="auto"/>
        </w:rPr>
      </w:pP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ind w:left="652" w:hanging="652"/>
        <w:spacing w:after="0"/>
        <w:tabs>
          <w:tab w:leader="none" w:pos="652" w:val="left"/>
        </w:tabs>
        <w:numPr>
          <w:ilvl w:val="0"/>
          <w:numId w:val="792"/>
        </w:numPr>
        <w:rPr>
          <w:rFonts w:ascii="Arial" w:cs="Arial" w:eastAsia="Arial" w:hAnsi="Arial"/>
          <w:sz w:val="18"/>
          <w:szCs w:val="18"/>
          <w:color w:val="010000"/>
        </w:rPr>
      </w:pPr>
      <w:r>
        <w:rPr>
          <w:rFonts w:ascii="Arial" w:cs="Arial" w:eastAsia="Arial" w:hAnsi="Arial"/>
          <w:sz w:val="18"/>
          <w:szCs w:val="18"/>
          <w:b w:val="1"/>
          <w:bCs w:val="1"/>
          <w:color w:val="auto"/>
        </w:rPr>
        <w:t>Status of Shares</w:t>
      </w:r>
    </w:p>
    <w:p>
      <w:pPr>
        <w:spacing w:after="0" w:line="23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The Original Shares:</w:t>
      </w:r>
    </w:p>
    <w:p>
      <w:pPr>
        <w:spacing w:after="0" w:line="227" w:lineRule="exact"/>
        <w:rPr>
          <w:sz w:val="20"/>
          <w:szCs w:val="20"/>
          <w:color w:val="auto"/>
        </w:rPr>
      </w:pPr>
    </w:p>
    <w:p>
      <w:pPr>
        <w:ind w:left="1292" w:hanging="644"/>
        <w:spacing w:after="0"/>
        <w:tabs>
          <w:tab w:leader="none" w:pos="1292" w:val="left"/>
        </w:tabs>
        <w:numPr>
          <w:ilvl w:val="1"/>
          <w:numId w:val="793"/>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292" w:hanging="644"/>
        <w:spacing w:after="0"/>
        <w:tabs>
          <w:tab w:leader="none" w:pos="1292" w:val="left"/>
        </w:tabs>
        <w:numPr>
          <w:ilvl w:val="1"/>
          <w:numId w:val="793"/>
        </w:numPr>
        <w:rPr>
          <w:rFonts w:ascii="Arial" w:cs="Arial" w:eastAsia="Arial" w:hAnsi="Arial"/>
          <w:sz w:val="16"/>
          <w:szCs w:val="16"/>
          <w:color w:val="010000"/>
        </w:rPr>
      </w:pPr>
      <w:r>
        <w:rPr>
          <w:rFonts w:ascii="Arial" w:cs="Arial" w:eastAsia="Arial" w:hAnsi="Arial"/>
          <w:sz w:val="16"/>
          <w:szCs w:val="16"/>
          <w:color w:val="auto"/>
        </w:rPr>
        <w:t>are free from any restrictions or conditions on transfer or rights of pre-emption, except as otherwise permitted by the Loan Agreement;</w:t>
      </w:r>
    </w:p>
    <w:p>
      <w:pPr>
        <w:spacing w:after="0" w:line="248" w:lineRule="exact"/>
        <w:rPr>
          <w:rFonts w:ascii="Arial" w:cs="Arial" w:eastAsia="Arial" w:hAnsi="Arial"/>
          <w:sz w:val="16"/>
          <w:szCs w:val="16"/>
          <w:color w:val="010000"/>
        </w:rPr>
      </w:pPr>
    </w:p>
    <w:p>
      <w:pPr>
        <w:ind w:left="1292" w:hanging="644"/>
        <w:spacing w:after="0"/>
        <w:tabs>
          <w:tab w:leader="none" w:pos="1292" w:val="left"/>
        </w:tabs>
        <w:numPr>
          <w:ilvl w:val="1"/>
          <w:numId w:val="793"/>
        </w:numPr>
        <w:rPr>
          <w:rFonts w:ascii="Arial" w:cs="Arial" w:eastAsia="Arial" w:hAnsi="Arial"/>
          <w:sz w:val="18"/>
          <w:szCs w:val="18"/>
          <w:color w:val="010000"/>
        </w:rPr>
      </w:pPr>
      <w:r>
        <w:rPr>
          <w:rFonts w:ascii="Arial" w:cs="Arial" w:eastAsia="Arial" w:hAnsi="Arial"/>
          <w:sz w:val="18"/>
          <w:szCs w:val="18"/>
          <w:color w:val="auto"/>
        </w:rPr>
        <w:t>are fully paid, and no moneys or liabilities are outstanding in respect of any of them; and</w:t>
      </w:r>
    </w:p>
    <w:p>
      <w:pPr>
        <w:spacing w:after="0" w:line="225" w:lineRule="exact"/>
        <w:rPr>
          <w:rFonts w:ascii="Arial" w:cs="Arial" w:eastAsia="Arial" w:hAnsi="Arial"/>
          <w:sz w:val="18"/>
          <w:szCs w:val="18"/>
          <w:color w:val="010000"/>
        </w:rPr>
      </w:pPr>
    </w:p>
    <w:p>
      <w:pPr>
        <w:ind w:left="1292" w:hanging="644"/>
        <w:spacing w:after="0"/>
        <w:tabs>
          <w:tab w:leader="none" w:pos="1292" w:val="left"/>
        </w:tabs>
        <w:numPr>
          <w:ilvl w:val="1"/>
          <w:numId w:val="793"/>
        </w:numPr>
        <w:rPr>
          <w:rFonts w:ascii="Arial" w:cs="Arial" w:eastAsia="Arial" w:hAnsi="Arial"/>
          <w:sz w:val="18"/>
          <w:szCs w:val="18"/>
          <w:color w:val="010000"/>
        </w:rPr>
      </w:pPr>
      <w:r>
        <w:rPr>
          <w:rFonts w:ascii="Arial" w:cs="Arial" w:eastAsia="Arial" w:hAnsi="Arial"/>
          <w:sz w:val="18"/>
          <w:szCs w:val="18"/>
          <w:color w:val="auto"/>
        </w:rPr>
        <w:t>represent the whole of the issued share capital of the Company.</w:t>
      </w:r>
    </w:p>
    <w:p>
      <w:pPr>
        <w:spacing w:after="0" w:line="221" w:lineRule="exact"/>
        <w:rPr>
          <w:rFonts w:ascii="Arial" w:cs="Arial" w:eastAsia="Arial" w:hAnsi="Arial"/>
          <w:sz w:val="18"/>
          <w:szCs w:val="18"/>
          <w:color w:val="010000"/>
        </w:rPr>
      </w:pPr>
    </w:p>
    <w:p>
      <w:pPr>
        <w:ind w:left="652" w:hanging="652"/>
        <w:spacing w:after="0"/>
        <w:tabs>
          <w:tab w:leader="none" w:pos="652" w:val="left"/>
        </w:tabs>
        <w:numPr>
          <w:ilvl w:val="0"/>
          <w:numId w:val="794"/>
        </w:numPr>
        <w:rPr>
          <w:rFonts w:ascii="Arial" w:cs="Arial" w:eastAsia="Arial" w:hAnsi="Arial"/>
          <w:sz w:val="18"/>
          <w:szCs w:val="18"/>
          <w:color w:val="010000"/>
        </w:rPr>
      </w:pPr>
      <w:r>
        <w:rPr>
          <w:rFonts w:ascii="Arial" w:cs="Arial" w:eastAsia="Arial" w:hAnsi="Arial"/>
          <w:sz w:val="18"/>
          <w:szCs w:val="18"/>
          <w:b w:val="1"/>
          <w:bCs w:val="1"/>
          <w:color w:val="auto"/>
        </w:rPr>
        <w:t>Further Shares</w:t>
      </w:r>
    </w:p>
    <w:p>
      <w:pPr>
        <w:spacing w:after="0" w:line="23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All Further Shares and any Shares comprised in any Derived Assets:</w:t>
      </w:r>
    </w:p>
    <w:p>
      <w:pPr>
        <w:spacing w:after="0" w:line="227" w:lineRule="exact"/>
        <w:rPr>
          <w:sz w:val="20"/>
          <w:szCs w:val="20"/>
          <w:color w:val="auto"/>
        </w:rPr>
      </w:pPr>
    </w:p>
    <w:p>
      <w:pPr>
        <w:ind w:left="1292" w:hanging="644"/>
        <w:spacing w:after="0"/>
        <w:tabs>
          <w:tab w:leader="none" w:pos="1292" w:val="left"/>
        </w:tabs>
        <w:numPr>
          <w:ilvl w:val="0"/>
          <w:numId w:val="795"/>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292" w:hanging="644"/>
        <w:spacing w:after="0" w:line="184" w:lineRule="exact"/>
        <w:tabs>
          <w:tab w:leader="none" w:pos="1292" w:val="left"/>
        </w:tabs>
        <w:numPr>
          <w:ilvl w:val="0"/>
          <w:numId w:val="795"/>
        </w:numPr>
        <w:rPr>
          <w:rFonts w:ascii="Arial" w:cs="Arial" w:eastAsia="Arial" w:hAnsi="Arial"/>
          <w:sz w:val="16"/>
          <w:szCs w:val="16"/>
          <w:color w:val="010000"/>
        </w:rPr>
      </w:pPr>
      <w:r>
        <w:rPr>
          <w:rFonts w:ascii="Arial" w:cs="Arial" w:eastAsia="Arial" w:hAnsi="Arial"/>
          <w:sz w:val="16"/>
          <w:szCs w:val="16"/>
          <w:color w:val="auto"/>
        </w:rPr>
        <w:t>are free from any restrictions or conditions on transfer or rights of pre</w:t>
      </w:r>
      <w:r>
        <w:rPr>
          <w:rFonts w:ascii="MS PGothic" w:cs="MS PGothic" w:eastAsia="MS PGothic" w:hAnsi="MS PGothic"/>
          <w:sz w:val="16"/>
          <w:szCs w:val="16"/>
          <w:color w:val="auto"/>
        </w:rPr>
        <w:t>‑</w:t>
      </w:r>
      <w:r>
        <w:rPr>
          <w:rFonts w:ascii="Arial" w:cs="Arial" w:eastAsia="Arial" w:hAnsi="Arial"/>
          <w:sz w:val="16"/>
          <w:szCs w:val="16"/>
          <w:color w:val="auto"/>
        </w:rPr>
        <w:t>emption, except as otherwise permitted by the Loan Agreement;</w:t>
      </w:r>
    </w:p>
    <w:p>
      <w:pPr>
        <w:spacing w:after="0" w:line="248" w:lineRule="exact"/>
        <w:rPr>
          <w:rFonts w:ascii="Arial" w:cs="Arial" w:eastAsia="Arial" w:hAnsi="Arial"/>
          <w:sz w:val="16"/>
          <w:szCs w:val="16"/>
          <w:color w:val="010000"/>
        </w:rPr>
      </w:pPr>
    </w:p>
    <w:p>
      <w:pPr>
        <w:ind w:left="1292" w:hanging="644"/>
        <w:spacing w:after="0"/>
        <w:tabs>
          <w:tab w:leader="none" w:pos="1292" w:val="left"/>
        </w:tabs>
        <w:numPr>
          <w:ilvl w:val="0"/>
          <w:numId w:val="795"/>
        </w:numPr>
        <w:rPr>
          <w:rFonts w:ascii="Arial" w:cs="Arial" w:eastAsia="Arial" w:hAnsi="Arial"/>
          <w:sz w:val="18"/>
          <w:szCs w:val="18"/>
          <w:color w:val="010000"/>
        </w:rPr>
      </w:pPr>
      <w:r>
        <w:rPr>
          <w:rFonts w:ascii="Arial" w:cs="Arial" w:eastAsia="Arial" w:hAnsi="Arial"/>
          <w:sz w:val="18"/>
          <w:szCs w:val="18"/>
          <w:color w:val="auto"/>
        </w:rPr>
        <w:t>are fully paid, and no monies or liabilities are outstanding in respect of any of them; and</w:t>
      </w:r>
    </w:p>
    <w:p>
      <w:pPr>
        <w:spacing w:after="0" w:line="231" w:lineRule="exact"/>
        <w:rPr>
          <w:sz w:val="20"/>
          <w:szCs w:val="20"/>
          <w:color w:val="auto"/>
        </w:rPr>
      </w:pPr>
    </w:p>
    <w:p>
      <w:pPr>
        <w:ind w:left="652" w:right="20"/>
        <w:spacing w:after="0" w:line="358" w:lineRule="auto"/>
        <w:rPr>
          <w:sz w:val="20"/>
          <w:szCs w:val="20"/>
          <w:color w:val="auto"/>
        </w:rPr>
      </w:pPr>
      <w:r>
        <w:rPr>
          <w:rFonts w:ascii="Arial" w:cs="Arial" w:eastAsia="Arial" w:hAnsi="Arial"/>
          <w:sz w:val="19"/>
          <w:szCs w:val="19"/>
          <w:color w:val="auto"/>
        </w:rPr>
        <w:t>together with the Original Shares, any Further Shares and Shares comprised in any Derived Assets previously issued represent the whole of the issued share capital of the Company except as otherwise permitted by the Loan Agreement.</w:t>
      </w:r>
    </w:p>
    <w:p>
      <w:pPr>
        <w:spacing w:after="0" w:line="94" w:lineRule="exact"/>
        <w:rPr>
          <w:sz w:val="20"/>
          <w:szCs w:val="20"/>
          <w:color w:val="auto"/>
        </w:rPr>
      </w:pPr>
    </w:p>
    <w:p>
      <w:pPr>
        <w:ind w:left="652" w:hanging="652"/>
        <w:spacing w:after="0"/>
        <w:tabs>
          <w:tab w:leader="none" w:pos="652" w:val="left"/>
        </w:tabs>
        <w:numPr>
          <w:ilvl w:val="0"/>
          <w:numId w:val="796"/>
        </w:numPr>
        <w:rPr>
          <w:rFonts w:ascii="Arial" w:cs="Arial" w:eastAsia="Arial" w:hAnsi="Arial"/>
          <w:sz w:val="18"/>
          <w:szCs w:val="18"/>
          <w:color w:val="010000"/>
        </w:rPr>
      </w:pPr>
      <w:r>
        <w:rPr>
          <w:rFonts w:ascii="Arial" w:cs="Arial" w:eastAsia="Arial" w:hAnsi="Arial"/>
          <w:sz w:val="18"/>
          <w:szCs w:val="18"/>
          <w:b w:val="1"/>
          <w:bCs w:val="1"/>
          <w:color w:val="auto"/>
        </w:rPr>
        <w:t>PSC Register</w:t>
      </w:r>
    </w:p>
    <w:p>
      <w:pPr>
        <w:spacing w:after="0" w:line="229" w:lineRule="exact"/>
        <w:rPr>
          <w:rFonts w:ascii="Arial" w:cs="Arial" w:eastAsia="Arial" w:hAnsi="Arial"/>
          <w:sz w:val="18"/>
          <w:szCs w:val="18"/>
          <w:color w:val="010000"/>
        </w:rPr>
      </w:pPr>
    </w:p>
    <w:p>
      <w:pPr>
        <w:ind w:left="1292" w:hanging="644"/>
        <w:spacing w:after="0" w:line="277" w:lineRule="auto"/>
        <w:tabs>
          <w:tab w:leader="none" w:pos="1292" w:val="left"/>
        </w:tabs>
        <w:numPr>
          <w:ilvl w:val="1"/>
          <w:numId w:val="796"/>
        </w:numPr>
        <w:rPr>
          <w:rFonts w:ascii="Arial" w:cs="Arial" w:eastAsia="Arial" w:hAnsi="Arial"/>
          <w:sz w:val="18"/>
          <w:szCs w:val="18"/>
          <w:color w:val="010000"/>
        </w:rPr>
      </w:pPr>
      <w:r>
        <w:rPr>
          <w:rFonts w:ascii="Arial" w:cs="Arial" w:eastAsia="Arial" w:hAnsi="Arial"/>
          <w:sz w:val="18"/>
          <w:szCs w:val="18"/>
          <w:color w:val="auto"/>
        </w:rPr>
        <w:t>The Mortgagor represents and warrants that it has not issued and does not intend to issue any warning notice or restrictions notice under Schedule 1B of the Companies Act 2006 in respect of any Shares which constitute Secured Asset; and</w:t>
      </w:r>
    </w:p>
    <w:p>
      <w:pPr>
        <w:spacing w:after="0" w:line="170" w:lineRule="exact"/>
        <w:rPr>
          <w:rFonts w:ascii="Arial" w:cs="Arial" w:eastAsia="Arial" w:hAnsi="Arial"/>
          <w:sz w:val="18"/>
          <w:szCs w:val="18"/>
          <w:color w:val="010000"/>
        </w:rPr>
      </w:pPr>
    </w:p>
    <w:p>
      <w:pPr>
        <w:ind w:left="1292" w:hanging="644"/>
        <w:spacing w:after="0" w:line="277" w:lineRule="auto"/>
        <w:tabs>
          <w:tab w:leader="none" w:pos="1292" w:val="left"/>
        </w:tabs>
        <w:numPr>
          <w:ilvl w:val="1"/>
          <w:numId w:val="796"/>
        </w:numPr>
        <w:rPr>
          <w:rFonts w:ascii="Arial" w:cs="Arial" w:eastAsia="Arial" w:hAnsi="Arial"/>
          <w:sz w:val="18"/>
          <w:szCs w:val="18"/>
          <w:color w:val="010000"/>
        </w:rPr>
      </w:pPr>
      <w:r>
        <w:rPr>
          <w:rFonts w:ascii="Arial" w:cs="Arial" w:eastAsia="Arial" w:hAnsi="Arial"/>
          <w:sz w:val="18"/>
          <w:szCs w:val="18"/>
          <w:color w:val="auto"/>
        </w:rPr>
        <w:t>the Mortgagor has not received any warning notice or restrictions notice under Schedule 1B of the Companies Act 2006 in respect of any Shares which constitute Secured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6" w:right="339" w:bottom="1440" w:gutter="0" w:footer="0" w:header="0"/>
        </w:sectPr>
      </w:pPr>
    </w:p>
    <w:bookmarkStart w:id="633" w:name="page634"/>
    <w:bookmarkEnd w:id="633"/>
    <w:p>
      <w:pPr>
        <w:jc w:val="center"/>
        <w:ind w:right="-19"/>
        <w:spacing w:after="0"/>
        <w:rPr>
          <w:sz w:val="20"/>
          <w:szCs w:val="20"/>
          <w:color w:val="auto"/>
        </w:rPr>
      </w:pPr>
      <w:r>
        <w:rPr>
          <w:rFonts w:ascii="Arial" w:cs="Arial" w:eastAsia="Arial" w:hAnsi="Arial"/>
          <w:sz w:val="22"/>
          <w:szCs w:val="22"/>
          <w:b w:val="1"/>
          <w:bCs w:val="1"/>
          <w:color w:val="auto"/>
        </w:rPr>
        <w:t>SCHEDULE 3</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COVENANTS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Transfer and Rights of Pre-emption</w:t>
      </w:r>
    </w:p>
    <w:p>
      <w:pPr>
        <w:spacing w:after="0" w:line="239"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22"/>
          <w:szCs w:val="22"/>
          <w:color w:val="auto"/>
        </w:rPr>
        <w:t>The Mortgagor shall ensure that the Original Shares, any Further Shares and any Shares comprised in any Derived Assets are and remain free from any restriction on transfer or rights of pre-emption, except as otherwise permitted by the Loan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Articles of Association</w:t>
      </w:r>
    </w:p>
    <w:p>
      <w:pPr>
        <w:spacing w:after="0" w:line="239" w:lineRule="exact"/>
        <w:rPr>
          <w:sz w:val="20"/>
          <w:szCs w:val="20"/>
          <w:color w:val="auto"/>
        </w:rPr>
      </w:pPr>
    </w:p>
    <w:p>
      <w:pPr>
        <w:jc w:val="both"/>
        <w:ind w:left="660"/>
        <w:spacing w:after="0" w:line="276" w:lineRule="auto"/>
        <w:rPr>
          <w:sz w:val="20"/>
          <w:szCs w:val="20"/>
          <w:color w:val="auto"/>
        </w:rPr>
      </w:pPr>
      <w:r>
        <w:rPr>
          <w:rFonts w:ascii="Arial" w:cs="Arial" w:eastAsia="Arial" w:hAnsi="Arial"/>
          <w:sz w:val="22"/>
          <w:szCs w:val="22"/>
          <w:color w:val="auto"/>
        </w:rPr>
        <w:t>The Mortgagor shall not permit the articles of association of the Company to be amended or modified in any way that would adversely affect in any material respect the Security created pursuant to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4" w:name="page635"/>
    <w:bookmarkEnd w:id="634"/>
    <w:p>
      <w:pPr>
        <w:jc w:val="right"/>
        <w:spacing w:after="0"/>
        <w:rPr>
          <w:sz w:val="20"/>
          <w:szCs w:val="20"/>
          <w:color w:val="auto"/>
        </w:rPr>
      </w:pPr>
      <w:r>
        <w:rPr>
          <w:rFonts w:ascii="Arial" w:cs="Arial" w:eastAsia="Arial" w:hAnsi="Arial"/>
          <w:sz w:val="22"/>
          <w:szCs w:val="22"/>
          <w:b w:val="1"/>
          <w:bCs w:val="1"/>
          <w:u w:val="single" w:color="auto"/>
          <w:color w:val="auto"/>
        </w:rPr>
        <w:t>EXHIBIT L</w:t>
      </w:r>
    </w:p>
    <w:p>
      <w:pPr>
        <w:spacing w:after="0" w:line="233" w:lineRule="exact"/>
        <w:rPr>
          <w:sz w:val="20"/>
          <w:szCs w:val="20"/>
          <w:color w:val="auto"/>
        </w:rPr>
      </w:pPr>
    </w:p>
    <w:p>
      <w:pPr>
        <w:ind w:left="1220"/>
        <w:spacing w:after="0"/>
        <w:rPr>
          <w:sz w:val="20"/>
          <w:szCs w:val="20"/>
          <w:color w:val="auto"/>
        </w:rPr>
      </w:pPr>
      <w:r>
        <w:rPr>
          <w:rFonts w:ascii="Arial" w:cs="Arial" w:eastAsia="Arial" w:hAnsi="Arial"/>
          <w:sz w:val="22"/>
          <w:szCs w:val="22"/>
          <w:b w:val="1"/>
          <w:bCs w:val="1"/>
          <w:u w:val="single" w:color="auto"/>
          <w:color w:val="auto"/>
        </w:rPr>
        <w:t>FORM OF BRITISH VIRGIN ISLANDS SECURITY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635" w:name="page636"/>
    <w:bookmarkEnd w:id="635"/>
    <w:p>
      <w:pPr>
        <w:jc w:val="right"/>
        <w:spacing w:after="0"/>
        <w:rPr>
          <w:sz w:val="20"/>
          <w:szCs w:val="20"/>
          <w:color w:val="auto"/>
        </w:rPr>
      </w:pPr>
      <w:r>
        <w:rPr>
          <w:rFonts w:ascii="Arial" w:cs="Arial" w:eastAsia="Arial" w:hAnsi="Arial"/>
          <w:sz w:val="22"/>
          <w:szCs w:val="22"/>
          <w:b w:val="1"/>
          <w:bCs w:val="1"/>
          <w:u w:val="single" w:color="auto"/>
          <w:color w:val="auto"/>
        </w:rPr>
        <w:t>EXHIBIT M</w:t>
      </w:r>
    </w:p>
    <w:p>
      <w:pPr>
        <w:spacing w:after="0" w:line="233" w:lineRule="exact"/>
        <w:rPr>
          <w:sz w:val="20"/>
          <w:szCs w:val="20"/>
          <w:color w:val="auto"/>
        </w:rPr>
      </w:pPr>
    </w:p>
    <w:p>
      <w:pPr>
        <w:ind w:left="1400"/>
        <w:spacing w:after="0"/>
        <w:rPr>
          <w:sz w:val="20"/>
          <w:szCs w:val="20"/>
          <w:color w:val="auto"/>
        </w:rPr>
      </w:pPr>
      <w:r>
        <w:rPr>
          <w:rFonts w:ascii="Arial" w:cs="Arial" w:eastAsia="Arial" w:hAnsi="Arial"/>
          <w:sz w:val="22"/>
          <w:szCs w:val="22"/>
          <w:b w:val="1"/>
          <w:bCs w:val="1"/>
          <w:u w:val="single" w:color="auto"/>
          <w:color w:val="auto"/>
        </w:rPr>
        <w:t>FORM OF INTERCOMPANY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96" w:right="339" w:bottom="1440" w:gutter="0" w:footer="0" w:header="0"/>
        </w:sectPr>
      </w:pPr>
    </w:p>
    <w:bookmarkStart w:id="636" w:name="page637"/>
    <w:bookmarkEnd w:id="636"/>
    <w:p>
      <w:pPr>
        <w:jc w:val="center"/>
        <w:spacing w:after="0"/>
        <w:rPr>
          <w:sz w:val="20"/>
          <w:szCs w:val="20"/>
          <w:color w:val="auto"/>
        </w:rPr>
      </w:pPr>
      <w:r>
        <w:rPr>
          <w:rFonts w:ascii="Arial" w:cs="Arial" w:eastAsia="Arial" w:hAnsi="Arial"/>
          <w:sz w:val="22"/>
          <w:szCs w:val="22"/>
          <w:b w:val="1"/>
          <w:bCs w:val="1"/>
          <w:color w:val="auto"/>
        </w:rPr>
        <w:t>FORM 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INTERCOMPANY SUBORDINATION AGREEMENT</w:t>
      </w:r>
    </w:p>
    <w:p>
      <w:pPr>
        <w:spacing w:after="0" w:line="200" w:lineRule="exact"/>
        <w:rPr>
          <w:sz w:val="20"/>
          <w:szCs w:val="20"/>
          <w:color w:val="auto"/>
        </w:rPr>
      </w:pPr>
    </w:p>
    <w:p>
      <w:pPr>
        <w:spacing w:after="0" w:line="377" w:lineRule="exact"/>
        <w:rPr>
          <w:sz w:val="20"/>
          <w:szCs w:val="20"/>
          <w:color w:val="auto"/>
        </w:rPr>
      </w:pPr>
    </w:p>
    <w:p>
      <w:pPr>
        <w:ind w:left="740"/>
        <w:spacing w:after="0"/>
        <w:rPr>
          <w:sz w:val="20"/>
          <w:szCs w:val="20"/>
          <w:color w:val="auto"/>
        </w:rPr>
      </w:pPr>
      <w:r>
        <w:rPr>
          <w:rFonts w:ascii="Arial" w:cs="Arial" w:eastAsia="Arial" w:hAnsi="Arial"/>
          <w:sz w:val="21"/>
          <w:szCs w:val="21"/>
          <w:color w:val="auto"/>
        </w:rPr>
        <w:t>THIS INTERCOMPANY SUBORDINATION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dated as of [__________], 20__</w:t>
      </w:r>
    </w:p>
    <w:p>
      <w:pPr>
        <w:spacing w:after="0" w:line="33" w:lineRule="exact"/>
        <w:rPr>
          <w:sz w:val="20"/>
          <w:szCs w:val="20"/>
          <w:color w:val="auto"/>
        </w:rPr>
      </w:pPr>
    </w:p>
    <w:p>
      <w:pPr>
        <w:jc w:val="both"/>
        <w:ind w:left="100" w:right="80"/>
        <w:spacing w:after="0" w:line="260" w:lineRule="auto"/>
        <w:rPr>
          <w:sz w:val="20"/>
          <w:szCs w:val="20"/>
          <w:color w:val="auto"/>
        </w:rPr>
      </w:pPr>
      <w:r>
        <w:rPr>
          <w:rFonts w:ascii="Arial" w:cs="Arial" w:eastAsia="Arial" w:hAnsi="Arial"/>
          <w:sz w:val="22"/>
          <w:szCs w:val="22"/>
          <w:color w:val="auto"/>
        </w:rPr>
        <w:t>and is made by and among the entities listed on the signature pages hereto (such entities, together with any other subsidiaries of Weatherford International plc, an Irish public limited company (“</w:t>
      </w:r>
      <w:r>
        <w:rPr>
          <w:rFonts w:ascii="Arial" w:cs="Arial" w:eastAsia="Arial" w:hAnsi="Arial"/>
          <w:sz w:val="22"/>
          <w:szCs w:val="22"/>
          <w:u w:val="single" w:color="auto"/>
          <w:color w:val="auto"/>
        </w:rPr>
        <w:t>WIL-Ireland</w:t>
      </w:r>
      <w:r>
        <w:rPr>
          <w:rFonts w:ascii="Arial" w:cs="Arial" w:eastAsia="Arial" w:hAnsi="Arial"/>
          <w:sz w:val="22"/>
          <w:szCs w:val="22"/>
          <w:color w:val="auto"/>
        </w:rPr>
        <w:t>”), whether now existing or hereafter formed or acquired, that become party to this Agreement from time to time in accordance with the terms of Section 6 hereof, being individually referred to herein as a “</w:t>
      </w:r>
      <w:r>
        <w:rPr>
          <w:rFonts w:ascii="Arial" w:cs="Arial" w:eastAsia="Arial" w:hAnsi="Arial"/>
          <w:sz w:val="22"/>
          <w:szCs w:val="22"/>
          <w:u w:val="single" w:color="auto"/>
          <w:color w:val="auto"/>
        </w:rPr>
        <w:t>Company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Companies</w:t>
      </w:r>
      <w:r>
        <w:rPr>
          <w:rFonts w:ascii="Arial" w:cs="Arial" w:eastAsia="Arial" w:hAnsi="Arial"/>
          <w:sz w:val="22"/>
          <w:szCs w:val="22"/>
          <w:color w:val="auto"/>
        </w:rPr>
        <w:t>”, in any case including any applicable branch thereof).</w:t>
      </w:r>
    </w:p>
    <w:p>
      <w:pPr>
        <w:spacing w:after="0" w:line="259" w:lineRule="exact"/>
        <w:rPr>
          <w:sz w:val="20"/>
          <w:szCs w:val="20"/>
          <w:color w:val="auto"/>
        </w:rPr>
      </w:pPr>
    </w:p>
    <w:p>
      <w:pPr>
        <w:ind w:left="740"/>
        <w:spacing w:after="0"/>
        <w:rPr>
          <w:sz w:val="20"/>
          <w:szCs w:val="20"/>
          <w:color w:val="auto"/>
        </w:rPr>
      </w:pPr>
      <w:r>
        <w:rPr>
          <w:rFonts w:ascii="Arial" w:cs="Arial" w:eastAsia="Arial" w:hAnsi="Arial"/>
          <w:sz w:val="21"/>
          <w:szCs w:val="21"/>
          <w:color w:val="auto"/>
        </w:rPr>
        <w:t>NOW, THEREFORE, intending to be legally bound hereby, the parties hereto covenant and agree as follows:</w:t>
      </w:r>
    </w:p>
    <w:p>
      <w:pPr>
        <w:spacing w:after="0" w:line="312" w:lineRule="exact"/>
        <w:rPr>
          <w:sz w:val="20"/>
          <w:szCs w:val="20"/>
          <w:color w:val="auto"/>
        </w:rPr>
      </w:pPr>
    </w:p>
    <w:p>
      <w:pPr>
        <w:jc w:val="both"/>
        <w:ind w:left="100" w:right="40" w:firstLine="646"/>
        <w:spacing w:after="0" w:line="273" w:lineRule="auto"/>
        <w:tabs>
          <w:tab w:leader="none" w:pos="1558" w:val="left"/>
        </w:tabs>
        <w:numPr>
          <w:ilvl w:val="0"/>
          <w:numId w:val="797"/>
        </w:numPr>
        <w:rPr>
          <w:rFonts w:ascii="Arial" w:cs="Arial" w:eastAsia="Arial" w:hAnsi="Arial"/>
          <w:sz w:val="21"/>
          <w:szCs w:val="21"/>
          <w:color w:val="auto"/>
        </w:rPr>
      </w:pPr>
      <w:r>
        <w:rPr>
          <w:rFonts w:ascii="Arial" w:cs="Arial" w:eastAsia="Arial" w:hAnsi="Arial"/>
          <w:sz w:val="21"/>
          <w:szCs w:val="21"/>
          <w:u w:val="single" w:color="auto"/>
          <w:color w:val="auto"/>
        </w:rPr>
        <w:t>Subordinated Indebtedness Subordinated to Senior Debt</w:t>
      </w:r>
      <w:r>
        <w:rPr>
          <w:rFonts w:ascii="Arial" w:cs="Arial" w:eastAsia="Arial" w:hAnsi="Arial"/>
          <w:sz w:val="21"/>
          <w:szCs w:val="21"/>
          <w:color w:val="auto"/>
        </w:rPr>
        <w:t>. Reference is made to that certain Credit Agreement dated as of the date hereof (as the same may be amended, restated or otherwise modified or replaced from time to time, the “</w:t>
      </w:r>
      <w:r>
        <w:rPr>
          <w:rFonts w:ascii="Arial" w:cs="Arial" w:eastAsia="Arial" w:hAnsi="Arial"/>
          <w:sz w:val="21"/>
          <w:szCs w:val="21"/>
          <w:u w:val="single" w:color="auto"/>
          <w:color w:val="auto"/>
        </w:rPr>
        <w:t>LC</w:t>
      </w:r>
      <w:r>
        <w:rPr>
          <w:rFonts w:ascii="Arial" w:cs="Arial" w:eastAsia="Arial" w:hAnsi="Arial"/>
          <w:sz w:val="21"/>
          <w:szCs w:val="21"/>
          <w:color w:val="auto"/>
        </w:rPr>
        <w:t xml:space="preserv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Weatherford International Ltd., a Bermuda exempted company (“</w:t>
      </w:r>
      <w:r>
        <w:rPr>
          <w:rFonts w:ascii="Arial" w:cs="Arial" w:eastAsia="Arial" w:hAnsi="Arial"/>
          <w:sz w:val="21"/>
          <w:szCs w:val="21"/>
          <w:u w:val="single" w:color="auto"/>
          <w:color w:val="auto"/>
        </w:rPr>
        <w:t>WIL-Bermuda</w:t>
      </w:r>
      <w:r>
        <w:rPr>
          <w:rFonts w:ascii="Arial" w:cs="Arial" w:eastAsia="Arial" w:hAnsi="Arial"/>
          <w:sz w:val="21"/>
          <w:szCs w:val="21"/>
          <w:color w:val="auto"/>
        </w:rPr>
        <w:t>”), Weatherford International, LLC, a Delaware corporation (“</w:t>
      </w:r>
      <w:r>
        <w:rPr>
          <w:rFonts w:ascii="Arial" w:cs="Arial" w:eastAsia="Arial" w:hAnsi="Arial"/>
          <w:sz w:val="21"/>
          <w:szCs w:val="21"/>
          <w:u w:val="single" w:color="auto"/>
          <w:color w:val="auto"/>
        </w:rPr>
        <w:t>WIL-Delaware</w:t>
      </w:r>
      <w:r>
        <w:rPr>
          <w:rFonts w:ascii="Arial" w:cs="Arial" w:eastAsia="Arial" w:hAnsi="Arial"/>
          <w:sz w:val="21"/>
          <w:szCs w:val="21"/>
          <w:color w:val="auto"/>
        </w:rPr>
        <w:t>”), WIL-Ireland, the Lenders from time to time party thereto, the Issuing Banks from time to time party thereto and Deutsche Bank Trust Company Americas,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Each capitalized term used herein and not defined herein shall have the meaning given to it in the LC Credit Agreement.</w:t>
      </w:r>
    </w:p>
    <w:p>
      <w:pPr>
        <w:spacing w:after="0" w:line="237" w:lineRule="exact"/>
        <w:rPr>
          <w:sz w:val="20"/>
          <w:szCs w:val="20"/>
          <w:color w:val="auto"/>
        </w:rPr>
      </w:pPr>
    </w:p>
    <w:p>
      <w:pPr>
        <w:jc w:val="both"/>
        <w:ind w:left="100" w:right="40" w:firstLine="648"/>
        <w:spacing w:after="0" w:line="303" w:lineRule="auto"/>
        <w:rPr>
          <w:sz w:val="20"/>
          <w:szCs w:val="20"/>
          <w:color w:val="auto"/>
        </w:rPr>
      </w:pPr>
      <w:r>
        <w:rPr>
          <w:rFonts w:ascii="Arial" w:cs="Arial" w:eastAsia="Arial" w:hAnsi="Arial"/>
          <w:sz w:val="19"/>
          <w:szCs w:val="19"/>
          <w:color w:val="auto"/>
        </w:rPr>
        <w:t>All Indebtedness arising from intercompany loans and advances owing by an Obligor (other than Parent) to a Restricted Subsidiary that is not an Obligor or an Unrestricted Subsidiary (the loaning or advancing Company being referred to hereunder as an “</w:t>
      </w:r>
      <w:r>
        <w:rPr>
          <w:rFonts w:ascii="Arial" w:cs="Arial" w:eastAsia="Arial" w:hAnsi="Arial"/>
          <w:sz w:val="19"/>
          <w:szCs w:val="19"/>
          <w:u w:val="single" w:color="auto"/>
          <w:color w:val="auto"/>
        </w:rPr>
        <w:t>Intercompany Lender</w:t>
      </w:r>
      <w:r>
        <w:rPr>
          <w:rFonts w:ascii="Arial" w:cs="Arial" w:eastAsia="Arial" w:hAnsi="Arial"/>
          <w:sz w:val="19"/>
          <w:szCs w:val="19"/>
          <w:color w:val="auto"/>
        </w:rPr>
        <w:t>” and the borrower or payee Company being referred to as an “</w:t>
      </w:r>
      <w:r>
        <w:rPr>
          <w:rFonts w:ascii="Arial" w:cs="Arial" w:eastAsia="Arial" w:hAnsi="Arial"/>
          <w:sz w:val="19"/>
          <w:szCs w:val="19"/>
          <w:u w:val="single" w:color="auto"/>
          <w:color w:val="auto"/>
        </w:rPr>
        <w:t>Intercompany Borrower</w:t>
      </w:r>
      <w:r>
        <w:rPr>
          <w:rFonts w:ascii="Arial" w:cs="Arial" w:eastAsia="Arial" w:hAnsi="Arial"/>
          <w:sz w:val="19"/>
          <w:szCs w:val="19"/>
          <w:color w:val="auto"/>
        </w:rPr>
        <w:t>”, and such loans and advances, collectively, “</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shall be subordinate and junior in right of payment, and exercise of remedies, to the Obligations (as defined in the LC Credit Agreement, the “</w:t>
      </w:r>
      <w:r>
        <w:rPr>
          <w:rFonts w:ascii="Arial" w:cs="Arial" w:eastAsia="Arial" w:hAnsi="Arial"/>
          <w:sz w:val="19"/>
          <w:szCs w:val="19"/>
          <w:u w:val="single" w:color="auto"/>
          <w:color w:val="auto"/>
        </w:rPr>
        <w:t>Senior Obligations</w:t>
      </w:r>
      <w:r>
        <w:rPr>
          <w:rFonts w:ascii="Arial" w:cs="Arial" w:eastAsia="Arial" w:hAnsi="Arial"/>
          <w:sz w:val="19"/>
          <w:szCs w:val="19"/>
          <w:color w:val="auto"/>
        </w:rPr>
        <w:t xml:space="preserve">”) until paid in full and pursuant to the terms of the LC Credit Agreement, except (x) to the extent that such subordination of such Subordinated Indebtedness would violate applicable law and (y) for loans and advances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as updated by WIL-Ireland from time to time. Except as expressly permitted by the LC Credit Agreement, no Intercompany Lender shall (i) acquire any Lien on any asset of any Intercompany Borrower or (ii) accept any guaranties from any other Company or from any other Subsidiary of any Obligor in each case with respect to the Subordinated Indebtedness.</w:t>
      </w:r>
    </w:p>
    <w:p>
      <w:pPr>
        <w:spacing w:after="0" w:line="21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Until Payment in Full has occurred in accordance with the terms of the LC Credit Agreement, no Intercompany Lender will (a) accelerate, make demand, or otherwise make due and payable prior to the original due date thereof any Subordinated Indebtedness; (b) bring, commence, institute, prosecute, or participate in any lawsuit, action, or proceeding, whether private, judicial, equitable, administrative, or otherwise to enforce its rights or interests, or otherwise take any remedy, in each case in respect of the Subordinated Indebtedness; (c) exercise any of its rights or remedies under or with respect to guaranties of the Subordinated Indebtedness, if any; (d) exercise any of its rights or remedies in connection with the Subordinated Indebtedness with respect to any Collateral of any Intercompany Borrower; (e) exercise any right to set-off, recoupment or counterclaim in respect of any indebtedness, liabilities, or obligations of Intercompany Lender to any Intercompany Borrower against any of the Subordinated Indebtedness; (f) in its capacity as an Intercompany Lender, contest, protest, or object to any exercise of secured creditor remedies by the Administrative Agent or any Senior Debt Holders (as defined below), in each case in connection with the Senior Obligations; (g) object to or contest any forbearance in respect of the Senior Obligations by the Administrative Agent or any Senior Debt Holders; (h) object to or contest any waiver of, or amendment to, the terms of the LC Credit Agreement and the other Loan Documents entered into by the Administrative Agent of any Senior Debt Holders; or (i) commence, or cause to be commenced, or join with any creditor other than the Administrative Agent or any Lender in commencing, any Insolvency Proceeding (as defined below) against any Intercompany Borrower.</w:t>
      </w:r>
    </w:p>
    <w:p>
      <w:pPr>
        <w:spacing w:after="0" w:line="169" w:lineRule="exact"/>
        <w:rPr>
          <w:sz w:val="20"/>
          <w:szCs w:val="20"/>
          <w:color w:val="auto"/>
        </w:rPr>
      </w:pPr>
    </w:p>
    <w:p>
      <w:pPr>
        <w:jc w:val="both"/>
        <w:ind w:left="100" w:right="80" w:firstLine="646"/>
        <w:spacing w:after="0" w:line="302" w:lineRule="auto"/>
        <w:tabs>
          <w:tab w:leader="none" w:pos="1734" w:val="left"/>
        </w:tabs>
        <w:numPr>
          <w:ilvl w:val="0"/>
          <w:numId w:val="798"/>
        </w:numPr>
        <w:rPr>
          <w:rFonts w:ascii="Arial" w:cs="Arial" w:eastAsia="Arial" w:hAnsi="Arial"/>
          <w:sz w:val="19"/>
          <w:szCs w:val="19"/>
          <w:color w:val="auto"/>
        </w:rPr>
      </w:pPr>
      <w:r>
        <w:rPr>
          <w:rFonts w:ascii="Arial" w:cs="Arial" w:eastAsia="Arial" w:hAnsi="Arial"/>
          <w:sz w:val="19"/>
          <w:szCs w:val="19"/>
          <w:u w:val="single" w:color="auto"/>
          <w:color w:val="auto"/>
        </w:rPr>
        <w:t>Payment Over of Proceeds Upon Dissolution, Etc</w:t>
      </w:r>
      <w:r>
        <w:rPr>
          <w:rFonts w:ascii="Arial" w:cs="Arial" w:eastAsia="Arial" w:hAnsi="Arial"/>
          <w:sz w:val="19"/>
          <w:szCs w:val="19"/>
          <w:color w:val="auto"/>
        </w:rPr>
        <w:t>. Upon any distribution of assets of any Intercompany Borrower in the event of (a) any Insolvency Proceeding, or (b) any assignment for the benefit of creditors in connection with, or in lieu of, an Insolvency Proceeding or any marshalling of assets and liabilities of any such Intercompany Borrower in connection with an Insolvency Proceeding (an Intercompany Borrower distributing assets as set forth herein being referred to as a “</w:t>
      </w:r>
      <w:r>
        <w:rPr>
          <w:rFonts w:ascii="Arial" w:cs="Arial" w:eastAsia="Arial" w:hAnsi="Arial"/>
          <w:sz w:val="19"/>
          <w:szCs w:val="19"/>
          <w:u w:val="single" w:color="auto"/>
          <w:color w:val="auto"/>
        </w:rPr>
        <w:t>Distributing Company</w:t>
      </w:r>
      <w:r>
        <w:rPr>
          <w:rFonts w:ascii="Arial" w:cs="Arial" w:eastAsia="Arial" w:hAnsi="Arial"/>
          <w:sz w:val="19"/>
          <w:szCs w:val="19"/>
          <w:color w:val="auto"/>
        </w:rPr>
        <w:t>”), the Administrative Agent shall be entitled to receive, for the benefit of the holders of the Senior Obligations (each, a “</w:t>
      </w:r>
      <w:r>
        <w:rPr>
          <w:rFonts w:ascii="Arial" w:cs="Arial" w:eastAsia="Arial" w:hAnsi="Arial"/>
          <w:sz w:val="19"/>
          <w:szCs w:val="19"/>
          <w:u w:val="single" w:color="auto"/>
          <w:color w:val="auto"/>
        </w:rPr>
        <w:t>Senior Debt Holder</w:t>
      </w:r>
      <w:r>
        <w:rPr>
          <w:rFonts w:ascii="Arial" w:cs="Arial" w:eastAsia="Arial" w:hAnsi="Arial"/>
          <w:sz w:val="19"/>
          <w:szCs w:val="19"/>
          <w:color w:val="auto"/>
        </w:rPr>
        <w:t>”), Payment in Full under the LC Credit Agreement before the holder of any Subordinated Indebtedness is entitled to receive any payment on account of any Subordinated Indebtedness owed to it by the Distributing Company, and, to that end, the Administrative Agent shall be entitled to receive, for application to the payment of the Senior Obligations in accordance with the LC Credit Agreement, any payment or distribution of any kind or character, whether in cash, property or securities, which may be payable or deliverable in respect of the Subordinated Indebtedness owed by the Distributing Company in any such case, proceeding, dissolution, liquidation or other winding up event. If any Event of</w:t>
      </w:r>
    </w:p>
    <w:p>
      <w:pPr>
        <w:sectPr>
          <w:pgSz w:w="11900" w:h="16838" w:orient="portrait"/>
          <w:cols w:equalWidth="0" w:num="1">
            <w:col w:w="11240"/>
          </w:cols>
          <w:pgMar w:left="320" w:top="464" w:right="339" w:bottom="0" w:gutter="0" w:footer="0" w:header="0"/>
        </w:sectPr>
      </w:pPr>
    </w:p>
    <w:bookmarkStart w:id="637" w:name="page638"/>
    <w:bookmarkEnd w:id="637"/>
    <w:p>
      <w:pPr>
        <w:jc w:val="both"/>
        <w:ind w:left="2" w:right="20"/>
        <w:spacing w:after="0" w:line="262" w:lineRule="auto"/>
        <w:rPr>
          <w:sz w:val="20"/>
          <w:szCs w:val="20"/>
          <w:color w:val="auto"/>
        </w:rPr>
      </w:pPr>
      <w:r>
        <w:rPr>
          <w:rFonts w:ascii="Arial" w:cs="Arial" w:eastAsia="Arial" w:hAnsi="Arial"/>
          <w:sz w:val="22"/>
          <w:szCs w:val="22"/>
          <w:color w:val="auto"/>
        </w:rPr>
        <w:t>Default shall have occurred and be continuing, or such an Event of Default would result from or exist after giving effect to a payment with respect to any portion of the Subordinated Indebtedness, so long as any of any Senior Obligations shall remain outstanding, no payment shall be made by any Company on account of principal or interest on any portion of the Subordinated Indebtedness.</w:t>
      </w:r>
    </w:p>
    <w:p>
      <w:pPr>
        <w:spacing w:after="0" w:line="245" w:lineRule="exact"/>
        <w:rPr>
          <w:sz w:val="20"/>
          <w:szCs w:val="20"/>
          <w:color w:val="auto"/>
        </w:rPr>
      </w:pPr>
    </w:p>
    <w:p>
      <w:pPr>
        <w:jc w:val="both"/>
        <w:ind w:left="2" w:firstLine="648"/>
        <w:spacing w:after="0" w:line="297" w:lineRule="auto"/>
        <w:rPr>
          <w:sz w:val="20"/>
          <w:szCs w:val="20"/>
          <w:color w:val="auto"/>
        </w:rPr>
      </w:pPr>
      <w:r>
        <w:rPr>
          <w:rFonts w:ascii="Arial" w:cs="Arial" w:eastAsia="Arial" w:hAnsi="Arial"/>
          <w:sz w:val="19"/>
          <w:szCs w:val="19"/>
          <w:color w:val="auto"/>
        </w:rPr>
        <w:t>If, while any Subordinated Indebtedness is outstanding and before Payment in Full has occurred in accordance with the terms of the LC Credit Agreement, any Insolvency Proceeding shall occur and be continuing with respect to any Company or its property: (a) the Administrative Agent hereby is irrevocably authorized and empowered (in the name of the Company or otherwise), but shall have no obligation, to demand, sue for, collect, and receive every payment or distribution in respect of the Subordinated Indebtedness and give acquittance therefor and to file claims and proofs of claim and take such other action (including voting the Subordinated Indebtedness) as it may deem necessary or advisable for the exercise or enforcement of any of the rights or interests of the Administrative Agent (or any Senior Debt Holders) under any of the Loan Documents; and</w:t>
      </w:r>
    </w:p>
    <w:p>
      <w:pPr>
        <w:spacing w:after="0" w:line="2" w:lineRule="exact"/>
        <w:rPr>
          <w:sz w:val="20"/>
          <w:szCs w:val="20"/>
          <w:color w:val="auto"/>
        </w:rPr>
      </w:pPr>
    </w:p>
    <w:p>
      <w:pPr>
        <w:jc w:val="both"/>
        <w:ind w:left="2" w:hanging="2"/>
        <w:spacing w:after="0" w:line="307" w:lineRule="auto"/>
        <w:tabs>
          <w:tab w:leader="none" w:pos="348" w:val="left"/>
        </w:tabs>
        <w:numPr>
          <w:ilvl w:val="0"/>
          <w:numId w:val="799"/>
        </w:numPr>
        <w:rPr>
          <w:rFonts w:ascii="Arial" w:cs="Arial" w:eastAsia="Arial" w:hAnsi="Arial"/>
          <w:sz w:val="19"/>
          <w:szCs w:val="19"/>
          <w:color w:val="auto"/>
        </w:rPr>
      </w:pPr>
      <w:r>
        <w:rPr>
          <w:rFonts w:ascii="Arial" w:cs="Arial" w:eastAsia="Arial" w:hAnsi="Arial"/>
          <w:sz w:val="19"/>
          <w:szCs w:val="19"/>
          <w:color w:val="auto"/>
        </w:rPr>
        <w:t>each Company shall promptly take such action as the Administrative Agent may reasonably request (i) to collect the Subordinated Indebtedness for the account of the Senior Debt Holders and to file appropriate claims or proofs of claim in respect of the Subordinated Indebtedness, (ii) to execute and deliver to the Administrative Agent such powers of attorney, assignments, and other instruments as it may reasonably request to enable it to enforce any and all claims with respect to the Subordinated Indebtedness, and (iii) to collect and receive any and all any payments or distributions of any kind or character, whether in cash, property or securities, which may be payable or deliverable in respect of the Subordinated Indebtedness.</w:t>
      </w:r>
    </w:p>
    <w:p>
      <w:pPr>
        <w:spacing w:after="0" w:line="208" w:lineRule="exact"/>
        <w:rPr>
          <w:rFonts w:ascii="Arial" w:cs="Arial" w:eastAsia="Arial" w:hAnsi="Arial"/>
          <w:sz w:val="19"/>
          <w:szCs w:val="19"/>
          <w:color w:val="auto"/>
        </w:rPr>
      </w:pPr>
    </w:p>
    <w:p>
      <w:pPr>
        <w:jc w:val="both"/>
        <w:ind w:left="2" w:firstLine="646"/>
        <w:spacing w:after="0" w:line="317" w:lineRule="auto"/>
        <w:tabs>
          <w:tab w:leader="none" w:pos="1420" w:val="left"/>
        </w:tabs>
        <w:numPr>
          <w:ilvl w:val="1"/>
          <w:numId w:val="799"/>
        </w:numPr>
        <w:rPr>
          <w:rFonts w:ascii="Arial" w:cs="Arial" w:eastAsia="Arial" w:hAnsi="Arial"/>
          <w:sz w:val="19"/>
          <w:szCs w:val="19"/>
          <w:color w:val="auto"/>
        </w:rPr>
      </w:pPr>
      <w:r>
        <w:rPr>
          <w:rFonts w:ascii="Arial" w:cs="Arial" w:eastAsia="Arial" w:hAnsi="Arial"/>
          <w:sz w:val="19"/>
          <w:szCs w:val="19"/>
          <w:u w:val="single" w:color="auto"/>
          <w:color w:val="auto"/>
        </w:rPr>
        <w:t>Payment Permitted if No Default</w:t>
      </w:r>
      <w:r>
        <w:rPr>
          <w:rFonts w:ascii="Arial" w:cs="Arial" w:eastAsia="Arial" w:hAnsi="Arial"/>
          <w:sz w:val="19"/>
          <w:szCs w:val="19"/>
          <w:color w:val="auto"/>
        </w:rPr>
        <w:t>. Nothing contained in this Agreement shall prevent any of the Companies at any time, except during the pendency of any of the applicable conditions described in Section 2, from making payments of principal or interest on any portion of the Subordinated Indebtedness, or the retention thereof by any of the Companies of any money deposited with them for the payment of or on account of the principal of or interest on the Subordinated Indebtedness.</w:t>
      </w:r>
    </w:p>
    <w:p>
      <w:pPr>
        <w:spacing w:after="0" w:line="222" w:lineRule="exact"/>
        <w:rPr>
          <w:rFonts w:ascii="Arial" w:cs="Arial" w:eastAsia="Arial" w:hAnsi="Arial"/>
          <w:sz w:val="19"/>
          <w:szCs w:val="19"/>
          <w:color w:val="auto"/>
        </w:rPr>
      </w:pPr>
    </w:p>
    <w:p>
      <w:pPr>
        <w:jc w:val="both"/>
        <w:ind w:left="2" w:firstLine="646"/>
        <w:spacing w:after="0" w:line="306" w:lineRule="auto"/>
        <w:tabs>
          <w:tab w:leader="none" w:pos="1744" w:val="left"/>
        </w:tabs>
        <w:numPr>
          <w:ilvl w:val="1"/>
          <w:numId w:val="799"/>
        </w:numPr>
        <w:rPr>
          <w:rFonts w:ascii="Arial" w:cs="Arial" w:eastAsia="Arial" w:hAnsi="Arial"/>
          <w:sz w:val="19"/>
          <w:szCs w:val="19"/>
          <w:color w:val="auto"/>
        </w:rPr>
      </w:pPr>
      <w:r>
        <w:rPr>
          <w:rFonts w:ascii="Arial" w:cs="Arial" w:eastAsia="Arial" w:hAnsi="Arial"/>
          <w:sz w:val="19"/>
          <w:szCs w:val="19"/>
          <w:u w:val="single" w:color="auto"/>
          <w:color w:val="auto"/>
        </w:rPr>
        <w:t>Receipt of Prohibited Payments</w:t>
      </w:r>
      <w:r>
        <w:rPr>
          <w:rFonts w:ascii="Arial" w:cs="Arial" w:eastAsia="Arial" w:hAnsi="Arial"/>
          <w:sz w:val="19"/>
          <w:szCs w:val="19"/>
          <w:color w:val="auto"/>
        </w:rPr>
        <w:t>. If, notwithstanding the foregoing provisions of Sections 2 and 3, an Intercompany Lender shall have received any payment or distribution of assets from an Intercompany Borrower of any kind or character (whether in cash, property or securities) in violation of this Agreement, then such payment or distribution shall be held in trust for the benefit of the Senior Debt Holders, shall be segregated from other funds and property held by such Intercompany Lender, and shall be forthwith paid over to the Administrative Agent in the same form as so received (with any necessary endorsement) to be applied to (in the case of cash), or held as collateral for (in the case of noncash property or securities), the payment or prepayment of the Senior Obligations in accordance with the terms of the LC Credit Agreement.</w:t>
      </w:r>
    </w:p>
    <w:p>
      <w:pPr>
        <w:spacing w:after="0" w:line="210" w:lineRule="exact"/>
        <w:rPr>
          <w:rFonts w:ascii="Arial" w:cs="Arial" w:eastAsia="Arial" w:hAnsi="Arial"/>
          <w:sz w:val="19"/>
          <w:szCs w:val="19"/>
          <w:color w:val="auto"/>
        </w:rPr>
      </w:pPr>
    </w:p>
    <w:p>
      <w:pPr>
        <w:jc w:val="both"/>
        <w:ind w:left="2" w:right="80" w:firstLine="646"/>
        <w:spacing w:after="0" w:line="266" w:lineRule="auto"/>
        <w:tabs>
          <w:tab w:leader="none" w:pos="1568" w:val="left"/>
        </w:tabs>
        <w:numPr>
          <w:ilvl w:val="1"/>
          <w:numId w:val="799"/>
        </w:numPr>
        <w:rPr>
          <w:rFonts w:ascii="Arial" w:cs="Arial" w:eastAsia="Arial" w:hAnsi="Arial"/>
          <w:sz w:val="22"/>
          <w:szCs w:val="22"/>
          <w:color w:val="auto"/>
        </w:rPr>
      </w:pPr>
      <w:r>
        <w:rPr>
          <w:rFonts w:ascii="Arial" w:cs="Arial" w:eastAsia="Arial" w:hAnsi="Arial"/>
          <w:sz w:val="22"/>
          <w:szCs w:val="22"/>
          <w:u w:val="single" w:color="auto"/>
          <w:color w:val="auto"/>
        </w:rPr>
        <w:t>Rights of Subrogation.</w:t>
      </w:r>
      <w:r>
        <w:rPr>
          <w:rFonts w:ascii="Arial" w:cs="Arial" w:eastAsia="Arial" w:hAnsi="Arial"/>
          <w:sz w:val="22"/>
          <w:szCs w:val="22"/>
          <w:color w:val="auto"/>
        </w:rPr>
        <w:t xml:space="preserve"> Each Company agrees that no payment or distribution to any Senior Debt Holder pursuant to the provisions of this Agreement shall entitle it to exercise any rights of subrogation in respect thereof until Payment in Full has occurred in accordance with the LC Credit Facility.</w:t>
      </w:r>
    </w:p>
    <w:p>
      <w:pPr>
        <w:spacing w:after="0" w:line="252" w:lineRule="exact"/>
        <w:rPr>
          <w:rFonts w:ascii="Arial" w:cs="Arial" w:eastAsia="Arial" w:hAnsi="Arial"/>
          <w:sz w:val="22"/>
          <w:szCs w:val="22"/>
          <w:color w:val="auto"/>
        </w:rPr>
      </w:pPr>
    </w:p>
    <w:p>
      <w:pPr>
        <w:jc w:val="both"/>
        <w:ind w:left="2" w:right="40" w:firstLine="646"/>
        <w:spacing w:after="0" w:line="260" w:lineRule="auto"/>
        <w:tabs>
          <w:tab w:leader="none" w:pos="1528" w:val="left"/>
        </w:tabs>
        <w:numPr>
          <w:ilvl w:val="1"/>
          <w:numId w:val="799"/>
        </w:numPr>
        <w:rPr>
          <w:rFonts w:ascii="Arial" w:cs="Arial" w:eastAsia="Arial" w:hAnsi="Arial"/>
          <w:sz w:val="22"/>
          <w:szCs w:val="22"/>
          <w:color w:val="auto"/>
        </w:rPr>
      </w:pPr>
      <w:r>
        <w:rPr>
          <w:rFonts w:ascii="Arial" w:cs="Arial" w:eastAsia="Arial" w:hAnsi="Arial"/>
          <w:sz w:val="22"/>
          <w:szCs w:val="22"/>
          <w:u w:val="single" w:color="auto"/>
          <w:color w:val="auto"/>
        </w:rPr>
        <w:t>Additional Subsidiaries</w:t>
      </w:r>
      <w:r>
        <w:rPr>
          <w:rFonts w:ascii="Arial" w:cs="Arial" w:eastAsia="Arial" w:hAnsi="Arial"/>
          <w:sz w:val="22"/>
          <w:szCs w:val="22"/>
          <w:color w:val="auto"/>
        </w:rPr>
        <w:t xml:space="preserve">. WIL-Ireland may, from time to time, cause certain of its subsidiaries to become a Company under this Agreement and to be bound hereby. Upon execution and delivery by any such subsidiary of a supplement hereto in the form attached as </w:t>
      </w:r>
      <w:r>
        <w:rPr>
          <w:rFonts w:ascii="Arial" w:cs="Arial" w:eastAsia="Arial" w:hAnsi="Arial"/>
          <w:sz w:val="22"/>
          <w:szCs w:val="22"/>
          <w:u w:val="single" w:color="auto"/>
          <w:color w:val="auto"/>
        </w:rPr>
        <w:t>Annex I</w:t>
      </w:r>
      <w:r>
        <w:rPr>
          <w:rFonts w:ascii="Arial" w:cs="Arial" w:eastAsia="Arial" w:hAnsi="Arial"/>
          <w:sz w:val="22"/>
          <w:szCs w:val="22"/>
          <w:color w:val="auto"/>
        </w:rPr>
        <w:t>, such subsidiary shall become a “Company” hereunder with, at all times after such counterpart signature page is delivered, the same force and effect as if originally named as a Company hereunder. The rights and obligations of each Company hereunder shall remain in full force and effect notwithstanding the addition of any new Company as a party to this Agreement.</w:t>
      </w:r>
    </w:p>
    <w:p>
      <w:pPr>
        <w:spacing w:after="0" w:line="259" w:lineRule="exact"/>
        <w:rPr>
          <w:rFonts w:ascii="Arial" w:cs="Arial" w:eastAsia="Arial" w:hAnsi="Arial"/>
          <w:sz w:val="22"/>
          <w:szCs w:val="22"/>
          <w:color w:val="auto"/>
        </w:rPr>
      </w:pPr>
    </w:p>
    <w:p>
      <w:pPr>
        <w:jc w:val="both"/>
        <w:ind w:left="2" w:right="40" w:firstLine="646"/>
        <w:spacing w:after="0" w:line="274" w:lineRule="auto"/>
        <w:tabs>
          <w:tab w:leader="none" w:pos="1609" w:val="left"/>
        </w:tabs>
        <w:numPr>
          <w:ilvl w:val="1"/>
          <w:numId w:val="799"/>
        </w:numPr>
        <w:rPr>
          <w:rFonts w:ascii="Arial" w:cs="Arial" w:eastAsia="Arial" w:hAnsi="Arial"/>
          <w:sz w:val="21"/>
          <w:szCs w:val="21"/>
          <w:color w:val="auto"/>
        </w:rPr>
      </w:pPr>
      <w:r>
        <w:rPr>
          <w:rFonts w:ascii="Arial" w:cs="Arial" w:eastAsia="Arial" w:hAnsi="Arial"/>
          <w:sz w:val="21"/>
          <w:szCs w:val="21"/>
          <w:u w:val="single" w:color="auto"/>
          <w:color w:val="auto"/>
        </w:rPr>
        <w:t>Continuing Force and Effect</w:t>
      </w:r>
      <w:r>
        <w:rPr>
          <w:rFonts w:ascii="Arial" w:cs="Arial" w:eastAsia="Arial" w:hAnsi="Arial"/>
          <w:sz w:val="21"/>
          <w:szCs w:val="21"/>
          <w:color w:val="auto"/>
        </w:rPr>
        <w:t>. This Agreement shall continue in force until payment in full of the Senior Obligations, it being contemplated that this Agreement be of a continuing nature. The subordinations, agreements and priorities set forth herein shall remain in full force and effect both before and after the commencement of any Insolvency Proceeding, including the relative rights of the parties hereto in or to any distribution from or in respect of any Collateral or any proceeds thereof. The provisions of this Agreement are intended to be and shall be enforceable as a subordination agreement within the meaning of Section 510 of the Bankruptcy Code.</w:t>
      </w:r>
    </w:p>
    <w:p>
      <w:pPr>
        <w:spacing w:after="0" w:line="235" w:lineRule="exact"/>
        <w:rPr>
          <w:rFonts w:ascii="Arial" w:cs="Arial" w:eastAsia="Arial" w:hAnsi="Arial"/>
          <w:sz w:val="21"/>
          <w:szCs w:val="21"/>
          <w:color w:val="auto"/>
        </w:rPr>
      </w:pPr>
    </w:p>
    <w:p>
      <w:pPr>
        <w:jc w:val="both"/>
        <w:ind w:left="2" w:right="80" w:firstLine="646"/>
        <w:spacing w:after="0" w:line="262" w:lineRule="auto"/>
        <w:tabs>
          <w:tab w:leader="none" w:pos="1406" w:val="left"/>
        </w:tabs>
        <w:numPr>
          <w:ilvl w:val="1"/>
          <w:numId w:val="799"/>
        </w:numPr>
        <w:rPr>
          <w:rFonts w:ascii="Arial" w:cs="Arial" w:eastAsia="Arial" w:hAnsi="Arial"/>
          <w:sz w:val="22"/>
          <w:szCs w:val="22"/>
          <w:color w:val="auto"/>
        </w:rPr>
      </w:pPr>
      <w:r>
        <w:rPr>
          <w:rFonts w:ascii="Arial" w:cs="Arial" w:eastAsia="Arial" w:hAnsi="Arial"/>
          <w:sz w:val="22"/>
          <w:szCs w:val="22"/>
          <w:u w:val="single" w:color="auto"/>
          <w:color w:val="auto"/>
        </w:rPr>
        <w:t>Reinstatement</w:t>
      </w:r>
      <w:r>
        <w:rPr>
          <w:rFonts w:ascii="Arial" w:cs="Arial" w:eastAsia="Arial" w:hAnsi="Arial"/>
          <w:sz w:val="22"/>
          <w:szCs w:val="22"/>
          <w:color w:val="auto"/>
        </w:rPr>
        <w:t>. This Agreement shall continue to be effective or shall be reinstated (and the amount of Senior Debt shall be reinstated), as the case may be, if, for any reason, any payment of the Senior Debt shall be rescinded or must otherwise be restored by the Administrative Agent or any Senior Debt Holder, whether as a result of an Insolvency Proceeding or otherwise.</w:t>
      </w:r>
    </w:p>
    <w:p>
      <w:pPr>
        <w:spacing w:after="0" w:line="245" w:lineRule="exact"/>
        <w:rPr>
          <w:rFonts w:ascii="Arial" w:cs="Arial" w:eastAsia="Arial" w:hAnsi="Arial"/>
          <w:sz w:val="22"/>
          <w:szCs w:val="22"/>
          <w:color w:val="auto"/>
        </w:rPr>
      </w:pPr>
    </w:p>
    <w:p>
      <w:pPr>
        <w:jc w:val="both"/>
        <w:ind w:left="2" w:right="80" w:firstLine="646"/>
        <w:spacing w:after="0" w:line="261" w:lineRule="auto"/>
        <w:tabs>
          <w:tab w:leader="none" w:pos="1447" w:val="left"/>
        </w:tabs>
        <w:numPr>
          <w:ilvl w:val="1"/>
          <w:numId w:val="799"/>
        </w:numPr>
        <w:rPr>
          <w:rFonts w:ascii="Arial" w:cs="Arial" w:eastAsia="Arial" w:hAnsi="Arial"/>
          <w:sz w:val="22"/>
          <w:szCs w:val="22"/>
          <w:color w:val="auto"/>
        </w:rPr>
      </w:pPr>
      <w:r>
        <w:rPr>
          <w:rFonts w:ascii="Arial" w:cs="Arial" w:eastAsia="Arial" w:hAnsi="Arial"/>
          <w:sz w:val="22"/>
          <w:szCs w:val="22"/>
          <w:u w:val="single" w:color="auto"/>
          <w:color w:val="auto"/>
        </w:rPr>
        <w:t>Modification, Amendments or Waivers</w:t>
      </w:r>
      <w:r>
        <w:rPr>
          <w:rFonts w:ascii="Arial" w:cs="Arial" w:eastAsia="Arial" w:hAnsi="Arial"/>
          <w:sz w:val="22"/>
          <w:szCs w:val="22"/>
          <w:color w:val="auto"/>
        </w:rPr>
        <w:t>. Any and all agreements amending or changing any provision of this Agreement shall be made only by written agreement, waiver or consent signed by the parties hereto. Notwithstanding the foregoing, this Agreement may be amended, amended and restated, supplemented, modified, waived or released with respect to any Company solely with the approval of such Company and without the approval of any other Company and without affecting the obligations of any other party hereto.</w:t>
      </w:r>
    </w:p>
    <w:p>
      <w:pPr>
        <w:sectPr>
          <w:pgSz w:w="11900" w:h="16838" w:orient="portrait"/>
          <w:cols w:equalWidth="0" w:num="1">
            <w:col w:w="11082"/>
          </w:cols>
          <w:pgMar w:left="418" w:top="132" w:right="399" w:bottom="0" w:gutter="0" w:footer="0" w:header="0"/>
        </w:sectPr>
      </w:pPr>
    </w:p>
    <w:bookmarkStart w:id="638" w:name="page639"/>
    <w:bookmarkEnd w:id="638"/>
    <w:p>
      <w:pPr>
        <w:jc w:val="both"/>
        <w:ind w:right="20" w:firstLine="646"/>
        <w:spacing w:after="0" w:line="279" w:lineRule="auto"/>
        <w:tabs>
          <w:tab w:leader="none" w:pos="1715" w:val="left"/>
        </w:tabs>
        <w:numPr>
          <w:ilvl w:val="0"/>
          <w:numId w:val="80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240" w:lineRule="exact"/>
        <w:rPr>
          <w:rFonts w:ascii="Arial" w:cs="Arial" w:eastAsia="Arial" w:hAnsi="Arial"/>
          <w:sz w:val="21"/>
          <w:szCs w:val="21"/>
          <w:color w:val="auto"/>
        </w:rPr>
      </w:pPr>
    </w:p>
    <w:p>
      <w:pPr>
        <w:jc w:val="both"/>
        <w:ind w:firstLine="646"/>
        <w:spacing w:after="0" w:line="266" w:lineRule="auto"/>
        <w:tabs>
          <w:tab w:leader="none" w:pos="1593" w:val="left"/>
        </w:tabs>
        <w:numPr>
          <w:ilvl w:val="0"/>
          <w:numId w:val="80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inure to the benefit of the parties hereto and their respective successors and assigns, and the obligations of each Company shall be binding upon their respective successors and permitted assigns.</w:t>
      </w:r>
    </w:p>
    <w:p>
      <w:pPr>
        <w:spacing w:after="0" w:line="238" w:lineRule="exact"/>
        <w:rPr>
          <w:rFonts w:ascii="Arial" w:cs="Arial" w:eastAsia="Arial" w:hAnsi="Arial"/>
          <w:sz w:val="22"/>
          <w:szCs w:val="22"/>
          <w:color w:val="auto"/>
        </w:rPr>
      </w:pPr>
    </w:p>
    <w:p>
      <w:pPr>
        <w:jc w:val="both"/>
        <w:ind w:right="100" w:firstLine="646"/>
        <w:spacing w:after="0" w:line="266" w:lineRule="auto"/>
        <w:tabs>
          <w:tab w:leader="none" w:pos="1599" w:val="left"/>
        </w:tabs>
        <w:numPr>
          <w:ilvl w:val="0"/>
          <w:numId w:val="80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the different parties hereto on any number of separate counterparts, each of which, when executed and delivered, shall be deemed an original, and all such counterparts shall together constitute one and the same instrument.</w:t>
      </w:r>
    </w:p>
    <w:p>
      <w:pPr>
        <w:spacing w:after="0" w:line="259" w:lineRule="exact"/>
        <w:rPr>
          <w:rFonts w:ascii="Arial" w:cs="Arial" w:eastAsia="Arial" w:hAnsi="Arial"/>
          <w:sz w:val="22"/>
          <w:szCs w:val="22"/>
          <w:color w:val="auto"/>
        </w:rPr>
      </w:pPr>
    </w:p>
    <w:p>
      <w:pPr>
        <w:ind w:right="20" w:firstLine="646"/>
        <w:spacing w:after="0" w:line="282" w:lineRule="auto"/>
        <w:tabs>
          <w:tab w:leader="none" w:pos="1701" w:val="left"/>
        </w:tabs>
        <w:numPr>
          <w:ilvl w:val="0"/>
          <w:numId w:val="80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AGREEMENT SHALL BE GOVERNED BY AND CONSTRUED IN ACCORDANCE WITH THE LAW OF THE STATE OF NEW YORK.</w:t>
      </w:r>
    </w:p>
    <w:p>
      <w:pPr>
        <w:spacing w:after="0" w:line="221" w:lineRule="exact"/>
        <w:rPr>
          <w:rFonts w:ascii="Arial" w:cs="Arial" w:eastAsia="Arial" w:hAnsi="Arial"/>
          <w:sz w:val="22"/>
          <w:szCs w:val="22"/>
          <w:color w:val="auto"/>
        </w:rPr>
      </w:pPr>
    </w:p>
    <w:p>
      <w:pPr>
        <w:jc w:val="both"/>
        <w:ind w:right="20" w:firstLine="646"/>
        <w:spacing w:after="0" w:line="266" w:lineRule="auto"/>
        <w:tabs>
          <w:tab w:leader="none" w:pos="1553" w:val="left"/>
        </w:tabs>
        <w:numPr>
          <w:ilvl w:val="0"/>
          <w:numId w:val="800"/>
        </w:numPr>
        <w:rPr>
          <w:rFonts w:ascii="Arial" w:cs="Arial" w:eastAsia="Arial" w:hAnsi="Arial"/>
          <w:sz w:val="22"/>
          <w:szCs w:val="22"/>
          <w:color w:val="auto"/>
        </w:rPr>
      </w:pPr>
      <w:r>
        <w:rPr>
          <w:rFonts w:ascii="Arial" w:cs="Arial" w:eastAsia="Arial" w:hAnsi="Arial"/>
          <w:sz w:val="22"/>
          <w:szCs w:val="22"/>
          <w:u w:val="single" w:color="auto"/>
          <w:color w:val="auto"/>
        </w:rPr>
        <w:t>Conflicts with Subordinated Indebtedness Documents</w:t>
      </w:r>
      <w:r>
        <w:rPr>
          <w:rFonts w:ascii="Arial" w:cs="Arial" w:eastAsia="Arial" w:hAnsi="Arial"/>
          <w:sz w:val="22"/>
          <w:szCs w:val="22"/>
          <w:color w:val="auto"/>
        </w:rPr>
        <w:t>. In case of any conflict or inconsistency between any terms of this Agreement, on the one hand, and any documents or instruments in respect of the Subordinated Indebtedness, on the other hand, then the terms of this Agreement shall control.</w:t>
      </w:r>
    </w:p>
    <w:p>
      <w:pPr>
        <w:spacing w:after="0" w:line="238" w:lineRule="exact"/>
        <w:rPr>
          <w:rFonts w:ascii="Arial" w:cs="Arial" w:eastAsia="Arial" w:hAnsi="Arial"/>
          <w:sz w:val="22"/>
          <w:szCs w:val="22"/>
          <w:color w:val="auto"/>
        </w:rPr>
      </w:pPr>
    </w:p>
    <w:p>
      <w:pPr>
        <w:jc w:val="both"/>
        <w:ind w:right="20" w:firstLine="646"/>
        <w:spacing w:after="0" w:line="266" w:lineRule="auto"/>
        <w:tabs>
          <w:tab w:leader="none" w:pos="1674" w:val="left"/>
        </w:tabs>
        <w:numPr>
          <w:ilvl w:val="0"/>
          <w:numId w:val="800"/>
        </w:numPr>
        <w:rPr>
          <w:rFonts w:ascii="Arial" w:cs="Arial" w:eastAsia="Arial" w:hAnsi="Arial"/>
          <w:sz w:val="22"/>
          <w:szCs w:val="22"/>
          <w:color w:val="auto"/>
        </w:rPr>
      </w:pPr>
      <w:r>
        <w:rPr>
          <w:rFonts w:ascii="Arial" w:cs="Arial" w:eastAsia="Arial" w:hAnsi="Arial"/>
          <w:sz w:val="22"/>
          <w:szCs w:val="22"/>
          <w:u w:val="single" w:color="auto"/>
          <w:color w:val="auto"/>
        </w:rPr>
        <w:t>Conflicts with LC Credit Agreement</w:t>
      </w:r>
      <w:r>
        <w:rPr>
          <w:rFonts w:ascii="Arial" w:cs="Arial" w:eastAsia="Arial" w:hAnsi="Arial"/>
          <w:sz w:val="22"/>
          <w:szCs w:val="22"/>
          <w:color w:val="auto"/>
        </w:rPr>
        <w:t>. In case of any conflict or inconsistency between any terms of this Agreement, on the one hand, and any of the terms and provisions of the LC Credit Agreement, on the other hand, then the terms and provisions of the LC Credit Agreement shall control.</w:t>
      </w:r>
    </w:p>
    <w:p>
      <w:pPr>
        <w:spacing w:after="0" w:line="238" w:lineRule="exact"/>
        <w:rPr>
          <w:rFonts w:ascii="Arial" w:cs="Arial" w:eastAsia="Arial" w:hAnsi="Arial"/>
          <w:sz w:val="22"/>
          <w:szCs w:val="22"/>
          <w:color w:val="auto"/>
        </w:rPr>
      </w:pPr>
    </w:p>
    <w:p>
      <w:pPr>
        <w:jc w:val="both"/>
        <w:ind w:right="20" w:firstLine="646"/>
        <w:spacing w:after="0" w:line="266" w:lineRule="auto"/>
        <w:tabs>
          <w:tab w:leader="none" w:pos="1580" w:val="left"/>
        </w:tabs>
        <w:numPr>
          <w:ilvl w:val="0"/>
          <w:numId w:val="800"/>
        </w:numPr>
        <w:rPr>
          <w:rFonts w:ascii="Arial" w:cs="Arial" w:eastAsia="Arial" w:hAnsi="Arial"/>
          <w:sz w:val="22"/>
          <w:szCs w:val="22"/>
          <w:color w:val="auto"/>
        </w:rPr>
      </w:pPr>
      <w:r>
        <w:rPr>
          <w:rFonts w:ascii="Arial" w:cs="Arial" w:eastAsia="Arial" w:hAnsi="Arial"/>
          <w:sz w:val="22"/>
          <w:szCs w:val="22"/>
          <w:u w:val="single" w:color="auto"/>
          <w:color w:val="auto"/>
        </w:rPr>
        <w:t>Conflicts with Intercreditor Agreement</w:t>
      </w:r>
      <w:r>
        <w:rPr>
          <w:rFonts w:ascii="Arial" w:cs="Arial" w:eastAsia="Arial" w:hAnsi="Arial"/>
          <w:sz w:val="22"/>
          <w:szCs w:val="22"/>
          <w:color w:val="auto"/>
        </w:rPr>
        <w:t>. In case of any conflict or inconsistency between any terms of this Agreement, on the one hand, and any of the terms and provisions of the Intercreditor Agreement, on the other hand, then the terms and provisions of the Intercreditor Agreement shall control.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302260</wp:posOffset>
            </wp:positionV>
            <wp:extent cx="71323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132" w:right="419" w:bottom="1440" w:gutter="0" w:footer="0" w:header="0"/>
        </w:sectPr>
      </w:pPr>
    </w:p>
    <w:bookmarkStart w:id="639" w:name="page640"/>
    <w:bookmarkEnd w:id="639"/>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executed and delivered by their duly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7"/>
          <w:szCs w:val="17"/>
          <w:color w:val="auto"/>
        </w:rPr>
        <w:t>NAME OF COMPANY</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3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1299210</wp:posOffset>
            </wp:positionV>
            <wp:extent cx="71323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0" w:name="page641"/>
    <w:bookmarkEnd w:id="640"/>
    <w:p>
      <w:pPr>
        <w:jc w:val="center"/>
        <w:ind w:right="19"/>
        <w:spacing w:after="0"/>
        <w:rPr>
          <w:sz w:val="20"/>
          <w:szCs w:val="20"/>
          <w:color w:val="auto"/>
        </w:rPr>
      </w:pPr>
      <w:r>
        <w:rPr>
          <w:rFonts w:ascii="Arial" w:cs="Arial" w:eastAsia="Arial" w:hAnsi="Arial"/>
          <w:sz w:val="19"/>
          <w:szCs w:val="19"/>
          <w:u w:val="single" w:color="auto"/>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328930</wp:posOffset>
            </wp:positionV>
            <wp:extent cx="71323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41" w:name="page642"/>
    <w:bookmarkEnd w:id="641"/>
    <w:p>
      <w:pPr>
        <w:jc w:val="center"/>
        <w:ind w:right="-19"/>
        <w:spacing w:after="0"/>
        <w:rPr>
          <w:sz w:val="20"/>
          <w:szCs w:val="20"/>
          <w:color w:val="auto"/>
        </w:rPr>
      </w:pPr>
      <w:r>
        <w:rPr>
          <w:rFonts w:ascii="Arial" w:cs="Arial" w:eastAsia="Arial" w:hAnsi="Arial"/>
          <w:sz w:val="22"/>
          <w:szCs w:val="22"/>
          <w:u w:val="single" w:color="auto"/>
          <w:color w:val="auto"/>
        </w:rPr>
        <w:t>ANNEX I TO INTERCOMPANY SUBORDINATION AGREEMENT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Reference is hereby made to the Intercompany Subordination Agreement (as the same may be amended, restated,</w:t>
      </w:r>
    </w:p>
    <w:p>
      <w:pPr>
        <w:spacing w:after="0" w:line="5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supplemented or otherwise modified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dated as of December </w:t>
      </w:r>
      <w:r>
        <w:rPr>
          <w:rFonts w:ascii="Arial" w:cs="Arial" w:eastAsia="Arial" w:hAnsi="Arial"/>
          <w:sz w:val="23"/>
          <w:szCs w:val="23"/>
          <w:b w:val="1"/>
          <w:bCs w:val="1"/>
          <w:color w:val="auto"/>
        </w:rPr>
        <w:t>[</w:t>
      </w:r>
      <w:r>
        <w:rPr>
          <w:rFonts w:ascii="Arial" w:cs="Arial" w:eastAsia="Arial" w:hAnsi="Arial"/>
          <w:sz w:val="20"/>
          <w:szCs w:val="20"/>
          <w:color w:val="auto"/>
        </w:rPr>
        <w:t>__</w:t>
      </w:r>
      <w:r>
        <w:rPr>
          <w:rFonts w:ascii="Arial" w:cs="Arial" w:eastAsia="Arial" w:hAnsi="Arial"/>
          <w:sz w:val="23"/>
          <w:szCs w:val="23"/>
          <w:b w:val="1"/>
          <w:bCs w:val="1"/>
          <w:color w:val="auto"/>
        </w:rPr>
        <w:t>]</w:t>
      </w:r>
      <w:r>
        <w:rPr>
          <w:rFonts w:ascii="Arial" w:cs="Arial" w:eastAsia="Arial" w:hAnsi="Arial"/>
          <w:sz w:val="20"/>
          <w:szCs w:val="20"/>
          <w:color w:val="auto"/>
        </w:rPr>
        <w:t>, 2019, made by and among the entities listed on the signature pages thereto (such entities, together with any other subsidiaries of Weatherford International plc, an Irish public limited company (“</w:t>
      </w:r>
      <w:r>
        <w:rPr>
          <w:rFonts w:ascii="Arial" w:cs="Arial" w:eastAsia="Arial" w:hAnsi="Arial"/>
          <w:sz w:val="20"/>
          <w:szCs w:val="20"/>
          <w:u w:val="single" w:color="auto"/>
          <w:color w:val="auto"/>
        </w:rPr>
        <w:t>WIL-Ireland</w:t>
      </w:r>
      <w:r>
        <w:rPr>
          <w:rFonts w:ascii="Arial" w:cs="Arial" w:eastAsia="Arial" w:hAnsi="Arial"/>
          <w:sz w:val="20"/>
          <w:szCs w:val="20"/>
          <w:color w:val="auto"/>
        </w:rPr>
        <w:t>”), whether now existing or hereafter formed or acquired, that become party to the Agreement from time to time in accordance with the terms of Section 6 of the Agreement, being individually referred to herein as a “</w:t>
      </w:r>
      <w:r>
        <w:rPr>
          <w:rFonts w:ascii="Arial" w:cs="Arial" w:eastAsia="Arial" w:hAnsi="Arial"/>
          <w:sz w:val="20"/>
          <w:szCs w:val="20"/>
          <w:u w:val="single" w:color="auto"/>
          <w:color w:val="auto"/>
        </w:rPr>
        <w:t>Company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Companies</w:t>
      </w:r>
      <w:r>
        <w:rPr>
          <w:rFonts w:ascii="Arial" w:cs="Arial" w:eastAsia="Arial" w:hAnsi="Arial"/>
          <w:sz w:val="20"/>
          <w:szCs w:val="20"/>
          <w:color w:val="auto"/>
        </w:rPr>
        <w:t>”, in any case including any applicable branch thereof). Each capitalized term used herein and not defined herein shall have the meaning given to it in the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By its execution below, the undersigned, </w:t>
      </w:r>
      <w:r>
        <w:rPr>
          <w:rFonts w:ascii="Arial" w:cs="Arial" w:eastAsia="Arial" w:hAnsi="Arial"/>
          <w:sz w:val="24"/>
          <w:szCs w:val="24"/>
          <w:b w:val="1"/>
          <w:bCs w:val="1"/>
          <w:color w:val="auto"/>
        </w:rPr>
        <w:t>[</w:t>
      </w:r>
      <w:r>
        <w:rPr>
          <w:rFonts w:ascii="Arial" w:cs="Arial" w:eastAsia="Arial" w:hAnsi="Arial"/>
          <w:sz w:val="21"/>
          <w:szCs w:val="21"/>
          <w:color w:val="auto"/>
        </w:rPr>
        <w:t>NAME OF NEW COMPANY</w:t>
      </w:r>
      <w:r>
        <w:rPr>
          <w:rFonts w:ascii="Arial" w:cs="Arial" w:eastAsia="Arial" w:hAnsi="Arial"/>
          <w:sz w:val="24"/>
          <w:szCs w:val="24"/>
          <w:b w:val="1"/>
          <w:bCs w:val="1"/>
          <w:color w:val="auto"/>
        </w:rPr>
        <w:t>]</w:t>
      </w:r>
      <w:r>
        <w:rPr>
          <w:rFonts w:ascii="Arial" w:cs="Arial" w:eastAsia="Arial" w:hAnsi="Arial"/>
          <w:sz w:val="21"/>
          <w:szCs w:val="21"/>
          <w:color w:val="auto"/>
        </w:rPr>
        <w:t xml:space="preserve">, a </w:t>
      </w:r>
      <w:r>
        <w:rPr>
          <w:rFonts w:ascii="Arial" w:cs="Arial" w:eastAsia="Arial" w:hAnsi="Arial"/>
          <w:sz w:val="24"/>
          <w:szCs w:val="24"/>
          <w:b w:val="1"/>
          <w:bCs w:val="1"/>
          <w:color w:val="auto"/>
        </w:rPr>
        <w:t>[</w:t>
      </w:r>
      <w:r>
        <w:rPr>
          <w:rFonts w:ascii="Arial" w:cs="Arial" w:eastAsia="Arial" w:hAnsi="Arial"/>
          <w:sz w:val="21"/>
          <w:szCs w:val="21"/>
          <w:color w:val="auto"/>
        </w:rPr>
        <w:t>________________</w:t>
      </w:r>
      <w:r>
        <w:rPr>
          <w:rFonts w:ascii="Arial" w:cs="Arial" w:eastAsia="Arial" w:hAnsi="Arial"/>
          <w:sz w:val="24"/>
          <w:szCs w:val="24"/>
          <w:b w:val="1"/>
          <w:bCs w:val="1"/>
          <w:color w:val="auto"/>
        </w:rPr>
        <w:t>] [</w:t>
      </w:r>
      <w:r>
        <w:rPr>
          <w:rFonts w:ascii="Arial" w:cs="Arial" w:eastAsia="Arial" w:hAnsi="Arial"/>
          <w:sz w:val="21"/>
          <w:szCs w:val="21"/>
          <w:color w:val="auto"/>
        </w:rPr>
        <w:t>corporation</w:t>
      </w:r>
      <w:r>
        <w:rPr>
          <w:rFonts w:ascii="Arial" w:cs="Arial" w:eastAsia="Arial" w:hAnsi="Arial"/>
          <w:sz w:val="24"/>
          <w:szCs w:val="24"/>
          <w:b w:val="1"/>
          <w:bCs w:val="1"/>
          <w:color w:val="auto"/>
        </w:rPr>
        <w:t>]</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color w:val="auto"/>
        </w:rPr>
        <w:t>partnership</w:t>
      </w:r>
      <w:r>
        <w:rPr>
          <w:rFonts w:ascii="Arial" w:cs="Arial" w:eastAsia="Arial" w:hAnsi="Arial"/>
          <w:sz w:val="25"/>
          <w:szCs w:val="25"/>
          <w:b w:val="1"/>
          <w:bCs w:val="1"/>
          <w:color w:val="auto"/>
        </w:rPr>
        <w:t>] [</w:t>
      </w:r>
      <w:r>
        <w:rPr>
          <w:rFonts w:ascii="Arial" w:cs="Arial" w:eastAsia="Arial" w:hAnsi="Arial"/>
          <w:sz w:val="21"/>
          <w:szCs w:val="21"/>
          <w:color w:val="auto"/>
        </w:rPr>
        <w:t>limited liability company</w:t>
      </w:r>
      <w:r>
        <w:rPr>
          <w:rFonts w:ascii="Arial" w:cs="Arial" w:eastAsia="Arial" w:hAnsi="Arial"/>
          <w:sz w:val="25"/>
          <w:szCs w:val="25"/>
          <w:b w:val="1"/>
          <w:bCs w:val="1"/>
          <w:color w:val="auto"/>
        </w:rPr>
        <w:t>] [</w:t>
      </w:r>
      <w:r>
        <w:rPr>
          <w:rFonts w:ascii="Arial" w:cs="Arial" w:eastAsia="Arial" w:hAnsi="Arial"/>
          <w:sz w:val="21"/>
          <w:szCs w:val="21"/>
          <w:color w:val="auto"/>
        </w:rPr>
        <w:t>other form of legal entity</w:t>
      </w:r>
      <w:r>
        <w:rPr>
          <w:rFonts w:ascii="Arial" w:cs="Arial" w:eastAsia="Arial" w:hAnsi="Arial"/>
          <w:sz w:val="25"/>
          <w:szCs w:val="25"/>
          <w:b w:val="1"/>
          <w:bCs w:val="1"/>
          <w:color w:val="auto"/>
        </w:rPr>
        <w:t xml:space="preserve">] </w:t>
      </w:r>
      <w:r>
        <w:rPr>
          <w:rFonts w:ascii="Arial" w:cs="Arial" w:eastAsia="Arial" w:hAnsi="Arial"/>
          <w:sz w:val="21"/>
          <w:szCs w:val="21"/>
          <w:color w:val="auto"/>
        </w:rPr>
        <w:t>(the “</w:t>
      </w:r>
      <w:r>
        <w:rPr>
          <w:rFonts w:ascii="Arial" w:cs="Arial" w:eastAsia="Arial" w:hAnsi="Arial"/>
          <w:sz w:val="21"/>
          <w:szCs w:val="21"/>
          <w:u w:val="single" w:color="auto"/>
          <w:color w:val="auto"/>
        </w:rPr>
        <w:t>New Company</w:t>
      </w:r>
      <w:r>
        <w:rPr>
          <w:rFonts w:ascii="Arial" w:cs="Arial" w:eastAsia="Arial" w:hAnsi="Arial"/>
          <w:sz w:val="21"/>
          <w:szCs w:val="21"/>
          <w:color w:val="auto"/>
        </w:rPr>
        <w:t>”), agrees to become, and does hereby</w:t>
      </w:r>
      <w:r>
        <w:rPr>
          <w:rFonts w:ascii="Arial" w:cs="Arial" w:eastAsia="Arial" w:hAnsi="Arial"/>
          <w:sz w:val="25"/>
          <w:szCs w:val="25"/>
          <w:b w:val="1"/>
          <w:bCs w:val="1"/>
          <w:color w:val="auto"/>
        </w:rPr>
        <w:t xml:space="preserve"> </w:t>
      </w:r>
      <w:r>
        <w:rPr>
          <w:rFonts w:ascii="Arial" w:cs="Arial" w:eastAsia="Arial" w:hAnsi="Arial"/>
          <w:sz w:val="21"/>
          <w:szCs w:val="21"/>
          <w:color w:val="auto"/>
        </w:rPr>
        <w:t>become, a Company under the Agreement and agrees to be bound by the Agreement as if originally a party thereto. Without limiting the foregoing, the undersigned hereby absolutely and unconditionally, and jointly and severally with the other Companies, guarantees performance of the obligations of the Agreement.</w:t>
      </w:r>
      <w:r>
        <w:rPr>
          <w:rFonts w:ascii="Arial" w:cs="Arial" w:eastAsia="Arial" w:hAnsi="Arial"/>
          <w:sz w:val="35"/>
          <w:szCs w:val="35"/>
          <w:color w:val="auto"/>
          <w:vertAlign w:val="superscript"/>
        </w:rPr>
        <w:t>29</w:t>
      </w:r>
    </w:p>
    <w:p>
      <w:pPr>
        <w:spacing w:after="0" w:line="3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IN WITNESS WHEREOF, the New Company has executed and delivered this Annex I counterpart to the Agreement as of this __________ day of _________, 20___.</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7"/>
          <w:szCs w:val="17"/>
          <w:color w:val="auto"/>
        </w:rPr>
        <w:t>NAME OF NEW COMPANY</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3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 as Administrative Agent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16459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40" w:hanging="232"/>
        <w:spacing w:after="0"/>
        <w:tabs>
          <w:tab w:leader="none" w:pos="240" w:val="left"/>
        </w:tabs>
        <w:numPr>
          <w:ilvl w:val="0"/>
          <w:numId w:val="801"/>
        </w:numPr>
        <w:rPr>
          <w:rFonts w:ascii="Arial" w:cs="Arial" w:eastAsia="Arial" w:hAnsi="Arial"/>
          <w:sz w:val="31"/>
          <w:szCs w:val="31"/>
          <w:color w:val="auto"/>
          <w:vertAlign w:val="superscript"/>
        </w:rPr>
      </w:pPr>
      <w:r>
        <w:rPr>
          <w:rFonts w:ascii="Arial" w:cs="Arial" w:eastAsia="Arial" w:hAnsi="Arial"/>
          <w:sz w:val="19"/>
          <w:szCs w:val="19"/>
          <w:color w:val="auto"/>
        </w:rPr>
        <w:t>Provisions applicable to any Company organized in a new jurisdiction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2" w:name="page643"/>
    <w:bookmarkEnd w:id="642"/>
    <w:p>
      <w:pPr>
        <w:jc w:val="right"/>
        <w:spacing w:after="0"/>
        <w:rPr>
          <w:sz w:val="20"/>
          <w:szCs w:val="20"/>
          <w:color w:val="auto"/>
        </w:rPr>
      </w:pPr>
      <w:r>
        <w:rPr>
          <w:rFonts w:ascii="Arial" w:cs="Arial" w:eastAsia="Arial" w:hAnsi="Arial"/>
          <w:sz w:val="22"/>
          <w:szCs w:val="22"/>
          <w:b w:val="1"/>
          <w:bCs w:val="1"/>
          <w:u w:val="single" w:color="auto"/>
          <w:color w:val="auto"/>
        </w:rPr>
        <w:t>EXHIBIT 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PARTICIPANT CERTIFICATE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LENDER</w:t>
      </w:r>
      <w:r>
        <w:rPr>
          <w:rFonts w:ascii="Arial" w:cs="Arial" w:eastAsia="Arial" w:hAnsi="Arial"/>
          <w:sz w:val="22"/>
          <w:szCs w:val="22"/>
          <w:color w:val="auto"/>
        </w:rPr>
        <w:t>] (the “</w:t>
      </w:r>
      <w:r>
        <w:rPr>
          <w:rFonts w:ascii="Arial" w:cs="Arial" w:eastAsia="Arial" w:hAnsi="Arial"/>
          <w:sz w:val="22"/>
          <w:szCs w:val="22"/>
          <w:u w:val="single" w:color="auto"/>
          <w:color w:val="auto"/>
        </w:rPr>
        <w:t>Seller</w:t>
      </w: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ADDRESS</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ADDRESS</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Telephone: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Email: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Weatherford International, LLC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77056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Telephone: (713) 836-4000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Email: LegalWeatherford@weatherford.com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 Wall Street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Project Finance Agency Services, Weatherford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Electronic Mail Address: Mary.Coseo@db.com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Reference is made to that certain LC Credit Agreement, dated as of December 13, 2019 (as amended, restated, amended and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LLC, a Delaware limited liability company (“</w:t>
      </w:r>
      <w:r>
        <w:rPr>
          <w:rFonts w:ascii="Arial" w:cs="Arial" w:eastAsia="Arial" w:hAnsi="Arial"/>
          <w:sz w:val="22"/>
          <w:szCs w:val="22"/>
          <w:u w:val="single" w:color="auto"/>
          <w:color w:val="auto"/>
        </w:rPr>
        <w:t>WIL-Delaware</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Parent</w:t>
      </w:r>
      <w:r>
        <w:rPr>
          <w:rFonts w:ascii="Arial" w:cs="Arial" w:eastAsia="Arial" w:hAnsi="Arial"/>
          <w:sz w:val="22"/>
          <w:szCs w:val="22"/>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11.05(c)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11.25(b)</w:t>
      </w:r>
      <w:r>
        <w:rPr>
          <w:rFonts w:ascii="Arial" w:cs="Arial" w:eastAsia="Arial" w:hAnsi="Arial"/>
          <w:sz w:val="22"/>
          <w:szCs w:val="22"/>
          <w:color w:val="auto"/>
        </w:rPr>
        <w:t xml:space="preserve"> of the Credit Agreement, the undersigned (the “</w:t>
      </w:r>
      <w:r>
        <w:rPr>
          <w:rFonts w:ascii="Arial" w:cs="Arial" w:eastAsia="Arial" w:hAnsi="Arial"/>
          <w:sz w:val="22"/>
          <w:szCs w:val="22"/>
          <w:u w:val="single" w:color="auto"/>
          <w:color w:val="auto"/>
        </w:rPr>
        <w:t>Participant</w:t>
      </w:r>
      <w:r>
        <w:rPr>
          <w:rFonts w:ascii="Arial" w:cs="Arial" w:eastAsia="Arial" w:hAnsi="Arial"/>
          <w:sz w:val="22"/>
          <w:szCs w:val="22"/>
          <w:color w:val="auto"/>
        </w:rPr>
        <w:t>”) is a prospective purchaser of a participation (or sub-participation) under the Credit Agreement to be sold by the Seller and is required to deliver this Participant Certificate.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 hereby confirms that, as of date set forth below (check one):</w:t>
      </w:r>
    </w:p>
    <w:p>
      <w:pPr>
        <w:spacing w:after="0" w:line="227" w:lineRule="exact"/>
        <w:rPr>
          <w:sz w:val="20"/>
          <w:szCs w:val="20"/>
          <w:color w:val="auto"/>
        </w:rPr>
      </w:pPr>
    </w:p>
    <w:p>
      <w:pPr>
        <w:ind w:left="980" w:right="220" w:hanging="324"/>
        <w:spacing w:after="0" w:line="277" w:lineRule="auto"/>
        <w:tabs>
          <w:tab w:leader="none" w:pos="98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Participant is a Swiss Qualifying Lender and has not entered into a participation (including a sub-participation) arrangement with respect to the Credit Agreement with any Person that is a Swiss Non-Qualifying Lender.</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Participant is a Swiss Non-Qualifying Lender, and counts as one single creditor for purposes of the Swiss Non-Bank Rules and has not entered into a participation (including any sub-participation) arrangement with respect to the Agreement with any Person that is a Swiss Non-Qualifying Lender.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foregoing:</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Swiss Guidelines</w:t>
      </w:r>
      <w:r>
        <w:rPr>
          <w:rFonts w:ascii="Arial" w:cs="Arial" w:eastAsia="Arial" w:hAnsi="Arial"/>
          <w:sz w:val="21"/>
          <w:szCs w:val="21"/>
          <w:color w:val="auto"/>
        </w:rPr>
        <w:t>” means, together, guideline S-02.123 in relation to interbank loans of 22 September 1986 (</w:t>
      </w:r>
      <w:r>
        <w:rPr>
          <w:rFonts w:ascii="Arial" w:cs="Arial" w:eastAsia="Arial" w:hAnsi="Arial"/>
          <w:sz w:val="21"/>
          <w:szCs w:val="21"/>
          <w:i w:val="1"/>
          <w:iCs w:val="1"/>
          <w:color w:val="auto"/>
        </w:rPr>
        <w:t>Merkblatt</w:t>
      </w:r>
      <w:r>
        <w:rPr>
          <w:rFonts w:ascii="Arial" w:cs="Arial" w:eastAsia="Arial" w:hAnsi="Arial"/>
          <w:sz w:val="21"/>
          <w:szCs w:val="21"/>
          <w:color w:val="auto"/>
        </w:rPr>
        <w:t xml:space="preserve"> </w:t>
      </w:r>
      <w:r>
        <w:rPr>
          <w:rFonts w:ascii="Arial" w:cs="Arial" w:eastAsia="Arial" w:hAnsi="Arial"/>
          <w:sz w:val="21"/>
          <w:szCs w:val="21"/>
          <w:i w:val="1"/>
          <w:iCs w:val="1"/>
          <w:color w:val="auto"/>
        </w:rPr>
        <w:t>“Verrechnungssteuer auf Zinsen von Bankguthaben, deren Gläubiger Banken sind (Interbankguthaben)” vom 22. September 1986</w:t>
      </w:r>
      <w:r>
        <w:rPr>
          <w:rFonts w:ascii="Arial" w:cs="Arial" w:eastAsia="Arial" w:hAnsi="Arial"/>
          <w:sz w:val="21"/>
          <w:szCs w:val="21"/>
          <w:color w:val="auto"/>
        </w:rPr>
        <w:t>), circular letter No. 47 in relation to bonds of 25 July 2019 (1-047-V-2019) (</w:t>
      </w:r>
      <w:r>
        <w:rPr>
          <w:rFonts w:ascii="Arial" w:cs="Arial" w:eastAsia="Arial" w:hAnsi="Arial"/>
          <w:sz w:val="21"/>
          <w:szCs w:val="21"/>
          <w:i w:val="1"/>
          <w:iCs w:val="1"/>
          <w:color w:val="auto"/>
        </w:rPr>
        <w:t>Kreisschreiben Nr. 47 “Obligationen” vom 25. Juli 2019</w:t>
      </w:r>
      <w:r>
        <w:rPr>
          <w:rFonts w:ascii="Arial" w:cs="Arial" w:eastAsia="Arial" w:hAnsi="Arial"/>
          <w:sz w:val="21"/>
          <w:szCs w:val="21"/>
          <w:color w:val="auto"/>
        </w:rPr>
        <w:t>), guideline S-02.130.1 in relation to money market instruments and book claims of April 1999 (</w:t>
      </w:r>
      <w:r>
        <w:rPr>
          <w:rFonts w:ascii="Arial" w:cs="Arial" w:eastAsia="Arial" w:hAnsi="Arial"/>
          <w:sz w:val="21"/>
          <w:szCs w:val="21"/>
          <w:i w:val="1"/>
          <w:iCs w:val="1"/>
          <w:color w:val="auto"/>
        </w:rPr>
        <w:t>Merkblatt vom April 1999 betreffend Geldmarktpapiere und Buchforderungen inländischer Schuldner</w:t>
      </w:r>
      <w:r>
        <w:rPr>
          <w:rFonts w:ascii="Arial" w:cs="Arial" w:eastAsia="Arial" w:hAnsi="Arial"/>
          <w:sz w:val="21"/>
          <w:szCs w:val="21"/>
          <w:color w:val="auto"/>
        </w:rPr>
        <w:t>), circular letter No. 46 of 24 July 2019 (1-046-VS-2019) in relation to syndicated credit facilities (</w:t>
      </w:r>
      <w:r>
        <w:rPr>
          <w:rFonts w:ascii="Arial" w:cs="Arial" w:eastAsia="Arial" w:hAnsi="Arial"/>
          <w:sz w:val="21"/>
          <w:szCs w:val="21"/>
          <w:i w:val="1"/>
          <w:iCs w:val="1"/>
          <w:color w:val="auto"/>
        </w:rPr>
        <w:t>Kreisschreiben Nr. 46 “Steuerliche Behandlung von Konsortialdarlehen,</w:t>
      </w:r>
      <w:r>
        <w:rPr>
          <w:rFonts w:ascii="Arial" w:cs="Arial" w:eastAsia="Arial" w:hAnsi="Arial"/>
          <w:sz w:val="21"/>
          <w:szCs w:val="21"/>
          <w:color w:val="auto"/>
        </w:rPr>
        <w:t xml:space="preserve"> </w:t>
      </w:r>
      <w:r>
        <w:rPr>
          <w:rFonts w:ascii="Arial" w:cs="Arial" w:eastAsia="Arial" w:hAnsi="Arial"/>
          <w:sz w:val="21"/>
          <w:szCs w:val="21"/>
          <w:i w:val="1"/>
          <w:iCs w:val="1"/>
          <w:color w:val="auto"/>
        </w:rPr>
        <w:t>Schuldscheindarlehen, Wechseln und Unterbeteiligungen” vom 24. Juli 2019</w:t>
      </w:r>
      <w:r>
        <w:rPr>
          <w:rFonts w:ascii="Arial" w:cs="Arial" w:eastAsia="Arial" w:hAnsi="Arial"/>
          <w:sz w:val="21"/>
          <w:szCs w:val="21"/>
          <w:color w:val="auto"/>
        </w:rPr>
        <w:t>), circular letter No. 34 of 26 July 2011 (1-034-V-2011) in relation to deposits (</w:t>
      </w:r>
      <w:r>
        <w:rPr>
          <w:rFonts w:ascii="Arial" w:cs="Arial" w:eastAsia="Arial" w:hAnsi="Arial"/>
          <w:sz w:val="21"/>
          <w:szCs w:val="21"/>
          <w:i w:val="1"/>
          <w:iCs w:val="1"/>
          <w:color w:val="auto"/>
        </w:rPr>
        <w:t>Kreisschreiben Nr. 34 “Kundenguthaben” vom 26. Juli 2011</w:t>
      </w:r>
      <w:r>
        <w:rPr>
          <w:rFonts w:ascii="Arial" w:cs="Arial" w:eastAsia="Arial" w:hAnsi="Arial"/>
          <w:sz w:val="21"/>
          <w:szCs w:val="21"/>
          <w:color w:val="auto"/>
        </w:rPr>
        <w:t>); the circular letter No. 15 of 3 October 2017 (1-015-DVS-2017) in relation to bonds and derivative financial instruments as subject matter of taxation of Swiss federal income tax, Swiss withholding tax and Swiss stamp taxes (</w:t>
      </w:r>
      <w:r>
        <w:rPr>
          <w:rFonts w:ascii="Arial" w:cs="Arial" w:eastAsia="Arial" w:hAnsi="Arial"/>
          <w:sz w:val="21"/>
          <w:szCs w:val="21"/>
          <w:i w:val="1"/>
          <w:iCs w:val="1"/>
          <w:color w:val="auto"/>
        </w:rPr>
        <w:t>Kreisschreiben Nr. 15 “Obligationen und derivative</w:t>
      </w:r>
      <w:r>
        <w:rPr>
          <w:rFonts w:ascii="Arial" w:cs="Arial" w:eastAsia="Arial" w:hAnsi="Arial"/>
          <w:sz w:val="21"/>
          <w:szCs w:val="21"/>
          <w:color w:val="auto"/>
        </w:rPr>
        <w:t xml:space="preserve"> </w:t>
      </w:r>
      <w:r>
        <w:rPr>
          <w:rFonts w:ascii="Arial" w:cs="Arial" w:eastAsia="Arial" w:hAnsi="Arial"/>
          <w:sz w:val="21"/>
          <w:szCs w:val="21"/>
          <w:i w:val="1"/>
          <w:iCs w:val="1"/>
          <w:color w:val="auto"/>
        </w:rPr>
        <w:t>Finanzinstrumente als Gegenstand der direkten Bundessteuer, der Verrechnungssteuer und der Stempelabgaben” vom 3. Oktober 2017</w:t>
      </w:r>
      <w:r>
        <w:rPr>
          <w:rFonts w:ascii="Arial" w:cs="Arial" w:eastAsia="Arial" w:hAnsi="Arial"/>
          <w:sz w:val="21"/>
          <w:szCs w:val="21"/>
          <w:color w:val="auto"/>
        </w:rPr>
        <w:t>) and the notification regarding credit balances in groups (Mitteilung 010-DVS-2019 of February 2019 betreffend</w:t>
      </w:r>
      <w:r>
        <w:rPr>
          <w:rFonts w:ascii="Arial" w:cs="Arial" w:eastAsia="Arial" w:hAnsi="Arial"/>
          <w:sz w:val="21"/>
          <w:szCs w:val="21"/>
          <w:i w:val="1"/>
          <w:iCs w:val="1"/>
          <w:color w:val="auto"/>
        </w:rPr>
        <w:t xml:space="preserve"> </w:t>
      </w:r>
      <w:r>
        <w:rPr>
          <w:rFonts w:ascii="Arial" w:cs="Arial" w:eastAsia="Arial" w:hAnsi="Arial"/>
          <w:sz w:val="21"/>
          <w:szCs w:val="21"/>
          <w:color w:val="auto"/>
        </w:rPr>
        <w:t>"Verrechnungssteuer: 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ectPr>
          <w:pgSz w:w="11900" w:h="16838" w:orient="portrait"/>
          <w:cols w:equalWidth="0" w:num="1">
            <w:col w:w="11240"/>
          </w:cols>
          <w:pgMar w:left="320" w:top="126" w:right="339" w:bottom="0" w:gutter="0" w:footer="0" w:header="0"/>
        </w:sectPr>
      </w:pPr>
    </w:p>
    <w:bookmarkStart w:id="643" w:name="page644"/>
    <w:bookmarkEnd w:id="643"/>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Qualifying Lender</w:t>
      </w:r>
      <w:r>
        <w:rPr>
          <w:rFonts w:ascii="Arial" w:cs="Arial" w:eastAsia="Arial" w:hAnsi="Arial"/>
          <w:sz w:val="22"/>
          <w:szCs w:val="22"/>
          <w:color w:val="auto"/>
        </w:rPr>
        <w:t>” means a Person that (i) is a bank as defined in the Swiss Federal Code for Banks and Savings Banks dated 8 November 1934 (</w:t>
      </w:r>
      <w:r>
        <w:rPr>
          <w:rFonts w:ascii="Arial" w:cs="Arial" w:eastAsia="Arial" w:hAnsi="Arial"/>
          <w:sz w:val="22"/>
          <w:szCs w:val="22"/>
          <w:i w:val="1"/>
          <w:iCs w:val="1"/>
          <w:color w:val="auto"/>
        </w:rPr>
        <w:t>Bundesgesetz über die Banken und Sparkassen</w:t>
      </w:r>
      <w:r>
        <w:rPr>
          <w:rFonts w:ascii="Arial" w:cs="Arial" w:eastAsia="Arial" w:hAnsi="Arial"/>
          <w:sz w:val="22"/>
          <w:szCs w:val="22"/>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Non-Qualifying Lender</w:t>
      </w:r>
      <w:r>
        <w:rPr>
          <w:rFonts w:ascii="Arial" w:cs="Arial" w:eastAsia="Arial" w:hAnsi="Arial"/>
          <w:sz w:val="22"/>
          <w:szCs w:val="22"/>
          <w:color w:val="auto"/>
        </w:rPr>
        <w:t>” means a person which does not qualify as a Swiss Qualifying Lender.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left blank; 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4" w:name="page645"/>
    <w:bookmarkEnd w:id="644"/>
    <w:p>
      <w:pPr>
        <w:ind w:left="660"/>
        <w:spacing w:after="0"/>
        <w:rPr>
          <w:sz w:val="20"/>
          <w:szCs w:val="20"/>
          <w:color w:val="auto"/>
        </w:rPr>
      </w:pPr>
      <w:r>
        <w:rPr>
          <w:rFonts w:ascii="Arial" w:cs="Arial" w:eastAsia="Arial" w:hAnsi="Arial"/>
          <w:sz w:val="19"/>
          <w:szCs w:val="19"/>
          <w:color w:val="auto"/>
        </w:rPr>
        <w:t>IN WITNESS WHEREOF, the undersigned has executed this Participant Certificate this _____ day of 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PARTICIPANT</w:t>
      </w:r>
      <w:r>
        <w:rPr>
          <w:rFonts w:ascii="Arial" w:cs="Arial" w:eastAsia="Arial" w:hAnsi="Arial"/>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5" w:name="page646"/>
    <w:bookmarkEnd w:id="645"/>
    <w:p>
      <w:pPr>
        <w:jc w:val="right"/>
        <w:spacing w:after="0"/>
        <w:rPr>
          <w:sz w:val="20"/>
          <w:szCs w:val="20"/>
          <w:color w:val="auto"/>
        </w:rPr>
      </w:pPr>
      <w:r>
        <w:rPr>
          <w:rFonts w:ascii="Arial" w:cs="Arial" w:eastAsia="Arial" w:hAnsi="Arial"/>
          <w:sz w:val="22"/>
          <w:szCs w:val="22"/>
          <w:b w:val="1"/>
          <w:bCs w:val="1"/>
          <w:u w:val="single" w:color="auto"/>
          <w:color w:val="auto"/>
        </w:rPr>
        <w:t>EXHIBIT 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ACTIVITY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2691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4269105"/>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Activity for Week Of:</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Expiry</w:t>
            </w:r>
          </w:p>
        </w:tc>
        <w:tc>
          <w:tcPr>
            <w:tcW w:w="118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6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62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New</w:t>
            </w:r>
          </w:p>
        </w:tc>
        <w:tc>
          <w:tcPr>
            <w:tcW w:w="0" w:type="dxa"/>
            <w:vAlign w:val="bottom"/>
          </w:tcPr>
          <w:p>
            <w:pPr>
              <w:spacing w:after="0"/>
              <w:rPr>
                <w:sz w:val="1"/>
                <w:szCs w:val="1"/>
                <w:color w:val="auto"/>
              </w:rPr>
            </w:pPr>
          </w:p>
        </w:tc>
      </w:tr>
      <w:tr>
        <w:trPr>
          <w:trHeight w:val="81"/>
        </w:trPr>
        <w:tc>
          <w:tcPr>
            <w:tcW w:w="12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Issue</w:t>
            </w:r>
          </w:p>
        </w:tc>
        <w:tc>
          <w:tcPr>
            <w:tcW w:w="10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1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Extension</w:t>
            </w:r>
          </w:p>
        </w:tc>
        <w:tc>
          <w:tcPr>
            <w:tcW w:w="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1"/>
              </w:rPr>
              <w:t>Existing</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New</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Notional</w:t>
            </w:r>
          </w:p>
        </w:tc>
        <w:tc>
          <w:tcPr>
            <w:tcW w:w="62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2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1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1"/>
              </w:rPr>
              <w:t>Issuing Bank Name</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w w:val="98"/>
              </w:rPr>
              <w:t>LC Number</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1"/>
              </w:rPr>
              <w:t>Beneficiary Name</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w w:val="93"/>
              </w:rPr>
              <w:t>New Issue (Y/N)</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(mm/dd/yy)</w:t>
            </w:r>
          </w:p>
        </w:tc>
        <w:tc>
          <w:tcPr>
            <w:tcW w:w="11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w w:val="95"/>
              </w:rPr>
              <w:t>Cancellation (Y/N)</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2"/>
              </w:rPr>
              <w:t>Notional</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Notional</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Increase /</w:t>
            </w:r>
          </w:p>
        </w:tc>
        <w:tc>
          <w:tcPr>
            <w:tcW w:w="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w w:val="94"/>
              </w:rPr>
              <w:t>Currency</w:t>
            </w:r>
          </w:p>
        </w:tc>
        <w:tc>
          <w:tcPr>
            <w:tcW w:w="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9"/>
              </w:rPr>
              <w:t>FX Rate</w:t>
            </w: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2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4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USD</w:t>
            </w:r>
          </w:p>
        </w:tc>
        <w:tc>
          <w:tcPr>
            <w:tcW w:w="0" w:type="dxa"/>
            <w:vAlign w:val="bottom"/>
          </w:tcPr>
          <w:p>
            <w:pPr>
              <w:spacing w:after="0"/>
              <w:rPr>
                <w:sz w:val="1"/>
                <w:szCs w:val="1"/>
                <w:color w:val="auto"/>
              </w:rPr>
            </w:pPr>
          </w:p>
        </w:tc>
      </w:tr>
      <w:tr>
        <w:trPr>
          <w:trHeight w:val="159"/>
        </w:trPr>
        <w:tc>
          <w:tcPr>
            <w:tcW w:w="12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6"/>
              </w:rPr>
              <w:t>(mm/dd/yy)</w:t>
            </w:r>
          </w:p>
        </w:tc>
        <w:tc>
          <w:tcPr>
            <w:tcW w:w="10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9"/>
              </w:rPr>
              <w:t>or</w:t>
            </w:r>
          </w:p>
        </w:tc>
        <w:tc>
          <w:tcPr>
            <w:tcW w:w="11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6"/>
              </w:rPr>
              <w:t>(mm/dd/yy)</w:t>
            </w:r>
          </w:p>
        </w:tc>
        <w:tc>
          <w:tcPr>
            <w:tcW w:w="58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4"/>
              </w:rPr>
              <w:t>Amount</w:t>
            </w:r>
          </w:p>
        </w:tc>
        <w:tc>
          <w:tcPr>
            <w:tcW w:w="7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9"/>
              </w:rPr>
              <w:t>(Decrease)</w:t>
            </w:r>
          </w:p>
        </w:tc>
        <w:tc>
          <w:tcPr>
            <w:tcW w:w="62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Equiv.</w:t>
            </w:r>
          </w:p>
        </w:tc>
        <w:tc>
          <w:tcPr>
            <w:tcW w:w="0" w:type="dxa"/>
            <w:vAlign w:val="bottom"/>
          </w:tcPr>
          <w:p>
            <w:pPr>
              <w:spacing w:after="0"/>
              <w:rPr>
                <w:sz w:val="1"/>
                <w:szCs w:val="1"/>
                <w:color w:val="auto"/>
              </w:rPr>
            </w:pPr>
          </w:p>
        </w:tc>
      </w:tr>
      <w:tr>
        <w:trPr>
          <w:trHeight w:val="92"/>
        </w:trPr>
        <w:tc>
          <w:tcPr>
            <w:tcW w:w="12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“1/1/2999”</w:t>
            </w:r>
          </w:p>
        </w:tc>
        <w:tc>
          <w:tcPr>
            <w:tcW w:w="11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vMerge w:val="continue"/>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646" w:name="page647"/>
    <w:bookmarkEnd w:id="646"/>
    <w:p>
      <w:pPr>
        <w:jc w:val="right"/>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INTERCREDITOR AGREEMENT</w:t>
      </w:r>
    </w:p>
    <w:p>
      <w:pPr>
        <w:spacing w:after="0" w:line="200" w:lineRule="exact"/>
        <w:rPr>
          <w:sz w:val="20"/>
          <w:szCs w:val="20"/>
          <w:color w:val="auto"/>
        </w:rPr>
      </w:pPr>
    </w:p>
    <w:p>
      <w:pPr>
        <w:spacing w:after="0" w:line="25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August 28, 2020</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LC Collateral Agent,</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Notes Collateral Agent,</w:t>
      </w:r>
    </w:p>
    <w:p>
      <w:pPr>
        <w:spacing w:after="0" w:line="200" w:lineRule="exact"/>
        <w:rPr>
          <w:sz w:val="20"/>
          <w:szCs w:val="20"/>
          <w:color w:val="auto"/>
        </w:rPr>
      </w:pPr>
    </w:p>
    <w:p>
      <w:pPr>
        <w:spacing w:after="0" w:line="245" w:lineRule="exact"/>
        <w:rPr>
          <w:sz w:val="20"/>
          <w:szCs w:val="20"/>
          <w:color w:val="auto"/>
        </w:rPr>
      </w:pPr>
    </w:p>
    <w:p>
      <w:pPr>
        <w:ind w:left="2180" w:right="2920" w:hanging="363"/>
        <w:spacing w:after="0" w:line="301" w:lineRule="auto"/>
        <w:rPr>
          <w:sz w:val="20"/>
          <w:szCs w:val="20"/>
          <w:color w:val="auto"/>
        </w:rPr>
      </w:pPr>
      <w:r>
        <w:rPr>
          <w:rFonts w:ascii="Arial" w:cs="Arial" w:eastAsia="Arial" w:hAnsi="Arial"/>
          <w:sz w:val="21"/>
          <w:szCs w:val="21"/>
          <w:color w:val="auto"/>
        </w:rPr>
        <w:t>BTA INSTITUTIONAL SERVICES AUSTRALIA LIMITED when joined hereto as LC Australian Collateral Agent,</w:t>
      </w:r>
    </w:p>
    <w:p>
      <w:pPr>
        <w:spacing w:after="0" w:line="204"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WEATHERFORD INTERNATIONAL PLC,</w:t>
      </w: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The other Grantors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290195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647" w:name="page648"/>
    <w:bookmarkEnd w:id="64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560" w:type="dxa"/>
            <w:vAlign w:val="bottom"/>
            <w:gridSpan w:val="2"/>
          </w:tcPr>
          <w:p>
            <w:pPr>
              <w:ind w:left="2100"/>
              <w:spacing w:after="0"/>
              <w:rPr>
                <w:sz w:val="20"/>
                <w:szCs w:val="20"/>
                <w:color w:val="auto"/>
              </w:rPr>
            </w:pPr>
            <w:r>
              <w:rPr>
                <w:rFonts w:ascii="Arial" w:cs="Arial" w:eastAsia="Arial" w:hAnsi="Arial"/>
                <w:sz w:val="22"/>
                <w:szCs w:val="22"/>
                <w:b w:val="1"/>
                <w:bCs w:val="1"/>
                <w:color w:val="auto"/>
                <w:w w:val="83"/>
              </w:rPr>
              <w:t>Page</w:t>
            </w:r>
          </w:p>
        </w:tc>
        <w:tc>
          <w:tcPr>
            <w:tcW w:w="0" w:type="dxa"/>
            <w:vAlign w:val="bottom"/>
          </w:tcPr>
          <w:p>
            <w:pPr>
              <w:spacing w:after="0"/>
              <w:rPr>
                <w:sz w:val="1"/>
                <w:szCs w:val="1"/>
                <w:color w:val="auto"/>
              </w:rPr>
            </w:pPr>
          </w:p>
        </w:tc>
      </w:tr>
      <w:tr>
        <w:trPr>
          <w:trHeight w:val="490"/>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ARTICLE I Definitions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1.01Construction; Certain Defined Terms</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1.02Luxembourg Terms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ARTICLE II Priorities and Agreements with Respect to Collateral</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2.01Priority of Claims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2.02Actions With Respect to Collateral; Prohibition on Contesting Liens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2.03No Duties of Senior Representative; Provision of Notice</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2.04No Interference; Payment Over; Reinstatement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2.05Automatic Release of Junior Liens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2.06Certain Agreements With Respect to Insolvency or Liquidation Proceedings</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2.07Reinstatement</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2.08[Reserved]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2.09Insurance</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2.10Refinancings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2.11Amendments to Security Documents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2.12Possessory Collateral Agent as Gratuitous Bailee for Perfection</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2.13Control Agreements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2.14Rights under Permits and Licenses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ARTICLE III Existence and Amounts of Liens and Obligations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ARTICLE IV Consent of Grantors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ARTICLE V Representations and Warranties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5.01Representations and Warranties of Each Party</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5.02Representations and Warranties of Each Representative</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ARTICLE VI Collateral Agency for Foreign Collateral</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6.01Appointment of Foreign Collateral Agent</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6.02Rights as a Secured Party</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6.03Exculpatory Provisions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6.04Reliance by the Foreign Collateral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6.05Delegation of Duties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6.06Resignation of Foreign Collateral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6.07Non-Reliance on Foreign Collateral Agent and Other Secured Parties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6.08Collateral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6.09Discretionary Rights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6.10Indemnification of Foreign Collateral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6.11Treatment of Proceeds of Foreign Collateral</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6.12Currency Conversion</w:t>
            </w:r>
          </w:p>
        </w:tc>
        <w:tc>
          <w:tcPr>
            <w:tcW w:w="25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6.13Swiss Collateral</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6.14Scottish Collateral</w:t>
            </w:r>
          </w:p>
        </w:tc>
        <w:tc>
          <w:tcPr>
            <w:tcW w:w="25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6.15Benefits of Foreign Collateral Agent</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ARTICLE VII 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7.01Legends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7.02Notices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7.03Waivers; Amendment</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7.04Parties in Interest</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7.05Survival of Agreement</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7.06Counterparts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7.07Severability</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7.08Governing Law; Jurisdiction; Consent to Service of Process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7.09WAIVER OF JURY TRIAL</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7.10Headings</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7.11Conflicts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7.12Provisions Solely to Define Relative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7.13Agent Capacities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7.14Supplements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7.15Collateral Agent Rights, Protections and Immunities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7.16Other Junior Intercreditor Agreements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6F4F9"/>
          </w:tcPr>
          <w:p>
            <w:pPr>
              <w:spacing w:after="0"/>
              <w:rPr>
                <w:sz w:val="20"/>
                <w:szCs w:val="20"/>
                <w:color w:val="auto"/>
              </w:rPr>
            </w:pPr>
            <w:r>
              <w:rPr>
                <w:rFonts w:ascii="Arial" w:cs="Arial" w:eastAsia="Arial" w:hAnsi="Arial"/>
                <w:sz w:val="18"/>
                <w:szCs w:val="18"/>
                <w:color w:val="auto"/>
              </w:rPr>
              <w:t>SECTION 7.17Additional Grantors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SECTION 7.18Joinder of LC Australian Collateral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00" w:type="dxa"/>
            <w:vAlign w:val="bottom"/>
            <w:gridSpan w:val="3"/>
            <w:shd w:val="clear" w:color="auto" w:fill="C6F4F9"/>
          </w:tcPr>
          <w:p>
            <w:pPr>
              <w:spacing w:after="0" w:line="176" w:lineRule="exact"/>
              <w:rPr>
                <w:sz w:val="20"/>
                <w:szCs w:val="20"/>
                <w:color w:val="auto"/>
              </w:rPr>
            </w:pPr>
            <w:r>
              <w:rPr>
                <w:rFonts w:ascii="Arial" w:cs="Arial" w:eastAsia="Arial" w:hAnsi="Arial"/>
                <w:sz w:val="18"/>
                <w:szCs w:val="18"/>
                <w:color w:val="auto"/>
              </w:rPr>
              <w:t>SECTION 7.19Purchase Right.</w:t>
            </w:r>
          </w:p>
        </w:tc>
        <w:tc>
          <w:tcPr>
            <w:tcW w:w="2540" w:type="dxa"/>
            <w:vAlign w:val="bottom"/>
            <w:shd w:val="clear" w:color="auto" w:fill="C6F4F9"/>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140" w:type="dxa"/>
            <w:vAlign w:val="bottom"/>
            <w:tcBorders>
              <w:top w:val="single" w:sz="8" w:color="C6F4F9"/>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460" w:type="dxa"/>
            <w:vAlign w:val="bottom"/>
            <w:tcBorders>
              <w:top w:val="single" w:sz="8" w:color="C6F4F9"/>
              <w:bottom w:val="single" w:sz="8" w:color="auto"/>
            </w:tcBorders>
          </w:tcPr>
          <w:p>
            <w:pPr>
              <w:spacing w:after="0"/>
              <w:rPr>
                <w:sz w:val="24"/>
                <w:szCs w:val="24"/>
                <w:color w:val="auto"/>
              </w:rPr>
            </w:pPr>
          </w:p>
        </w:tc>
        <w:tc>
          <w:tcPr>
            <w:tcW w:w="2540" w:type="dxa"/>
            <w:vAlign w:val="bottom"/>
            <w:tcBorders>
              <w:top w:val="single" w:sz="8" w:color="C6F4F9"/>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648" w:name="page649"/>
    <w:bookmarkEnd w:id="648"/>
    <w:p>
      <w:pPr>
        <w:spacing w:after="0" w:line="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This INTERCREDITOR AGREEMENT (as amended, restated, supplemented or otherwise modified from time to time,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August 28, 2020, is among BTA Institutional Services Australia Limited (ABN 48 002 916 396), in its capacity as trustee of the LC Australian Security Trust referred to herein (when joined to this Agreement, in such capacity, together with its successors in substantially the same capacity as may from time to time be appointed, the “</w:t>
      </w:r>
      <w:r>
        <w:rPr>
          <w:rFonts w:ascii="Arial" w:cs="Arial" w:eastAsia="Arial" w:hAnsi="Arial"/>
          <w:sz w:val="21"/>
          <w:szCs w:val="21"/>
          <w:b w:val="1"/>
          <w:bCs w:val="1"/>
          <w:i w:val="1"/>
          <w:iCs w:val="1"/>
          <w:color w:val="auto"/>
        </w:rPr>
        <w:t>LC</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Australian Collateral Agent</w:t>
      </w:r>
      <w:r>
        <w:rPr>
          <w:rFonts w:ascii="Arial" w:cs="Arial" w:eastAsia="Arial" w:hAnsi="Arial"/>
          <w:sz w:val="21"/>
          <w:szCs w:val="21"/>
          <w:color w:val="auto"/>
        </w:rPr>
        <w:t>”), Deutsche Bank Trust Company Americas (“</w:t>
      </w:r>
      <w:r>
        <w:rPr>
          <w:rFonts w:ascii="Arial" w:cs="Arial" w:eastAsia="Arial" w:hAnsi="Arial"/>
          <w:sz w:val="21"/>
          <w:szCs w:val="21"/>
          <w:b w:val="1"/>
          <w:bCs w:val="1"/>
          <w:i w:val="1"/>
          <w:iCs w:val="1"/>
          <w:color w:val="auto"/>
        </w:rPr>
        <w:t>DBTCA</w:t>
      </w:r>
      <w:r>
        <w:rPr>
          <w:rFonts w:ascii="Arial" w:cs="Arial" w:eastAsia="Arial" w:hAnsi="Arial"/>
          <w:sz w:val="21"/>
          <w:szCs w:val="21"/>
          <w:color w:val="auto"/>
        </w:rPr>
        <w:t>”), as administrative agent and collateral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w:t>
      </w:r>
      <w:r>
        <w:rPr>
          <w:rFonts w:ascii="Arial" w:cs="Arial" w:eastAsia="Arial" w:hAnsi="Arial"/>
          <w:sz w:val="21"/>
          <w:szCs w:val="21"/>
          <w:b w:val="1"/>
          <w:bCs w:val="1"/>
          <w:i w:val="1"/>
          <w:iCs w:val="1"/>
          <w:color w:val="auto"/>
        </w:rPr>
        <w:t>LC Collateral Agent</w:t>
      </w:r>
      <w:r>
        <w:rPr>
          <w:rFonts w:ascii="Arial" w:cs="Arial" w:eastAsia="Arial" w:hAnsi="Arial"/>
          <w:sz w:val="21"/>
          <w:szCs w:val="21"/>
          <w:color w:val="auto"/>
        </w:rPr>
        <w:t>”), Wilmington Trust, National Association (“</w:t>
      </w:r>
      <w:r>
        <w:rPr>
          <w:rFonts w:ascii="Arial" w:cs="Arial" w:eastAsia="Arial" w:hAnsi="Arial"/>
          <w:sz w:val="21"/>
          <w:szCs w:val="21"/>
          <w:b w:val="1"/>
          <w:bCs w:val="1"/>
          <w:i w:val="1"/>
          <w:iCs w:val="1"/>
          <w:color w:val="auto"/>
        </w:rPr>
        <w:t>Wilmington Trust</w:t>
      </w:r>
      <w:r>
        <w:rPr>
          <w:rFonts w:ascii="Arial" w:cs="Arial" w:eastAsia="Arial" w:hAnsi="Arial"/>
          <w:sz w:val="21"/>
          <w:szCs w:val="21"/>
          <w:color w:val="auto"/>
        </w:rPr>
        <w:t>”), as collateral agent for the Notes Secured Parties referred to herein (in such capacity, together with its successors and co-agents and, as applicable, sub-agents, in substantially the same capacity as may from time to time be appointed, the “</w:t>
      </w:r>
      <w:r>
        <w:rPr>
          <w:rFonts w:ascii="Arial" w:cs="Arial" w:eastAsia="Arial" w:hAnsi="Arial"/>
          <w:sz w:val="21"/>
          <w:szCs w:val="21"/>
          <w:b w:val="1"/>
          <w:bCs w:val="1"/>
          <w:i w:val="1"/>
          <w:iCs w:val="1"/>
          <w:color w:val="auto"/>
        </w:rPr>
        <w:t>Notes Collateral Agent</w:t>
      </w:r>
      <w:r>
        <w:rPr>
          <w:rFonts w:ascii="Arial" w:cs="Arial" w:eastAsia="Arial" w:hAnsi="Arial"/>
          <w:sz w:val="21"/>
          <w:szCs w:val="21"/>
          <w:color w:val="auto"/>
        </w:rPr>
        <w:t>”), the Parent (as defined below) and the other Subsidiaries of the Parent from time to time party hereto.</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Weatherford International Ltd., a Bermuda exempted company limited by shares (“</w:t>
      </w:r>
      <w:r>
        <w:rPr>
          <w:rFonts w:ascii="Arial" w:cs="Arial" w:eastAsia="Arial" w:hAnsi="Arial"/>
          <w:sz w:val="22"/>
          <w:szCs w:val="22"/>
          <w:b w:val="1"/>
          <w:bCs w:val="1"/>
          <w:i w:val="1"/>
          <w:iCs w:val="1"/>
          <w:color w:val="auto"/>
        </w:rPr>
        <w:t>WIL-Bermuda</w:t>
      </w:r>
      <w:r>
        <w:rPr>
          <w:rFonts w:ascii="Arial" w:cs="Arial" w:eastAsia="Arial" w:hAnsi="Arial"/>
          <w:sz w:val="22"/>
          <w:szCs w:val="22"/>
          <w:color w:val="auto"/>
        </w:rPr>
        <w:t>” or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Issuer</w:t>
      </w:r>
      <w:r>
        <w:rPr>
          <w:rFonts w:ascii="Arial" w:cs="Arial" w:eastAsia="Arial" w:hAnsi="Arial"/>
          <w:sz w:val="22"/>
          <w:szCs w:val="22"/>
          <w:color w:val="auto"/>
        </w:rPr>
        <w:t>”), Weatherford International plc, a public limited company incorporated in the Republic of Ireland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certain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subsidiaries of Parent, Wilmington Trust, as trustee (in such capacity, together with its successors and co-trustees, as applicable, in substantially the same capacity as may from time to time be appointed, the “</w:t>
      </w:r>
      <w:r>
        <w:rPr>
          <w:rFonts w:ascii="Arial" w:cs="Arial" w:eastAsia="Arial" w:hAnsi="Arial"/>
          <w:sz w:val="22"/>
          <w:szCs w:val="22"/>
          <w:b w:val="1"/>
          <w:bCs w:val="1"/>
          <w:i w:val="1"/>
          <w:iCs w:val="1"/>
          <w:color w:val="auto"/>
        </w:rPr>
        <w:t>Notes Trustee</w:t>
      </w:r>
      <w:r>
        <w:rPr>
          <w:rFonts w:ascii="Arial" w:cs="Arial" w:eastAsia="Arial" w:hAnsi="Arial"/>
          <w:sz w:val="22"/>
          <w:szCs w:val="22"/>
          <w:color w:val="auto"/>
        </w:rPr>
        <w:t>”) and the Notes Collateral Agent are party to the Notes Indenture, dated as of the date hereof (the “</w:t>
      </w:r>
      <w:r>
        <w:rPr>
          <w:rFonts w:ascii="Arial" w:cs="Arial" w:eastAsia="Arial" w:hAnsi="Arial"/>
          <w:sz w:val="22"/>
          <w:szCs w:val="22"/>
          <w:b w:val="1"/>
          <w:bCs w:val="1"/>
          <w:i w:val="1"/>
          <w:iCs w:val="1"/>
          <w:color w:val="auto"/>
        </w:rPr>
        <w:t>Existing Notes Indenture</w:t>
      </w:r>
      <w:r>
        <w:rPr>
          <w:rFonts w:ascii="Arial" w:cs="Arial" w:eastAsia="Arial" w:hAnsi="Arial"/>
          <w:sz w:val="22"/>
          <w:szCs w:val="22"/>
          <w:color w:val="auto"/>
        </w:rPr>
        <w:t>”), providing for an initial aggregate principal amount of up to $500,000,000 of the Notes Issuer’s 8.75% Senior Secured First Lien Notes due 2024 (the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w:t>
      </w:r>
    </w:p>
    <w:p>
      <w:pPr>
        <w:spacing w:after="0" w:line="19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WIL-Bermuda and Weatherford International LLC, a Delaware limited liability company (“</w:t>
      </w:r>
      <w:r>
        <w:rPr>
          <w:rFonts w:ascii="Arial" w:cs="Arial" w:eastAsia="Arial" w:hAnsi="Arial"/>
          <w:sz w:val="19"/>
          <w:szCs w:val="19"/>
          <w:b w:val="1"/>
          <w:bCs w:val="1"/>
          <w:i w:val="1"/>
          <w:iCs w:val="1"/>
          <w:color w:val="auto"/>
        </w:rPr>
        <w:t>WIL-Delaware</w:t>
      </w:r>
      <w:r>
        <w:rPr>
          <w:rFonts w:ascii="Arial" w:cs="Arial" w:eastAsia="Arial" w:hAnsi="Arial"/>
          <w:sz w:val="19"/>
          <w:szCs w:val="19"/>
          <w:color w:val="auto"/>
        </w:rPr>
        <w:t>”) (the “</w:t>
      </w:r>
      <w:r>
        <w:rPr>
          <w:rFonts w:ascii="Arial" w:cs="Arial" w:eastAsia="Arial" w:hAnsi="Arial"/>
          <w:sz w:val="19"/>
          <w:szCs w:val="19"/>
          <w:b w:val="1"/>
          <w:bCs w:val="1"/>
          <w:i w:val="1"/>
          <w:iCs w:val="1"/>
          <w:color w:val="auto"/>
        </w:rPr>
        <w:t>LC Borrowers</w:t>
      </w:r>
      <w:r>
        <w:rPr>
          <w:rFonts w:ascii="Arial" w:cs="Arial" w:eastAsia="Arial" w:hAnsi="Arial"/>
          <w:sz w:val="19"/>
          <w:szCs w:val="19"/>
          <w:color w:val="auto"/>
        </w:rPr>
        <w:t>”), the issuing lenders from time to time party thereto (the “</w:t>
      </w:r>
      <w:r>
        <w:rPr>
          <w:rFonts w:ascii="Arial" w:cs="Arial" w:eastAsia="Arial" w:hAnsi="Arial"/>
          <w:sz w:val="19"/>
          <w:szCs w:val="19"/>
          <w:b w:val="1"/>
          <w:bCs w:val="1"/>
          <w:i w:val="1"/>
          <w:iCs w:val="1"/>
          <w:color w:val="auto"/>
        </w:rPr>
        <w:t>Issuing Lenders</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i w:val="1"/>
          <w:iCs w:val="1"/>
          <w:color w:val="auto"/>
        </w:rPr>
        <w:t>LC Lenders</w:t>
      </w:r>
      <w:r>
        <w:rPr>
          <w:rFonts w:ascii="Arial" w:cs="Arial" w:eastAsia="Arial" w:hAnsi="Arial"/>
          <w:sz w:val="19"/>
          <w:szCs w:val="19"/>
          <w:color w:val="auto"/>
        </w:rPr>
        <w:t>”) and the LC Collateral Agent are party to the Credit Agreement, dated as of December 13, 2019 , pursuant to which the Issuing Lenders have agreed to issue, and the LC Lenders have agreed to purchase participations in, letters of credit (as amended by the Amendment No. 1 thereoto, dated as of the date hereof, the “</w:t>
      </w:r>
      <w:r>
        <w:rPr>
          <w:rFonts w:ascii="Arial" w:cs="Arial" w:eastAsia="Arial" w:hAnsi="Arial"/>
          <w:sz w:val="19"/>
          <w:szCs w:val="19"/>
          <w:b w:val="1"/>
          <w:bCs w:val="1"/>
          <w:i w:val="1"/>
          <w:iCs w:val="1"/>
          <w:color w:val="auto"/>
        </w:rPr>
        <w:t>Existing LC Credit Agreement</w:t>
      </w:r>
      <w:r>
        <w:rPr>
          <w:rFonts w:ascii="Arial" w:cs="Arial" w:eastAsia="Arial" w:hAnsi="Arial"/>
          <w:sz w:val="19"/>
          <w:szCs w:val="19"/>
          <w:color w:val="auto"/>
        </w:rPr>
        <w:t>”).</w:t>
      </w:r>
    </w:p>
    <w:p>
      <w:pPr>
        <w:spacing w:after="0" w:line="15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This Agreement governs the relationship between the LC Secured Parties as a group, on the one hand, and the Notes Secured Parties, on the other hand, with respect to the Collateral shared by the LC Secured Parties and the Notes Secured Parties. In addition, it is understood and agreed that not all of the Secured Parties may have security interests in all of the Collateral and nothing in this Agreement is intended to give rights to any Person in any Collateral in which such Person (or their Representative or Collateral Agent) does not otherwise have a security interest under their respective security documents.</w:t>
      </w:r>
    </w:p>
    <w:p>
      <w:pPr>
        <w:spacing w:after="0" w:line="15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In consideration of the mutual agreements herein contained and other good and valuable consideration, the receipt and sufficiency of which are hereby acknowledged, the parties hereto hereby agree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a. Construction; Certain Defined Terms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301" w:lineRule="auto"/>
        <w:tabs>
          <w:tab w:leader="none" w:pos="2031" w:val="left"/>
        </w:tabs>
        <w:numPr>
          <w:ilvl w:val="0"/>
          <w:numId w:val="803"/>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Exhibits shall be construed to refer to Articles, Sections and Exhibits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63" w:lineRule="exact"/>
        <w:rPr>
          <w:rFonts w:ascii="Arial" w:cs="Arial" w:eastAsia="Arial" w:hAnsi="Arial"/>
          <w:sz w:val="19"/>
          <w:szCs w:val="19"/>
          <w:color w:val="auto"/>
        </w:rPr>
      </w:pPr>
    </w:p>
    <w:p>
      <w:pPr>
        <w:ind w:left="2020" w:hanging="716"/>
        <w:spacing w:after="0"/>
        <w:tabs>
          <w:tab w:leader="none" w:pos="2020" w:val="left"/>
        </w:tabs>
        <w:numPr>
          <w:ilvl w:val="0"/>
          <w:numId w:val="803"/>
        </w:numPr>
        <w:rPr>
          <w:rFonts w:ascii="Arial" w:cs="Arial" w:eastAsia="Arial" w:hAnsi="Arial"/>
          <w:sz w:val="22"/>
          <w:szCs w:val="22"/>
          <w:color w:val="auto"/>
        </w:rPr>
      </w:pPr>
      <w:r>
        <w:rPr>
          <w:rFonts w:ascii="Arial" w:cs="Arial" w:eastAsia="Arial" w:hAnsi="Arial"/>
          <w:sz w:val="22"/>
          <w:szCs w:val="22"/>
          <w:color w:val="auto"/>
        </w:rPr>
        <w:t>As used in this Agreement, the following terms have the meanings specified below:</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Junior Collateral Agent</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ectPr>
          <w:pgSz w:w="11900" w:h="16845" w:orient="portrait"/>
          <w:cols w:equalWidth="0" w:num="1">
            <w:col w:w="11240"/>
          </w:cols>
          <w:pgMar w:left="320" w:top="132" w:right="339" w:bottom="0" w:gutter="0" w:footer="0" w:header="0"/>
        </w:sectPr>
      </w:pPr>
    </w:p>
    <w:bookmarkStart w:id="649" w:name="page650"/>
    <w:bookmarkEnd w:id="649"/>
    <w:p>
      <w:pPr>
        <w:spacing w:after="0" w:line="1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Possessory Collateral Agent</w:t>
      </w:r>
      <w:r>
        <w:rPr>
          <w:rFonts w:ascii="Arial" w:cs="Arial" w:eastAsia="Arial" w:hAnsi="Arial"/>
          <w:sz w:val="22"/>
          <w:szCs w:val="22"/>
          <w:color w:val="auto"/>
        </w:rPr>
        <w:t>” means (a) with respect to Notes Priority Possessory Collateral, the Notes Collateral Agent, (b) with respect to LC Priority Possessory Collateral, the LC Collateral Agent, and (c) notwithstanding the foregoing, with respect to Foreign Collateral, the Foreign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Senior Collateral Agent</w:t>
      </w:r>
      <w:r>
        <w:rPr>
          <w:rFonts w:ascii="Arial" w:cs="Arial" w:eastAsia="Arial" w:hAnsi="Arial"/>
          <w:sz w:val="22"/>
          <w:szCs w:val="22"/>
          <w:color w:val="auto"/>
        </w:rPr>
        <w:t>” means (a) with respect to the Notes Priority Collateral, the Notes Collateral Agent, and (b) with respect to the LC Priority Collateral, the LC Collateral Agent.</w:t>
      </w:r>
    </w:p>
    <w:p>
      <w:pPr>
        <w:spacing w:after="0" w:line="174"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 Product Obligations</w:t>
      </w:r>
      <w:r>
        <w:rPr>
          <w:rFonts w:ascii="Arial" w:cs="Arial" w:eastAsia="Arial" w:hAnsi="Arial"/>
          <w:sz w:val="21"/>
          <w:szCs w:val="21"/>
          <w:color w:val="auto"/>
        </w:rPr>
        <w:t>” means all “Banking Services Obligations” and all “Swap Obligations” as defined in the LC Credit Agreement (other than “Excluded Swap Obligations” as defined in the LC Credit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Case</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Title 11 of the United States Code, as amended.</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that is not a Saturday, Sunday or other day that is a legal holiday under the laws of the State of New York or on which banking institutions in the State of New York are required or authorized by law or other governmental action to close.</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Stock</w:t>
      </w:r>
      <w:r>
        <w:rPr>
          <w:rFonts w:ascii="Arial" w:cs="Arial" w:eastAsia="Arial" w:hAnsi="Arial"/>
          <w:sz w:val="22"/>
          <w:szCs w:val="22"/>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has the meaning set forth in the definition of Senior Secured Obligations.</w:t>
      </w:r>
    </w:p>
    <w:p>
      <w:pPr>
        <w:spacing w:after="0" w:line="233"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means all assets and properties subject to (or purportedly subject to) Liens in favor of any Secured Party created by any of the Foreign Collateral Documents, Notes Security Documents or the LC Security Documents, as applicable, to secure the Notes Obligations or the LC Obligations, as applicable.</w:t>
      </w:r>
    </w:p>
    <w:p>
      <w:pPr>
        <w:spacing w:after="0" w:line="185"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Agent</w:t>
      </w:r>
      <w:r>
        <w:rPr>
          <w:rFonts w:ascii="Arial" w:cs="Arial" w:eastAsia="Arial" w:hAnsi="Arial"/>
          <w:sz w:val="22"/>
          <w:szCs w:val="22"/>
          <w:color w:val="auto"/>
        </w:rPr>
        <w:t>” means the Foreign Collateral Agent, the Notes Collateral Agent, the LC Collateral Agent, or any of the foregoing, as the context may require.</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Junior Priority Collateral Document</w:t>
      </w:r>
      <w:r>
        <w:rPr>
          <w:rFonts w:ascii="Arial" w:cs="Arial" w:eastAsia="Arial" w:hAnsi="Arial"/>
          <w:sz w:val="22"/>
          <w:szCs w:val="22"/>
          <w:color w:val="auto"/>
        </w:rPr>
        <w:t>” means, in relation to any Senior Secured Obligations Collateral subject to any Lien created (or purportedly created) under any Senior Secured Obligations Collateral Document, those Junior Secured Obligations Collateral Documents that create (or purport to create) a Lien on the same Collateral, granted by the same Grantor.</w:t>
      </w:r>
    </w:p>
    <w:p>
      <w:pPr>
        <w:spacing w:after="0" w:line="191"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Controlling Party</w:t>
      </w:r>
      <w:r>
        <w:rPr>
          <w:rFonts w:ascii="Arial" w:cs="Arial" w:eastAsia="Arial" w:hAnsi="Arial"/>
          <w:sz w:val="22"/>
          <w:szCs w:val="22"/>
          <w:color w:val="auto"/>
        </w:rPr>
        <w:t>” means (i) for decisions relating to Foreign Collateral that is Notes Priority Collateral, the Notes Collateral Agent and; (ii) for decisions relating to Foreign Collateral that is LC Priority Collateral, the LC Collateral Agent (and in the case of the LC Australian Collateral Agent, acting for, and with any decisions relating to LC Australian Collateral made by, the LC Administrative Agent).</w:t>
      </w:r>
    </w:p>
    <w:p>
      <w:pPr>
        <w:spacing w:after="0" w:line="19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Debtor Relief Laws</w:t>
      </w:r>
      <w:r>
        <w:rPr>
          <w:rFonts w:ascii="Arial" w:cs="Arial" w:eastAsia="Arial" w:hAnsi="Arial"/>
          <w:sz w:val="19"/>
          <w:szCs w:val="19"/>
          <w:color w:val="auto"/>
        </w:rPr>
        <w:t>” means the Bankruptcy Code, the United Kingdom’s Insolvency Act 1986, the Council Regulation (EU) No. 2015/848 of 20 May 2015 on insolvency proceedings (recast), as amended, the Bankruptcy and Insolvency Act (Canada), the Companies’ Creditors Arrangement Act (Canada), Dutch Bankruptcy Act (</w:t>
      </w:r>
      <w:r>
        <w:rPr>
          <w:rFonts w:ascii="Arial" w:cs="Arial" w:eastAsia="Arial" w:hAnsi="Arial"/>
          <w:sz w:val="19"/>
          <w:szCs w:val="19"/>
          <w:i w:val="1"/>
          <w:iCs w:val="1"/>
          <w:color w:val="auto"/>
        </w:rPr>
        <w:t>faillissementswet</w:t>
      </w:r>
      <w:r>
        <w:rPr>
          <w:rFonts w:ascii="Arial" w:cs="Arial" w:eastAsia="Arial" w:hAnsi="Arial"/>
          <w:sz w:val="19"/>
          <w:szCs w:val="19"/>
          <w:color w:val="auto"/>
        </w:rPr>
        <w:t>), the Winding-Up and Restructuring Act (Canada), the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Swiss Federal Debt Collection and Bankruptcy Act (</w:t>
      </w:r>
      <w:r>
        <w:rPr>
          <w:rFonts w:ascii="Arial" w:cs="Arial" w:eastAsia="Arial" w:hAnsi="Arial"/>
          <w:sz w:val="19"/>
          <w:szCs w:val="19"/>
          <w:i w:val="1"/>
          <w:iCs w:val="1"/>
          <w:color w:val="auto"/>
        </w:rPr>
        <w:t>Bundesgesetz über Schuldbetreibung und Konkurs</w:t>
      </w:r>
      <w:r>
        <w:rPr>
          <w:rFonts w:ascii="Arial" w:cs="Arial" w:eastAsia="Arial" w:hAnsi="Arial"/>
          <w:sz w:val="19"/>
          <w:szCs w:val="19"/>
          <w:color w:val="auto"/>
        </w:rPr>
        <w:t>), Part XIII of the Bermuda Companies Act 1981, the Luxembourg Commercial Code and the Luxembourg Act dated 10 August 1915 on Commercial Companies, the Insolvency Act 2003 of the British Virgin Islands and all other liquidation, conservatorship, bankruptcy, assignment for the benefit of creditors, moratorium, rearrangement, receivership, insolvency, examinership reorganization or similar debtor relief laws of the United States of America or other applicable jurisdictions from time to time in effect, in each case as amended, including any corporate law of any jurisdiction which may be used by a debtor to obtain a stay or a compromise, settlement, adjustment or arrangement of the claims of its creditors against it and including any rules and regulations pursuant thereto (but, in each case, shall exclude any part of such laws, rules or regulations which relate solely to any solvent reorganization or solvent restructuring process).</w:t>
      </w:r>
    </w:p>
    <w:p>
      <w:pPr>
        <w:spacing w:after="0" w:line="157"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Disposition</w:t>
      </w:r>
      <w:r>
        <w:rPr>
          <w:rFonts w:ascii="Arial" w:cs="Arial" w:eastAsia="Arial" w:hAnsi="Arial"/>
          <w:sz w:val="19"/>
          <w:szCs w:val="19"/>
          <w:color w:val="auto"/>
        </w:rPr>
        <w:t>” means any private or public sale or disposition of all or any material portion of the Senior Secured Obligations Collateral (including Foreign Collateral) by one or more Grantors with the consent of Senior Collateral Agent or Foreign Collateral Agent (as instructed by the Controlling Party), as applicable, after the occurrence and during the continuation of an Event of Default under the Senior Secured Obligations Security Documents or the Notes Indenture or LC Credit Agreement, as applicable (and prior to the Discharge of the Senior Secured Obligations), including any disposition contemplated by Section 9-620 of the UCC, which disposition is conducted by such Grantors with the consent of Senior Collateral Agent or Foreign Collateral Agent (as instructed by the Controlling Party) in connection with good faith efforts by Senior Collateral Agent or Foreign Collateral Agent (as instructed by the Controlling Party) to collect the Senior Secured Obligations through the disposition of Senior Secured Obligations Collateral (including any Foreign Collateral).</w:t>
      </w:r>
    </w:p>
    <w:p>
      <w:pPr>
        <w:sectPr>
          <w:pgSz w:w="11900" w:h="16971" w:orient="portrait"/>
          <w:cols w:equalWidth="0" w:num="1">
            <w:col w:w="11240"/>
          </w:cols>
          <w:pgMar w:left="320" w:top="132" w:right="339" w:bottom="0" w:gutter="0" w:footer="0" w:header="0"/>
        </w:sectPr>
      </w:pPr>
    </w:p>
    <w:bookmarkStart w:id="650" w:name="page651"/>
    <w:bookmarkEnd w:id="65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 Liens</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Lenders</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Discharge</w:t>
      </w:r>
      <w:r>
        <w:rPr>
          <w:rFonts w:ascii="Arial" w:cs="Arial" w:eastAsia="Arial" w:hAnsi="Arial"/>
          <w:sz w:val="19"/>
          <w:szCs w:val="19"/>
          <w:color w:val="auto"/>
        </w:rPr>
        <w:t>” means, with respect to any Obligations, except to the extent otherwise provided herein with respect to the reinstatement or continuation of any such Obligations, the payment in full in cash (except for contingent indemnities and cost and reimbursement obligations to the extent no claim has been threatened (in writing) or asserted) of all such Obligations then outstanding, if any, and, with respect to (x) letters of credit or letter of credit guaranties outstanding under the agreements or instruments governing such Obligations (as related to all or any subset of Obligations, the “</w:t>
      </w:r>
      <w:r>
        <w:rPr>
          <w:rFonts w:ascii="Arial" w:cs="Arial" w:eastAsia="Arial" w:hAnsi="Arial"/>
          <w:sz w:val="19"/>
          <w:szCs w:val="19"/>
          <w:b w:val="1"/>
          <w:bCs w:val="1"/>
          <w:i w:val="1"/>
          <w:iCs w:val="1"/>
          <w:color w:val="auto"/>
        </w:rPr>
        <w:t>Relevant Instruments</w:t>
      </w:r>
      <w:r>
        <w:rPr>
          <w:rFonts w:ascii="Arial" w:cs="Arial" w:eastAsia="Arial" w:hAnsi="Arial"/>
          <w:sz w:val="19"/>
          <w:szCs w:val="19"/>
          <w:color w:val="auto"/>
        </w:rPr>
        <w:t xml:space="preserve">”); (y) Bank Product Obligations; and (z) asserted or threatened (in writing) claims, demands, actions, suits, investigations, liabilities, fines, costs, or damages for which a party may be entitled to indemnification or reimbursement by any Grantor, delivery of cash collateral or backstop letters of credit in respect thereof in a manner consistent with such Relevant Instruments, in each case after or concurrently with the termination of all commitments to extend credit thereunder, and the termination of all commitments of “secured parties” under the Relevant Instruments (including, in any event, all such interest, fees, costs, expenses and other charges regardless of whether such amounts are allowed, allowable or reasonable in any Insolvency or Liquidation Proceeding, whether under Section 506 of the Bankruptcy Code of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Discharge of Notes Obligations shall not be deemed to have occurred if such payments are made with the proceeds of Notes Obligations that constitute an exchange or replacement for or a refinancing of Notes Obligations and (ii) the Discharge of LC Obligations shall not be deemed to have occurred if such payments are made with the proceeds of LC Obligations that constitute an exchange or replacement for or a refinancing of such Obligations or LC Obligations. In the event any Obligations are modified and such Obligations are paid over time or otherwise modified, in each case, pursuant to Section 1129 of the Bankruptcy Code or similar Debtor Relief Law, such Obligations shall be deemed to be discharged only when the final payment is made, in cash, in respect of such indebtedness and any obligations pursuant to such new or modified indebtedness shall have been satisfied. The term “</w:t>
      </w:r>
      <w:r>
        <w:rPr>
          <w:rFonts w:ascii="Arial" w:cs="Arial" w:eastAsia="Arial" w:hAnsi="Arial"/>
          <w:sz w:val="19"/>
          <w:szCs w:val="19"/>
          <w:b w:val="1"/>
          <w:bCs w:val="1"/>
          <w:i w:val="1"/>
          <w:iCs w:val="1"/>
          <w:color w:val="auto"/>
        </w:rPr>
        <w:t>Discharged</w:t>
      </w:r>
      <w:r>
        <w:rPr>
          <w:rFonts w:ascii="Arial" w:cs="Arial" w:eastAsia="Arial" w:hAnsi="Arial"/>
          <w:sz w:val="19"/>
          <w:szCs w:val="19"/>
          <w:color w:val="auto"/>
        </w:rPr>
        <w:t>” shall have a corresponding meaning.</w:t>
      </w:r>
    </w:p>
    <w:p>
      <w:pPr>
        <w:spacing w:after="0" w:line="200" w:lineRule="exact"/>
        <w:rPr>
          <w:sz w:val="20"/>
          <w:szCs w:val="20"/>
          <w:color w:val="auto"/>
        </w:rPr>
      </w:pPr>
    </w:p>
    <w:p>
      <w:pPr>
        <w:spacing w:after="0" w:line="24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European Insolvency Regulation</w:t>
      </w:r>
      <w:r>
        <w:rPr>
          <w:rFonts w:ascii="Arial" w:cs="Arial" w:eastAsia="Arial" w:hAnsi="Arial"/>
          <w:sz w:val="22"/>
          <w:szCs w:val="22"/>
          <w:color w:val="auto"/>
        </w:rPr>
        <w:t>” means Regulation (EU) 2015/848 of the European Parliament and of the Council of 20 May 2015 on insolvency proceedings (recast)</w:t>
      </w:r>
    </w:p>
    <w:p>
      <w:pPr>
        <w:spacing w:after="0" w:line="17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means an “Event of Default” under and as defined in the Notes Indenture or the LC Credit Agreement, as the context may require.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w:t>
      </w:r>
      <w:r>
        <w:rPr>
          <w:rFonts w:ascii="Arial" w:cs="Arial" w:eastAsia="Arial" w:hAnsi="Arial"/>
          <w:sz w:val="22"/>
          <w:szCs w:val="22"/>
          <w:color w:val="auto"/>
        </w:rPr>
        <w:t>” has the meaning set forth in Section 2.01(d).</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 Agent</w:t>
      </w:r>
      <w:r>
        <w:rPr>
          <w:rFonts w:ascii="Arial" w:cs="Arial" w:eastAsia="Arial" w:hAnsi="Arial"/>
          <w:sz w:val="22"/>
          <w:szCs w:val="22"/>
          <w:color w:val="auto"/>
        </w:rPr>
        <w:t xml:space="preserve">” means either the LC Collateral Agent or the Notes Collateral Agent with respect to Foreign Collateral as set forth in </w:t>
      </w:r>
      <w:r>
        <w:rPr>
          <w:rFonts w:ascii="Arial" w:cs="Arial" w:eastAsia="Arial" w:hAnsi="Arial"/>
          <w:sz w:val="22"/>
          <w:szCs w:val="22"/>
          <w:u w:val="single" w:color="auto"/>
          <w:color w:val="auto"/>
        </w:rPr>
        <w:t>Section 6.01(i) and (ii)</w:t>
      </w:r>
      <w:r>
        <w:rPr>
          <w:rFonts w:ascii="Arial" w:cs="Arial" w:eastAsia="Arial" w:hAnsi="Arial"/>
          <w:sz w:val="22"/>
          <w:szCs w:val="22"/>
          <w:color w:val="auto"/>
        </w:rPr>
        <w:t>, and their respective successors or assigns (as appointed in accordance with Article VI hereof).</w:t>
      </w:r>
    </w:p>
    <w:p>
      <w:pPr>
        <w:spacing w:after="0" w:line="185"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Foreign Collateral Documents</w:t>
      </w:r>
      <w:r>
        <w:rPr>
          <w:rFonts w:ascii="Arial" w:cs="Arial" w:eastAsia="Arial" w:hAnsi="Arial"/>
          <w:sz w:val="19"/>
          <w:szCs w:val="19"/>
          <w:color w:val="auto"/>
        </w:rPr>
        <w:t>” means the documents listed on Schedule I attached hereto and any other documents creating (or purporting to create) a Lien on any Foreign Collateral in favor of the Secured Parties and/or the Foreign Collateral Agent/Preceding Foreign Collateral Agent acting in their respective capacities and all documents delivered therewith.</w:t>
      </w:r>
    </w:p>
    <w:p>
      <w:pPr>
        <w:spacing w:after="0" w:line="1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Grantor</w:t>
      </w:r>
      <w:r>
        <w:rPr>
          <w:rFonts w:ascii="Arial" w:cs="Arial" w:eastAsia="Arial" w:hAnsi="Arial"/>
          <w:sz w:val="22"/>
          <w:szCs w:val="22"/>
          <w:color w:val="auto"/>
        </w:rPr>
        <w:t>” means Parent and each Subsidiary of Parent that shall have granted any Lien in favor of any Collateral Agent on any of its assets or properties to secure any of the Obligations.</w:t>
      </w:r>
    </w:p>
    <w:p>
      <w:pPr>
        <w:spacing w:after="0" w:line="17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Insolvency or Liquidation Proceeding</w:t>
      </w:r>
      <w:r>
        <w:rPr>
          <w:rFonts w:ascii="Arial" w:cs="Arial" w:eastAsia="Arial" w:hAnsi="Arial"/>
          <w:sz w:val="19"/>
          <w:szCs w:val="19"/>
          <w:color w:val="auto"/>
        </w:rPr>
        <w:t>” means (a) any case or proceeding commenced by or against the Parent or any other Grantor under the Bankruptcy Code or other Debtor Relief Laws or any other process or proceeding for the reorganization, recapitalization, restructuring, adjustment, arrangement or marshalling of the assets or liabilities of the Parent or any other Grantor or any receivership or assignment for the benefit of creditors relating to the Parent or any other Grantor or relating to all or a substantial part of the property or assets of the Parent or any other Grantor or any similar case or proceeding relative to the Parent or any other Grantor, or their respective property or their respective creditors, as such, in each case whether or not voluntary; (b) any process or proceeding for the appointment of any trustee in bankruptcy, receiver, receiver and manager, interim receiver, administrator, liquidator, monitor, custodian, sequestrator, examiner, conservator or any similar official appointed for or relating to the Parent or any other Grantor or all or a substantial portion of their respective property and assets, in each case whether or not voluntary; (c) any liquidation, dissolution, examinership, marshalling of assets or liabilities or other winding up (or similar process) of or relating to the Parent or any other Grantor, in each case whether or not voluntary and whether or not involving bankruptcy or insolvency; or (d) any other proceeding of any type or nature in which substantially all claims of creditors of the Parent or any other Grantor, or of a class of creditors of the Parent or any other Grantor, are stayed, compromised, restructured or determined and any payment, distribution, restructuring or arrangement is or may be made on account of or in relation to such claims.</w:t>
      </w:r>
    </w:p>
    <w:p>
      <w:pPr>
        <w:sectPr>
          <w:pgSz w:w="11900" w:h="16838" w:orient="portrait"/>
          <w:cols w:equalWidth="0" w:num="1">
            <w:col w:w="11240"/>
          </w:cols>
          <w:pgMar w:left="320" w:top="132" w:right="339" w:bottom="425" w:gutter="0" w:footer="0" w:header="0"/>
        </w:sectPr>
      </w:pPr>
    </w:p>
    <w:bookmarkStart w:id="651" w:name="page652"/>
    <w:bookmarkEnd w:id="651"/>
    <w:p>
      <w:pPr>
        <w:spacing w:after="0" w:line="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Claims</w:t>
      </w:r>
      <w:r>
        <w:rPr>
          <w:rFonts w:ascii="Arial" w:cs="Arial" w:eastAsia="Arial" w:hAnsi="Arial"/>
          <w:sz w:val="22"/>
          <w:szCs w:val="22"/>
          <w:color w:val="auto"/>
        </w:rPr>
        <w:t>” means (a) with respect to the Notes Priority Collateral, the LC Obligations secured by such Collateral and (b) with respect to the LC Priority Collateral, the Notes Obligations secured by such Collateral.</w:t>
      </w:r>
    </w:p>
    <w:p>
      <w:pPr>
        <w:spacing w:after="0" w:line="17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Collateral Agent</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17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Representative</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174"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Junior Secured Obligations</w:t>
      </w:r>
      <w:r>
        <w:rPr>
          <w:rFonts w:ascii="Arial" w:cs="Arial" w:eastAsia="Arial" w:hAnsi="Arial"/>
          <w:sz w:val="19"/>
          <w:szCs w:val="19"/>
          <w:color w:val="auto"/>
        </w:rPr>
        <w:t>” means (a) with respect to the Notes Obligations (to the extent such Obligations are secured by the Notes Priority Collateral), the LC Obligations (to the extent such Obligations are secured by the Notes Priority Collateral) and (b) with respect to the LC Obligations (to the extent such Obligations are secured by the LC Priority Collateral), the Notes Obligations (to the extent such Obligations are secured by the LC Priority Collateral).</w:t>
      </w:r>
    </w:p>
    <w:p>
      <w:pPr>
        <w:spacing w:after="0" w:line="14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w:t>
      </w:r>
      <w:r>
        <w:rPr>
          <w:rFonts w:ascii="Arial" w:cs="Arial" w:eastAsia="Arial" w:hAnsi="Arial"/>
          <w:sz w:val="22"/>
          <w:szCs w:val="22"/>
          <w:color w:val="auto"/>
        </w:rPr>
        <w:t>” means, with respect to any Obligations, the Collateral in respect of which such Obligations constitute Junior Claims.</w:t>
      </w:r>
    </w:p>
    <w:p>
      <w:pPr>
        <w:spacing w:after="0" w:line="17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 Documents</w:t>
      </w:r>
      <w:r>
        <w:rPr>
          <w:rFonts w:ascii="Arial" w:cs="Arial" w:eastAsia="Arial" w:hAnsi="Arial"/>
          <w:sz w:val="22"/>
          <w:szCs w:val="22"/>
          <w:color w:val="auto"/>
        </w:rPr>
        <w:t>” means (a) with respect to the LC Obligations, the Notes Security Documents and (b) with respect to the Notes Obligations, the LC Security Documents.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Secured Parties</w:t>
      </w:r>
      <w:r>
        <w:rPr>
          <w:rFonts w:ascii="Arial" w:cs="Arial" w:eastAsia="Arial" w:hAnsi="Arial"/>
          <w:sz w:val="22"/>
          <w:szCs w:val="22"/>
          <w:color w:val="auto"/>
        </w:rPr>
        <w:t>” means (a) with respect to the LC Priority Collateral, the Notes Secured Parties (to the extent that the Obligations owing to such Notes Secured Parties are secured by the LC Priority Collateral) and (b) with respect to the Notes Priority Collateral, the LC Secured Parties (to the extent that the Obligations owing to such LC Secured Parties are secured by the Notes Priority Collateral).</w:t>
      </w:r>
    </w:p>
    <w:p>
      <w:pPr>
        <w:spacing w:after="0" w:line="191"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Administrative Agent</w:t>
      </w:r>
      <w:r>
        <w:rPr>
          <w:rFonts w:ascii="Arial" w:cs="Arial" w:eastAsia="Arial" w:hAnsi="Arial"/>
          <w:sz w:val="19"/>
          <w:szCs w:val="19"/>
          <w:color w:val="auto"/>
        </w:rPr>
        <w:t>” means the Administrative Agent under, and as defined in, the LC Credit Agreement together with its successors and co-agents in substantially the same capacity as may from time to time be appointed.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Documents</w:t>
      </w:r>
      <w:r>
        <w:rPr>
          <w:rFonts w:ascii="Arial" w:cs="Arial" w:eastAsia="Arial" w:hAnsi="Arial"/>
          <w:sz w:val="22"/>
          <w:szCs w:val="22"/>
          <w:color w:val="auto"/>
        </w:rPr>
        <w:t>” means the LC Australian Security Trust Deed and each other Australian law governed document now existing or entered into after the date hereof that create Liens on any assets or properties of any Grantor to secure any LC Obligations in favor of the LC Australian Collateral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Australian Security Trust</w:t>
      </w:r>
      <w:r>
        <w:rPr>
          <w:rFonts w:ascii="Arial" w:cs="Arial" w:eastAsia="Arial" w:hAnsi="Arial"/>
          <w:sz w:val="19"/>
          <w:szCs w:val="19"/>
          <w:color w:val="auto"/>
        </w:rPr>
        <w:t>” means the “Security Trust” under and as defined in the LC Australian Security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 Deed.</w:t>
      </w:r>
    </w:p>
    <w:p>
      <w:pPr>
        <w:spacing w:after="0" w:line="22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Trust Deed</w:t>
      </w:r>
      <w:r>
        <w:rPr>
          <w:rFonts w:ascii="Arial" w:cs="Arial" w:eastAsia="Arial" w:hAnsi="Arial"/>
          <w:sz w:val="22"/>
          <w:szCs w:val="22"/>
          <w:color w:val="auto"/>
        </w:rPr>
        <w:t>” means the Security Trust Deed to be entered into among the Borrowers, the LC Administrative Agent, the LC Lenders and the LC Australian Collateral Agent.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Credit Agreement</w:t>
      </w:r>
      <w:r>
        <w:rPr>
          <w:rFonts w:ascii="Arial" w:cs="Arial" w:eastAsia="Arial" w:hAnsi="Arial"/>
          <w:sz w:val="19"/>
          <w:szCs w:val="19"/>
          <w:color w:val="auto"/>
        </w:rPr>
        <w:t>” means the Existing LC Credit Agreement, as amended, restated, supplemented, waived, replaced (whether or not upon termination, and whether with the original lenders or otherwise), restructured, repaid, refunded, Refinanced or otherwise modified from time to time after the date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“LC Credit Agreement”).</w:t>
      </w:r>
    </w:p>
    <w:p>
      <w:pPr>
        <w:spacing w:after="0" w:line="156"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Documents</w:t>
      </w:r>
      <w:r>
        <w:rPr>
          <w:rFonts w:ascii="Arial" w:cs="Arial" w:eastAsia="Arial" w:hAnsi="Arial"/>
          <w:sz w:val="22"/>
          <w:szCs w:val="22"/>
          <w:color w:val="auto"/>
        </w:rPr>
        <w:t>” means the LC Credit Agreement, the LC Security Agreement, the LC Mortgages, the LC Australian Security Documents and the other “Loan Documents” as defined in the LC Credit Agreement.</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Guarantee</w:t>
      </w:r>
      <w:r>
        <w:rPr>
          <w:rFonts w:ascii="Arial" w:cs="Arial" w:eastAsia="Arial" w:hAnsi="Arial"/>
          <w:sz w:val="22"/>
          <w:szCs w:val="22"/>
          <w:color w:val="auto"/>
        </w:rPr>
        <w:t>” means any guarantee of the Obligations of the Parent under the LC Credit Agreement by any Person in accordance with the provisions of the LC Credit Agreement.</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Guarantor</w:t>
      </w:r>
      <w:r>
        <w:rPr>
          <w:rFonts w:ascii="Arial" w:cs="Arial" w:eastAsia="Arial" w:hAnsi="Arial"/>
          <w:sz w:val="22"/>
          <w:szCs w:val="22"/>
          <w:color w:val="auto"/>
        </w:rPr>
        <w:t xml:space="preserve">” means any Person that incurs a LC Facility Guarantee;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release or discharge of such Person from its LC Facility Guarantee in accordance with the LC Credit Agreement, such Person ceases to be a LC Facility Guarantor.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Secured Parties</w:t>
      </w:r>
      <w:r>
        <w:rPr>
          <w:rFonts w:ascii="Arial" w:cs="Arial" w:eastAsia="Arial" w:hAnsi="Arial"/>
          <w:sz w:val="22"/>
          <w:szCs w:val="22"/>
          <w:color w:val="auto"/>
        </w:rPr>
        <w:t>” means the “Secured Parties” as defined in the LC Credit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Lenders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Mortgages</w:t>
      </w:r>
      <w:r>
        <w:rPr>
          <w:rFonts w:ascii="Arial" w:cs="Arial" w:eastAsia="Arial" w:hAnsi="Arial"/>
          <w:sz w:val="22"/>
          <w:szCs w:val="22"/>
          <w:color w:val="auto"/>
        </w:rPr>
        <w:t>” means all “Mortgages” as defined in the LC Credit Agreement.</w:t>
      </w:r>
    </w:p>
    <w:p>
      <w:pPr>
        <w:sectPr>
          <w:pgSz w:w="11900" w:h="16840" w:orient="portrait"/>
          <w:cols w:equalWidth="0" w:num="1">
            <w:col w:w="11240"/>
          </w:cols>
          <w:pgMar w:left="320" w:top="132" w:right="339" w:bottom="0" w:gutter="0" w:footer="0" w:header="0"/>
        </w:sectPr>
      </w:pPr>
    </w:p>
    <w:bookmarkStart w:id="652" w:name="page653"/>
    <w:bookmarkEnd w:id="652"/>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Obligations</w:t>
      </w:r>
      <w:r>
        <w:rPr>
          <w:rFonts w:ascii="Arial" w:cs="Arial" w:eastAsia="Arial" w:hAnsi="Arial"/>
          <w:sz w:val="19"/>
          <w:szCs w:val="19"/>
          <w:color w:val="auto"/>
        </w:rPr>
        <w:t>” means all “Secured Obligations” (as such term is defined in the LC Credit Agreement) of the LC Borrowers and other obligors under the LC Credit Agreement or any of the other LC Documents, including obligations to pay principal, premiums, if any, and interest, attorneys’ fees, fees, costs, charges, expenses, Letters of Credit (as defined in the LC Credit Agreement) and commissions,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LC Documents and the performance of all other Obligations of the obligors thereunder under the LC Documents, according to the respective terms thereof.</w:t>
      </w:r>
    </w:p>
    <w:p>
      <w:pPr>
        <w:spacing w:after="0" w:line="15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Collateral</w:t>
      </w:r>
      <w:r>
        <w:rPr>
          <w:rFonts w:ascii="Arial" w:cs="Arial" w:eastAsia="Arial" w:hAnsi="Arial"/>
          <w:sz w:val="22"/>
          <w:szCs w:val="22"/>
          <w:color w:val="auto"/>
        </w:rPr>
        <w:t>” means all Collateral (other than Notes Priority Collateral) now owned or at any time hereafter acquired (including, for the avoidance of doubt, any such assets that, but for the application of Section 552 of the Bankruptcy Code (or any provision of any other Debtor Relief Law), would constitute LC Priority Collateral) by any Grantor consisting of (a) all assets securing the LC Obligations on the date hereof immediately prior to giving effect to Amendment No. 1, dated as of August 28, 2020, (b) all assets of Grantors organized in the LC Priority Jurisdictions, and (c) all assets required to be subject of the Lien securing the LC Obligations pursuant to the LC Credit Agreement and (d) all products and proceeds of any and all of the foregoing.</w:t>
      </w:r>
    </w:p>
    <w:p>
      <w:pPr>
        <w:spacing w:after="0" w:line="19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Jurisdictions</w:t>
      </w:r>
      <w:r>
        <w:rPr>
          <w:rFonts w:ascii="Arial" w:cs="Arial" w:eastAsia="Arial" w:hAnsi="Arial"/>
          <w:sz w:val="22"/>
          <w:szCs w:val="22"/>
          <w:color w:val="auto"/>
        </w:rPr>
        <w:t>” means the Specified Jurisdictions as defined in the LC Credit Agreement other than the Notes Priority Jurisdictions. .</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Possessory Collateral</w:t>
      </w:r>
      <w:r>
        <w:rPr>
          <w:rFonts w:ascii="Arial" w:cs="Arial" w:eastAsia="Arial" w:hAnsi="Arial"/>
          <w:sz w:val="22"/>
          <w:szCs w:val="22"/>
          <w:color w:val="auto"/>
        </w:rPr>
        <w:t>” means LC Priority Collateral that is Possessory Collateral.</w:t>
      </w:r>
    </w:p>
    <w:p>
      <w:pPr>
        <w:spacing w:after="0" w:line="233"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Secured Parties</w:t>
      </w:r>
      <w:r>
        <w:rPr>
          <w:rFonts w:ascii="Arial" w:cs="Arial" w:eastAsia="Arial" w:hAnsi="Arial"/>
          <w:sz w:val="22"/>
          <w:szCs w:val="22"/>
          <w:color w:val="auto"/>
        </w:rPr>
        <w:t>” means the (a) the LC Collateral Agent (including for avoidance of doubt the LC Australian Collateral Agent), and (b) the LC Facility Secured Parties.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Agreement</w:t>
      </w:r>
      <w:r>
        <w:rPr>
          <w:rFonts w:ascii="Arial" w:cs="Arial" w:eastAsia="Arial" w:hAnsi="Arial"/>
          <w:sz w:val="22"/>
          <w:szCs w:val="22"/>
          <w:color w:val="auto"/>
        </w:rPr>
        <w:t>” means the U.S. Security Agreement, as amended by the Amendment No. 1 to U.S. Security Agreement, dated as of the Amendment No. 1 Effective Date (as such term is defined in the LC Credit Agreement), by and among the Parent, LC Borrowers, each other pledgor party thereto and the LC Collateral Agent, as amended, amended and restated, supplemented or modified from time to time.</w:t>
      </w:r>
    </w:p>
    <w:p>
      <w:pPr>
        <w:spacing w:after="0" w:line="19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Documents</w:t>
      </w:r>
      <w:r>
        <w:rPr>
          <w:rFonts w:ascii="Arial" w:cs="Arial" w:eastAsia="Arial" w:hAnsi="Arial"/>
          <w:sz w:val="22"/>
          <w:szCs w:val="22"/>
          <w:color w:val="auto"/>
        </w:rPr>
        <w:t>” means the LC Security Agreement, the LC Mortgages, the LC Australian Security Documents and any other documents now existing or entered into after the date hereof that create Liens on any assets or properties of any Grantor to secure any LC Obligations.</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xml:space="preserve">” means any lien, mortgage, deed of trust, pledge, hypothecation, security interest, charge or encumbrance of any kind, including any conditional sale or other title retention agreement or any lease in the nature thereof or a ‘security interest’ (as defined in section 12 (1) and (2) of the </w:t>
      </w:r>
      <w:r>
        <w:rPr>
          <w:rFonts w:ascii="Arial" w:cs="Arial" w:eastAsia="Arial" w:hAnsi="Arial"/>
          <w:sz w:val="22"/>
          <w:szCs w:val="22"/>
          <w:i w:val="1"/>
          <w:iCs w:val="1"/>
          <w:color w:val="auto"/>
        </w:rPr>
        <w:t>Personal Property Securities Act 2009 (Cth))</w:t>
      </w:r>
      <w:r>
        <w:rPr>
          <w:rFonts w:ascii="Arial" w:cs="Arial" w:eastAsia="Arial" w:hAnsi="Arial"/>
          <w:sz w:val="22"/>
          <w:szCs w:val="22"/>
          <w:color w:val="auto"/>
        </w:rPr>
        <w:t xml:space="preserve"> (whether voluntary or involuntary and whether imposed or created by operation of law or otherwise).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Luxembourg Obligors</w:t>
      </w:r>
      <w:r>
        <w:rPr>
          <w:rFonts w:ascii="Arial" w:cs="Arial" w:eastAsia="Arial" w:hAnsi="Arial"/>
          <w:sz w:val="19"/>
          <w:szCs w:val="19"/>
          <w:color w:val="auto"/>
        </w:rPr>
        <w:t>” means any Grantor organized under the laws of the Grand Duchy of Luxembourg.</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Memorandum</w:t>
      </w:r>
      <w:r>
        <w:rPr>
          <w:rFonts w:ascii="Arial" w:cs="Arial" w:eastAsia="Arial" w:hAnsi="Arial"/>
          <w:sz w:val="22"/>
          <w:szCs w:val="22"/>
          <w:color w:val="auto"/>
        </w:rPr>
        <w:t>” has the meaning set forth in Section 2.02(e).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Mortgages</w:t>
      </w:r>
      <w:r>
        <w:rPr>
          <w:rFonts w:ascii="Arial" w:cs="Arial" w:eastAsia="Arial" w:hAnsi="Arial"/>
          <w:sz w:val="22"/>
          <w:szCs w:val="22"/>
          <w:color w:val="auto"/>
        </w:rPr>
        <w:t>” means the Notes Mortgages and the LC Mortgages.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New York UCC</w:t>
      </w:r>
      <w:r>
        <w:rPr>
          <w:rFonts w:ascii="Arial" w:cs="Arial" w:eastAsia="Arial" w:hAnsi="Arial"/>
          <w:sz w:val="19"/>
          <w:szCs w:val="19"/>
          <w:color w:val="auto"/>
        </w:rPr>
        <w:t>” means the Uniform Commercial Code as from time to time in effect in the State of New York.</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Documents</w:t>
      </w:r>
      <w:r>
        <w:rPr>
          <w:rFonts w:ascii="Arial" w:cs="Arial" w:eastAsia="Arial" w:hAnsi="Arial"/>
          <w:sz w:val="22"/>
          <w:szCs w:val="22"/>
          <w:color w:val="auto"/>
        </w:rPr>
        <w:t>” means the Notes Indenture, the Notes Security Documents and the other “Notes Documents” as defined in the Notes Indenture.</w:t>
      </w:r>
    </w:p>
    <w:p>
      <w:pPr>
        <w:spacing w:after="0" w:line="17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Notes Indenture</w:t>
      </w:r>
      <w:r>
        <w:rPr>
          <w:rFonts w:ascii="Arial" w:cs="Arial" w:eastAsia="Arial" w:hAnsi="Arial"/>
          <w:sz w:val="21"/>
          <w:szCs w:val="21"/>
          <w:color w:val="auto"/>
        </w:rPr>
        <w:t>” means the Existing Notes Indenture, as amended, restated, supplemented, waived, replaced (whether or not upon termination, and whether with the initial purchasers or otherwise), restructured, repaid, refunded, Refinanced or otherwise modified from time to time after the date hereof, in accordance with the terms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“Notes Indenture”).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Issuer</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Mortgages</w:t>
      </w:r>
      <w:r>
        <w:rPr>
          <w:rFonts w:ascii="Arial" w:cs="Arial" w:eastAsia="Arial" w:hAnsi="Arial"/>
          <w:sz w:val="22"/>
          <w:szCs w:val="22"/>
          <w:color w:val="auto"/>
        </w:rPr>
        <w:t>” means all “Mortgages” as defined in the Notes Indenture.</w:t>
      </w:r>
    </w:p>
    <w:p>
      <w:pPr>
        <w:sectPr>
          <w:pgSz w:w="11900" w:h="16838" w:orient="portrait"/>
          <w:cols w:equalWidth="0" w:num="1">
            <w:col w:w="11240"/>
          </w:cols>
          <w:pgMar w:left="320" w:top="132" w:right="339" w:bottom="12" w:gutter="0" w:footer="0" w:header="0"/>
        </w:sectPr>
      </w:pPr>
    </w:p>
    <w:bookmarkStart w:id="653" w:name="page654"/>
    <w:bookmarkEnd w:id="653"/>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Notes Obligations</w:t>
      </w:r>
      <w:r>
        <w:rPr>
          <w:rFonts w:ascii="Arial" w:cs="Arial" w:eastAsia="Arial" w:hAnsi="Arial"/>
          <w:sz w:val="19"/>
          <w:szCs w:val="19"/>
          <w:color w:val="auto"/>
        </w:rPr>
        <w:t>” means all “Indenture Obligations” (as such term is defined in the Notes Indenture) of the Notes Parties (as defined in the Notes Indenture) under the Notes Indenture or any of the other Notes Documents, including obligations to pay principal, premiums, if any, interest, attorneys fees, fees, costs, charges, expenses, commissions, fees and charges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Notes Documents and the performance of all other Obligations of the obligors thereunder to the holders, the Notes Trustee, the Notes Collateral Agent, any other trustees and agents under the Notes Documents according to the respective terms thereof.</w:t>
      </w:r>
    </w:p>
    <w:p>
      <w:pPr>
        <w:spacing w:after="0" w:line="15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Notes Priority Collateral</w:t>
      </w:r>
      <w:r>
        <w:rPr>
          <w:rFonts w:ascii="Arial" w:cs="Arial" w:eastAsia="Arial" w:hAnsi="Arial"/>
          <w:sz w:val="19"/>
          <w:szCs w:val="19"/>
          <w:color w:val="auto"/>
        </w:rPr>
        <w:t>” means all Collateral now owned or at any time hereafter acquired (including, for the avoidance of doubt, any such assets that, but for the application of Section 552 of the Bankruptcy Code (or any provision of any other Debtor Relief Law), would constitute Notes Priority Collateral) by (i) any Grantor (x) formed in Notes Priority Jurisdictions or (y) consisting of Capital Stock of Subsidiaries that are formed or located in the Cayman Islands, China, Cyprus, Qatar, Romania, Russia or the United Arab Emirates, other than to the extent such Subsidiary is a direct or indirect owner of a majority of Capital Stock in an LC Facility Guarantor or such Subsidiary becomes an LC Facility Guarantor as contemplated under the LC Credit Agreement as in effect on the date hereof, and (ii) all products and proceeds of any the foregoing; provided that, for the avoidance of doubt, in no event shall Notes Priority Collateral include (x) any assets securing the LC Obligations on the date hereof immediately prior to giving effect to Amendment No. 1 to the LC Credit Agreement dated as of August 28, 2020 and (y) any assets required to be subject of the Lien securing the LC Obligations pursuant to the LC Credit Agreement on the date hereof immediately prior to giving effect to Amendment No. 1 to the LC Credit Agreement dated as of August 28, 2020.</w:t>
      </w:r>
    </w:p>
    <w:p>
      <w:pPr>
        <w:spacing w:after="0" w:line="162"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Priority Jurisdictions</w:t>
      </w:r>
      <w:r>
        <w:rPr>
          <w:rFonts w:ascii="Arial" w:cs="Arial" w:eastAsia="Arial" w:hAnsi="Arial"/>
          <w:sz w:val="22"/>
          <w:szCs w:val="22"/>
          <w:i w:val="1"/>
          <w:iCs w:val="1"/>
          <w:color w:val="auto"/>
        </w:rPr>
        <w:t>”</w:t>
      </w:r>
      <w:r>
        <w:rPr>
          <w:rFonts w:ascii="Arial" w:cs="Arial" w:eastAsia="Arial" w:hAnsi="Arial"/>
          <w:sz w:val="22"/>
          <w:szCs w:val="22"/>
          <w:color w:val="auto"/>
        </w:rPr>
        <w:t xml:space="preserve"> means Mexico, Brazil and any other jurisdictions agreed upon by the Required Lenders under, and as defined in, the LC Credit Agreement.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1"/>
          <w:szCs w:val="21"/>
          <w:b w:val="1"/>
          <w:bCs w:val="1"/>
          <w:i w:val="1"/>
          <w:iCs w:val="1"/>
          <w:color w:val="auto"/>
        </w:rPr>
        <w:t>“Notes Priority Possessory Collateral</w:t>
      </w:r>
      <w:r>
        <w:rPr>
          <w:rFonts w:ascii="Arial" w:cs="Arial" w:eastAsia="Arial" w:hAnsi="Arial"/>
          <w:sz w:val="21"/>
          <w:szCs w:val="21"/>
          <w:color w:val="auto"/>
        </w:rPr>
        <w:t>” means Notes Priority Collateral that is Possessory Collateral.</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Secured Parties</w:t>
      </w:r>
      <w:r>
        <w:rPr>
          <w:rFonts w:ascii="Arial" w:cs="Arial" w:eastAsia="Arial" w:hAnsi="Arial"/>
          <w:sz w:val="22"/>
          <w:szCs w:val="22"/>
          <w:color w:val="auto"/>
        </w:rPr>
        <w:t>” means the “Secured Parties” as defined in the Notes Indenture.</w:t>
      </w:r>
    </w:p>
    <w:p>
      <w:pPr>
        <w:spacing w:after="0" w:line="233"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Security Agreement</w:t>
      </w:r>
      <w:r>
        <w:rPr>
          <w:rFonts w:ascii="Arial" w:cs="Arial" w:eastAsia="Arial" w:hAnsi="Arial"/>
          <w:sz w:val="22"/>
          <w:szCs w:val="22"/>
          <w:i w:val="1"/>
          <w:iCs w:val="1"/>
          <w:color w:val="auto"/>
        </w:rPr>
        <w:t>”</w:t>
      </w:r>
      <w:r>
        <w:rPr>
          <w:rFonts w:ascii="Arial" w:cs="Arial" w:eastAsia="Arial" w:hAnsi="Arial"/>
          <w:sz w:val="22"/>
          <w:szCs w:val="22"/>
          <w:color w:val="auto"/>
        </w:rPr>
        <w:t xml:space="preserve"> means the Security Agreement (as such term in defined in the Notes Indenture), dated as of the date hereof, by and among WIL-Bermuda and the Notes Collateral Agent, as amended, amended and restated, supplemented or modified from time to time.</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Security Documents</w:t>
      </w:r>
      <w:r>
        <w:rPr>
          <w:rFonts w:ascii="Arial" w:cs="Arial" w:eastAsia="Arial" w:hAnsi="Arial"/>
          <w:sz w:val="22"/>
          <w:szCs w:val="22"/>
          <w:color w:val="auto"/>
        </w:rPr>
        <w:t>” means the Notes Security Agreement, the Notes Mortgages and any other documents now existing or entered into after the date hereof that create or purport to create Liens on any assets or properties of any Grantor to secure any Notes Obligations.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Trustee</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Obligations</w:t>
      </w:r>
      <w:r>
        <w:rPr>
          <w:rFonts w:ascii="Arial" w:cs="Arial" w:eastAsia="Arial" w:hAnsi="Arial"/>
          <w:sz w:val="22"/>
          <w:szCs w:val="22"/>
          <w:color w:val="auto"/>
        </w:rPr>
        <w:t>” means the Notes Obligations and the LC Obligations.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Discretion</w:t>
      </w:r>
      <w:r>
        <w:rPr>
          <w:rFonts w:ascii="Arial" w:cs="Arial" w:eastAsia="Arial" w:hAnsi="Arial"/>
          <w:sz w:val="22"/>
          <w:szCs w:val="22"/>
          <w:color w:val="auto"/>
        </w:rPr>
        <w:t>” means a determination made in the exercise of good faith and reasonable credit judgment (from the perspective of a secured lender).</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Remedies</w:t>
      </w:r>
      <w:r>
        <w:rPr>
          <w:rFonts w:ascii="Arial" w:cs="Arial" w:eastAsia="Arial" w:hAnsi="Arial"/>
          <w:sz w:val="22"/>
          <w:szCs w:val="22"/>
          <w:color w:val="auto"/>
        </w:rPr>
        <w:t>” means, with respect to any Junior Secured Obligations:</w:t>
      </w:r>
    </w:p>
    <w:p>
      <w:pPr>
        <w:spacing w:after="0" w:line="233" w:lineRule="exact"/>
        <w:rPr>
          <w:sz w:val="20"/>
          <w:szCs w:val="20"/>
          <w:color w:val="auto"/>
        </w:rPr>
      </w:pPr>
    </w:p>
    <w:p>
      <w:pPr>
        <w:ind w:firstLine="1304"/>
        <w:spacing w:after="0" w:line="276" w:lineRule="auto"/>
        <w:tabs>
          <w:tab w:leader="none" w:pos="2400" w:val="left"/>
        </w:tabs>
        <w:numPr>
          <w:ilvl w:val="0"/>
          <w:numId w:val="804"/>
        </w:numPr>
        <w:rPr>
          <w:rFonts w:ascii="Arial" w:cs="Arial" w:eastAsia="Arial" w:hAnsi="Arial"/>
          <w:sz w:val="22"/>
          <w:szCs w:val="22"/>
          <w:color w:val="auto"/>
        </w:rPr>
      </w:pPr>
      <w:r>
        <w:rPr>
          <w:rFonts w:ascii="Arial" w:cs="Arial" w:eastAsia="Arial" w:hAnsi="Arial"/>
          <w:sz w:val="22"/>
          <w:szCs w:val="22"/>
          <w:color w:val="auto"/>
        </w:rPr>
        <w:t xml:space="preserve">filing a proof of claim or statement of interest with respect to such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Insolvency or Liquidation Proceeding has been commenced by or against any Grantor;</w:t>
      </w:r>
    </w:p>
    <w:p>
      <w:pPr>
        <w:spacing w:after="0" w:line="174"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804"/>
        </w:numPr>
        <w:rPr>
          <w:rFonts w:ascii="Arial" w:cs="Arial" w:eastAsia="Arial" w:hAnsi="Arial"/>
          <w:sz w:val="22"/>
          <w:szCs w:val="22"/>
          <w:color w:val="auto"/>
        </w:rPr>
      </w:pPr>
      <w:r>
        <w:rPr>
          <w:rFonts w:ascii="Arial" w:cs="Arial" w:eastAsia="Arial" w:hAnsi="Arial"/>
          <w:sz w:val="22"/>
          <w:szCs w:val="22"/>
          <w:color w:val="auto"/>
        </w:rPr>
        <w:t>taking any action (not adverse to the Liens securing Senior Secured Obligations, the priority status thereof, or the rights of the Applicable Senior Collateral Agent or any of the Senior Secured Obligations Secured Parties to exercise rights, powers and/or remedies in respect thereof) in order to create, perfect, preserve or protect (but not enforce) its Lien on any of the Collateral;</w:t>
      </w:r>
    </w:p>
    <w:p>
      <w:pPr>
        <w:spacing w:after="0" w:line="191" w:lineRule="exact"/>
        <w:rPr>
          <w:rFonts w:ascii="Arial" w:cs="Arial" w:eastAsia="Arial" w:hAnsi="Arial"/>
          <w:sz w:val="22"/>
          <w:szCs w:val="22"/>
          <w:color w:val="auto"/>
        </w:rPr>
      </w:pPr>
    </w:p>
    <w:p>
      <w:pPr>
        <w:jc w:val="both"/>
        <w:ind w:firstLine="1304"/>
        <w:spacing w:after="0" w:line="262" w:lineRule="auto"/>
        <w:tabs>
          <w:tab w:leader="none" w:pos="2278" w:val="left"/>
        </w:tabs>
        <w:numPr>
          <w:ilvl w:val="0"/>
          <w:numId w:val="804"/>
        </w:numPr>
        <w:rPr>
          <w:rFonts w:ascii="Arial" w:cs="Arial" w:eastAsia="Arial" w:hAnsi="Arial"/>
          <w:sz w:val="22"/>
          <w:szCs w:val="22"/>
          <w:color w:val="auto"/>
        </w:rPr>
      </w:pPr>
      <w:r>
        <w:rPr>
          <w:rFonts w:ascii="Arial" w:cs="Arial" w:eastAsia="Arial" w:hAnsi="Arial"/>
          <w:sz w:val="22"/>
          <w:szCs w:val="22"/>
          <w:color w:val="auto"/>
        </w:rPr>
        <w:t>filing any necessary responsive or defensive pleadings in opposition to any motion, claim, adversary proceeding or other pleading made by any person objecting to or otherwise seeking the disallowance of the claims of the Junior Secured Obligations Secured Parties, including any claims secured by the Junior Secured Obligations Collateral, in each case in accordance with the terms of this Agreement;</w:t>
      </w:r>
    </w:p>
    <w:p>
      <w:pPr>
        <w:spacing w:after="0" w:line="191"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804"/>
        </w:numPr>
        <w:rPr>
          <w:rFonts w:ascii="Arial" w:cs="Arial" w:eastAsia="Arial" w:hAnsi="Arial"/>
          <w:sz w:val="22"/>
          <w:szCs w:val="22"/>
          <w:color w:val="auto"/>
        </w:rPr>
      </w:pPr>
      <w:r>
        <w:rPr>
          <w:rFonts w:ascii="Arial" w:cs="Arial" w:eastAsia="Arial" w:hAnsi="Arial"/>
          <w:sz w:val="22"/>
          <w:szCs w:val="22"/>
          <w:color w:val="auto"/>
        </w:rPr>
        <w:t>filing any pleadings, objections, motions or agreements which assert rights or interests available to unsecured creditors of the Grantors arising under either any Insolvency or Liquidation Proceeding or applicable non-bankruptcy law, in each case in accordance with the terms of this Agreement or applicable law (including the bankruptcy laws of any applicable jurisdiction);</w:t>
      </w:r>
    </w:p>
    <w:p>
      <w:pPr>
        <w:sectPr>
          <w:pgSz w:w="11900" w:h="16838" w:orient="portrait"/>
          <w:cols w:equalWidth="0" w:num="1">
            <w:col w:w="11240"/>
          </w:cols>
          <w:pgMar w:left="320" w:top="132" w:right="339" w:bottom="0" w:gutter="0" w:footer="0" w:header="0"/>
        </w:sectPr>
      </w:pPr>
    </w:p>
    <w:bookmarkStart w:id="654" w:name="page655"/>
    <w:bookmarkEnd w:id="654"/>
    <w:p>
      <w:pPr>
        <w:spacing w:after="0" w:line="93" w:lineRule="exact"/>
        <w:rPr>
          <w:sz w:val="20"/>
          <w:szCs w:val="20"/>
          <w:color w:val="auto"/>
        </w:rPr>
      </w:pPr>
    </w:p>
    <w:p>
      <w:pPr>
        <w:jc w:val="both"/>
        <w:ind w:firstLine="1304"/>
        <w:spacing w:after="0" w:line="308" w:lineRule="auto"/>
        <w:tabs>
          <w:tab w:leader="none" w:pos="2211" w:val="left"/>
        </w:tabs>
        <w:numPr>
          <w:ilvl w:val="0"/>
          <w:numId w:val="805"/>
        </w:numPr>
        <w:rPr>
          <w:rFonts w:ascii="Arial" w:cs="Arial" w:eastAsia="Arial" w:hAnsi="Arial"/>
          <w:sz w:val="19"/>
          <w:szCs w:val="19"/>
          <w:color w:val="auto"/>
        </w:rPr>
      </w:pPr>
      <w:r>
        <w:rPr>
          <w:rFonts w:ascii="Arial" w:cs="Arial" w:eastAsia="Arial" w:hAnsi="Arial"/>
          <w:sz w:val="19"/>
          <w:szCs w:val="19"/>
          <w:color w:val="auto"/>
        </w:rPr>
        <w:t>join (but not exercise any control with respect to) any judicial foreclosure proceeding or other judicial lien enforcement proceeding with respect to the Senior Secured Obligations Collateral of the Senior Collateral Agent initiated by such Senior Collateral Agent to the extent that any such action could not reasonably be expected, in any material respect, to restrain, hinder, limit, delay for any material period or otherwise interfere with an enforcement action by such Senior Collateral Agent (it being understood that neither the Junior Collateral Agent nor any Junior Secured Obligations Secured Parties shall be entitled to receive any proceeds from the Senior Secured Obligations Collateral unless otherwise expressly permitted herein);</w:t>
      </w:r>
    </w:p>
    <w:p>
      <w:pPr>
        <w:spacing w:after="0" w:line="153" w:lineRule="exact"/>
        <w:rPr>
          <w:rFonts w:ascii="Arial" w:cs="Arial" w:eastAsia="Arial" w:hAnsi="Arial"/>
          <w:sz w:val="19"/>
          <w:szCs w:val="19"/>
          <w:color w:val="auto"/>
        </w:rPr>
      </w:pPr>
    </w:p>
    <w:p>
      <w:pPr>
        <w:jc w:val="both"/>
        <w:ind w:firstLine="1304"/>
        <w:spacing w:after="0" w:line="327" w:lineRule="auto"/>
        <w:tabs>
          <w:tab w:leader="none" w:pos="2052" w:val="left"/>
        </w:tabs>
        <w:numPr>
          <w:ilvl w:val="0"/>
          <w:numId w:val="80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2.04(a)(iii)</w:t>
      </w:r>
      <w:r>
        <w:rPr>
          <w:rFonts w:ascii="Arial" w:cs="Arial" w:eastAsia="Arial" w:hAnsi="Arial"/>
          <w:sz w:val="19"/>
          <w:szCs w:val="19"/>
          <w:color w:val="auto"/>
        </w:rPr>
        <w:t>, inspect, appraise or value the Collateral (and to engage or retain investment bankers or appraisers for the purposes of appraising or valuing the Collateral) or to receive information or reports concerning the Collateral, in each case pursuant to the terms of the Notes Documents or LC Documents, as applicable, or applicable law;</w:t>
      </w:r>
    </w:p>
    <w:p>
      <w:pPr>
        <w:spacing w:after="0" w:line="132" w:lineRule="exact"/>
        <w:rPr>
          <w:rFonts w:ascii="Arial" w:cs="Arial" w:eastAsia="Arial" w:hAnsi="Arial"/>
          <w:sz w:val="19"/>
          <w:szCs w:val="19"/>
          <w:color w:val="auto"/>
        </w:rPr>
      </w:pPr>
    </w:p>
    <w:p>
      <w:pPr>
        <w:jc w:val="both"/>
        <w:ind w:firstLine="1304"/>
        <w:spacing w:after="0" w:line="260" w:lineRule="auto"/>
        <w:tabs>
          <w:tab w:leader="none" w:pos="2101" w:val="left"/>
        </w:tabs>
        <w:numPr>
          <w:ilvl w:val="0"/>
          <w:numId w:val="80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2.04(a)(iii)</w:t>
      </w:r>
      <w:r>
        <w:rPr>
          <w:rFonts w:ascii="Arial" w:cs="Arial" w:eastAsia="Arial" w:hAnsi="Arial"/>
          <w:sz w:val="22"/>
          <w:szCs w:val="22"/>
          <w:color w:val="auto"/>
        </w:rPr>
        <w:t xml:space="preserve">, take any action to seek and obtain specific performance or injunctive relief to compel a Grantor to comply with (or not to violate or breach) an obligation under the Notes Documents or LC Documents,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action does not include any action by a Junior Secured Obligations Secured Party to seek specific performance or injunctive relief against any Senior Secured Obligations Secured Party or the sale or disposition of any such Senior Secured Obligations Secured Party’s Senior Secured Obligations Collateral in contravention of the other provisions of this Agreement;</w:t>
      </w:r>
    </w:p>
    <w:p>
      <w:pPr>
        <w:spacing w:after="0" w:line="191" w:lineRule="exact"/>
        <w:rPr>
          <w:rFonts w:ascii="Arial" w:cs="Arial" w:eastAsia="Arial" w:hAnsi="Arial"/>
          <w:sz w:val="22"/>
          <w:szCs w:val="22"/>
          <w:color w:val="auto"/>
        </w:rPr>
      </w:pPr>
    </w:p>
    <w:p>
      <w:pPr>
        <w:jc w:val="both"/>
        <w:ind w:firstLine="1304"/>
        <w:spacing w:after="0" w:line="274" w:lineRule="auto"/>
        <w:tabs>
          <w:tab w:leader="none" w:pos="2209" w:val="left"/>
        </w:tabs>
        <w:numPr>
          <w:ilvl w:val="0"/>
          <w:numId w:val="805"/>
        </w:numPr>
        <w:rPr>
          <w:rFonts w:ascii="Arial" w:cs="Arial" w:eastAsia="Arial" w:hAnsi="Arial"/>
          <w:sz w:val="21"/>
          <w:szCs w:val="21"/>
          <w:color w:val="auto"/>
        </w:rPr>
      </w:pPr>
      <w:r>
        <w:rPr>
          <w:rFonts w:ascii="Arial" w:cs="Arial" w:eastAsia="Arial" w:hAnsi="Arial"/>
          <w:sz w:val="21"/>
          <w:szCs w:val="21"/>
          <w:color w:val="auto"/>
        </w:rPr>
        <w:t xml:space="preserve">make a cash or, if allowed pursuant to applicable law, credit bid for Collateral at any public or private sale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Secured Party does not challenge the bid of any Senior Secured Obligations Secured Party for its Senior Secured Obligations Collateral or otherwise bid for any Senior Secured Obligations Collateral other than by a bid that provides for the Discharge of the Senior Secured Obligations, and (ii) each Senior Secured Obligations Secured Party may, subject to the terms of its Senior Secured Obligations Collateral Documents, offset its Senior Secured Obligations against the purchase price for the Senior Secured Obligations Collateral; and</w:t>
      </w:r>
    </w:p>
    <w:p>
      <w:pPr>
        <w:spacing w:after="0" w:line="181" w:lineRule="exact"/>
        <w:rPr>
          <w:rFonts w:ascii="Arial" w:cs="Arial" w:eastAsia="Arial" w:hAnsi="Arial"/>
          <w:sz w:val="21"/>
          <w:szCs w:val="21"/>
          <w:color w:val="auto"/>
        </w:rPr>
      </w:pPr>
    </w:p>
    <w:p>
      <w:pPr>
        <w:jc w:val="both"/>
        <w:ind w:firstLine="1304"/>
        <w:spacing w:after="0" w:line="262" w:lineRule="auto"/>
        <w:tabs>
          <w:tab w:leader="none" w:pos="2148" w:val="left"/>
        </w:tabs>
        <w:numPr>
          <w:ilvl w:val="0"/>
          <w:numId w:val="805"/>
        </w:numPr>
        <w:rPr>
          <w:rFonts w:ascii="Arial" w:cs="Arial" w:eastAsia="Arial" w:hAnsi="Arial"/>
          <w:sz w:val="22"/>
          <w:szCs w:val="22"/>
          <w:color w:val="auto"/>
        </w:rPr>
      </w:pPr>
      <w:r>
        <w:rPr>
          <w:rFonts w:ascii="Arial" w:cs="Arial" w:eastAsia="Arial" w:hAnsi="Arial"/>
          <w:sz w:val="22"/>
          <w:szCs w:val="22"/>
          <w:color w:val="auto"/>
        </w:rPr>
        <w:t>in any Insolvency or Liquidation Proceeding, (i) voting on any Plan of Reorganization to the extent not otherwise prohibited by the terms hereof, (ii) filing any proof of claim and (iii) making other filings and motions and making any arguments in connection therewith (including in support of or opposition to, as applicable, the confirmation or approval of any Plan of Reorganization) that comply with the terms of this Agreement.</w:t>
      </w:r>
    </w:p>
    <w:p>
      <w:pPr>
        <w:spacing w:after="0" w:line="19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business trust, joint venture, association, company, partnership, limited liability partnership, limited liability company or government, individual or family trusts or any agency or political subdivision thereof.</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Reorganization</w:t>
      </w:r>
      <w:r>
        <w:rPr>
          <w:rFonts w:ascii="Arial" w:cs="Arial" w:eastAsia="Arial" w:hAnsi="Arial"/>
          <w:sz w:val="22"/>
          <w:szCs w:val="22"/>
          <w:color w:val="auto"/>
        </w:rPr>
        <w:t>” means any plan of reorganization, scheme of arrangement, plan of arrangement or compromise, proposal, plan of liquidation, agreement for composition or other type of plan, proposal or arrangement proposed in or in connection with any Insolvency or Liquidation Proceeding.</w:t>
      </w:r>
    </w:p>
    <w:p>
      <w:pPr>
        <w:spacing w:after="0" w:line="185"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Possessory Collateral</w:t>
      </w:r>
      <w:r>
        <w:rPr>
          <w:rFonts w:ascii="Arial" w:cs="Arial" w:eastAsia="Arial" w:hAnsi="Arial"/>
          <w:sz w:val="19"/>
          <w:szCs w:val="19"/>
          <w:color w:val="auto"/>
        </w:rPr>
        <w:t>” means the Collateral in the possession or control of any Collateral Agent (or its agents or bailees), to the extent that possession or control thereof (a) perfects a Lien thereon under the Uniform Commercial Code or (b) provides a substantially similar legal effects as “perfection” under the Uniform Commercial Code under other applicable legislation of any jurisdiction. Possessory Collateral includes, without limitation, any Certificated Securities, Promissory Notes, Instruments and Chattel Paper, in each case, delivered to or in the possession of any Collateral Agent under the terms of the Notes Security Documents or the LC Security Documents. All capitalized terms used in this definition and not defined elsewhere in this Agreement have the meanings assigned to them in the New York UCC.</w:t>
      </w:r>
    </w:p>
    <w:p>
      <w:pPr>
        <w:spacing w:after="0" w:line="15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Possessory Collateral Agent</w:t>
      </w:r>
      <w:r>
        <w:rPr>
          <w:rFonts w:ascii="Arial" w:cs="Arial" w:eastAsia="Arial" w:hAnsi="Arial"/>
          <w:sz w:val="22"/>
          <w:szCs w:val="22"/>
          <w:color w:val="auto"/>
        </w:rPr>
        <w:t>” means, with respect to any Possessory Collateral, the Collateral Agent having possession or control (including through its agents or bailees) of same.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Preceding Foreign Collateral Agent</w:t>
      </w:r>
      <w:r>
        <w:rPr>
          <w:rFonts w:ascii="Arial" w:cs="Arial" w:eastAsia="Arial" w:hAnsi="Arial"/>
          <w:sz w:val="22"/>
          <w:szCs w:val="22"/>
          <w:color w:val="auto"/>
        </w:rPr>
        <w:t>” means Wells Fargo Bank, National Association.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Proceeds</w:t>
      </w:r>
      <w:r>
        <w:rPr>
          <w:rFonts w:ascii="Arial" w:cs="Arial" w:eastAsia="Arial" w:hAnsi="Arial"/>
          <w:sz w:val="22"/>
          <w:szCs w:val="22"/>
          <w:color w:val="auto"/>
        </w:rPr>
        <w:t>” has the meaning set forth in Section 2.01(a).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Option Event</w:t>
      </w:r>
      <w:r>
        <w:rPr>
          <w:rFonts w:ascii="Arial" w:cs="Arial" w:eastAsia="Arial" w:hAnsi="Arial"/>
          <w:sz w:val="22"/>
          <w:szCs w:val="22"/>
          <w:color w:val="auto"/>
        </w:rPr>
        <w:t>” has the meaning set forth in Section 7.19(a).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has the meaning set forth in Section 7.19(b).</w:t>
      </w:r>
    </w:p>
    <w:p>
      <w:pPr>
        <w:spacing w:after="0" w:line="233"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 Estate Asset</w:t>
      </w:r>
      <w:r>
        <w:rPr>
          <w:rFonts w:ascii="Arial" w:cs="Arial" w:eastAsia="Arial" w:hAnsi="Arial"/>
          <w:sz w:val="19"/>
          <w:szCs w:val="19"/>
          <w:color w:val="auto"/>
        </w:rPr>
        <w:t>” means, at any time of determination, any interest (fee, leasehold or otherwise) then owned by any Grantor in any real property that does not constitute Excluded Assets (as defined in the LC Credit Agreement).</w:t>
      </w:r>
    </w:p>
    <w:p>
      <w:pPr>
        <w:spacing w:after="0" w:line="104"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Refinance</w:t>
      </w:r>
      <w:r>
        <w:rPr>
          <w:rFonts w:ascii="Arial" w:cs="Arial" w:eastAsia="Arial" w:hAnsi="Arial"/>
          <w:sz w:val="19"/>
          <w:szCs w:val="19"/>
          <w:color w:val="auto"/>
        </w:rPr>
        <w:t>” means to amend, restate, supplement, waive, replace (whether or not upon termination, and whether with the original parties or otherwise), restructure, repay, refund, refinance or otherwise modify from time to time (including by means of any agreement or indenture extending the maturity thereof, refinancing, replacing or otherwise restructuring all or any portion of the obligations under such agreement or agreements or indentures or any successor or replacement agreement or</w:t>
      </w:r>
    </w:p>
    <w:p>
      <w:pPr>
        <w:sectPr>
          <w:pgSz w:w="11900" w:h="16931" w:orient="portrait"/>
          <w:cols w:equalWidth="0" w:num="1">
            <w:col w:w="11240"/>
          </w:cols>
          <w:pgMar w:left="320" w:top="132" w:right="339" w:bottom="0" w:gutter="0" w:footer="0" w:header="0"/>
        </w:sectPr>
      </w:pPr>
    </w:p>
    <w:bookmarkStart w:id="655" w:name="page656"/>
    <w:bookmarkEnd w:id="655"/>
    <w:p>
      <w:pPr>
        <w:jc w:val="both"/>
        <w:spacing w:after="0" w:line="276" w:lineRule="auto"/>
        <w:rPr>
          <w:sz w:val="20"/>
          <w:szCs w:val="20"/>
          <w:color w:val="auto"/>
        </w:rPr>
      </w:pPr>
      <w:r>
        <w:rPr>
          <w:rFonts w:ascii="Arial" w:cs="Arial" w:eastAsia="Arial" w:hAnsi="Arial"/>
          <w:sz w:val="21"/>
          <w:szCs w:val="21"/>
          <w:color w:val="auto"/>
        </w:rPr>
        <w:t>agreements or indentures or increasing the amount loaned or issued thereunder or altering the maturity thereof). “</w:t>
      </w:r>
      <w:r>
        <w:rPr>
          <w:rFonts w:ascii="Arial" w:cs="Arial" w:eastAsia="Arial" w:hAnsi="Arial"/>
          <w:sz w:val="21"/>
          <w:szCs w:val="21"/>
          <w:b w:val="1"/>
          <w:bCs w:val="1"/>
          <w:i w:val="1"/>
          <w:iCs w:val="1"/>
          <w:color w:val="auto"/>
        </w:rPr>
        <w:t>Refinanced</w:t>
      </w:r>
      <w:r>
        <w:rPr>
          <w:rFonts w:ascii="Arial" w:cs="Arial" w:eastAsia="Arial" w:hAnsi="Arial"/>
          <w:sz w:val="21"/>
          <w:szCs w:val="21"/>
          <w:color w:val="auto"/>
        </w:rPr>
        <w:t>” and “</w:t>
      </w:r>
      <w:r>
        <w:rPr>
          <w:rFonts w:ascii="Arial" w:cs="Arial" w:eastAsia="Arial" w:hAnsi="Arial"/>
          <w:sz w:val="21"/>
          <w:szCs w:val="21"/>
          <w:b w:val="1"/>
          <w:bCs w:val="1"/>
          <w:i w:val="1"/>
          <w:iCs w:val="1"/>
          <w:color w:val="auto"/>
        </w:rPr>
        <w:t>Refinancing</w:t>
      </w:r>
      <w:r>
        <w:rPr>
          <w:rFonts w:ascii="Arial" w:cs="Arial" w:eastAsia="Arial" w:hAnsi="Arial"/>
          <w:sz w:val="21"/>
          <w:szCs w:val="21"/>
          <w:color w:val="auto"/>
        </w:rPr>
        <w:t xml:space="preserve">” shall have correlative meanings;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that any of the foregoing that increases the principal amount of Senior Claims with respect to any Collateral shall be effective for purposes hereof only if such increase does not contravene the documents pursuant to which any Junior Claims with respect to such Collateral have been incurred, all as in effect on the date hereof or as may be amended in accordance with the terms hereof.</w:t>
      </w:r>
    </w:p>
    <w:p>
      <w:pPr>
        <w:spacing w:after="0" w:line="177"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means (a) in the case of any Notes Obligations, the Notes Collateral Agent and (b) in the case of any LC Obligations, the LC Collateral Agent.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Secured Parties</w:t>
      </w:r>
      <w:r>
        <w:rPr>
          <w:rFonts w:ascii="Arial" w:cs="Arial" w:eastAsia="Arial" w:hAnsi="Arial"/>
          <w:sz w:val="22"/>
          <w:szCs w:val="22"/>
          <w:color w:val="auto"/>
        </w:rPr>
        <w:t>” means (a) the Notes Secured Parties and (b) the LC Secured Parties.</w:t>
      </w:r>
    </w:p>
    <w:p>
      <w:pPr>
        <w:spacing w:after="0" w:line="233"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Senior Claims</w:t>
      </w:r>
      <w:r>
        <w:rPr>
          <w:rFonts w:ascii="Arial" w:cs="Arial" w:eastAsia="Arial" w:hAnsi="Arial"/>
          <w:sz w:val="21"/>
          <w:szCs w:val="21"/>
          <w:color w:val="auto"/>
        </w:rPr>
        <w:t>” means (a) with respect to the Notes Priority Collateral, the Notes Obligations secured by such Collateral and (b) with respect to the LC Priority Collateral, the LC Obligations secured by such Collateral.</w:t>
      </w:r>
    </w:p>
    <w:p>
      <w:pPr>
        <w:spacing w:after="0" w:line="15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Collateral Agent</w:t>
      </w:r>
      <w:r>
        <w:rPr>
          <w:rFonts w:ascii="Arial" w:cs="Arial" w:eastAsia="Arial" w:hAnsi="Arial"/>
          <w:sz w:val="22"/>
          <w:szCs w:val="22"/>
          <w:color w:val="auto"/>
        </w:rPr>
        <w:t>” means (a) with respect to the LC Priority Collateral, the LC Collateral Agent and (b) with respect to the Notes Priority Collateral, the Notes Collateral Agent.</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Representative</w:t>
      </w:r>
      <w:r>
        <w:rPr>
          <w:rFonts w:ascii="Arial" w:cs="Arial" w:eastAsia="Arial" w:hAnsi="Arial"/>
          <w:sz w:val="22"/>
          <w:szCs w:val="22"/>
          <w:color w:val="auto"/>
        </w:rPr>
        <w:t>” means (a) with respect to the LC Priority Collateral, the LC Collateral Agent and (b) with respect to the Notes Priority Collateral, the Notes Collateral Agent.</w:t>
      </w:r>
    </w:p>
    <w:p>
      <w:pPr>
        <w:spacing w:after="0" w:line="17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w:t>
      </w:r>
      <w:r>
        <w:rPr>
          <w:rFonts w:ascii="Arial" w:cs="Arial" w:eastAsia="Arial" w:hAnsi="Arial"/>
          <w:sz w:val="22"/>
          <w:szCs w:val="22"/>
          <w:color w:val="auto"/>
        </w:rPr>
        <w:t>” means (a) with respect to the Notes Obligations (to the extent such Obligations are secured by the LC Priority Collateral), the LC Obligations, and (b) with respect to the LC Obligations (to the extent such Obligations are secured by the Notes Priority Collateral), the Notes Obligations; the LC Obligations shall, collectively, constitute one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 and the Notes Obligations shall constitute a separate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w:t>
      </w:r>
    </w:p>
    <w:p>
      <w:pPr>
        <w:spacing w:after="0" w:line="19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w:t>
      </w:r>
      <w:r>
        <w:rPr>
          <w:rFonts w:ascii="Arial" w:cs="Arial" w:eastAsia="Arial" w:hAnsi="Arial"/>
          <w:sz w:val="22"/>
          <w:szCs w:val="22"/>
          <w:color w:val="auto"/>
        </w:rPr>
        <w:t>” means, with respect to any Obligations, the Collateral in respect of which such Obligations constitute Senior Claims. For the avoidance of doubt, notwithstanding the Foreign Collateral Agent holding any Liens on Foreign Collateral for the benefit of the Secured Parties, subject to Article VI, Foreign Collateral shall not be treated differently from other Collateral when determining whether such Collateral or its proceeds are Senior Secured Obligations Collateral.</w:t>
      </w:r>
    </w:p>
    <w:p>
      <w:pPr>
        <w:spacing w:after="0" w:line="19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 Documents</w:t>
      </w:r>
      <w:r>
        <w:rPr>
          <w:rFonts w:ascii="Arial" w:cs="Arial" w:eastAsia="Arial" w:hAnsi="Arial"/>
          <w:sz w:val="22"/>
          <w:szCs w:val="22"/>
          <w:color w:val="auto"/>
        </w:rPr>
        <w:t>” means (a) with respect to the LC Obligations, the LC Security Documents and (b) with respect to the Notes Obligations, the Notes Security Documents.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Secured Parties</w:t>
      </w:r>
      <w:r>
        <w:rPr>
          <w:rFonts w:ascii="Arial" w:cs="Arial" w:eastAsia="Arial" w:hAnsi="Arial"/>
          <w:sz w:val="22"/>
          <w:szCs w:val="22"/>
          <w:color w:val="auto"/>
        </w:rPr>
        <w:t>” means (a) with respect to the LC Priority Collateral, the LC Secured Parties (to the extent that the Obligations owing to such LC Secured Parties are secured by the LC Priority Collateral) and (b) with respect to the Notes Priority Collateral, the Notes Secured Parties (to the extent that the Obligations owing to such Notes Secured Parties are secured by the Notes Priority Collateral).</w:t>
      </w:r>
    </w:p>
    <w:p>
      <w:pPr>
        <w:spacing w:after="0" w:line="19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w:t>
      </w:r>
    </w:p>
    <w:p>
      <w:pPr>
        <w:spacing w:after="0" w:line="18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taxes, levies, imposts, duties, fees, assessments or other charges of whatever nature now or hereafter imposed by any taxing authority, and all interest, penalties or similar liabilities with respect thereto.</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b w:val="1"/>
          <w:bCs w:val="1"/>
          <w:i w:val="1"/>
          <w:iCs w:val="1"/>
          <w:color w:val="auto"/>
        </w:rPr>
        <w:t>b. Luxembourg Terms</w:t>
      </w:r>
      <w:r>
        <w:rPr>
          <w:rFonts w:ascii="Arial" w:cs="Arial" w:eastAsia="Arial" w:hAnsi="Arial"/>
          <w:sz w:val="22"/>
          <w:szCs w:val="22"/>
          <w:color w:val="auto"/>
        </w:rPr>
        <w:t>. In this Agreement, in respect of any Luxembourg Obligor or any other entity which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organized under the laws of the Grand-Duchy of Luxembourg or has its “centre of main interests” (as that term is used in Article 3(1) of the European Insolvency Regulation in Luxembourg, a reference to:</w:t>
      </w:r>
    </w:p>
    <w:p>
      <w:pPr>
        <w:spacing w:after="0" w:line="185" w:lineRule="exact"/>
        <w:rPr>
          <w:sz w:val="20"/>
          <w:szCs w:val="20"/>
          <w:color w:val="auto"/>
        </w:rPr>
      </w:pPr>
    </w:p>
    <w:p>
      <w:pPr>
        <w:ind w:right="20" w:firstLine="1304"/>
        <w:spacing w:after="0" w:line="276" w:lineRule="auto"/>
        <w:tabs>
          <w:tab w:leader="none" w:pos="2301" w:val="left"/>
        </w:tabs>
        <w:numPr>
          <w:ilvl w:val="0"/>
          <w:numId w:val="806"/>
        </w:numPr>
        <w:rPr>
          <w:rFonts w:ascii="Arial" w:cs="Arial" w:eastAsia="Arial" w:hAnsi="Arial"/>
          <w:sz w:val="22"/>
          <w:szCs w:val="22"/>
          <w:color w:val="auto"/>
        </w:rPr>
      </w:pPr>
      <w:r>
        <w:rPr>
          <w:rFonts w:ascii="Arial" w:cs="Arial" w:eastAsia="Arial" w:hAnsi="Arial"/>
          <w:sz w:val="22"/>
          <w:szCs w:val="22"/>
          <w:color w:val="auto"/>
        </w:rPr>
        <w:t>a “liquidator”, “trustee”, “custodian”, “compulsory manager”, “receiver”, “administrative receiver”, “administrator” or “similar officer” includes any:</w:t>
      </w:r>
    </w:p>
    <w:p>
      <w:pPr>
        <w:spacing w:after="0" w:line="174" w:lineRule="exact"/>
        <w:rPr>
          <w:rFonts w:ascii="Arial" w:cs="Arial" w:eastAsia="Arial" w:hAnsi="Arial"/>
          <w:sz w:val="22"/>
          <w:szCs w:val="22"/>
          <w:color w:val="auto"/>
        </w:rPr>
      </w:pPr>
    </w:p>
    <w:p>
      <w:pPr>
        <w:ind w:left="2600" w:right="20" w:firstLine="648"/>
        <w:spacing w:after="0" w:line="276" w:lineRule="auto"/>
        <w:tabs>
          <w:tab w:leader="none" w:pos="4571" w:val="left"/>
        </w:tabs>
        <w:numPr>
          <w:ilvl w:val="1"/>
          <w:numId w:val="806"/>
        </w:numPr>
        <w:rPr>
          <w:rFonts w:ascii="Arial" w:cs="Arial" w:eastAsia="Arial" w:hAnsi="Arial"/>
          <w:sz w:val="22"/>
          <w:szCs w:val="22"/>
          <w:color w:val="auto"/>
        </w:rPr>
      </w:pPr>
      <w:r>
        <w:rPr>
          <w:rFonts w:ascii="Arial" w:cs="Arial" w:eastAsia="Arial" w:hAnsi="Arial"/>
          <w:sz w:val="22"/>
          <w:szCs w:val="22"/>
          <w:i w:val="1"/>
          <w:iCs w:val="1"/>
          <w:color w:val="auto"/>
        </w:rPr>
        <w:t xml:space="preserve">juge-commissaire </w:t>
      </w:r>
      <w:r>
        <w:rPr>
          <w:rFonts w:ascii="Arial" w:cs="Arial" w:eastAsia="Arial" w:hAnsi="Arial"/>
          <w:sz w:val="22"/>
          <w:szCs w:val="22"/>
          <w:color w:val="auto"/>
        </w:rPr>
        <w:t>or insolvency receiver (</w:t>
      </w:r>
      <w:r>
        <w:rPr>
          <w:rFonts w:ascii="Arial" w:cs="Arial" w:eastAsia="Arial" w:hAnsi="Arial"/>
          <w:sz w:val="22"/>
          <w:szCs w:val="22"/>
          <w:i w:val="1"/>
          <w:iCs w:val="1"/>
          <w:color w:val="auto"/>
        </w:rPr>
        <w:t>curateur</w:t>
      </w:r>
      <w:r>
        <w:rPr>
          <w:rFonts w:ascii="Arial" w:cs="Arial" w:eastAsia="Arial" w:hAnsi="Arial"/>
          <w:sz w:val="22"/>
          <w:szCs w:val="22"/>
          <w:color w:val="auto"/>
        </w:rPr>
        <w:t>) appointed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Luxembourg Commercial Code;</w:t>
      </w:r>
    </w:p>
    <w:p>
      <w:pPr>
        <w:sectPr>
          <w:pgSz w:w="11900" w:h="16838" w:orient="portrait"/>
          <w:cols w:equalWidth="0" w:num="1">
            <w:col w:w="11240"/>
          </w:cols>
          <w:pgMar w:left="320" w:top="132" w:right="339" w:bottom="169" w:gutter="0" w:footer="0" w:header="0"/>
        </w:sectPr>
      </w:pPr>
    </w:p>
    <w:bookmarkStart w:id="656" w:name="page657"/>
    <w:bookmarkEnd w:id="656"/>
    <w:p>
      <w:pPr>
        <w:ind w:left="2600" w:firstLine="648"/>
        <w:spacing w:after="0" w:line="276" w:lineRule="auto"/>
        <w:tabs>
          <w:tab w:leader="none" w:pos="4449" w:val="left"/>
        </w:tabs>
        <w:numPr>
          <w:ilvl w:val="1"/>
          <w:numId w:val="807"/>
        </w:numPr>
        <w:rPr>
          <w:rFonts w:ascii="Arial" w:cs="Arial" w:eastAsia="Arial" w:hAnsi="Arial"/>
          <w:sz w:val="22"/>
          <w:szCs w:val="22"/>
          <w:color w:val="auto"/>
        </w:rPr>
      </w:pPr>
      <w:r>
        <w:rPr>
          <w:rFonts w:ascii="Arial" w:cs="Arial" w:eastAsia="Arial" w:hAnsi="Arial"/>
          <w:sz w:val="22"/>
          <w:szCs w:val="22"/>
          <w:i w:val="1"/>
          <w:iCs w:val="1"/>
          <w:color w:val="auto"/>
        </w:rPr>
        <w:t xml:space="preserve">liquidateur </w:t>
      </w:r>
      <w:r>
        <w:rPr>
          <w:rFonts w:ascii="Arial" w:cs="Arial" w:eastAsia="Arial" w:hAnsi="Arial"/>
          <w:sz w:val="22"/>
          <w:szCs w:val="22"/>
          <w:color w:val="auto"/>
        </w:rPr>
        <w:t>appointed under Articles 1100-1 to 1100-15 (inclusive)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Luxembourg act dated 10 August 1915 on commercial companies, as amended;</w:t>
      </w:r>
    </w:p>
    <w:p>
      <w:pPr>
        <w:spacing w:after="0" w:line="174" w:lineRule="exact"/>
        <w:rPr>
          <w:rFonts w:ascii="Arial" w:cs="Arial" w:eastAsia="Arial" w:hAnsi="Arial"/>
          <w:sz w:val="22"/>
          <w:szCs w:val="22"/>
          <w:color w:val="auto"/>
        </w:rPr>
      </w:pPr>
    </w:p>
    <w:p>
      <w:pPr>
        <w:ind w:left="2600" w:right="20" w:firstLine="648"/>
        <w:spacing w:after="0" w:line="276" w:lineRule="auto"/>
        <w:tabs>
          <w:tab w:leader="none" w:pos="3963" w:val="left"/>
        </w:tabs>
        <w:numPr>
          <w:ilvl w:val="1"/>
          <w:numId w:val="807"/>
        </w:numPr>
        <w:rPr>
          <w:rFonts w:ascii="Arial" w:cs="Arial" w:eastAsia="Arial" w:hAnsi="Arial"/>
          <w:sz w:val="22"/>
          <w:szCs w:val="22"/>
          <w:color w:val="auto"/>
        </w:rPr>
      </w:pPr>
      <w:r>
        <w:rPr>
          <w:rFonts w:ascii="Arial" w:cs="Arial" w:eastAsia="Arial" w:hAnsi="Arial"/>
          <w:sz w:val="22"/>
          <w:szCs w:val="22"/>
          <w:i w:val="1"/>
          <w:iCs w:val="1"/>
          <w:color w:val="auto"/>
        </w:rPr>
        <w:t xml:space="preserve">juge-commissaire </w:t>
      </w:r>
      <w:r>
        <w:rPr>
          <w:rFonts w:ascii="Arial" w:cs="Arial" w:eastAsia="Arial" w:hAnsi="Arial"/>
          <w:sz w:val="22"/>
          <w:szCs w:val="22"/>
          <w:color w:val="auto"/>
        </w:rPr>
        <w:t>or</w:t>
      </w:r>
      <w:r>
        <w:rPr>
          <w:rFonts w:ascii="Arial" w:cs="Arial" w:eastAsia="Arial" w:hAnsi="Arial"/>
          <w:sz w:val="22"/>
          <w:szCs w:val="22"/>
          <w:i w:val="1"/>
          <w:iCs w:val="1"/>
          <w:color w:val="auto"/>
        </w:rPr>
        <w:t xml:space="preserve"> liquidateur </w:t>
      </w:r>
      <w:r>
        <w:rPr>
          <w:rFonts w:ascii="Arial" w:cs="Arial" w:eastAsia="Arial" w:hAnsi="Arial"/>
          <w:sz w:val="22"/>
          <w:szCs w:val="22"/>
          <w:color w:val="auto"/>
        </w:rPr>
        <w:t>appointed under Article 1200-1 of the Luxembourg</w:t>
      </w:r>
      <w:r>
        <w:rPr>
          <w:rFonts w:ascii="Arial" w:cs="Arial" w:eastAsia="Arial" w:hAnsi="Arial"/>
          <w:sz w:val="22"/>
          <w:szCs w:val="22"/>
          <w:i w:val="1"/>
          <w:iCs w:val="1"/>
          <w:color w:val="auto"/>
        </w:rPr>
        <w:t xml:space="preserve"> </w:t>
      </w:r>
      <w:r>
        <w:rPr>
          <w:rFonts w:ascii="Arial" w:cs="Arial" w:eastAsia="Arial" w:hAnsi="Arial"/>
          <w:sz w:val="22"/>
          <w:szCs w:val="22"/>
          <w:color w:val="auto"/>
        </w:rPr>
        <w:t>act dated 10 August 1915 on commercial companies, as amended;</w:t>
      </w:r>
    </w:p>
    <w:p>
      <w:pPr>
        <w:spacing w:after="0" w:line="174" w:lineRule="exact"/>
        <w:rPr>
          <w:rFonts w:ascii="Arial" w:cs="Arial" w:eastAsia="Arial" w:hAnsi="Arial"/>
          <w:sz w:val="22"/>
          <w:szCs w:val="22"/>
          <w:color w:val="auto"/>
        </w:rPr>
      </w:pPr>
    </w:p>
    <w:p>
      <w:pPr>
        <w:jc w:val="both"/>
        <w:ind w:left="2600" w:firstLine="648"/>
        <w:spacing w:after="0" w:line="266" w:lineRule="auto"/>
        <w:tabs>
          <w:tab w:leader="none" w:pos="4233" w:val="left"/>
        </w:tabs>
        <w:numPr>
          <w:ilvl w:val="1"/>
          <w:numId w:val="807"/>
        </w:numPr>
        <w:rPr>
          <w:rFonts w:ascii="Arial" w:cs="Arial" w:eastAsia="Arial" w:hAnsi="Arial"/>
          <w:sz w:val="22"/>
          <w:szCs w:val="22"/>
          <w:color w:val="auto"/>
        </w:rPr>
      </w:pPr>
      <w:r>
        <w:rPr>
          <w:rFonts w:ascii="Arial" w:cs="Arial" w:eastAsia="Arial" w:hAnsi="Arial"/>
          <w:sz w:val="22"/>
          <w:szCs w:val="22"/>
          <w:i w:val="1"/>
          <w:iCs w:val="1"/>
          <w:color w:val="auto"/>
        </w:rPr>
        <w:t xml:space="preserve">commissaire </w:t>
      </w:r>
      <w:r>
        <w:rPr>
          <w:rFonts w:ascii="Arial" w:cs="Arial" w:eastAsia="Arial" w:hAnsi="Arial"/>
          <w:sz w:val="22"/>
          <w:szCs w:val="22"/>
          <w:color w:val="auto"/>
        </w:rPr>
        <w:t>appointed under the Grand-Ducal decree of 24 May 1935 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management regime or under Articles 593 to 614 (inclusive) of the Luxembourg Commercial Code; and</w:t>
      </w:r>
    </w:p>
    <w:p>
      <w:pPr>
        <w:spacing w:after="0" w:line="184" w:lineRule="exact"/>
        <w:rPr>
          <w:rFonts w:ascii="Arial" w:cs="Arial" w:eastAsia="Arial" w:hAnsi="Arial"/>
          <w:sz w:val="22"/>
          <w:szCs w:val="22"/>
          <w:color w:val="auto"/>
        </w:rPr>
      </w:pPr>
    </w:p>
    <w:p>
      <w:pPr>
        <w:ind w:left="2600" w:right="20" w:firstLine="648"/>
        <w:spacing w:after="0" w:line="276" w:lineRule="auto"/>
        <w:tabs>
          <w:tab w:leader="none" w:pos="4341" w:val="left"/>
        </w:tabs>
        <w:numPr>
          <w:ilvl w:val="1"/>
          <w:numId w:val="807"/>
        </w:numPr>
        <w:rPr>
          <w:rFonts w:ascii="Arial" w:cs="Arial" w:eastAsia="Arial" w:hAnsi="Arial"/>
          <w:sz w:val="22"/>
          <w:szCs w:val="22"/>
          <w:color w:val="auto"/>
        </w:rPr>
      </w:pPr>
      <w:r>
        <w:rPr>
          <w:rFonts w:ascii="Arial" w:cs="Arial" w:eastAsia="Arial" w:hAnsi="Arial"/>
          <w:sz w:val="22"/>
          <w:szCs w:val="22"/>
          <w:i w:val="1"/>
          <w:iCs w:val="1"/>
          <w:color w:val="auto"/>
        </w:rPr>
        <w:t xml:space="preserve">juge délégué </w:t>
      </w:r>
      <w:r>
        <w:rPr>
          <w:rFonts w:ascii="Arial" w:cs="Arial" w:eastAsia="Arial" w:hAnsi="Arial"/>
          <w:sz w:val="22"/>
          <w:szCs w:val="22"/>
          <w:color w:val="auto"/>
        </w:rPr>
        <w:t>appointed under the Luxembourg act of 14 April 1886 on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composition to avoid bankruptcy, as amended; and</w:t>
      </w:r>
    </w:p>
    <w:p>
      <w:pPr>
        <w:spacing w:after="0" w:line="174" w:lineRule="exact"/>
        <w:rPr>
          <w:rFonts w:ascii="Arial" w:cs="Arial" w:eastAsia="Arial" w:hAnsi="Arial"/>
          <w:sz w:val="22"/>
          <w:szCs w:val="22"/>
          <w:color w:val="auto"/>
        </w:rPr>
      </w:pPr>
    </w:p>
    <w:p>
      <w:pPr>
        <w:jc w:val="both"/>
        <w:ind w:right="20" w:firstLine="1304"/>
        <w:spacing w:after="0" w:line="266" w:lineRule="auto"/>
        <w:tabs>
          <w:tab w:leader="none" w:pos="2078" w:val="left"/>
        </w:tabs>
        <w:numPr>
          <w:ilvl w:val="0"/>
          <w:numId w:val="808"/>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i w:val="1"/>
          <w:iCs w:val="1"/>
          <w:color w:val="auto"/>
        </w:rPr>
        <w:t>winding-up</w:t>
      </w:r>
      <w:r>
        <w:rPr>
          <w:rFonts w:ascii="Arial" w:cs="Arial" w:eastAsia="Arial" w:hAnsi="Arial"/>
          <w:sz w:val="22"/>
          <w:szCs w:val="22"/>
          <w:color w:val="auto"/>
        </w:rPr>
        <w:t>”, “</w:t>
      </w:r>
      <w:r>
        <w:rPr>
          <w:rFonts w:ascii="Arial" w:cs="Arial" w:eastAsia="Arial" w:hAnsi="Arial"/>
          <w:sz w:val="22"/>
          <w:szCs w:val="22"/>
          <w:i w:val="1"/>
          <w:iCs w:val="1"/>
          <w:color w:val="auto"/>
        </w:rPr>
        <w:t>administration</w:t>
      </w:r>
      <w:r>
        <w:rPr>
          <w:rFonts w:ascii="Arial" w:cs="Arial" w:eastAsia="Arial" w:hAnsi="Arial"/>
          <w:sz w:val="22"/>
          <w:szCs w:val="22"/>
          <w:color w:val="auto"/>
        </w:rPr>
        <w:t>”, “</w:t>
      </w:r>
      <w:r>
        <w:rPr>
          <w:rFonts w:ascii="Arial" w:cs="Arial" w:eastAsia="Arial" w:hAnsi="Arial"/>
          <w:sz w:val="22"/>
          <w:szCs w:val="22"/>
          <w:i w:val="1"/>
          <w:iCs w:val="1"/>
          <w:color w:val="auto"/>
        </w:rPr>
        <w:t>liquidation</w:t>
      </w:r>
      <w:r>
        <w:rPr>
          <w:rFonts w:ascii="Arial" w:cs="Arial" w:eastAsia="Arial" w:hAnsi="Arial"/>
          <w:sz w:val="22"/>
          <w:szCs w:val="22"/>
          <w:color w:val="auto"/>
        </w:rPr>
        <w:t>” or “</w:t>
      </w:r>
      <w:r>
        <w:rPr>
          <w:rFonts w:ascii="Arial" w:cs="Arial" w:eastAsia="Arial" w:hAnsi="Arial"/>
          <w:sz w:val="22"/>
          <w:szCs w:val="22"/>
          <w:i w:val="1"/>
          <w:iCs w:val="1"/>
          <w:color w:val="auto"/>
        </w:rPr>
        <w:t>dissolution</w:t>
      </w:r>
      <w:r>
        <w:rPr>
          <w:rFonts w:ascii="Arial" w:cs="Arial" w:eastAsia="Arial" w:hAnsi="Arial"/>
          <w:sz w:val="22"/>
          <w:szCs w:val="22"/>
          <w:color w:val="auto"/>
        </w:rPr>
        <w:t>” includes, without limitation, bankruptcy (</w:t>
      </w:r>
      <w:r>
        <w:rPr>
          <w:rFonts w:ascii="Arial" w:cs="Arial" w:eastAsia="Arial" w:hAnsi="Arial"/>
          <w:sz w:val="22"/>
          <w:szCs w:val="22"/>
          <w:i w:val="1"/>
          <w:iCs w:val="1"/>
          <w:color w:val="auto"/>
        </w:rPr>
        <w:t>faillite</w:t>
      </w:r>
      <w:r>
        <w:rPr>
          <w:rFonts w:ascii="Arial" w:cs="Arial" w:eastAsia="Arial" w:hAnsi="Arial"/>
          <w:sz w:val="22"/>
          <w:szCs w:val="22"/>
          <w:color w:val="auto"/>
        </w:rPr>
        <w:t>), liquidation, composition with creditors (</w:t>
      </w:r>
      <w:r>
        <w:rPr>
          <w:rFonts w:ascii="Arial" w:cs="Arial" w:eastAsia="Arial" w:hAnsi="Arial"/>
          <w:sz w:val="22"/>
          <w:szCs w:val="22"/>
          <w:i w:val="1"/>
          <w:iCs w:val="1"/>
          <w:color w:val="auto"/>
        </w:rPr>
        <w:t>concordat préventif de faillite</w:t>
      </w:r>
      <w:r>
        <w:rPr>
          <w:rFonts w:ascii="Arial" w:cs="Arial" w:eastAsia="Arial" w:hAnsi="Arial"/>
          <w:sz w:val="22"/>
          <w:szCs w:val="22"/>
          <w:color w:val="auto"/>
        </w:rPr>
        <w:t>), moratorium or reprieve from payment (</w:t>
      </w:r>
      <w:r>
        <w:rPr>
          <w:rFonts w:ascii="Arial" w:cs="Arial" w:eastAsia="Arial" w:hAnsi="Arial"/>
          <w:sz w:val="22"/>
          <w:szCs w:val="22"/>
          <w:i w:val="1"/>
          <w:iCs w:val="1"/>
          <w:color w:val="auto"/>
        </w:rPr>
        <w:t>sursis de</w:t>
      </w:r>
      <w:r>
        <w:rPr>
          <w:rFonts w:ascii="Arial" w:cs="Arial" w:eastAsia="Arial" w:hAnsi="Arial"/>
          <w:sz w:val="22"/>
          <w:szCs w:val="22"/>
          <w:color w:val="auto"/>
        </w:rPr>
        <w:t xml:space="preserve"> </w:t>
      </w:r>
      <w:r>
        <w:rPr>
          <w:rFonts w:ascii="Arial" w:cs="Arial" w:eastAsia="Arial" w:hAnsi="Arial"/>
          <w:sz w:val="22"/>
          <w:szCs w:val="22"/>
          <w:i w:val="1"/>
          <w:iCs w:val="1"/>
          <w:color w:val="auto"/>
        </w:rPr>
        <w:t>paiement</w:t>
      </w:r>
      <w:r>
        <w:rPr>
          <w:rFonts w:ascii="Arial" w:cs="Arial" w:eastAsia="Arial" w:hAnsi="Arial"/>
          <w:sz w:val="22"/>
          <w:szCs w:val="22"/>
          <w:color w:val="auto"/>
        </w:rPr>
        <w:t>) and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2080" w:hanging="776"/>
        <w:spacing w:after="0"/>
        <w:tabs>
          <w:tab w:leader="none" w:pos="2080" w:val="left"/>
        </w:tabs>
        <w:numPr>
          <w:ilvl w:val="0"/>
          <w:numId w:val="808"/>
        </w:numPr>
        <w:rPr>
          <w:rFonts w:ascii="Arial" w:cs="Arial" w:eastAsia="Arial" w:hAnsi="Arial"/>
          <w:sz w:val="21"/>
          <w:szCs w:val="21"/>
          <w:color w:val="auto"/>
        </w:rPr>
      </w:pPr>
      <w:r>
        <w:rPr>
          <w:rFonts w:ascii="Arial" w:cs="Arial" w:eastAsia="Arial" w:hAnsi="Arial"/>
          <w:sz w:val="21"/>
          <w:szCs w:val="21"/>
          <w:color w:val="auto"/>
        </w:rPr>
        <w:t>an officer, a manager or a director includes a manager (</w:t>
      </w:r>
      <w:r>
        <w:rPr>
          <w:rFonts w:ascii="Arial" w:cs="Arial" w:eastAsia="Arial" w:hAnsi="Arial"/>
          <w:sz w:val="21"/>
          <w:szCs w:val="21"/>
          <w:i w:val="1"/>
          <w:iCs w:val="1"/>
          <w:color w:val="auto"/>
        </w:rPr>
        <w:t>gérant</w:t>
      </w:r>
      <w:r>
        <w:rPr>
          <w:rFonts w:ascii="Arial" w:cs="Arial" w:eastAsia="Arial" w:hAnsi="Arial"/>
          <w:sz w:val="21"/>
          <w:szCs w:val="21"/>
          <w:color w:val="auto"/>
        </w:rPr>
        <w:t>) and a director (</w:t>
      </w:r>
      <w:r>
        <w:rPr>
          <w:rFonts w:ascii="Arial" w:cs="Arial" w:eastAsia="Arial" w:hAnsi="Arial"/>
          <w:sz w:val="21"/>
          <w:szCs w:val="21"/>
          <w:i w:val="1"/>
          <w:iCs w:val="1"/>
          <w:color w:val="auto"/>
        </w:rPr>
        <w:t>administrateur</w:t>
      </w:r>
      <w:r>
        <w:rPr>
          <w:rFonts w:ascii="Arial" w:cs="Arial" w:eastAsia="Arial" w:hAnsi="Arial"/>
          <w:sz w:val="21"/>
          <w:szCs w:val="21"/>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Priorities and Agreements with Respect to Collateral</w:t>
      </w:r>
    </w:p>
    <w:p>
      <w:pPr>
        <w:spacing w:after="0" w:line="239"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b w:val="1"/>
          <w:bCs w:val="1"/>
          <w:i w:val="1"/>
          <w:iCs w:val="1"/>
          <w:color w:val="auto"/>
        </w:rPr>
        <w:t>a. Priority of Claims</w:t>
      </w:r>
      <w:r>
        <w:rPr>
          <w:rFonts w:ascii="Arial" w:cs="Arial" w:eastAsia="Arial" w:hAnsi="Arial"/>
          <w:sz w:val="19"/>
          <w:szCs w:val="19"/>
          <w:color w:val="auto"/>
        </w:rPr>
        <w:t>. (a) Anything contained herein or in any of the Notes Documents or the LC Documents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contrary notwithstanding, if an Event of Default has occurred and is continuing, and any Collateral Agent is taking action to enforce rights in respect of any Collateral (whether in an Insolvency or Liquidation Proceeding or otherwise), or any distribution is made in respect of any Collateral in any Insolvency or Liquidation Proceeding with respect to any Grantor, the Proceeds (subject, in the case of any such distribution, to Section 2.06 hereof) (all proceeds of any sale, collection or other liquidation of any Collateral and all proceeds of any such distribution, including adequate protection or similar payments under any Debtor Relief Law, being collectively referred to as “</w:t>
      </w:r>
      <w:r>
        <w:rPr>
          <w:rFonts w:ascii="Arial" w:cs="Arial" w:eastAsia="Arial" w:hAnsi="Arial"/>
          <w:sz w:val="19"/>
          <w:szCs w:val="19"/>
          <w:b w:val="1"/>
          <w:bCs w:val="1"/>
          <w:i w:val="1"/>
          <w:iCs w:val="1"/>
          <w:color w:val="auto"/>
        </w:rPr>
        <w:t>Proceeds</w:t>
      </w:r>
      <w:r>
        <w:rPr>
          <w:rFonts w:ascii="Arial" w:cs="Arial" w:eastAsia="Arial" w:hAnsi="Arial"/>
          <w:sz w:val="19"/>
          <w:szCs w:val="19"/>
          <w:color w:val="auto"/>
        </w:rPr>
        <w:t>”) shall be applied as follows:</w:t>
      </w:r>
    </w:p>
    <w:p>
      <w:pPr>
        <w:spacing w:after="0" w:line="156" w:lineRule="exact"/>
        <w:rPr>
          <w:sz w:val="20"/>
          <w:szCs w:val="20"/>
          <w:color w:val="auto"/>
        </w:rPr>
      </w:pPr>
    </w:p>
    <w:p>
      <w:pPr>
        <w:ind w:left="3960" w:hanging="712"/>
        <w:spacing w:after="0"/>
        <w:tabs>
          <w:tab w:leader="none" w:pos="3960" w:val="left"/>
        </w:tabs>
        <w:numPr>
          <w:ilvl w:val="0"/>
          <w:numId w:val="809"/>
        </w:numPr>
        <w:rPr>
          <w:rFonts w:ascii="Arial" w:cs="Arial" w:eastAsia="Arial" w:hAnsi="Arial"/>
          <w:sz w:val="22"/>
          <w:szCs w:val="22"/>
          <w:color w:val="auto"/>
        </w:rPr>
      </w:pPr>
      <w:r>
        <w:rPr>
          <w:rFonts w:ascii="Arial" w:cs="Arial" w:eastAsia="Arial" w:hAnsi="Arial"/>
          <w:sz w:val="22"/>
          <w:szCs w:val="22"/>
          <w:color w:val="auto"/>
        </w:rPr>
        <w:t>In the case of LC Priority Collateral,</w:t>
      </w:r>
    </w:p>
    <w:p>
      <w:pPr>
        <w:spacing w:after="0" w:line="233" w:lineRule="exact"/>
        <w:rPr>
          <w:sz w:val="20"/>
          <w:szCs w:val="20"/>
          <w:color w:val="auto"/>
        </w:rPr>
      </w:pPr>
    </w:p>
    <w:p>
      <w:pPr>
        <w:jc w:val="both"/>
        <w:ind w:left="2600"/>
        <w:spacing w:after="0" w:line="266" w:lineRule="auto"/>
        <w:rPr>
          <w:sz w:val="20"/>
          <w:szCs w:val="20"/>
          <w:color w:val="auto"/>
        </w:rPr>
      </w:pPr>
      <w:r>
        <w:rPr>
          <w:rFonts w:ascii="Arial" w:cs="Arial" w:eastAsia="Arial" w:hAnsi="Arial"/>
          <w:sz w:val="22"/>
          <w:szCs w:val="22"/>
          <w:color w:val="auto"/>
        </w:rPr>
        <w:t>FIRST, to the payment in full of the LC Obligations (including the cash collateralization thereof) in accordance with Section 9.04 of the LC Credit Agreement and the other applicable provisions of the LC Documents, and</w:t>
      </w:r>
    </w:p>
    <w:p>
      <w:pPr>
        <w:spacing w:after="0" w:line="185" w:lineRule="exact"/>
        <w:rPr>
          <w:sz w:val="20"/>
          <w:szCs w:val="20"/>
          <w:color w:val="auto"/>
        </w:rPr>
      </w:pPr>
    </w:p>
    <w:p>
      <w:pPr>
        <w:jc w:val="both"/>
        <w:ind w:left="2600"/>
        <w:spacing w:after="0" w:line="276" w:lineRule="auto"/>
        <w:rPr>
          <w:sz w:val="20"/>
          <w:szCs w:val="20"/>
          <w:color w:val="auto"/>
        </w:rPr>
      </w:pPr>
      <w:r>
        <w:rPr>
          <w:rFonts w:ascii="Arial" w:cs="Arial" w:eastAsia="Arial" w:hAnsi="Arial"/>
          <w:sz w:val="22"/>
          <w:szCs w:val="22"/>
          <w:color w:val="auto"/>
        </w:rPr>
        <w:t>SECOND, to the payment in full of the Notes Obligations in accordance with Section 506 of the Notes Indenture and the other applicable provisions of the Notes Documents.</w:t>
      </w:r>
    </w:p>
    <w:p>
      <w:pPr>
        <w:spacing w:after="0" w:line="174"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If any Notes Obligations remain outstanding after the Discharge of the LC Obligations, all proceeds of the LC Priority Collateral will be applied to the repayment of any outstanding Notes Obligations.</w:t>
      </w:r>
    </w:p>
    <w:p>
      <w:pPr>
        <w:spacing w:after="0" w:line="174" w:lineRule="exact"/>
        <w:rPr>
          <w:sz w:val="20"/>
          <w:szCs w:val="20"/>
          <w:color w:val="auto"/>
        </w:rPr>
      </w:pPr>
    </w:p>
    <w:p>
      <w:pPr>
        <w:ind w:left="3960" w:hanging="712"/>
        <w:spacing w:after="0"/>
        <w:tabs>
          <w:tab w:leader="none" w:pos="3960" w:val="left"/>
        </w:tabs>
        <w:numPr>
          <w:ilvl w:val="0"/>
          <w:numId w:val="810"/>
        </w:numPr>
        <w:rPr>
          <w:rFonts w:ascii="Arial" w:cs="Arial" w:eastAsia="Arial" w:hAnsi="Arial"/>
          <w:sz w:val="22"/>
          <w:szCs w:val="22"/>
          <w:color w:val="auto"/>
        </w:rPr>
      </w:pPr>
      <w:r>
        <w:rPr>
          <w:rFonts w:ascii="Arial" w:cs="Arial" w:eastAsia="Arial" w:hAnsi="Arial"/>
          <w:sz w:val="22"/>
          <w:szCs w:val="22"/>
          <w:color w:val="auto"/>
        </w:rPr>
        <w:t>In the case of Notes Priority Collateral,</w:t>
      </w:r>
    </w:p>
    <w:p>
      <w:pPr>
        <w:spacing w:after="0" w:line="233" w:lineRule="exact"/>
        <w:rPr>
          <w:sz w:val="20"/>
          <w:szCs w:val="20"/>
          <w:color w:val="auto"/>
        </w:rPr>
      </w:pPr>
    </w:p>
    <w:p>
      <w:pPr>
        <w:jc w:val="both"/>
        <w:ind w:left="2600" w:right="20"/>
        <w:spacing w:after="0" w:line="276" w:lineRule="auto"/>
        <w:rPr>
          <w:sz w:val="20"/>
          <w:szCs w:val="20"/>
          <w:color w:val="auto"/>
        </w:rPr>
      </w:pPr>
      <w:r>
        <w:rPr>
          <w:rFonts w:ascii="Arial" w:cs="Arial" w:eastAsia="Arial" w:hAnsi="Arial"/>
          <w:sz w:val="22"/>
          <w:szCs w:val="22"/>
          <w:color w:val="auto"/>
        </w:rPr>
        <w:t>FIRST, to the payment in full of the Notes Obligations in accordance with Section 506 of the Notes Indenture and the other applicable provisions of the Notes Documents, and</w:t>
      </w:r>
    </w:p>
    <w:p>
      <w:pPr>
        <w:spacing w:after="0" w:line="174" w:lineRule="exact"/>
        <w:rPr>
          <w:sz w:val="20"/>
          <w:szCs w:val="20"/>
          <w:color w:val="auto"/>
        </w:rPr>
      </w:pPr>
    </w:p>
    <w:p>
      <w:pPr>
        <w:jc w:val="both"/>
        <w:ind w:left="2600"/>
        <w:spacing w:after="0" w:line="266" w:lineRule="auto"/>
        <w:rPr>
          <w:sz w:val="20"/>
          <w:szCs w:val="20"/>
          <w:color w:val="auto"/>
        </w:rPr>
      </w:pPr>
      <w:r>
        <w:rPr>
          <w:rFonts w:ascii="Arial" w:cs="Arial" w:eastAsia="Arial" w:hAnsi="Arial"/>
          <w:sz w:val="22"/>
          <w:szCs w:val="22"/>
          <w:color w:val="auto"/>
        </w:rPr>
        <w:t>SECOND, to the payment in full of the LC Obligations (including the cash collateralization thereof) in accordance with Section 9.04 of the LC Credit Agreement and the other applicable provisions of the LC Documents.</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If any LC Obligations remain outstanding after the Discharge of the Notes Obligations, all proceeds of the Notes Priority Collateral will be applied to the repayment (including the cash collateralization thereof) of any outstanding LC Obligations.</w:t>
      </w:r>
    </w:p>
    <w:p>
      <w:pPr>
        <w:spacing w:after="0" w:line="185" w:lineRule="exact"/>
        <w:rPr>
          <w:sz w:val="20"/>
          <w:szCs w:val="20"/>
          <w:color w:val="auto"/>
        </w:rPr>
      </w:pPr>
    </w:p>
    <w:p>
      <w:pPr>
        <w:jc w:val="both"/>
        <w:ind w:firstLine="1304"/>
        <w:spacing w:after="0" w:line="306" w:lineRule="auto"/>
        <w:tabs>
          <w:tab w:leader="none" w:pos="2132" w:val="left"/>
        </w:tabs>
        <w:numPr>
          <w:ilvl w:val="0"/>
          <w:numId w:val="811"/>
        </w:numPr>
        <w:rPr>
          <w:rFonts w:ascii="Arial" w:cs="Arial" w:eastAsia="Arial" w:hAnsi="Arial"/>
          <w:sz w:val="19"/>
          <w:szCs w:val="19"/>
          <w:color w:val="auto"/>
        </w:rPr>
      </w:pPr>
      <w:r>
        <w:rPr>
          <w:rFonts w:ascii="Arial" w:cs="Arial" w:eastAsia="Arial" w:hAnsi="Arial"/>
          <w:sz w:val="19"/>
          <w:szCs w:val="19"/>
          <w:color w:val="auto"/>
        </w:rPr>
        <w:t>It is acknowledged that (i) the aggregate amount of any Senior Secured Obligations may, subject to the limitations set forth in the Notes Indenture and the LC Credit Agreement, both as in effect on the date hereof, be Refinanced from time to time, all without affecting the priorities set forth in Section 2.01(a) or the provisions of this Agreement defining the relative rights of the Notes Secured Parties and the LC Secured Parties and (ii) the Senior Secured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Secured Obligations (or any part thereof) or the Senior Secured</w:t>
      </w:r>
    </w:p>
    <w:p>
      <w:pPr>
        <w:sectPr>
          <w:pgSz w:w="11900" w:h="16838" w:orient="portrait"/>
          <w:cols w:equalWidth="0" w:num="1">
            <w:col w:w="11240"/>
          </w:cols>
          <w:pgMar w:left="320" w:top="132" w:right="339" w:bottom="0" w:gutter="0" w:footer="0" w:header="0"/>
        </w:sectPr>
      </w:pPr>
    </w:p>
    <w:bookmarkStart w:id="657" w:name="page658"/>
    <w:bookmarkEnd w:id="657"/>
    <w:p>
      <w:pPr>
        <w:jc w:val="both"/>
        <w:spacing w:after="0" w:line="266" w:lineRule="auto"/>
        <w:rPr>
          <w:sz w:val="20"/>
          <w:szCs w:val="20"/>
          <w:color w:val="auto"/>
        </w:rPr>
      </w:pPr>
      <w:r>
        <w:rPr>
          <w:rFonts w:ascii="Arial" w:cs="Arial" w:eastAsia="Arial" w:hAnsi="Arial"/>
          <w:sz w:val="22"/>
          <w:szCs w:val="22"/>
          <w:color w:val="auto"/>
        </w:rPr>
        <w:t>Obligations (or any part thereof), by the release of any Collateral or of any guarantees for any Junior Secured Obligations or Senior Secured Obligations or by any action that any Representative or Secured Party may take or fail to take in respect of any Collateral.</w:t>
      </w:r>
    </w:p>
    <w:p>
      <w:pPr>
        <w:spacing w:after="0" w:line="185" w:lineRule="exact"/>
        <w:rPr>
          <w:sz w:val="20"/>
          <w:szCs w:val="20"/>
          <w:color w:val="auto"/>
        </w:rPr>
      </w:pPr>
    </w:p>
    <w:p>
      <w:pPr>
        <w:jc w:val="both"/>
        <w:ind w:firstLine="1304"/>
        <w:spacing w:after="0" w:line="306" w:lineRule="auto"/>
        <w:tabs>
          <w:tab w:leader="none" w:pos="2124" w:val="left"/>
        </w:tabs>
        <w:numPr>
          <w:ilvl w:val="0"/>
          <w:numId w:val="812"/>
        </w:numPr>
        <w:rPr>
          <w:rFonts w:ascii="Arial" w:cs="Arial" w:eastAsia="Arial" w:hAnsi="Arial"/>
          <w:sz w:val="19"/>
          <w:szCs w:val="19"/>
          <w:color w:val="auto"/>
        </w:rPr>
      </w:pPr>
      <w:r>
        <w:rPr>
          <w:rFonts w:ascii="Arial" w:cs="Arial" w:eastAsia="Arial" w:hAnsi="Arial"/>
          <w:sz w:val="19"/>
          <w:szCs w:val="19"/>
          <w:color w:val="auto"/>
        </w:rPr>
        <w:t>Notwithstanding the date, time, method, manner or order of grant, attachment or perfection of any Liens securing the LC Obligations granted on the Collateral or of any Liens securing the Notes Obligations granted on the Collateral and notwithstanding any provision of the Uniform Commercial Code or other applicable legislation of any jurisdiction, or any other applicable law or the Notes Documents or the LC Documents, or any defect or deficiencies in or failure to perfect any such Liens or any other circumstance whatsoever (1) the Liens on the LC Priority Collateral securing the LC Obligations will rank senior to any Liens on the LC Priority Collateral securing the Notes Obligations and (2) the Liens on the Notes Priority Collateral securing the Notes Obligations will rank senior to any Liens on the Notes Priority Collateral securing the LC Obligations.</w:t>
      </w:r>
    </w:p>
    <w:p>
      <w:pPr>
        <w:spacing w:after="0" w:line="156" w:lineRule="exact"/>
        <w:rPr>
          <w:rFonts w:ascii="Arial" w:cs="Arial" w:eastAsia="Arial" w:hAnsi="Arial"/>
          <w:sz w:val="19"/>
          <w:szCs w:val="19"/>
          <w:color w:val="auto"/>
        </w:rPr>
      </w:pPr>
    </w:p>
    <w:p>
      <w:pPr>
        <w:jc w:val="both"/>
        <w:ind w:firstLine="1304"/>
        <w:spacing w:after="0" w:line="259" w:lineRule="auto"/>
        <w:tabs>
          <w:tab w:leader="none" w:pos="2287" w:val="left"/>
        </w:tabs>
        <w:numPr>
          <w:ilvl w:val="0"/>
          <w:numId w:val="812"/>
        </w:numPr>
        <w:rPr>
          <w:rFonts w:ascii="Arial" w:cs="Arial" w:eastAsia="Arial" w:hAnsi="Arial"/>
          <w:sz w:val="22"/>
          <w:szCs w:val="22"/>
          <w:color w:val="auto"/>
        </w:rPr>
      </w:pPr>
      <w:r>
        <w:rPr>
          <w:rFonts w:ascii="Arial" w:cs="Arial" w:eastAsia="Arial" w:hAnsi="Arial"/>
          <w:sz w:val="22"/>
          <w:szCs w:val="22"/>
          <w:color w:val="auto"/>
        </w:rPr>
        <w:t>For the avoidance of doubt, notwithstanding that Liens granted to the Foreign Collateral Agent, LC Collateral Agent, or Notes Collateral Agent on the Collateral governed by the laws of a jurisdiction located outside of the United States of America (the “</w:t>
      </w:r>
      <w:r>
        <w:rPr>
          <w:rFonts w:ascii="Arial" w:cs="Arial" w:eastAsia="Arial" w:hAnsi="Arial"/>
          <w:sz w:val="22"/>
          <w:szCs w:val="22"/>
          <w:u w:val="single" w:color="auto"/>
          <w:color w:val="auto"/>
        </w:rPr>
        <w:t>Foreign Collateral</w:t>
      </w:r>
      <w:r>
        <w:rPr>
          <w:rFonts w:ascii="Arial" w:cs="Arial" w:eastAsia="Arial" w:hAnsi="Arial"/>
          <w:sz w:val="22"/>
          <w:szCs w:val="22"/>
          <w:color w:val="auto"/>
        </w:rPr>
        <w:t xml:space="preserve">”) may (A) have legally the same or different ranking due to mandatory legal provisions governing such Foreign Collateral; (B) have been granted or perfected in an order contrary to the contemplated ranking as set forth in this Agreement or (C) not have been granted to Notes Collateral Agent or LC Collateral Agent, the contractual ranking of the Liens on such Foreign Collateral shall be consistent with the ranking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Article VI</w:t>
      </w:r>
      <w:r>
        <w:rPr>
          <w:rFonts w:ascii="Arial" w:cs="Arial" w:eastAsia="Arial" w:hAnsi="Arial"/>
          <w:sz w:val="22"/>
          <w:szCs w:val="22"/>
          <w:color w:val="auto"/>
        </w:rPr>
        <w:t>, all other terms and provisions of this Agreement with respect to Collateral shall be applicable to such Foreign Collateral.</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b. Actions With Respect to Collateral; Prohibition on Contesting Liens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99" w:lineRule="auto"/>
        <w:tabs>
          <w:tab w:leader="none" w:pos="2031" w:val="left"/>
        </w:tabs>
        <w:numPr>
          <w:ilvl w:val="1"/>
          <w:numId w:val="813"/>
        </w:numPr>
        <w:rPr>
          <w:rFonts w:ascii="Arial" w:cs="Arial" w:eastAsia="Arial" w:hAnsi="Arial"/>
          <w:sz w:val="19"/>
          <w:szCs w:val="19"/>
          <w:color w:val="auto"/>
        </w:rPr>
      </w:pPr>
      <w:r>
        <w:rPr>
          <w:rFonts w:ascii="Arial" w:cs="Arial" w:eastAsia="Arial" w:hAnsi="Arial"/>
          <w:sz w:val="19"/>
          <w:szCs w:val="19"/>
          <w:color w:val="auto"/>
        </w:rPr>
        <w:t>Until the Discharge of all of the Senior Secured Obligations of a particular Class, (i) only the Applicable Senior Collateral Agent shall act or refrain from acting with respect to the Senior Secured Obligations Collateral of such Class,</w:t>
      </w:r>
    </w:p>
    <w:p>
      <w:pPr>
        <w:jc w:val="both"/>
        <w:ind w:firstLine="8"/>
        <w:spacing w:after="0" w:line="300" w:lineRule="auto"/>
        <w:tabs>
          <w:tab w:leader="none" w:pos="325" w:val="left"/>
        </w:tabs>
        <w:numPr>
          <w:ilvl w:val="0"/>
          <w:numId w:val="814"/>
        </w:numPr>
        <w:rPr>
          <w:rFonts w:ascii="Arial" w:cs="Arial" w:eastAsia="Arial" w:hAnsi="Arial"/>
          <w:sz w:val="19"/>
          <w:szCs w:val="19"/>
          <w:color w:val="auto"/>
        </w:rPr>
      </w:pPr>
      <w:r>
        <w:rPr>
          <w:rFonts w:ascii="Arial" w:cs="Arial" w:eastAsia="Arial" w:hAnsi="Arial"/>
          <w:sz w:val="19"/>
          <w:szCs w:val="19"/>
          <w:color w:val="auto"/>
        </w:rPr>
        <w:t>no Collateral Agent shall follow any instructions with respect to such Senior Secured Obligations Collateral from any Junior Representative or from any Junior Secured Obligations Secured Parties and (iii) each Junior Representative and the Junior Secured Obligations Secured Parties shall not, and shall not instruct any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Junior Secured Obligations Collateral, whether under any Notes Security Document or any LC Security Document, as applicable, applicable law or otherwise, it being agreed that (A) only the Applicable Senior Collateral Agent, acting in accordance with the Notes Security Documents or the LC Security Documents, as applicable, shall be entitled to take any such actions or exercise any such remedies, or to cause any Collateral Agent to do so and (B) notwithstanding the foregoing, each Junior Representative may take Permitted Remedies. Each Senior Collateral Agent may deal with the Senior Secured Obligations Collateral as if they had a senior Lien on such Collateral. No Junior Collateral Agent, Junior Representative or Junior Secured Obligations Secured Party will contest, protest or object to any foreclosure proceeding or action brought by any Senior Collateral Agent, Senior Representative or Senior Secured Obligations Secured Party or any other exercise by such Senior Collateral Agent, Senior Representative or Senior Secured Obligations Secured Party of any rights and remedies relating to the Senior Secured Obligations Collateral.</w:t>
      </w:r>
    </w:p>
    <w:p>
      <w:pPr>
        <w:spacing w:after="0" w:line="161" w:lineRule="exact"/>
        <w:rPr>
          <w:rFonts w:ascii="Arial" w:cs="Arial" w:eastAsia="Arial" w:hAnsi="Arial"/>
          <w:sz w:val="19"/>
          <w:szCs w:val="19"/>
          <w:color w:val="auto"/>
        </w:rPr>
      </w:pPr>
    </w:p>
    <w:p>
      <w:pPr>
        <w:jc w:val="both"/>
        <w:ind w:firstLine="1304"/>
        <w:spacing w:after="0" w:line="308" w:lineRule="auto"/>
        <w:tabs>
          <w:tab w:leader="none" w:pos="2051" w:val="left"/>
        </w:tabs>
        <w:numPr>
          <w:ilvl w:val="1"/>
          <w:numId w:val="814"/>
        </w:numPr>
        <w:rPr>
          <w:rFonts w:ascii="Arial" w:cs="Arial" w:eastAsia="Arial" w:hAnsi="Arial"/>
          <w:sz w:val="19"/>
          <w:szCs w:val="19"/>
          <w:color w:val="auto"/>
        </w:rPr>
      </w:pPr>
      <w:r>
        <w:rPr>
          <w:rFonts w:ascii="Arial" w:cs="Arial" w:eastAsia="Arial" w:hAnsi="Arial"/>
          <w:sz w:val="19"/>
          <w:szCs w:val="19"/>
          <w:color w:val="auto"/>
        </w:rPr>
        <w:t xml:space="preserve">Each of the Junior Collateral Agent and the Junior Secured Obligations Secured Parties agrees that it will not (and hereby waives any right to) directly or indirectly contest or support any other Person in contesting, in any proceeding (including any Insolvency or Liquidation Proceeding), the creation, extent, attachment, perfection, priority, validity or enforceability of a Lien or Senior Secured Obligations held by or on behalf of any of the Senior Secured Obligations Secured Parties in all or any part of the Collateral or the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of the Collateral Agents or the Secured Parties to enforce this Agreement.</w:t>
      </w:r>
    </w:p>
    <w:p>
      <w:pPr>
        <w:spacing w:after="0" w:line="153" w:lineRule="exact"/>
        <w:rPr>
          <w:rFonts w:ascii="Arial" w:cs="Arial" w:eastAsia="Arial" w:hAnsi="Arial"/>
          <w:sz w:val="19"/>
          <w:szCs w:val="19"/>
          <w:color w:val="auto"/>
        </w:rPr>
      </w:pPr>
    </w:p>
    <w:p>
      <w:pPr>
        <w:jc w:val="both"/>
        <w:ind w:firstLine="1304"/>
        <w:spacing w:after="0" w:line="302" w:lineRule="auto"/>
        <w:tabs>
          <w:tab w:leader="none" w:pos="2407" w:val="left"/>
        </w:tabs>
        <w:numPr>
          <w:ilvl w:val="1"/>
          <w:numId w:val="814"/>
        </w:numPr>
        <w:rPr>
          <w:rFonts w:ascii="Arial" w:cs="Arial" w:eastAsia="Arial" w:hAnsi="Arial"/>
          <w:sz w:val="19"/>
          <w:szCs w:val="19"/>
          <w:color w:val="auto"/>
        </w:rPr>
      </w:pPr>
      <w:r>
        <w:rPr>
          <w:rFonts w:ascii="Arial" w:cs="Arial" w:eastAsia="Arial" w:hAnsi="Arial"/>
          <w:sz w:val="19"/>
          <w:szCs w:val="19"/>
          <w:color w:val="auto"/>
        </w:rPr>
        <w:t>(i) Only the Foreign Collateral Agent shall act or refrain from acting with respect to the Foreign Collateral, (ii) Foreign Collateral Agent shall not follow any instructions with respect to Foreign Collateral except from the Controlling Party (in accordance with Article VI) and (iii) other than the Controlling Parties, no Secured Party will, or will instruct Foreign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Foreign Collateral, whether under any Notes Security Document or any LC Security Document, applicable law or otherwise, it being agreed that (A) only the Foreign Collateral Agent, acting in accordance with the Foreign Collateral Documents and the terms of Article VI, shall be entitled to take any such actions or exercise any such remedies and (B) notwithstanding the foregoing, each Representative may take Permitted Remedies with regard to the Foreign Collateral. No Secured Party will contest, protest or object to any foreclosure or other proceeding or action brought by Foreign Collateral Agent acting upon</w:t>
      </w:r>
    </w:p>
    <w:p>
      <w:pPr>
        <w:sectPr>
          <w:pgSz w:w="11900" w:h="16838" w:orient="portrait"/>
          <w:cols w:equalWidth="0" w:num="1">
            <w:col w:w="11240"/>
          </w:cols>
          <w:pgMar w:left="320" w:top="132" w:right="339" w:bottom="0" w:gutter="0" w:footer="0" w:header="0"/>
        </w:sectPr>
      </w:pPr>
    </w:p>
    <w:bookmarkStart w:id="658" w:name="page659"/>
    <w:bookmarkEnd w:id="658"/>
    <w:p>
      <w:pPr>
        <w:spacing w:after="0" w:line="48"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instructions of a Controlling Party, and the Controlling Parties may make such instructions as if they had a senior Lien on such Foreign Collateral.</w:t>
      </w:r>
    </w:p>
    <w:p>
      <w:pPr>
        <w:spacing w:after="0" w:line="174" w:lineRule="exact"/>
        <w:rPr>
          <w:sz w:val="20"/>
          <w:szCs w:val="20"/>
          <w:color w:val="auto"/>
        </w:rPr>
      </w:pPr>
    </w:p>
    <w:p>
      <w:pPr>
        <w:jc w:val="both"/>
        <w:ind w:firstLine="1304"/>
        <w:spacing w:after="0" w:line="271" w:lineRule="auto"/>
        <w:tabs>
          <w:tab w:leader="none" w:pos="2084" w:val="left"/>
        </w:tabs>
        <w:numPr>
          <w:ilvl w:val="0"/>
          <w:numId w:val="815"/>
        </w:numPr>
        <w:rPr>
          <w:rFonts w:ascii="Arial" w:cs="Arial" w:eastAsia="Arial" w:hAnsi="Arial"/>
          <w:sz w:val="21"/>
          <w:szCs w:val="21"/>
          <w:color w:val="auto"/>
        </w:rPr>
      </w:pPr>
      <w:r>
        <w:rPr>
          <w:rFonts w:ascii="Arial" w:cs="Arial" w:eastAsia="Arial" w:hAnsi="Arial"/>
          <w:sz w:val="21"/>
          <w:szCs w:val="21"/>
          <w:color w:val="auto"/>
        </w:rPr>
        <w:t xml:space="preserve">(i) With respect to any payments or distributions in cash, property or other assets that any Junior Secured Obligations Secured Party pays over to any Senior Secured Obligations Secured Party under the terms of this Agreement, such Junior Secured Obligations Secured Party shall be subrogated to the rights of the Senior Secured Party Obligations Secured Party and (ii) any Secured Party may assert its rights of subrogation under applicable law resulting from any draw or other payment under any letter of credit issued under or secured by the Notes Documents or LC Documents,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that (x) the LC Facility Secured Parties shall not assert or enforce any such rights of subrogation they may acquire as described in clauses (i) or (ii) above with respect to the Notes Documents or Notes Priority Collateral until the Discharge of all Notes Obligations has occurred and (y) the Notes Secured Parties shall not assert or enforce any such rights of subrogation they may acquire as described in clauses (i) or (ii) above with respect to the LC Documents or LC Priority Collateral until the Discharge of all LC Obligations has occurred.</w:t>
      </w:r>
    </w:p>
    <w:p>
      <w:pPr>
        <w:spacing w:after="0" w:line="189" w:lineRule="exact"/>
        <w:rPr>
          <w:rFonts w:ascii="Arial" w:cs="Arial" w:eastAsia="Arial" w:hAnsi="Arial"/>
          <w:sz w:val="21"/>
          <w:szCs w:val="21"/>
          <w:color w:val="auto"/>
        </w:rPr>
      </w:pPr>
    </w:p>
    <w:p>
      <w:pPr>
        <w:jc w:val="both"/>
        <w:ind w:firstLine="1304"/>
        <w:spacing w:after="0" w:line="311" w:lineRule="auto"/>
        <w:tabs>
          <w:tab w:leader="none" w:pos="2051" w:val="left"/>
        </w:tabs>
        <w:numPr>
          <w:ilvl w:val="0"/>
          <w:numId w:val="815"/>
        </w:numPr>
        <w:rPr>
          <w:rFonts w:ascii="Arial" w:cs="Arial" w:eastAsia="Arial" w:hAnsi="Arial"/>
          <w:sz w:val="19"/>
          <w:szCs w:val="19"/>
          <w:color w:val="auto"/>
        </w:rPr>
      </w:pPr>
      <w:r>
        <w:rPr>
          <w:rFonts w:ascii="Arial" w:cs="Arial" w:eastAsia="Arial" w:hAnsi="Arial"/>
          <w:sz w:val="19"/>
          <w:szCs w:val="19"/>
          <w:color w:val="auto"/>
        </w:rPr>
        <w:t>The parties hereto agree to execute, acknowledge and deliver a Memorandum of Intercreditor Agreement (“</w:t>
      </w:r>
      <w:r>
        <w:rPr>
          <w:rFonts w:ascii="Arial" w:cs="Arial" w:eastAsia="Arial" w:hAnsi="Arial"/>
          <w:sz w:val="19"/>
          <w:szCs w:val="19"/>
          <w:b w:val="1"/>
          <w:bCs w:val="1"/>
          <w:i w:val="1"/>
          <w:iCs w:val="1"/>
          <w:color w:val="auto"/>
        </w:rPr>
        <w:t>Memorandum</w:t>
      </w:r>
      <w:r>
        <w:rPr>
          <w:rFonts w:ascii="Arial" w:cs="Arial" w:eastAsia="Arial" w:hAnsi="Arial"/>
          <w:sz w:val="19"/>
          <w:szCs w:val="19"/>
          <w:color w:val="auto"/>
        </w:rPr>
        <w:t>”), together with such other documents in furtherance hereof or thereof, in each case, in proper form for recording in connection with any Mortgages and in form and substance reasonably satisfactory to the Collateral Agents, in those jurisdictions where such recording is reasonably recommended or requested by local real estate counsel and/or the title insurance company, or as otherwise deemed reasonably necessary or proper by the parties hereto.</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c. No Duties of Senior Representative; Provision of Notice</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98" w:lineRule="auto"/>
        <w:tabs>
          <w:tab w:leader="none" w:pos="1950" w:val="left"/>
        </w:tabs>
        <w:numPr>
          <w:ilvl w:val="1"/>
          <w:numId w:val="816"/>
        </w:numPr>
        <w:rPr>
          <w:rFonts w:ascii="Arial" w:cs="Arial" w:eastAsia="Arial" w:hAnsi="Arial"/>
          <w:sz w:val="19"/>
          <w:szCs w:val="19"/>
          <w:color w:val="auto"/>
        </w:rPr>
      </w:pPr>
      <w:r>
        <w:rPr>
          <w:rFonts w:ascii="Arial" w:cs="Arial" w:eastAsia="Arial" w:hAnsi="Arial"/>
          <w:sz w:val="19"/>
          <w:szCs w:val="19"/>
          <w:color w:val="auto"/>
        </w:rPr>
        <w:t>Each Junior Secured Obligations Secured Party acknowledges and agrees that none of the Senior Collateral Agents, the Senior Representative nor any other Senior Secured Obligations Secured Party shall have any duties or other obligations to such Junior Secured Obligations Secured Party with respect to any Senior Secured Obligations Collateral, other than to transfer to the Applicable Junior Collateral Agent any proceeds of any such Senior Secured Obligations Collateral remaining in its possession or under its control following any sale, transfer or other disposition of such Collateral (in each case, unless the Junior Secured Obligations have been Discharged prior to or concurrently with such sale, transfer, disposition, payment or satisfaction) and the Discharge of the Senior Secured Obligations secured thereby, or if a Senior Collateral Agent shall be in possession or control of all or any part of such Collateral after such payment and satisfaction in full and termination, such Collateral or any part thereof remaining, in each case without representation or warranty on the part of any Senior Collateral Agent, any Senior Representative or any Senior Secured Obligations Secured Party and at the sole cost and expense of the Grantors. In furtherance of the foregoing, each Junior Secured Obligations Secured Party acknowledges and agrees that, until the Senior Secured Obligations secured by any Collateral shall have been Discharged, the Applicable Senior Collateral Agent shall be entitled, for the benefit of the holders of such Senior Secured Obligations, to sell, transfer or otherwise dispose of, or cause the sale, transfer or other disposition of, such Senior Secured Obligations Collateral as provided herein and in the Notes Documents and the LC Documents, as applicable, without regard to any Junior Claims or any rights to which the holders of the Junior Secured Obligations would otherwise be entitled as a result of such Junior Claims. Without limiting the foregoing, each Junior Secured Obligations Secured Party agrees that none of the Senior Collateral Agents, the Senior Representatives nor any other Senior Secured Obligations Secured Party shall have any duty or obligation first to marshal or realize upon any type of Senior Secured Obligations Collateral (or any other collateral securing the Senior Secured Obligations), or to sell, dispose of, realize on or liquidate all or any portion of such Senior Secured Obligations Collateral (or any other collateral securing the Senior Secured Obligations), in any manner that would maximize the return to the Junior Secured Obligations Secured Parties, notwithstanding that the order and timing of any such realization, sale, disposition or liquidation may affect the amount of proceeds actually received by the Junior Secured Obligations Secured Parties from such realization, sale, disposition or liquidation. Each of the Junior Secured Obligations Secured Parties waives any claim such Junior Secured Obligations Secured Party may now or hereafter have against any Senior Collateral Agent, any Senior Representative or any other Senior Secured Obligations Secured Party (or their representatives, including any receiver, receiver and manager, interim receiver, administrator, delegate or agent they may appoint) arising out of (i) any actions which any Senior Collateral Agent, any Senior Representative or the Senior Secured Obligations Secured Parties (or their representatives, including any receiver, receiver and manager, interim receiver, administrator, delegate or agent they may appoint) take or omit to take (including, actions with respect to the creation, attachment, perfection or continuation of Liens on any Senior Secured Obligations Collateral, actions with respect to the preservation, foreclosure upon, realization, sale, release or depreciation of, or failure to realize upon, any of the Senior Secured Obligations Collateral and actions with respect to the collection of any claim for all or any part of the Senior Secured Obligations from any account debtor, guarantor or any other party) in accordance with the Notes Documents and the LC Documents or any other agreement related thereto or to the collection of the Senior Secured Obligations or the valuation, use, protection or release of any security for the Senior Secured Obligations, (ii) any election by any Applicable Senior Collateral Agent, any Senior Representative or any Senior Secured Obligations Secured Parties, in any proceeding instituted under the Bankruptcy Code, of the application of Section 1111(b) of the Bankruptcy Code (or any equivalent proceeding under any other Debtor Relief Law) or</w:t>
      </w:r>
    </w:p>
    <w:p>
      <w:pPr>
        <w:spacing w:after="0" w:line="228" w:lineRule="exact"/>
        <w:rPr>
          <w:rFonts w:ascii="Arial" w:cs="Arial" w:eastAsia="Arial" w:hAnsi="Arial"/>
          <w:sz w:val="19"/>
          <w:szCs w:val="19"/>
          <w:color w:val="auto"/>
        </w:rPr>
      </w:pPr>
    </w:p>
    <w:p>
      <w:pPr>
        <w:jc w:val="both"/>
        <w:ind w:firstLine="8"/>
        <w:spacing w:after="0" w:line="264" w:lineRule="auto"/>
        <w:tabs>
          <w:tab w:leader="none" w:pos="380" w:val="left"/>
        </w:tabs>
        <w:numPr>
          <w:ilvl w:val="0"/>
          <w:numId w:val="817"/>
        </w:numPr>
        <w:rPr>
          <w:rFonts w:ascii="Arial" w:cs="Arial" w:eastAsia="Arial" w:hAnsi="Arial"/>
          <w:sz w:val="22"/>
          <w:szCs w:val="22"/>
          <w:color w:val="auto"/>
        </w:rPr>
      </w:pPr>
      <w:r>
        <w:rPr>
          <w:rFonts w:ascii="Arial" w:cs="Arial" w:eastAsia="Arial" w:hAnsi="Arial"/>
          <w:sz w:val="22"/>
          <w:szCs w:val="22"/>
          <w:color w:val="auto"/>
        </w:rPr>
        <w:t>subject to Section 2.06, any borrowing by, or grant of a security interest or administrative expense priority under Section 364 of the Bankruptcy Code by, the Parent or any of its Subsidiaries, as debtor-in-possession (or any equivalent action under any other Debtor Relief Law).</w:t>
      </w:r>
    </w:p>
    <w:p>
      <w:pPr>
        <w:sectPr>
          <w:pgSz w:w="11900" w:h="16886" w:orient="portrait"/>
          <w:cols w:equalWidth="0" w:num="1">
            <w:col w:w="11240"/>
          </w:cols>
          <w:pgMar w:left="320" w:top="132" w:right="339" w:bottom="0" w:gutter="0" w:footer="0" w:header="0"/>
        </w:sectPr>
      </w:pPr>
    </w:p>
    <w:bookmarkStart w:id="659" w:name="page660"/>
    <w:bookmarkEnd w:id="659"/>
    <w:p>
      <w:pPr>
        <w:spacing w:after="0" w:line="7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 No Interference; Payment Over; Reinstatement</w:t>
      </w:r>
      <w:r>
        <w:rPr>
          <w:rFonts w:ascii="Arial" w:cs="Arial" w:eastAsia="Arial" w:hAnsi="Arial"/>
          <w:sz w:val="22"/>
          <w:szCs w:val="22"/>
          <w:color w:val="auto"/>
        </w:rPr>
        <w:t>.</w:t>
      </w:r>
    </w:p>
    <w:p>
      <w:pPr>
        <w:spacing w:after="0" w:line="233" w:lineRule="exact"/>
        <w:rPr>
          <w:sz w:val="20"/>
          <w:szCs w:val="20"/>
          <w:color w:val="auto"/>
        </w:rPr>
      </w:pPr>
    </w:p>
    <w:p>
      <w:pPr>
        <w:jc w:val="both"/>
        <w:ind w:left="-1120" w:firstLine="1304"/>
        <w:spacing w:after="0" w:line="298" w:lineRule="auto"/>
        <w:tabs>
          <w:tab w:leader="none" w:pos="1032" w:val="left"/>
        </w:tabs>
        <w:numPr>
          <w:ilvl w:val="0"/>
          <w:numId w:val="818"/>
        </w:numPr>
        <w:rPr>
          <w:rFonts w:ascii="Arial" w:cs="Arial" w:eastAsia="Arial" w:hAnsi="Arial"/>
          <w:sz w:val="19"/>
          <w:szCs w:val="19"/>
          <w:color w:val="auto"/>
        </w:rPr>
      </w:pPr>
      <w:r>
        <w:rPr>
          <w:rFonts w:ascii="Arial" w:cs="Arial" w:eastAsia="Arial" w:hAnsi="Arial"/>
          <w:sz w:val="19"/>
          <w:szCs w:val="19"/>
          <w:color w:val="auto"/>
        </w:rPr>
        <w:t xml:space="preserve">Each Junior Secured Obligations Secured Party, each Junior Representative and each Junior Collateral Agent agrees that (i) it will not take or cause to be taken any action the purpose or effect of which is, or could be, to make any Junior Claim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to give such Junior Secured Obligations Secured Party any preference or priority relative to, any Senior Claim with respect to the Senior Secured Obligations Collateral or any part thereof, (ii) it will not challenge or question in any proceeding the validity or enforceability of any Foreign Collateral Document, Notes Security Document, or LC Security Document or the extent, validity, attachment, perfection, priority, or enforceability of any Lien under the Foreign Collateral Documents, Notes Security Documents or the LC Security Documents, or the validity or enforceability of the priorities, rights or duties established by or other provisions of this Agreement, (iii) it will not take or cause to be taken any action the purpose or intent of which is, or could be, to interfere, hinder or delay, in any manner, whether by judicial proceedings or otherwise, any sale, transfer or other disposition of the Senior Secured Obligations Collateral by the Applicable Senior Collateral Agent or any Senior Secured Obligations Secured Parties or any Senior Representative acting on their behalf (or their respective representatives, including any receiver, receiver and manager, interim receiver, administrator, delegate or agent they may appoint), including with respect to the Foreign Collateral by the Foreign Collateral Agent following the instructions of a Controlling Party, (iv) it shall have no right to (A) direct the Applicable Senior Collateral Agent, any Senior Representative or any holder of Senior Secured Obligations (or their respective representatives, including any receiver, receiver and manager, interim receiver, administrator, delegate or agent they may appoint) to exercise any right, remedy or power with respect to any Senior Secured Obligations Collateral or (B) consent to the exercise by the Applicable Senior Collateral Agent, any Senior Representative or any other Senior Secured Obligations Secured Party (or their respective representatives, including any receiver, receiver and manager, interim receiver, administrator, delegate or agent they may appoint) of any right, remedy or power with respect to any Senior Secured Obligations Collateral, (v) it will not institute any suit or assert in any Insolvency or Liquidation Proceeding any claim against the Applicable Senior Collateral Agent, any Senior Representative or other Senior Secured Obligations Secured Party seeking damages from or other relief by way of specific performance, injunction, directions, instructions or otherwise with respect to, and none of the Applicable Senior Collateral Agent, any Senior Representative or any other Senior Secured Obligations Secured Party shall be liable for, any action taken or omitted to be taken by such Senior Collateral Agent, such Senior Representative or other Senior Secured Obligations Secured Party with respect to any Senior Secured Obligations Collateral, (vi) it will not seek, and hereby waives any right, to have any Senior Secured Obligations Collateral, Foreign Collateral or any part thereof marshaled upon any foreclosure or other disposition of such Senior Secured Obligations Collateral or Foreign Collateral and (vii) it will not attempt, directly or indirectly, whether by judicial proceedings or otherwise, to challenge the enforceability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of the Collateral Agents, or the Secured Parties to enforce this Agreement.</w:t>
      </w:r>
    </w:p>
    <w:p>
      <w:pPr>
        <w:spacing w:after="0" w:line="200" w:lineRule="exact"/>
        <w:rPr>
          <w:rFonts w:ascii="Arial" w:cs="Arial" w:eastAsia="Arial" w:hAnsi="Arial"/>
          <w:sz w:val="19"/>
          <w:szCs w:val="19"/>
          <w:color w:val="auto"/>
        </w:rPr>
      </w:pPr>
    </w:p>
    <w:p>
      <w:pPr>
        <w:spacing w:after="0" w:line="248" w:lineRule="exact"/>
        <w:rPr>
          <w:rFonts w:ascii="Arial" w:cs="Arial" w:eastAsia="Arial" w:hAnsi="Arial"/>
          <w:sz w:val="19"/>
          <w:szCs w:val="19"/>
          <w:color w:val="auto"/>
        </w:rPr>
      </w:pPr>
    </w:p>
    <w:p>
      <w:pPr>
        <w:jc w:val="both"/>
        <w:ind w:left="-1120" w:firstLine="1304"/>
        <w:spacing w:after="0" w:line="300" w:lineRule="auto"/>
        <w:tabs>
          <w:tab w:leader="none" w:pos="1025" w:val="left"/>
        </w:tabs>
        <w:numPr>
          <w:ilvl w:val="0"/>
          <w:numId w:val="818"/>
        </w:numPr>
        <w:rPr>
          <w:rFonts w:ascii="Arial" w:cs="Arial" w:eastAsia="Arial" w:hAnsi="Arial"/>
          <w:sz w:val="19"/>
          <w:szCs w:val="19"/>
          <w:color w:val="auto"/>
        </w:rPr>
      </w:pPr>
      <w:r>
        <w:rPr>
          <w:rFonts w:ascii="Arial" w:cs="Arial" w:eastAsia="Arial" w:hAnsi="Arial"/>
          <w:sz w:val="19"/>
          <w:szCs w:val="19"/>
          <w:color w:val="auto"/>
        </w:rPr>
        <w:t>Each Junior Collateral Agent, each Junior Representative and each Junior Secured Obligations Secured Party hereby agrees that, if it shall obtain possession or control of any Senior Secured Obligations Collateral, or shall receive any Proceeds or payment in respect of any Senior Secured Obligations Collateral, pursuant to any Notes Security Document or LC Security Document or by the exercise of any rights available to it under any applicable law or in any Insolvency or Liquidation Proceeding or through any other exercise of rights or remedies, at any time prior to the Discharge of the Senior Secured Obligations, then it shall hold such Senior Secured Obligations Collateral proceeds or payment in trust for the Senior Secured Obligations Secured Parties and transfer such Senior Secured Obligations Collateral, proceeds or payment, as the case may be, to the Applicable Senior Collateral Agent reasonably promptly after obtaining actual knowledge, or notice from the Applicable Senior Collateral Agent, that it is in possession or control of such Senior Secured Obligations Collateral, proceeds or payment. Each Junior Secured Obligations Secured Party agrees that if, at any time, it receives notice or obtains actual knowledge that all or part of any payment with respect to any Senior Secured Obligations previously made shall be rescinded for any reason whatsoever, such Junior Secured Obligations Secured Party shall promptly pay over to the Applicable Senior Collateral Agent any payment received by it and then in its possession or under its control in respect of any Senior Secured Obligations Collateral and shall promptly turn over any Senior Secured Obligations Collateral then held by it over to the Applicable Senior Collateral Agent, and the provisions set forth in this Agreement shall be reinstated as if such payment had not been made, until the payment and satisfaction in full of the Senior Secured Obligations.</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left="-1120" w:firstLine="1304"/>
        <w:spacing w:after="0" w:line="306" w:lineRule="auto"/>
        <w:tabs>
          <w:tab w:leader="none" w:pos="1085" w:val="left"/>
        </w:tabs>
        <w:numPr>
          <w:ilvl w:val="0"/>
          <w:numId w:val="818"/>
        </w:numPr>
        <w:rPr>
          <w:rFonts w:ascii="Arial" w:cs="Arial" w:eastAsia="Arial" w:hAnsi="Arial"/>
          <w:sz w:val="19"/>
          <w:szCs w:val="19"/>
          <w:color w:val="auto"/>
        </w:rPr>
      </w:pPr>
      <w:r>
        <w:rPr>
          <w:rFonts w:ascii="Arial" w:cs="Arial" w:eastAsia="Arial" w:hAnsi="Arial"/>
          <w:sz w:val="19"/>
          <w:szCs w:val="19"/>
          <w:color w:val="auto"/>
        </w:rPr>
        <w:t>Prior to the Discharge of Senior Secured Obligations, if any Junior Secured Obligations Secured Party holds any Lien on any assets of the Parent or any other Grantor securing any Junior Claims that are intended to secure the Senior Claims pursuant to the Senior Secured Obligations Collateral Documents but are not already subject to a senior Lien in favor of the Senior Secured Obligations Secured Parties, such Junior Secured Obligations Secured Party, upon demand by any Senior Secured Obligations Secured Party, will assign such Lien to the applicable Senior Representative, at the sole cost and expense of the Grantors, as security for such Senior Secured Obligations (in which case the Junior Secured Obligations Secured Parties may retain a junior Lien on such assets subject to the terms hereof).</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 Automatic Release of Junior Liens</w:t>
      </w:r>
      <w:r>
        <w:rPr>
          <w:rFonts w:ascii="Arial" w:cs="Arial" w:eastAsia="Arial" w:hAnsi="Arial"/>
          <w:sz w:val="22"/>
          <w:szCs w:val="22"/>
          <w:color w:val="auto"/>
        </w:rPr>
        <w:t>.</w:t>
      </w:r>
    </w:p>
    <w:p>
      <w:pPr>
        <w:spacing w:after="0" w:line="233" w:lineRule="exact"/>
        <w:rPr>
          <w:sz w:val="20"/>
          <w:szCs w:val="20"/>
          <w:color w:val="auto"/>
        </w:rPr>
      </w:pPr>
    </w:p>
    <w:p>
      <w:pPr>
        <w:jc w:val="both"/>
        <w:ind w:left="-1120" w:firstLine="1304"/>
        <w:spacing w:after="0" w:line="358" w:lineRule="auto"/>
        <w:tabs>
          <w:tab w:leader="none" w:pos="938" w:val="left"/>
        </w:tabs>
        <w:numPr>
          <w:ilvl w:val="0"/>
          <w:numId w:val="819"/>
        </w:numPr>
        <w:rPr>
          <w:rFonts w:ascii="Arial" w:cs="Arial" w:eastAsia="Arial" w:hAnsi="Arial"/>
          <w:sz w:val="19"/>
          <w:szCs w:val="19"/>
          <w:color w:val="auto"/>
        </w:rPr>
      </w:pPr>
      <w:r>
        <w:rPr>
          <w:rFonts w:ascii="Arial" w:cs="Arial" w:eastAsia="Arial" w:hAnsi="Arial"/>
          <w:sz w:val="19"/>
          <w:szCs w:val="19"/>
          <w:color w:val="auto"/>
        </w:rPr>
        <w:t>The LC Collateral Agent and each other LC Secured Party agrees that, in the event of a sale, transfer or other disposition of any Notes Priority Collateral in connection with the foreclosure upon or other exercise of rights and remedies</w:t>
      </w:r>
    </w:p>
    <w:p>
      <w:pPr>
        <w:sectPr>
          <w:pgSz w:w="11900" w:h="16914" w:orient="portrait"/>
          <w:cols w:equalWidth="0" w:num="1">
            <w:col w:w="10120"/>
          </w:cols>
          <w:pgMar w:left="1440" w:top="132" w:right="339" w:bottom="0" w:gutter="0" w:footer="0" w:header="0"/>
        </w:sectPr>
      </w:pPr>
    </w:p>
    <w:bookmarkStart w:id="660" w:name="page661"/>
    <w:bookmarkEnd w:id="660"/>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with respect to such Notes Priority Collateral that results in the release by the Notes Collateral Agent of the Lien held by the Notes Collateral Agent on such Notes Priority Collateral, the Lien held by the LC Collateral Agent on such Notes Priority Collateral shall be automatically released;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all holders of the LC Obligations shall be entitled to any proceeds of a sale, transfer or other disposition under this clause (a) that remain after Discharge of the Notes Obligations, and the Liens on such remaining proceeds securing the LC Obligations shall not be automatically released pursuant to this Section 2.05(a).</w:t>
      </w:r>
    </w:p>
    <w:p>
      <w:pPr>
        <w:spacing w:after="0" w:line="192" w:lineRule="exact"/>
        <w:rPr>
          <w:sz w:val="20"/>
          <w:szCs w:val="20"/>
          <w:color w:val="auto"/>
        </w:rPr>
      </w:pPr>
    </w:p>
    <w:p>
      <w:pPr>
        <w:jc w:val="both"/>
        <w:ind w:firstLine="1304"/>
        <w:spacing w:after="0" w:line="259" w:lineRule="auto"/>
        <w:tabs>
          <w:tab w:leader="none" w:pos="2024" w:val="left"/>
        </w:tabs>
        <w:numPr>
          <w:ilvl w:val="0"/>
          <w:numId w:val="820"/>
        </w:numPr>
        <w:rPr>
          <w:rFonts w:ascii="Arial" w:cs="Arial" w:eastAsia="Arial" w:hAnsi="Arial"/>
          <w:sz w:val="22"/>
          <w:szCs w:val="22"/>
          <w:b w:val="1"/>
          <w:bCs w:val="1"/>
          <w:i w:val="1"/>
          <w:iCs w:val="1"/>
          <w:color w:val="auto"/>
        </w:rPr>
      </w:pPr>
      <w:r>
        <w:rPr>
          <w:rFonts w:ascii="Arial" w:cs="Arial" w:eastAsia="Arial" w:hAnsi="Arial"/>
          <w:sz w:val="22"/>
          <w:szCs w:val="22"/>
          <w:color w:val="auto"/>
        </w:rPr>
        <w:t xml:space="preserve">The Notes Collateral Agent and each other Notes Secured Party agrees that, in the event of a sale, transfer or other disposition of any LC Priority Collateral in connection with the foreclosure upon or other exercise of rights and remedies with respect to such LC Priority Collateral that results in the release by the LC Collateral Agent of the Lien held by the LC Collateral Agent on such LC Priority Collateral, the Lien held by the Notes Collateral Agent on such LC Priority Collateral shall be automatically released;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all holders of the Notes Obligations shall be entitled to any proceeds of a sale, transfer or other disposition under this clause (b) that remain after Discharge of all LC Obligations, and the Liens on such remaining proceeds securing the Notes Obligations shall not be automatically released pursuant to this Section 2.05(b).</w:t>
      </w:r>
    </w:p>
    <w:p>
      <w:pPr>
        <w:spacing w:after="0" w:line="192" w:lineRule="exact"/>
        <w:rPr>
          <w:rFonts w:ascii="Arial" w:cs="Arial" w:eastAsia="Arial" w:hAnsi="Arial"/>
          <w:sz w:val="22"/>
          <w:szCs w:val="22"/>
          <w:b w:val="1"/>
          <w:bCs w:val="1"/>
          <w:i w:val="1"/>
          <w:iCs w:val="1"/>
          <w:color w:val="auto"/>
        </w:rPr>
      </w:pPr>
    </w:p>
    <w:p>
      <w:pPr>
        <w:jc w:val="both"/>
        <w:ind w:firstLine="1304"/>
        <w:spacing w:after="0" w:line="308" w:lineRule="auto"/>
        <w:tabs>
          <w:tab w:leader="none" w:pos="2097" w:val="left"/>
        </w:tabs>
        <w:numPr>
          <w:ilvl w:val="0"/>
          <w:numId w:val="820"/>
        </w:numPr>
        <w:rPr>
          <w:rFonts w:ascii="Arial" w:cs="Arial" w:eastAsia="Arial" w:hAnsi="Arial"/>
          <w:sz w:val="19"/>
          <w:szCs w:val="19"/>
          <w:color w:val="auto"/>
        </w:rPr>
      </w:pPr>
      <w:r>
        <w:rPr>
          <w:rFonts w:ascii="Arial" w:cs="Arial" w:eastAsia="Arial" w:hAnsi="Arial"/>
          <w:sz w:val="19"/>
          <w:szCs w:val="19"/>
          <w:color w:val="auto"/>
        </w:rPr>
        <w:t xml:space="preserve">In the event of a Default Disposition, the Liens of Junior Collateral Agent shall be automatically released so long as (i) such Default Disposition is conducted by the applicable Grantor(s) in a commercially reasonable manner (as if such Default Disposition were a disposition of collateral by a secured party in accordance with the UCC or similar law under the applicable jurisdiction) and in accordance with applicable law, (ii) Senior Collateral Agent also releases its Liens on such Senior Secured Obligations Collateral and (iii) the net cash proceeds of any such Default Disposition are applied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hereof (as if they were proceeds received in connection with an enforcement action).</w:t>
      </w:r>
    </w:p>
    <w:p>
      <w:pPr>
        <w:spacing w:after="0" w:line="153" w:lineRule="exact"/>
        <w:rPr>
          <w:rFonts w:ascii="Arial" w:cs="Arial" w:eastAsia="Arial" w:hAnsi="Arial"/>
          <w:sz w:val="19"/>
          <w:szCs w:val="19"/>
          <w:color w:val="auto"/>
        </w:rPr>
      </w:pPr>
    </w:p>
    <w:p>
      <w:pPr>
        <w:jc w:val="both"/>
        <w:ind w:firstLine="1304"/>
        <w:spacing w:after="0" w:line="262" w:lineRule="auto"/>
        <w:tabs>
          <w:tab w:leader="none" w:pos="2179" w:val="left"/>
        </w:tabs>
        <w:numPr>
          <w:ilvl w:val="0"/>
          <w:numId w:val="820"/>
        </w:numPr>
        <w:rPr>
          <w:rFonts w:ascii="Arial" w:cs="Arial" w:eastAsia="Arial" w:hAnsi="Arial"/>
          <w:sz w:val="22"/>
          <w:szCs w:val="22"/>
          <w:color w:val="auto"/>
        </w:rPr>
      </w:pPr>
      <w:r>
        <w:rPr>
          <w:rFonts w:ascii="Arial" w:cs="Arial" w:eastAsia="Arial" w:hAnsi="Arial"/>
          <w:sz w:val="22"/>
          <w:szCs w:val="22"/>
          <w:color w:val="auto"/>
        </w:rPr>
        <w:t>Each Junior Representative and each Junior Collateral Agent agrees to execute and deliver (at the sole cost and expense of the applicable Grantors) all such authorizations and other instruments as shall reasonably be requested by the applicable Senior Representative or the Applicable Senior Collateral Agent to evidence and confirm any release of Junior Secured Obligations Collateral provided for in this Section.</w:t>
      </w:r>
    </w:p>
    <w:p>
      <w:pPr>
        <w:spacing w:after="0" w:line="191" w:lineRule="exact"/>
        <w:rPr>
          <w:rFonts w:ascii="Arial" w:cs="Arial" w:eastAsia="Arial" w:hAnsi="Arial"/>
          <w:sz w:val="22"/>
          <w:szCs w:val="22"/>
          <w:color w:val="auto"/>
        </w:rPr>
      </w:pPr>
    </w:p>
    <w:p>
      <w:pPr>
        <w:jc w:val="both"/>
        <w:ind w:firstLine="1304"/>
        <w:spacing w:after="0" w:line="301" w:lineRule="auto"/>
        <w:tabs>
          <w:tab w:leader="none" w:pos="2065" w:val="left"/>
        </w:tabs>
        <w:numPr>
          <w:ilvl w:val="0"/>
          <w:numId w:val="820"/>
        </w:numPr>
        <w:rPr>
          <w:rFonts w:ascii="Arial" w:cs="Arial" w:eastAsia="Arial" w:hAnsi="Arial"/>
          <w:sz w:val="19"/>
          <w:szCs w:val="19"/>
          <w:color w:val="auto"/>
        </w:rPr>
      </w:pPr>
      <w:r>
        <w:rPr>
          <w:rFonts w:ascii="Arial" w:cs="Arial" w:eastAsia="Arial" w:hAnsi="Arial"/>
          <w:sz w:val="19"/>
          <w:szCs w:val="19"/>
          <w:color w:val="auto"/>
        </w:rPr>
        <w:t xml:space="preserve">If at any time any Grantor or the holder of any Senior Secured Obligations delivers notice to each Junior Collateral Agent that any specified Senior Secured Obligations Collateral (including all or substantially all of the Capital Stock of a Grantor or any of its Subsidiaries) is sold, transferred or otherwise disposed of (i) by the owner of such Collateral in a transaction permitted under the LC Documents and the Notes Documents, or (ii) during the existence of any Event of Default under the Notes Documents or the LC Documents, in each case in connection with the foreclosure upon (or exercise of rights and remedies with respect to) such Collateral, to the extent that the Applicable Senior Collateral Agent has consented to such sale, transfer or disposition, then the Liens in favor of the Junior Secured Obligations Secured Parties upon such Collateral will automatically be released and discharged as and when, but only to the extent, such Liens on such Senior Secured Obligations Collateral are released and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proceeds of such sale, transfer or disposition shall be applied in accordance with </w:t>
      </w:r>
      <w:r>
        <w:rPr>
          <w:rFonts w:ascii="Arial" w:cs="Arial" w:eastAsia="Arial" w:hAnsi="Arial"/>
          <w:sz w:val="19"/>
          <w:szCs w:val="19"/>
          <w:u w:val="single" w:color="auto"/>
          <w:color w:val="auto"/>
        </w:rPr>
        <w:t>Section 2.01(a)</w:t>
      </w:r>
      <w:r>
        <w:rPr>
          <w:rFonts w:ascii="Arial" w:cs="Arial" w:eastAsia="Arial" w:hAnsi="Arial"/>
          <w:sz w:val="19"/>
          <w:szCs w:val="19"/>
          <w:color w:val="auto"/>
        </w:rPr>
        <w:t>. Upon delivery to each Junior Collateral Agent of a notice from the Applicable Senior Collateral Agent stating that any release of Liens securing or supporting the Senior Secured Obligations has become effective (or shall become effective upon each Junior Collateral Agent’s release), each Junior Collateral Agent will promptly execute and deliver (at the sole cost and expense of the Grantors) such instruments, releases, terminations statements or other documents confirming such release on customary terms.</w:t>
      </w:r>
    </w:p>
    <w:p>
      <w:pPr>
        <w:spacing w:after="0" w:line="200" w:lineRule="exact"/>
        <w:rPr>
          <w:sz w:val="20"/>
          <w:szCs w:val="20"/>
          <w:color w:val="auto"/>
        </w:rPr>
      </w:pP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f. Certain Agreements With Respect to Insolvency or Liquidation Proceedings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308" w:lineRule="auto"/>
        <w:tabs>
          <w:tab w:leader="none" w:pos="2314" w:val="left"/>
        </w:tabs>
        <w:numPr>
          <w:ilvl w:val="0"/>
          <w:numId w:val="821"/>
        </w:numPr>
        <w:rPr>
          <w:rFonts w:ascii="Arial" w:cs="Arial" w:eastAsia="Arial" w:hAnsi="Arial"/>
          <w:sz w:val="19"/>
          <w:szCs w:val="19"/>
          <w:color w:val="auto"/>
        </w:rPr>
      </w:pPr>
      <w:r>
        <w:rPr>
          <w:rFonts w:ascii="Arial" w:cs="Arial" w:eastAsia="Arial" w:hAnsi="Arial"/>
          <w:sz w:val="19"/>
          <w:szCs w:val="19"/>
          <w:color w:val="auto"/>
        </w:rPr>
        <w:t>This Agreement shall continue in full force and effect notwithstanding the commencement of any proceeding under the Bankruptcy Code or any other Debtor Relief Law by or against the Parent or any of its Subsidiaries. Without limiting the generality of the foregoing, the provisions of this Agreement are intended to be and shall be enforceable as a “Subordination Agreement” under Section 510(a) of the Bankruptcy Code. All references to the Parent or any other Grantor shall include such Parent or Grantor as a debtor-in-possession and any receiver, trustee, liquidator (whether provisional or permanent, as the case may be) or court-appointed officer for such person in any Insolvency or Liquidation Proceeding.</w:t>
      </w:r>
    </w:p>
    <w:p>
      <w:pPr>
        <w:spacing w:after="0" w:line="153" w:lineRule="exact"/>
        <w:rPr>
          <w:rFonts w:ascii="Arial" w:cs="Arial" w:eastAsia="Arial" w:hAnsi="Arial"/>
          <w:sz w:val="19"/>
          <w:szCs w:val="19"/>
          <w:color w:val="auto"/>
        </w:rPr>
      </w:pPr>
    </w:p>
    <w:p>
      <w:pPr>
        <w:ind w:left="2120" w:hanging="816"/>
        <w:spacing w:after="0"/>
        <w:tabs>
          <w:tab w:leader="none" w:pos="2120" w:val="left"/>
        </w:tabs>
        <w:numPr>
          <w:ilvl w:val="0"/>
          <w:numId w:val="821"/>
        </w:numPr>
        <w:rPr>
          <w:rFonts w:ascii="Arial" w:cs="Arial" w:eastAsia="Arial" w:hAnsi="Arial"/>
          <w:sz w:val="19"/>
          <w:szCs w:val="19"/>
          <w:color w:val="auto"/>
        </w:rPr>
      </w:pPr>
      <w:r>
        <w:rPr>
          <w:rFonts w:ascii="Arial" w:cs="Arial" w:eastAsia="Arial" w:hAnsi="Arial"/>
          <w:sz w:val="19"/>
          <w:szCs w:val="19"/>
          <w:color w:val="auto"/>
        </w:rPr>
        <w:t>If the Parent or any of its Subsidiaries shall become subject to a case (a “</w:t>
      </w:r>
      <w:r>
        <w:rPr>
          <w:rFonts w:ascii="Arial" w:cs="Arial" w:eastAsia="Arial" w:hAnsi="Arial"/>
          <w:sz w:val="19"/>
          <w:szCs w:val="19"/>
          <w:b w:val="1"/>
          <w:bCs w:val="1"/>
          <w:i w:val="1"/>
          <w:iCs w:val="1"/>
          <w:color w:val="auto"/>
        </w:rPr>
        <w:t>Bankruptcy Case</w:t>
      </w:r>
      <w:r>
        <w:rPr>
          <w:rFonts w:ascii="Arial" w:cs="Arial" w:eastAsia="Arial" w:hAnsi="Arial"/>
          <w:sz w:val="19"/>
          <w:szCs w:val="19"/>
          <w:color w:val="auto"/>
        </w:rPr>
        <w:t>”) under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Debtor Relief Law:</w:t>
      </w:r>
    </w:p>
    <w:p>
      <w:pPr>
        <w:spacing w:after="0" w:line="228" w:lineRule="exact"/>
        <w:rPr>
          <w:rFonts w:ascii="Arial" w:cs="Arial" w:eastAsia="Arial" w:hAnsi="Arial"/>
          <w:sz w:val="19"/>
          <w:szCs w:val="19"/>
          <w:color w:val="auto"/>
        </w:rPr>
      </w:pPr>
    </w:p>
    <w:p>
      <w:pPr>
        <w:jc w:val="both"/>
        <w:ind w:left="2600" w:firstLine="648"/>
        <w:spacing w:after="0" w:line="305" w:lineRule="auto"/>
        <w:tabs>
          <w:tab w:leader="none" w:pos="3950" w:val="left"/>
        </w:tabs>
        <w:numPr>
          <w:ilvl w:val="1"/>
          <w:numId w:val="821"/>
        </w:numPr>
        <w:rPr>
          <w:rFonts w:ascii="Arial" w:cs="Arial" w:eastAsia="Arial" w:hAnsi="Arial"/>
          <w:sz w:val="19"/>
          <w:szCs w:val="19"/>
          <w:color w:val="auto"/>
        </w:rPr>
      </w:pPr>
      <w:r>
        <w:rPr>
          <w:rFonts w:ascii="Arial" w:cs="Arial" w:eastAsia="Arial" w:hAnsi="Arial"/>
          <w:sz w:val="19"/>
          <w:szCs w:val="19"/>
          <w:color w:val="auto"/>
        </w:rPr>
        <w:t>if the Notes Collateral Agent desires to permit debtor-in-possession financing (“</w:t>
      </w:r>
      <w:r>
        <w:rPr>
          <w:rFonts w:ascii="Arial" w:cs="Arial" w:eastAsia="Arial" w:hAnsi="Arial"/>
          <w:sz w:val="19"/>
          <w:szCs w:val="19"/>
          <w:b w:val="1"/>
          <w:bCs w:val="1"/>
          <w:i w:val="1"/>
          <w:iCs w:val="1"/>
          <w:color w:val="auto"/>
        </w:rPr>
        <w:t>DIP</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Financing</w:t>
      </w:r>
      <w:r>
        <w:rPr>
          <w:rFonts w:ascii="Arial" w:cs="Arial" w:eastAsia="Arial" w:hAnsi="Arial"/>
          <w:sz w:val="19"/>
          <w:szCs w:val="19"/>
          <w:color w:val="auto"/>
        </w:rPr>
        <w:t>”) secured by a Lien on the Notes Priority Collateral, to be provided by one or more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lenders (the “</w:t>
      </w:r>
      <w:r>
        <w:rPr>
          <w:rFonts w:ascii="Arial" w:cs="Arial" w:eastAsia="Arial" w:hAnsi="Arial"/>
          <w:sz w:val="19"/>
          <w:szCs w:val="19"/>
          <w:b w:val="1"/>
          <w:bCs w:val="1"/>
          <w:i w:val="1"/>
          <w:iCs w:val="1"/>
          <w:color w:val="auto"/>
        </w:rPr>
        <w:t>DIP Lenders</w:t>
      </w:r>
      <w:r>
        <w:rPr>
          <w:rFonts w:ascii="Arial" w:cs="Arial" w:eastAsia="Arial" w:hAnsi="Arial"/>
          <w:sz w:val="19"/>
          <w:szCs w:val="19"/>
          <w:color w:val="auto"/>
        </w:rPr>
        <w:t>”) under Section 364 of the Bankruptcy Code (or any similar provision of any other Debtor Relief Laws) or the use of cash collateral under Section 363 of the Bankruptcy Code (or any similar provision of any other Debtor Relief Laws), then the LC Collateral Agent and the LC Secured Parties hereby agree to consent to and not to object to any such financing or to the Liens on the Notes Priority Collateral securing the same (“</w:t>
      </w:r>
      <w:r>
        <w:rPr>
          <w:rFonts w:ascii="Arial" w:cs="Arial" w:eastAsia="Arial" w:hAnsi="Arial"/>
          <w:sz w:val="19"/>
          <w:szCs w:val="19"/>
          <w:b w:val="1"/>
          <w:bCs w:val="1"/>
          <w:i w:val="1"/>
          <w:iCs w:val="1"/>
          <w:color w:val="auto"/>
        </w:rPr>
        <w:t>DIP Financing Liens</w:t>
      </w:r>
      <w:r>
        <w:rPr>
          <w:rFonts w:ascii="Arial" w:cs="Arial" w:eastAsia="Arial" w:hAnsi="Arial"/>
          <w:sz w:val="19"/>
          <w:szCs w:val="19"/>
          <w:color w:val="auto"/>
        </w:rPr>
        <w:t>”) or to any use of cash collateral that constitutes Notes Priority Collateral, unless the Notes Collateral Agent shall</w:t>
      </w:r>
    </w:p>
    <w:p>
      <w:pPr>
        <w:sectPr>
          <w:pgSz w:w="11900" w:h="16972" w:orient="portrait"/>
          <w:cols w:equalWidth="0" w:num="1">
            <w:col w:w="11240"/>
          </w:cols>
          <w:pgMar w:left="320" w:top="132" w:right="339" w:bottom="0" w:gutter="0" w:footer="0" w:header="0"/>
        </w:sectPr>
      </w:pPr>
    </w:p>
    <w:bookmarkStart w:id="661" w:name="page662"/>
    <w:bookmarkEnd w:id="661"/>
    <w:p>
      <w:pPr>
        <w:jc w:val="both"/>
        <w:ind w:left="1480"/>
        <w:spacing w:after="0" w:line="298" w:lineRule="auto"/>
        <w:rPr>
          <w:sz w:val="20"/>
          <w:szCs w:val="20"/>
          <w:color w:val="auto"/>
        </w:rPr>
      </w:pPr>
      <w:r>
        <w:rPr>
          <w:rFonts w:ascii="Arial" w:cs="Arial" w:eastAsia="Arial" w:hAnsi="Arial"/>
          <w:sz w:val="19"/>
          <w:szCs w:val="19"/>
          <w:color w:val="auto"/>
        </w:rPr>
        <w:t xml:space="preserve">then oppose or object to such DIP Financing or such DIP Financing Liens or use of cash collateral that constitutes Notes Priority Collateral (and (i) to the extent that such DIP Financing Liens are senior to the Liens on any such Notes Priority Collateral for the benefit of the Notes Secured Parties, each LC Secured Party will subordinate its Liens with respect to such Notes Priority Collateral on the same terms as the Liens of the Notes Secured Parties (other than any Liens of any LC Secured Party constituting DIP Financing Liens) are subordinated thereto and to any “carve out” for the payment of professional fees, clerk fees, and United States trustee fees (or any other administration charge, directors’ and officers’ charge or similar court ordered priority charge under applicable Debtor Relief Laws) and (ii) to the extent that such DIP Financing Liens rank pari passu with the Liens on any such Notes Priority Collateral granted to secure the Notes Obligations of the Notes Secured Parties, each LC Secured Party will confirm the priorities with respect to such Notes Priority Collateral as set forth herein, in each case so long as (A) the Notes Secured Parties retain the benefit of their Liens on all such Notes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LC Secured Parties are granted junior Liens on any additional collateral pledged to any Notes Secured Party as adequate protection or otherwise in connection with such DIP Financing or use of cash collateral, (C) if any amount of such DIP Financing or cash collateral is applied to repay any of the Notes Obligations, such amount is applied pursuant to Section 2.01(a) of this Agreement, and (D) if any Notes Secured Parties are granted adequate protection, including in the form of periodic payments, in connection with such DIP Financing or use of cash collateral, the proceeds of such adequate protection are applied pursuant to Section 2.01(a)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LC Secured Parties shall have a right to object to the grant of a Lien (i) to secure the DIP Financing over any Collateral that shall not constitute Notes Priority Collateral and (ii) in respect of any additional Collateral that would not constitute Notes Priority Collateral hereunder were it pledged for the benefit of the Notes Secured Parties pursuant to the Notes Security Documents to any Notes Secured Party as adequate protection, for use of cash collateral, or otherwise, as set forth in clause (B) above; and</w:t>
      </w:r>
    </w:p>
    <w:p>
      <w:pPr>
        <w:spacing w:after="0" w:line="200" w:lineRule="exact"/>
        <w:rPr>
          <w:sz w:val="20"/>
          <w:szCs w:val="20"/>
          <w:color w:val="auto"/>
        </w:rPr>
      </w:pPr>
    </w:p>
    <w:p>
      <w:pPr>
        <w:spacing w:after="0" w:line="251" w:lineRule="exact"/>
        <w:rPr>
          <w:sz w:val="20"/>
          <w:szCs w:val="20"/>
          <w:color w:val="auto"/>
        </w:rPr>
      </w:pPr>
    </w:p>
    <w:p>
      <w:pPr>
        <w:jc w:val="both"/>
        <w:ind w:left="1480" w:firstLine="648"/>
        <w:spacing w:after="0" w:line="298" w:lineRule="auto"/>
        <w:tabs>
          <w:tab w:leader="none" w:pos="2911" w:val="left"/>
        </w:tabs>
        <w:numPr>
          <w:ilvl w:val="0"/>
          <w:numId w:val="822"/>
        </w:numPr>
        <w:rPr>
          <w:rFonts w:ascii="Arial" w:cs="Arial" w:eastAsia="Arial" w:hAnsi="Arial"/>
          <w:sz w:val="19"/>
          <w:szCs w:val="19"/>
          <w:color w:val="auto"/>
        </w:rPr>
      </w:pPr>
      <w:r>
        <w:rPr>
          <w:rFonts w:ascii="Arial" w:cs="Arial" w:eastAsia="Arial" w:hAnsi="Arial"/>
          <w:sz w:val="19"/>
          <w:szCs w:val="19"/>
          <w:color w:val="auto"/>
        </w:rPr>
        <w:t xml:space="preserve">if the LC Collateral Agent desires to permit a DIP Financing secured by a Lien on LC Priority Collateral, to be provided by DIP Lenders under Section 364 of the Bankruptcy Code (or any similar provision of any other Debtor Relief Laws) or the use of cash collateral under Section 363 of the Bankruptcy Code (or any similar provision of any other Debtor Relief Laws), then the Notes Collateral Agent and the Notes Secured Parties hereby agree not to object to any such financing or to the DIP Financing Liens on the LC Priority Collateral securing the same or to any use of cash collateral that constitutes LC Priority Collateral, unless the LC Collateral Agent shall then oppose or object to such DIP Financing or such DIP Financing Liens or use of cash collateral that constitutes LC Priority Collateral (and (i) to the extent that such DIP Financing Liens are senior to the Liens on any such LC Priority Collateral for the benefit of the LC Secured Parties, each Notes Secured Party will subordinate its Liens with respect to such LC Priority Collateral on the same terms as the Liens of the LC Secured Parties (other than any Liens of any Notes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on any such LC Priority Collateral granted to secure the LC Obligations of the LC Secured Parties, each Notes Secured Party will confirm the priorities with respect to such LC Priority Collateral as set forth herein), in each case so long as (A) the Notes Secured Parties retain the benefit of their Liens on all such LC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Notes Secured Parties are granted Liens on any additional collateral pledged to any LC Secured Party as adequate protection or otherwise in connection with such DIP Financing or use of cash collateral, (C) if any amount of such DIP Financing or cash collateral is applied to repay any of the LC Obligations, such amount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and (D) if any LC Secured Parties are granted adequate protection, including in the form of periodic payments, in connection with such DIP Financing or use of cash collateral, the proceeds of such adequate protection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Notes Secured Parties shall have a right to object to the grant of a Lien (i) to secure the DIP Financing over any Collateral that shall not constitute LC Priority Collateral and (ii) in respect of any additional Collateral that would not</w:t>
      </w:r>
    </w:p>
    <w:p>
      <w:pPr>
        <w:sectPr>
          <w:pgSz w:w="11900" w:h="16838" w:orient="portrait"/>
          <w:cols w:equalWidth="0" w:num="1">
            <w:col w:w="10120"/>
          </w:cols>
          <w:pgMar w:left="1440" w:top="132" w:right="339" w:bottom="0" w:gutter="0" w:footer="0" w:header="0"/>
        </w:sectPr>
      </w:pPr>
    </w:p>
    <w:bookmarkStart w:id="662" w:name="page663"/>
    <w:bookmarkEnd w:id="662"/>
    <w:p>
      <w:pPr>
        <w:spacing w:after="0" w:line="53" w:lineRule="exact"/>
        <w:rPr>
          <w:sz w:val="20"/>
          <w:szCs w:val="20"/>
          <w:color w:val="auto"/>
        </w:rPr>
      </w:pPr>
    </w:p>
    <w:p>
      <w:pPr>
        <w:jc w:val="both"/>
        <w:ind w:left="1480"/>
        <w:spacing w:after="0" w:line="327" w:lineRule="auto"/>
        <w:rPr>
          <w:sz w:val="20"/>
          <w:szCs w:val="20"/>
          <w:color w:val="auto"/>
        </w:rPr>
      </w:pPr>
      <w:r>
        <w:rPr>
          <w:rFonts w:ascii="Arial" w:cs="Arial" w:eastAsia="Arial" w:hAnsi="Arial"/>
          <w:sz w:val="19"/>
          <w:szCs w:val="19"/>
          <w:color w:val="auto"/>
        </w:rPr>
        <w:t>constitute LC Priority Collateral hereunder were it pledged for the benefit of the LC Secured Parties pursuant to the LC Security Documents to any LC Facility Secured Party as adequate protection, for use of cash collateral, or otherwise, as set forth in clause (B) above).</w:t>
      </w:r>
    </w:p>
    <w:p>
      <w:pPr>
        <w:spacing w:after="0" w:line="133" w:lineRule="exact"/>
        <w:rPr>
          <w:sz w:val="20"/>
          <w:szCs w:val="20"/>
          <w:color w:val="auto"/>
        </w:rPr>
      </w:pPr>
    </w:p>
    <w:p>
      <w:pPr>
        <w:jc w:val="both"/>
        <w:ind w:left="1480" w:firstLine="648"/>
        <w:spacing w:after="0" w:line="279" w:lineRule="auto"/>
        <w:tabs>
          <w:tab w:leader="none" w:pos="2897" w:val="left"/>
        </w:tabs>
        <w:numPr>
          <w:ilvl w:val="1"/>
          <w:numId w:val="823"/>
        </w:numPr>
        <w:rPr>
          <w:rFonts w:ascii="Arial" w:cs="Arial" w:eastAsia="Arial" w:hAnsi="Arial"/>
          <w:sz w:val="21"/>
          <w:szCs w:val="21"/>
          <w:color w:val="auto"/>
        </w:rPr>
      </w:pPr>
      <w:r>
        <w:rPr>
          <w:rFonts w:ascii="Arial" w:cs="Arial" w:eastAsia="Arial" w:hAnsi="Arial"/>
          <w:sz w:val="21"/>
          <w:szCs w:val="21"/>
          <w:color w:val="auto"/>
        </w:rPr>
        <w:t>No Junior Secured Obligations Secured Party will directly or indirectly propose or support any DIP Financing secured by a Lien senior or prior to the Liens of the Senior Secured Obligations Secured Parties on the Senior Secured Obligations Collateral unless such DIP Financing provides for the Discharge of the Senior Secured Obligations.</w:t>
      </w:r>
    </w:p>
    <w:p>
      <w:pPr>
        <w:spacing w:after="0" w:line="173" w:lineRule="exact"/>
        <w:rPr>
          <w:rFonts w:ascii="Arial" w:cs="Arial" w:eastAsia="Arial" w:hAnsi="Arial"/>
          <w:sz w:val="21"/>
          <w:szCs w:val="21"/>
          <w:color w:val="auto"/>
        </w:rPr>
      </w:pPr>
    </w:p>
    <w:p>
      <w:pPr>
        <w:jc w:val="both"/>
        <w:ind w:left="-1120" w:firstLine="1304"/>
        <w:spacing w:after="0" w:line="300" w:lineRule="auto"/>
        <w:tabs>
          <w:tab w:leader="none" w:pos="990" w:val="left"/>
        </w:tabs>
        <w:numPr>
          <w:ilvl w:val="0"/>
          <w:numId w:val="824"/>
        </w:numPr>
        <w:rPr>
          <w:rFonts w:ascii="Arial" w:cs="Arial" w:eastAsia="Arial" w:hAnsi="Arial"/>
          <w:sz w:val="19"/>
          <w:szCs w:val="19"/>
          <w:color w:val="auto"/>
        </w:rPr>
      </w:pPr>
      <w:r>
        <w:rPr>
          <w:rFonts w:ascii="Arial" w:cs="Arial" w:eastAsia="Arial" w:hAnsi="Arial"/>
          <w:sz w:val="19"/>
          <w:szCs w:val="19"/>
          <w:color w:val="auto"/>
        </w:rPr>
        <w:t>The Applicable Junior Collateral Agent and each Junior Secured Obligations Secured Party agrees that it will not object to and will not otherwise contest: (i) any motion for relief from the automatic stay or any other stay in any Insolvency or Liquidation Proceeding (including by way of moratorium) or from any injunction against foreclosure or enforcement in respect of the Senior Secured Obligations made by the Applicable Senior Collateral Agent or any Senior Secured Obligations Secured Party; (ii) any lawful exercise by any holder of Senior Claims of the right to credit bid Senior Claims in any sale of Collateral that is Senior Secured Obligations Collateral with respect to such Senior Claims; (iii) any other request for judicial relief made in any court by the Applicable Senior Collateral Agent or any Senior Secured Obligations Secured Party relating to the lawful enforcement of any Lien on the Senior Secured Obligations Collateral; (iv) and will consent to any sale or other disposition (or related order) of any Senior Secured Obligations Collateral (or any portion thereof) under Section 363 of the Bankruptcy Code or any other provision of the Bankruptcy Code (or any equivalent action under any other Debtor Relief Law) if the Senior Secured Obligations Secured Parties shall have consented to such sale or disposition (or related order) of such Senior Secured Obligations Collateral if such sale or other disposition is not free and clear of the Liens securing the Junior Secured Obligations or (v) any sale or other disposition (or related order) of any Senior Secured Obligations Collateral (or any portion thereof) under Section 363 of the Bankruptcy Code or any other equivalent provision of the Bankruptcy Code (or any other provision under any other Debtor Relief Law) if the Senior Secured Obligations Secured Parties shall have consented, and the related court order provides that, to the extent the sale is to be free and clear of Liens, the Liens securing the Senior Secured Obligations and the Junior Secured Obligations will attach to the proceeds of the sale on the same basis of priority as the Liens securing such Obligations on the assets being sold, in accordance with this Agreement.</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left="-1120" w:firstLine="1304"/>
        <w:spacing w:after="0" w:line="274" w:lineRule="auto"/>
        <w:tabs>
          <w:tab w:leader="none" w:pos="978" w:val="left"/>
        </w:tabs>
        <w:numPr>
          <w:ilvl w:val="0"/>
          <w:numId w:val="824"/>
        </w:numPr>
        <w:rPr>
          <w:rFonts w:ascii="Arial" w:cs="Arial" w:eastAsia="Arial" w:hAnsi="Arial"/>
          <w:sz w:val="21"/>
          <w:szCs w:val="21"/>
          <w:color w:val="auto"/>
        </w:rPr>
      </w:pPr>
      <w:r>
        <w:rPr>
          <w:rFonts w:ascii="Arial" w:cs="Arial" w:eastAsia="Arial" w:hAnsi="Arial"/>
          <w:sz w:val="21"/>
          <w:szCs w:val="21"/>
          <w:color w:val="auto"/>
        </w:rPr>
        <w:t>The Applicable Junior Collateral Agent and each Junior Secured Obligations Secured Party agrees that it will not seek relief from the automatic stay or any other stay in any Insolvency or Liquidation Proceeding (including by way of moratorium) with respect to Senior Secured Obligations Collateral without the prior consent of the Applicable Senior Collateral Agent, unless, and solely to the extent that, the Applicable Senior Collateral Agent or Senior Secured Obligations Secured Party shall obtain relief from the automatic stay (or any other stay in any Insolvency or Liquidation Proceeding) with respect to such collateral to commence a lien enforcement action.</w:t>
      </w:r>
    </w:p>
    <w:p>
      <w:pPr>
        <w:spacing w:after="0" w:line="181" w:lineRule="exact"/>
        <w:rPr>
          <w:rFonts w:ascii="Arial" w:cs="Arial" w:eastAsia="Arial" w:hAnsi="Arial"/>
          <w:sz w:val="21"/>
          <w:szCs w:val="21"/>
          <w:color w:val="auto"/>
        </w:rPr>
      </w:pPr>
    </w:p>
    <w:p>
      <w:pPr>
        <w:jc w:val="both"/>
        <w:ind w:left="-1120" w:firstLine="1304"/>
        <w:spacing w:after="0" w:line="298" w:lineRule="auto"/>
        <w:tabs>
          <w:tab w:leader="none" w:pos="904" w:val="left"/>
        </w:tabs>
        <w:numPr>
          <w:ilvl w:val="0"/>
          <w:numId w:val="824"/>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it will not, other than as set forth in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object to and will not otherwise contest (or support any other Person contesting): (i) any request by the Applicable Senior Collateral Agent or any Senior Secured Obligations Secured Party for adequate protection;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Notes Secured Party, solely in its capacity as a Senior Secured Obligations Secured Party, may object to adequate protection in the form of cash payments to the extent such payment is sought to be paid from Notes Priority Collateral, any DIP Financing under </w:t>
      </w:r>
      <w:r>
        <w:rPr>
          <w:rFonts w:ascii="Arial" w:cs="Arial" w:eastAsia="Arial" w:hAnsi="Arial"/>
          <w:sz w:val="19"/>
          <w:szCs w:val="19"/>
          <w:u w:val="single" w:color="auto"/>
          <w:color w:val="auto"/>
        </w:rPr>
        <w:t>Section 2.06(b)(i)</w:t>
      </w:r>
      <w:r>
        <w:rPr>
          <w:rFonts w:ascii="Arial" w:cs="Arial" w:eastAsia="Arial" w:hAnsi="Arial"/>
          <w:sz w:val="19"/>
          <w:szCs w:val="19"/>
          <w:color w:val="auto"/>
        </w:rPr>
        <w:t xml:space="preserve"> or the proceeds thereof and (2) any LC Secured Party, solely in its capacity as a Senior Secured Obligations Secured Party, may object to adequate protection in the form of cash payments to the extent such payment is sought to be paid from LC Priority Collateral, any DIP Financing under </w:t>
      </w:r>
      <w:r>
        <w:rPr>
          <w:rFonts w:ascii="Arial" w:cs="Arial" w:eastAsia="Arial" w:hAnsi="Arial"/>
          <w:sz w:val="19"/>
          <w:szCs w:val="19"/>
          <w:u w:val="single" w:color="auto"/>
          <w:color w:val="auto"/>
        </w:rPr>
        <w:t>Section 2.06(b)(ii)</w:t>
      </w:r>
      <w:r>
        <w:rPr>
          <w:rFonts w:ascii="Arial" w:cs="Arial" w:eastAsia="Arial" w:hAnsi="Arial"/>
          <w:sz w:val="19"/>
          <w:szCs w:val="19"/>
          <w:color w:val="auto"/>
        </w:rPr>
        <w:t xml:space="preserve"> or the proceeds thereof or (ii) any objection by the Applicable Senior Collateral Agent or any Senior Secured Obligations Secured Party to any motion, relief, action or proceeding based on the Applicable Senior Collateral Agent or any Senior Secured Obligations Secured Party claiming a lack of adequate protection. Notwithstanding the foregoing, in any Insolvency or Liquidation Proceeding, (x) if the Senior Secured Obligations Secured Parties (or any subset thereof) are granted adequate protection in the form of a replacement lien or additional collateral in connection with any DIP Financing or use of cash collateral under Section 363 or Section 364 of the Bankruptcy Code or any similar law, then the Applicable Junior Collateral Agent may seek or request adequate protection in the form of a replacement Lien on such additional collateral, so long as, with respect to the Senior Secured Obligations Collateral, such Lien is subordinated to the Liens securing the Senior Secured Obligations and such DIP Financing (and all obligations relating thereto), on the same basis as the other Liens securing Junior Secured Obligations on the Senior Secured Obligations Collateral are subordinated to the Liens on Senior Secured Obligations Collateral securing the Senior Secured Obligations under this Agreement; (y) in the event the Applicable Junior Collateral Agent seeks or requests adequate protection and such adequate protection is granted in the form of a replacement lien or additional collateral, then the Applicable Junior Collateral Agent and the Junior Secured Obligations Secured Parties hereby agree that the Senior Secured Obligations Secured Parties shall also be granted a Lien on such additional collateral as security for the Senior Secured Obligations and any such DIP Financing and that any Lien on such additional collateral that constitutes Senior Secured Obligations Collateral securing the Junior Secured Obligations shall be subordinated to the Liens on such collateral securing the Senior Secured Obligations and any such DIP Financing (and all obligations relating thereto) and any other Liens on Senior Secured Obligations Collateral granted to the holders of Senior Secured Obligations as adequate protection on the same basis as the Liens securing Junior Secured Obligations are so subordinated to the Liens securing the Senior Secured Obligations under this Agreement; (z)</w:t>
      </w:r>
    </w:p>
    <w:p>
      <w:pPr>
        <w:sectPr>
          <w:pgSz w:w="11900" w:h="16892" w:orient="portrait"/>
          <w:cols w:equalWidth="0" w:num="1">
            <w:col w:w="10120"/>
          </w:cols>
          <w:pgMar w:left="1440" w:top="132" w:right="339" w:bottom="0" w:gutter="0" w:footer="0" w:header="0"/>
        </w:sectPr>
      </w:pPr>
    </w:p>
    <w:bookmarkStart w:id="663" w:name="page664"/>
    <w:bookmarkEnd w:id="663"/>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any adequate protection granted in favor of any Senior Secured Obligations Secured Party in the form of a superpriority or other administrative expense claim and any claim in favor of any Senior Secured Obligations Secured Party arising under Section 507(b) of the Bankruptcy Code (or similar Debtor Relief Laws) (collectively, “</w:t>
      </w:r>
      <w:r>
        <w:rPr>
          <w:rFonts w:ascii="Arial" w:cs="Arial" w:eastAsia="Arial" w:hAnsi="Arial"/>
          <w:sz w:val="21"/>
          <w:szCs w:val="21"/>
          <w:u w:val="single" w:color="auto"/>
          <w:color w:val="auto"/>
        </w:rPr>
        <w:t>Senior 507(b) Claims</w:t>
      </w:r>
      <w:r>
        <w:rPr>
          <w:rFonts w:ascii="Arial" w:cs="Arial" w:eastAsia="Arial" w:hAnsi="Arial"/>
          <w:sz w:val="21"/>
          <w:szCs w:val="21"/>
          <w:color w:val="auto"/>
        </w:rPr>
        <w:t>”) shall be senior to and have priority of payment over any superpriority or other administrative expense claim and any claim arising under Section 507(b) of the Bankruptcy Code (or similar Debtor Relief Laws) in favor of any Junior Secured Obligations Secured Party (collectively, “</w:t>
      </w:r>
      <w:r>
        <w:rPr>
          <w:rFonts w:ascii="Arial" w:cs="Arial" w:eastAsia="Arial" w:hAnsi="Arial"/>
          <w:sz w:val="21"/>
          <w:szCs w:val="21"/>
          <w:u w:val="single" w:color="auto"/>
          <w:color w:val="auto"/>
        </w:rPr>
        <w:t>Junior 507(b) Claims</w:t>
      </w:r>
      <w:r>
        <w:rPr>
          <w:rFonts w:ascii="Arial" w:cs="Arial" w:eastAsia="Arial" w:hAnsi="Arial"/>
          <w:sz w:val="21"/>
          <w:szCs w:val="21"/>
          <w:color w:val="auto"/>
        </w:rPr>
        <w:t xml:space="preserve">”). The holders of the Junior 507(b) Claims agree that, in connection with any Plan of Reorganization in any Insolvency or Liquidation Proceeding, such Junior 507(b) Claims may be paid in any combination of cash, securities, or other property having a present value equal to the amount of such Junior 507(b) Claims as of the effective date of such plan. For the avoidance of doubt, as between the Notes Secured Parties and LC Secured Parties, all Senior 507(b) Claims shall be </w:t>
      </w:r>
      <w:r>
        <w:rPr>
          <w:rFonts w:ascii="Arial" w:cs="Arial" w:eastAsia="Arial" w:hAnsi="Arial"/>
          <w:sz w:val="21"/>
          <w:szCs w:val="21"/>
          <w:i w:val="1"/>
          <w:iCs w:val="1"/>
          <w:color w:val="auto"/>
        </w:rPr>
        <w:t>pari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passu </w:t>
      </w:r>
      <w:r>
        <w:rPr>
          <w:rFonts w:ascii="Arial" w:cs="Arial" w:eastAsia="Arial" w:hAnsi="Arial"/>
          <w:sz w:val="21"/>
          <w:szCs w:val="21"/>
          <w:color w:val="auto"/>
        </w:rPr>
        <w:t>with the Senior 507(b) Claims held by the other Class, and all Junior 507(b) Claims shall be</w:t>
      </w:r>
      <w:r>
        <w:rPr>
          <w:rFonts w:ascii="Arial" w:cs="Arial" w:eastAsia="Arial" w:hAnsi="Arial"/>
          <w:sz w:val="21"/>
          <w:szCs w:val="21"/>
          <w:i w:val="1"/>
          <w:iCs w:val="1"/>
          <w:color w:val="auto"/>
        </w:rPr>
        <w:t xml:space="preserve"> pari passu </w:t>
      </w:r>
      <w:r>
        <w:rPr>
          <w:rFonts w:ascii="Arial" w:cs="Arial" w:eastAsia="Arial" w:hAnsi="Arial"/>
          <w:sz w:val="21"/>
          <w:szCs w:val="21"/>
          <w:color w:val="auto"/>
        </w:rPr>
        <w:t>with the Junior</w:t>
      </w:r>
      <w:r>
        <w:rPr>
          <w:rFonts w:ascii="Arial" w:cs="Arial" w:eastAsia="Arial" w:hAnsi="Arial"/>
          <w:sz w:val="21"/>
          <w:szCs w:val="21"/>
          <w:i w:val="1"/>
          <w:iCs w:val="1"/>
          <w:color w:val="auto"/>
        </w:rPr>
        <w:t xml:space="preserve"> </w:t>
      </w:r>
      <w:r>
        <w:rPr>
          <w:rFonts w:ascii="Arial" w:cs="Arial" w:eastAsia="Arial" w:hAnsi="Arial"/>
          <w:sz w:val="21"/>
          <w:szCs w:val="21"/>
          <w:color w:val="auto"/>
        </w:rPr>
        <w:t>507(b) Claims held by the other Class.</w:t>
      </w:r>
    </w:p>
    <w:p>
      <w:pPr>
        <w:spacing w:after="0" w:line="187" w:lineRule="exact"/>
        <w:rPr>
          <w:sz w:val="20"/>
          <w:szCs w:val="20"/>
          <w:color w:val="auto"/>
        </w:rPr>
      </w:pPr>
    </w:p>
    <w:p>
      <w:pPr>
        <w:jc w:val="both"/>
        <w:ind w:firstLine="1304"/>
        <w:spacing w:after="0" w:line="304" w:lineRule="auto"/>
        <w:tabs>
          <w:tab w:leader="none" w:pos="2058" w:val="left"/>
        </w:tabs>
        <w:numPr>
          <w:ilvl w:val="0"/>
          <w:numId w:val="825"/>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 it will not oppose or seek to challenge any claim by the Applicable Senior Collateral Agent or any Senior Secured Obligations Secured Party for allowance of Senior Secured Obligations consisting of post-petition interest, costs, fees, charges, or expenses and (ii) until the Discharge of Senior Secured Obligations has occurred, the Applicable Junior Collateral Agent, on behalf of itself and the Junior Secured Obligations Secured Parties, will not assert or enforce any claim under Section 506(c) of the Bankruptcy Code (or any similar provision of any other Debtor Relief Laws) senior to or on a parity with the Liens on Senior Secured Obligations Collateral securing the Senior Secured Obligations for costs or expenses of preserving or disposing of any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any amounts received by the Applicable Senior Collateral Agent pursuant to such a claim shall in all cases be subject to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298" w:lineRule="auto"/>
        <w:tabs>
          <w:tab w:leader="none" w:pos="2132" w:val="left"/>
        </w:tabs>
        <w:numPr>
          <w:ilvl w:val="0"/>
          <w:numId w:val="825"/>
        </w:numPr>
        <w:rPr>
          <w:rFonts w:ascii="Arial" w:cs="Arial" w:eastAsia="Arial" w:hAnsi="Arial"/>
          <w:sz w:val="19"/>
          <w:szCs w:val="19"/>
          <w:color w:val="auto"/>
        </w:rPr>
      </w:pPr>
      <w:r>
        <w:rPr>
          <w:rFonts w:ascii="Arial" w:cs="Arial" w:eastAsia="Arial" w:hAnsi="Arial"/>
          <w:sz w:val="19"/>
          <w:szCs w:val="19"/>
          <w:color w:val="auto"/>
        </w:rPr>
        <w:t>The LC Collateral Agent, on behalf of the LC Secured Parties, and the Notes Collateral Agent, on behalf of the Notes Secured Parties, acknowledge and intend that the grants of Liens pursuant to the LC Security Documents, on the one hand, and the Notes Security Documents, on the other hand, constitute separate and distinct grants of Liens, and because of, among other things, their differing rights in the Collateral, the LC Obligations are fundamentally different from the Notes Obligations and must be separately classified in any Plan of Reorganization proposed or confirmed (or approved) in an Insolvency or Liquidation Proceeding. To further effectuate the intent of the parties as provided in the immediately preceding sentence, if it is held that the claims of the Notes Secured Parties and the LC Secured Parties in respect of any Collateral constitute claims in the same class (rather than separate classes of senior and junior secured claims), then the Notes Secured Parties and the LC Secured Parties hereby acknowledge and agree that all distributions shall be made as if there were separate classes of Notes Obligations and LC Obligations against the Grantors (with the effect being that, to the extent that the aggregate value of the Notes Priority Collateral or the LC Priority Collateral is sufficient (for this purpose ignoring all claims held by the other Secured Parties for whom such Collateral is Junior Secured Obligations Collateral), the Notes Secured Parties or the LC Secured Parties, respectively, shall be entitled to receive, in addition to amounts distributed to them in respect of principal, pre-petition interest and other claims, all amounts owing in respect of post-petition interest, costs, fees, charges, or expenses that are available from the Senior Secured Obligations Collateral for each of the Notes Secured Parties and the LC Secured Parties, respectively, before any distribution is made in respect of the Junior Claims with respect to such Collateral, with the holder of such Junior Claims hereby acknowledging and agreeing to turn over to the Junior Secured Obligations Secured Parties amounts otherwise received or receivable by them to the extent necessary to effectuate the intent of this sentence, even if such turnover has the effect of reducing the aggregate recoveries). Additionally, to further effectuate the intent of the parties as provided in this subsection, if it is held that the claims of any of the LC Secured Parties, on the one hand, and the Notes Secured Parties, on the other hand, constitute claims in the same class (rather than separate classes of secured claims), then the Notes Secured Parties hereby acknowledge and agree to vote to reject such plan of reorganization or similar dispositive restructuring plan unless LC Secured Parties greater than half in number and holding greater than two-thirds in amount of the LC Obligations agree to accept such plan or such plan provides for the Discharge of LC Obligations. The Notes Collateral Agent (on behalf of all the Notes Secured Parties) agrees it shall not object to or contest (or support any other party in objection or contesting) a plan of reorganization or other dispositive restructuring plan on the grounds that the LC Obligations and Notes Obligations are classified separately. The Notes Collateral Agent (on behalf of all the Notes Secured Parties) agrees that in any Insolvency or Liquidation Proceeding, neither it nor any other Notes Secured Party shall support or vote to accept any plan of reorganization of the Borrower or any other Grantor unless the plan of reorganization is accepted by the LC Secured Parties in accordance with Section 1126(e) of the Bankruptcy Code or otherwise provides for the Discharge of LC Obligations on the effective date of such plan of reorganization. Except as provided herein, the Notes Secured Parties shall remain entitled to vote their claims in any such Insolvency or Liquidation Proceeding.</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firstLine="1304"/>
        <w:spacing w:after="0" w:line="273" w:lineRule="auto"/>
        <w:tabs>
          <w:tab w:leader="none" w:pos="2272" w:val="left"/>
        </w:tabs>
        <w:numPr>
          <w:ilvl w:val="0"/>
          <w:numId w:val="825"/>
        </w:numPr>
        <w:rPr>
          <w:rFonts w:ascii="Arial" w:cs="Arial" w:eastAsia="Arial" w:hAnsi="Arial"/>
          <w:sz w:val="21"/>
          <w:szCs w:val="21"/>
          <w:color w:val="auto"/>
        </w:rPr>
      </w:pPr>
      <w:r>
        <w:rPr>
          <w:rFonts w:ascii="Arial" w:cs="Arial" w:eastAsia="Arial" w:hAnsi="Arial"/>
          <w:sz w:val="21"/>
          <w:szCs w:val="21"/>
          <w:color w:val="auto"/>
        </w:rPr>
        <w:t>If, in any Insolvency or Liquidation Proceeding, debt obligations of the reorganized debtor secured by Liens upon any property of the reorganized debtor are distributed pursuant to a Plan of Reorganization (or any form of Court-sanctioned restructuring permitted under any applicable law), both on account of the Notes Obligations and on account of the LC Obligations, then, to the extent the debt obligations distributed on account of the Notes Obligations and on account of the LC Obligations are secured by Liens upon the Collateral, the provisions of this Agreement will survive the distribution of such debt obligations pursuant to such plan and will apply with like effect to the debt obligations so distributed, to the Liens securing such debt obligations and the distribution of proceeds thereof.</w:t>
      </w:r>
    </w:p>
    <w:p>
      <w:pPr>
        <w:sectPr>
          <w:pgSz w:w="11900" w:h="16943" w:orient="portrait"/>
          <w:cols w:equalWidth="0" w:num="1">
            <w:col w:w="11240"/>
          </w:cols>
          <w:pgMar w:left="320" w:top="132" w:right="339" w:bottom="0" w:gutter="0" w:footer="0" w:header="0"/>
        </w:sectPr>
      </w:pPr>
    </w:p>
    <w:bookmarkStart w:id="664" w:name="page665"/>
    <w:bookmarkEnd w:id="664"/>
    <w:p>
      <w:pPr>
        <w:spacing w:after="0" w:line="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Notwithstanding anything to the contrary contained herein, if in any Insolvency or Liquidation Proceeding a determination is made that any Lien encumbering any Collateral is not enforceable for any reason, then each of the LC Collateral Agent and the Notes Collateral Agent for themselves and on behalf of their respective Secured Parties agrees that, any distribution or recovery they may receive in respect of any Collateral (including assets that would constitute Collateral but for such determination) shall be segregated and held in trust and forthwith paid over to the LC Collateral Agent or the Notes Collateral Agent, as the case may be, in the same form as received without recourse, representation or warranty (other than a representation of such Collateral Agent that it has not otherwise sold, assigned, transferred or pledged any right, title or interest in and to such distribution or recovery) but with any necessary endorsements or as a court of competent jurisdiction may otherwise direct in order to comply with the priority provisions set forth in Section 2.01</w:t>
      </w:r>
    </w:p>
    <w:p>
      <w:pPr>
        <w:spacing w:after="0" w:line="183" w:lineRule="exact"/>
        <w:rPr>
          <w:sz w:val="20"/>
          <w:szCs w:val="20"/>
          <w:color w:val="auto"/>
        </w:rPr>
      </w:pPr>
    </w:p>
    <w:p>
      <w:pPr>
        <w:jc w:val="both"/>
        <w:ind w:firstLine="1304"/>
        <w:spacing w:after="0" w:line="302" w:lineRule="auto"/>
        <w:tabs>
          <w:tab w:leader="none" w:pos="2220" w:val="left"/>
        </w:tabs>
        <w:numPr>
          <w:ilvl w:val="0"/>
          <w:numId w:val="826"/>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Sections 2.02(a) and 2.02(b), 2.04(a) and 2.06(b), (c) (e) and (f) or otherwise, both before and during an Insolvency or Liquidation Proceeding, any of the Junior Secured Obligations Secured Parties may take any actions and exercise any and all rights that would be available to a holder of unsecured claims, including, without limitation, the commencement of an Insolvency or Liquidation Proceeding against any Grantor in accordance with applicable law (including the Debtor Relief Laws of any applicable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Junior Secured Obligations Secured Parties may not take any of the actions that is inconsistent with the terms of this Agreement, including without limitation, such actions prohibited by Sections 2.02(a) and 2.02(b), Section 2.04(a) or Section 2.06(b), (c), (e) and (f);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in the event that any of the Junior Secured Obligations Secured Parties becomes a judgment lien creditor in respect of any Collateral as a result of its enforcement of its rights as an unsecured creditor with respect to the Junior Secured Obligations, such judgment lien shall be subject to the terms of this Agreement for all purposes (including in relation to the Senior Secured Obligations) as the other Liens securing the Junior Secured Obligations are subject to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b w:val="1"/>
          <w:bCs w:val="1"/>
          <w:i w:val="1"/>
          <w:iCs w:val="1"/>
          <w:color w:val="auto"/>
        </w:rPr>
        <w:t>g. Reinstatement</w:t>
      </w:r>
      <w:r>
        <w:rPr>
          <w:rFonts w:ascii="Arial" w:cs="Arial" w:eastAsia="Arial" w:hAnsi="Arial"/>
          <w:sz w:val="22"/>
          <w:szCs w:val="22"/>
          <w:color w:val="auto"/>
        </w:rPr>
        <w:t>. In the event that any of the Senior Secured Obligations shall be paid in full and such payment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any part thereof shall subsequently, for whatever reason (including an order or judgment for disgorgement of a preference under any Debtor Relief Law, or the settlement of any claim in respect thereof), be required to be returned or repaid, the terms and conditions of this Article II shall be fully applicable thereto until all such Senior Secured Obligations shall again have been irrevocably paid in full in cash.</w:t>
      </w:r>
    </w:p>
    <w:p>
      <w:pPr>
        <w:spacing w:after="0" w:line="191" w:lineRule="exact"/>
        <w:rPr>
          <w:sz w:val="20"/>
          <w:szCs w:val="20"/>
          <w:color w:val="auto"/>
        </w:rPr>
      </w:pPr>
    </w:p>
    <w:p>
      <w:pPr>
        <w:ind w:left="1540" w:hanging="236"/>
        <w:spacing w:after="0"/>
        <w:tabs>
          <w:tab w:leader="none" w:pos="1540" w:val="left"/>
        </w:tabs>
        <w:numPr>
          <w:ilvl w:val="1"/>
          <w:numId w:val="82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i w:val="1"/>
          <w:iCs w:val="1"/>
          <w:color w:val="auto"/>
        </w:rPr>
      </w:pPr>
    </w:p>
    <w:p>
      <w:pPr>
        <w:jc w:val="both"/>
        <w:ind w:firstLine="1304"/>
        <w:spacing w:after="0" w:line="302" w:lineRule="auto"/>
        <w:tabs>
          <w:tab w:leader="none" w:pos="1491" w:val="left"/>
        </w:tabs>
        <w:numPr>
          <w:ilvl w:val="1"/>
          <w:numId w:val="82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Insurance</w:t>
      </w:r>
      <w:r>
        <w:rPr>
          <w:rFonts w:ascii="Arial" w:cs="Arial" w:eastAsia="Arial" w:hAnsi="Arial"/>
          <w:sz w:val="19"/>
          <w:szCs w:val="19"/>
          <w:color w:val="auto"/>
        </w:rPr>
        <w:t>. Unless and until the Notes Obligations have been Discharged, as between the Notes Collateral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Agent, on the one hand, and the LC Collateral Agent, on the other hand, only the Notes Collateral Agent will have the right (subject to the rights of the Grantors under the Notes Documents and the LC Documents) to adjust or settle any insurance policy or claim covering or constituting Notes Priority Collateral in the event of any loss thereunder and to approve any award granted in any condemnation or similar proceeding affecting the Notes Priority Collateral. Unless and until the LC Obligations have been Discharged, as between the Notes Collateral Agent, on the one hand, and the LC Collateral Agent, on the other hand, only the LC Collateral Agent will have the right (subject to the rights of the Grantors under the Notes Documents and the LC Documents) to adjust or settle any insurance policy covering or constituting LC Priority Collateral in the event of any loss thereunder and to approve any award granted in any condemnation or similar proceeding solely affecting the LC Priority Collateral. To the extent that an insured loss covers or constitutes Notes Priority Collateral and LC Priority Collateral, then the Notes Collateral Agent and the LC Collateral Agent will work jointly and in good faith to collect, adjust or settle (subject to the rights of the Grantors under the Notes Documents and the LC Obligations Documents) under the relevant insurance policy.</w:t>
      </w:r>
    </w:p>
    <w:p>
      <w:pPr>
        <w:spacing w:after="0" w:line="156" w:lineRule="exact"/>
        <w:rPr>
          <w:rFonts w:ascii="Arial" w:cs="Arial" w:eastAsia="Arial" w:hAnsi="Arial"/>
          <w:sz w:val="19"/>
          <w:szCs w:val="19"/>
          <w:b w:val="1"/>
          <w:bCs w:val="1"/>
          <w:i w:val="1"/>
          <w:iCs w:val="1"/>
          <w:color w:val="auto"/>
        </w:rPr>
      </w:pPr>
    </w:p>
    <w:p>
      <w:pPr>
        <w:jc w:val="both"/>
        <w:ind w:firstLine="1304"/>
        <w:spacing w:after="0" w:line="296" w:lineRule="auto"/>
        <w:tabs>
          <w:tab w:leader="none" w:pos="1464" w:val="left"/>
        </w:tabs>
        <w:numPr>
          <w:ilvl w:val="1"/>
          <w:numId w:val="82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Refinancings</w:t>
      </w:r>
      <w:r>
        <w:rPr>
          <w:rFonts w:ascii="Arial" w:cs="Arial" w:eastAsia="Arial" w:hAnsi="Arial"/>
          <w:sz w:val="19"/>
          <w:szCs w:val="19"/>
          <w:color w:val="auto"/>
        </w:rPr>
        <w:t>. Each of the Notes Obligations and the LC Obligations and the agreements governing them may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be Refinanced, in each case without notice to, or the consent (except to the extent a consent is otherwise required to permit the Refinancing transaction under any Notes Document or any LC Obligations Document, as in effect on the date hereof or as may be amended in accordance with the terms hereof) of, any Notes Secured Party or any LC Secured Party, all without affecting the priorities provided for herein or the other provisions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holders of any such Refinancing indebtedness (or an authorized agent or trustee on their behalf) bind themselves in writing (to the extent they are not already so bound) to the terms of this Agreement pursuant to a joinder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such other Refinancing documents or agreements (including amendments or supplements to this Agreement) as each Applicable Senior Collateral Agent, shall reasonably request and in form and substance reasonably acceptable to such Applicable Senior Collateral Agent. In connection with any Refinancing contemplated by this Section 2.10, this Agreement may be amended at the request and sole expense of the Parent, and without the consent (except to the extent a consent is otherwise required to permit such Refinancing transaction under any Notes Document or any LC Obligations Document, and other than the consent of each Applicable Senior Collateral Agent, whose consent shall still be required to the extent set forth in the proviso of the immediately preceding sentence) of any Representative, (a) to add parties (or any authorized agent or trustee therefor) providing any such Refinancing,</w:t>
      </w:r>
    </w:p>
    <w:p>
      <w:pPr>
        <w:spacing w:after="0" w:line="11" w:lineRule="exact"/>
        <w:rPr>
          <w:rFonts w:ascii="Arial" w:cs="Arial" w:eastAsia="Arial" w:hAnsi="Arial"/>
          <w:sz w:val="19"/>
          <w:szCs w:val="19"/>
          <w:b w:val="1"/>
          <w:bCs w:val="1"/>
          <w:i w:val="1"/>
          <w:iCs w:val="1"/>
          <w:color w:val="auto"/>
        </w:rPr>
      </w:pPr>
    </w:p>
    <w:p>
      <w:pPr>
        <w:jc w:val="both"/>
        <w:ind w:firstLine="8"/>
        <w:spacing w:after="0" w:line="310" w:lineRule="auto"/>
        <w:tabs>
          <w:tab w:leader="none" w:pos="322" w:val="left"/>
        </w:tabs>
        <w:numPr>
          <w:ilvl w:val="0"/>
          <w:numId w:val="828"/>
        </w:numPr>
        <w:rPr>
          <w:rFonts w:ascii="Arial" w:cs="Arial" w:eastAsia="Arial" w:hAnsi="Arial"/>
          <w:sz w:val="19"/>
          <w:szCs w:val="19"/>
          <w:color w:val="auto"/>
        </w:rPr>
      </w:pPr>
      <w:r>
        <w:rPr>
          <w:rFonts w:ascii="Arial" w:cs="Arial" w:eastAsia="Arial" w:hAnsi="Arial"/>
          <w:sz w:val="19"/>
          <w:szCs w:val="19"/>
          <w:color w:val="auto"/>
        </w:rPr>
        <w:t>to confirm that such Refinancing indebtedness in respect of any LC Obligations shall have the same rights and priorities in respect of any LC Priority Collateral as the indebtedness being Refinanced and (c) to confirm that such Refinancing indebtedness in respect of any Notes Obligations shall have the same rights and priorities in respect of any Notes Priority Collateral as the indebtedness being Refinanced, all on the terms provided for herein immediately prior to such Refinancing. Any such additional party and each Applicable Senior Collateral Agent shall be entitled to rely on the determination of officers of the Parent that such</w:t>
      </w:r>
    </w:p>
    <w:p>
      <w:pPr>
        <w:sectPr>
          <w:pgSz w:w="11900" w:h="16868" w:orient="portrait"/>
          <w:cols w:equalWidth="0" w:num="1">
            <w:col w:w="11240"/>
          </w:cols>
          <w:pgMar w:left="320" w:top="132" w:right="339" w:bottom="0" w:gutter="0" w:footer="0" w:header="0"/>
        </w:sectPr>
      </w:pPr>
    </w:p>
    <w:bookmarkStart w:id="665" w:name="page666"/>
    <w:bookmarkEnd w:id="665"/>
    <w:p>
      <w:pPr>
        <w:jc w:val="both"/>
        <w:spacing w:after="0" w:line="260" w:lineRule="auto"/>
        <w:rPr>
          <w:sz w:val="20"/>
          <w:szCs w:val="20"/>
          <w:color w:val="auto"/>
        </w:rPr>
      </w:pPr>
      <w:r>
        <w:rPr>
          <w:rFonts w:ascii="Arial" w:cs="Arial" w:eastAsia="Arial" w:hAnsi="Arial"/>
          <w:sz w:val="22"/>
          <w:szCs w:val="22"/>
          <w:color w:val="auto"/>
        </w:rPr>
        <w:t xml:space="preserve">modifications do not violate the Notes Documents or the LC Documents if such determination is set forth in an officers’ certificate delivered to such party and each Applicable Senior Collateral Agent;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such determination will not affect whether or not the Parent and the Grantors have complied with their undertakings in any such document or this Agreement. In connection with the delivery of a joinder as set forth above, the Parent shall deliver an officer’s certificate to each Collateral Agent certifying that the Refinancing, including the incurrence of indebtedness and the incurrence of liens in respect thereof, qualifies as a Refinancing as defined herein.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k. Amendments to Security Documents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61" w:lineRule="auto"/>
        <w:tabs>
          <w:tab w:leader="none" w:pos="1990" w:val="left"/>
        </w:tabs>
        <w:numPr>
          <w:ilvl w:val="0"/>
          <w:numId w:val="829"/>
        </w:numPr>
        <w:rPr>
          <w:rFonts w:ascii="Arial" w:cs="Arial" w:eastAsia="Arial" w:hAnsi="Arial"/>
          <w:sz w:val="22"/>
          <w:szCs w:val="22"/>
          <w:b w:val="1"/>
          <w:bCs w:val="1"/>
          <w:i w:val="1"/>
          <w:iCs w:val="1"/>
          <w:color w:val="auto"/>
        </w:rPr>
      </w:pPr>
      <w:r>
        <w:rPr>
          <w:rFonts w:ascii="Arial" w:cs="Arial" w:eastAsia="Arial" w:hAnsi="Arial"/>
          <w:sz w:val="22"/>
          <w:szCs w:val="22"/>
          <w:color w:val="auto"/>
        </w:rPr>
        <w:t>Subject to paragraph (c) below, each of the LC Collateral Agent and other LC Secured Parties agrees that, without the prior written consent of the Notes Collateral Agent, no LC Security Document to which such LC Collateral Agent or LC Secured Party is party may be amended, supplemented or otherwise modified or entered into to the extent such amendment, supplement or modification or the terms of any new LC Security Document would be prohibited by or inconsistent with any of the terms of this Agreement.</w:t>
      </w:r>
    </w:p>
    <w:p>
      <w:pPr>
        <w:spacing w:after="0" w:line="190" w:lineRule="exact"/>
        <w:rPr>
          <w:rFonts w:ascii="Arial" w:cs="Arial" w:eastAsia="Arial" w:hAnsi="Arial"/>
          <w:sz w:val="22"/>
          <w:szCs w:val="22"/>
          <w:b w:val="1"/>
          <w:bCs w:val="1"/>
          <w:i w:val="1"/>
          <w:iCs w:val="1"/>
          <w:color w:val="auto"/>
        </w:rPr>
      </w:pPr>
    </w:p>
    <w:p>
      <w:pPr>
        <w:jc w:val="both"/>
        <w:ind w:firstLine="1304"/>
        <w:spacing w:after="0" w:line="311" w:lineRule="auto"/>
        <w:tabs>
          <w:tab w:leader="none" w:pos="2024" w:val="left"/>
        </w:tabs>
        <w:numPr>
          <w:ilvl w:val="0"/>
          <w:numId w:val="829"/>
        </w:numPr>
        <w:rPr>
          <w:rFonts w:ascii="Arial" w:cs="Arial" w:eastAsia="Arial" w:hAnsi="Arial"/>
          <w:sz w:val="19"/>
          <w:szCs w:val="19"/>
          <w:color w:val="auto"/>
        </w:rPr>
      </w:pPr>
      <w:r>
        <w:rPr>
          <w:rFonts w:ascii="Arial" w:cs="Arial" w:eastAsia="Arial" w:hAnsi="Arial"/>
          <w:sz w:val="19"/>
          <w:szCs w:val="19"/>
          <w:color w:val="auto"/>
        </w:rPr>
        <w:t>Subject to paragraph (c) below, each of the Notes Collateral Agent and other Notes Secured Parties agrees that, without the prior written consent of the LC Collateral Agent and each LC Collateral Agent, no Notes Security Document to which the Notes Collateral Agent or Notes Secured Parties are party may be amended, supplemented or otherwise modified or entered into to the extent such amendment, supplement or modification or the terms of any new Notes Security Document would be prohibited by or inconsistent with any of the terms of this Agreement.</w:t>
      </w:r>
    </w:p>
    <w:p>
      <w:pPr>
        <w:spacing w:after="0" w:line="150" w:lineRule="exact"/>
        <w:rPr>
          <w:rFonts w:ascii="Arial" w:cs="Arial" w:eastAsia="Arial" w:hAnsi="Arial"/>
          <w:sz w:val="19"/>
          <w:szCs w:val="19"/>
          <w:color w:val="auto"/>
        </w:rPr>
      </w:pPr>
    </w:p>
    <w:p>
      <w:pPr>
        <w:jc w:val="both"/>
        <w:ind w:firstLine="1304"/>
        <w:spacing w:after="0" w:line="301" w:lineRule="auto"/>
        <w:tabs>
          <w:tab w:leader="none" w:pos="2205" w:val="left"/>
        </w:tabs>
        <w:numPr>
          <w:ilvl w:val="0"/>
          <w:numId w:val="829"/>
        </w:numPr>
        <w:rPr>
          <w:rFonts w:ascii="Arial" w:cs="Arial" w:eastAsia="Arial" w:hAnsi="Arial"/>
          <w:sz w:val="19"/>
          <w:szCs w:val="19"/>
          <w:color w:val="auto"/>
        </w:rPr>
      </w:pPr>
      <w:r>
        <w:rPr>
          <w:rFonts w:ascii="Arial" w:cs="Arial" w:eastAsia="Arial" w:hAnsi="Arial"/>
          <w:sz w:val="19"/>
          <w:szCs w:val="19"/>
          <w:color w:val="auto"/>
        </w:rPr>
        <w:t xml:space="preserve">In the event that any Senior Collateral Agent or Senior Secured Obligations Secured Parties enter into any amendment, waiver or consent in respect of or replace any of the Senior Secured Obligations Collateral Documents for the purpose of adding to, or deleting from, or waiving or consenting to any departures from any provisions of, such Senior Secured Obligations Collateral Document or changing in any manner the rights of such Senior Collateral Agent, such Senior Secured Obligations Secured Parties, the Grantors thereunder (including the release of any Liens in the applicable Senior Secured Obligations Collateral), then such amendment, waiver or consent shall apply automatically to any comparable provision of each Comparable Junior Priority Collateral Document without the consent of any Junior Collateral Agent or any Junior Secured Obligations Secured Party and without any action by any Junior Collateral Agent, any Junior Secured Obligations Secured Party, the Parent or any other Grantor;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such amendment, waiver or consent does not materially adversely affect the rights of the applicable Junior Secured Obligations Secured Parties or the interests of the applicable Junior Secured Obligations Secured Parties in the applicable Junior Secured Obligations Collateral and not the Senior Collateral Agent or the Senior Secured Obligations Secured Parties, as the case may be, that have a security interest in the affected collateral in a like or similar manner, and (B) written notice of such amendment, waiver or consent shall have been given by the Parent to the Applicable Junior Collateral Agent.</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304"/>
        <w:spacing w:after="0" w:line="311" w:lineRule="auto"/>
        <w:tabs>
          <w:tab w:leader="none" w:pos="2044" w:val="left"/>
        </w:tabs>
        <w:numPr>
          <w:ilvl w:val="0"/>
          <w:numId w:val="82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the LC Collateral Agent and other LC Secured Parties and the Notes Collateral Agent and other Notes Secured Parties hereby agree that they will not amend or otherwise modify the provisions of the LC Documents or the Notes Documents related to the Refinancing or payment of any Obligations (including ordinary course payments) in a manner that makes them more restrictive to Grantors or otherwise prohibits or restricts a Refinancing or payment permitted under the LC Documents or Notes Documents as in effect on the date hereof.</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l. Possessory Collateral Agent as Gratuitous Bailee for Perfection</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301" w:lineRule="auto"/>
        <w:tabs>
          <w:tab w:leader="none" w:pos="2179" w:val="left"/>
        </w:tabs>
        <w:numPr>
          <w:ilvl w:val="0"/>
          <w:numId w:val="830"/>
        </w:numPr>
        <w:rPr>
          <w:rFonts w:ascii="Arial" w:cs="Arial" w:eastAsia="Arial" w:hAnsi="Arial"/>
          <w:sz w:val="19"/>
          <w:szCs w:val="19"/>
          <w:color w:val="auto"/>
        </w:rPr>
      </w:pPr>
      <w:r>
        <w:rPr>
          <w:rFonts w:ascii="Arial" w:cs="Arial" w:eastAsia="Arial" w:hAnsi="Arial"/>
          <w:sz w:val="19"/>
          <w:szCs w:val="19"/>
          <w:color w:val="auto"/>
        </w:rPr>
        <w:t>Each Possessory Collateral Agent agrees to hold the Possessory Collateral that is in its possession or control (or in the possession or control of its agents or bailees) as gratuitous bailee for, or, as applicable, on trust for, the benefit of each Secured Party and any assignee solely for the purpose of perfecting the security interest granted in such Possessory Collateral pursuant to the Notes Security Documents or the LC Security Documents, subject to the terms and conditions of this Section 2.12. To the extent any Possessory Collateral is possessed by or is under the control of a Collateral Agent (either directly or through its agents or bailees) other than the Applicable Possessory Collateral Agent, such Collateral Agent shall deliver such Possessory Collateral to (or shall cause such Possessory Collateral to be delivered to) the Applicable Possessory Collateral Agent and shall take all actions reasonably requested in writing by the Applicable Possessory Collateral Agent to cause the Applicable Possessory Collateral Agent to have possession or control of same. Pending such delivery to the Applicable Possessory Collateral Agent, each other Collateral Agent agrees to hold any Possessory Collateral as gratuitous bailee, or, as applicable, on trust for, for the benefit of each other Secured Party and any assignee, solely for the purpose of perfecting the security interest granted in such Possessory Collateral, if any, pursuant to the applicable Notes Security Documents or LC Security Documents, in each case subject to the terms and conditions of this Section 2.12.</w:t>
      </w:r>
    </w:p>
    <w:p>
      <w:pPr>
        <w:spacing w:after="0" w:line="163" w:lineRule="exact"/>
        <w:rPr>
          <w:rFonts w:ascii="Arial" w:cs="Arial" w:eastAsia="Arial" w:hAnsi="Arial"/>
          <w:sz w:val="19"/>
          <w:szCs w:val="19"/>
          <w:color w:val="auto"/>
        </w:rPr>
      </w:pPr>
    </w:p>
    <w:p>
      <w:pPr>
        <w:jc w:val="both"/>
        <w:ind w:firstLine="1304"/>
        <w:spacing w:after="0" w:line="327" w:lineRule="auto"/>
        <w:tabs>
          <w:tab w:leader="none" w:pos="2091" w:val="left"/>
        </w:tabs>
        <w:numPr>
          <w:ilvl w:val="0"/>
          <w:numId w:val="830"/>
        </w:numPr>
        <w:rPr>
          <w:rFonts w:ascii="Arial" w:cs="Arial" w:eastAsia="Arial" w:hAnsi="Arial"/>
          <w:sz w:val="19"/>
          <w:szCs w:val="19"/>
          <w:color w:val="auto"/>
        </w:rPr>
      </w:pPr>
      <w:r>
        <w:rPr>
          <w:rFonts w:ascii="Arial" w:cs="Arial" w:eastAsia="Arial" w:hAnsi="Arial"/>
          <w:sz w:val="19"/>
          <w:szCs w:val="19"/>
          <w:color w:val="auto"/>
        </w:rPr>
        <w:t>The duties or responsibilities of each Possessory Collateral Agent and each other Collateral Agent under this Section 2.12 shall be limited solely to holding the Possessory Collateral as gratuitous bailee, or, as applicable, on trust for, for the benefit of each Secured Party for purposes of perfecting the security interest held by the Secured Parties therein.</w:t>
      </w:r>
    </w:p>
    <w:p>
      <w:pPr>
        <w:sectPr>
          <w:pgSz w:w="11900" w:h="16838" w:orient="portrait"/>
          <w:cols w:equalWidth="0" w:num="1">
            <w:col w:w="11240"/>
          </w:cols>
          <w:pgMar w:left="320" w:top="132" w:right="339" w:bottom="20" w:gutter="0" w:footer="0" w:header="0"/>
        </w:sectPr>
      </w:pPr>
    </w:p>
    <w:bookmarkStart w:id="666" w:name="page667"/>
    <w:bookmarkEnd w:id="666"/>
    <w:p>
      <w:pPr>
        <w:jc w:val="both"/>
        <w:ind w:firstLine="1304"/>
        <w:spacing w:after="0" w:line="305" w:lineRule="auto"/>
        <w:tabs>
          <w:tab w:leader="none" w:pos="2151" w:val="left"/>
        </w:tabs>
        <w:numPr>
          <w:ilvl w:val="0"/>
          <w:numId w:val="831"/>
        </w:numPr>
        <w:rPr>
          <w:rFonts w:ascii="Arial" w:cs="Arial" w:eastAsia="Arial" w:hAnsi="Arial"/>
          <w:sz w:val="19"/>
          <w:szCs w:val="19"/>
          <w:color w:val="auto"/>
        </w:rPr>
      </w:pPr>
      <w:r>
        <w:rPr>
          <w:rFonts w:ascii="Arial" w:cs="Arial" w:eastAsia="Arial" w:hAnsi="Arial"/>
          <w:sz w:val="19"/>
          <w:szCs w:val="19"/>
          <w:color w:val="auto"/>
        </w:rPr>
        <w:t>Upon the Discharge of all LC Obligations, the LC Collateral Agent shall deliver to the Notes Collateral Agent (at the sole expense of the Grantors), to the extent that it is legally permitted to do so, the remaining Possessory Collateral (if any) held by it, together with any necessary endorsements (or otherwise allow the Notes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or gross negligence. No LC Collateral Agent shall be obligated to follow instructions from the Notes Collateral Agent in contravention of this Agreement.</w:t>
      </w:r>
    </w:p>
    <w:p>
      <w:pPr>
        <w:spacing w:after="0" w:line="154" w:lineRule="exact"/>
        <w:rPr>
          <w:rFonts w:ascii="Arial" w:cs="Arial" w:eastAsia="Arial" w:hAnsi="Arial"/>
          <w:sz w:val="19"/>
          <w:szCs w:val="19"/>
          <w:color w:val="auto"/>
        </w:rPr>
      </w:pPr>
    </w:p>
    <w:p>
      <w:pPr>
        <w:jc w:val="both"/>
        <w:ind w:firstLine="1304"/>
        <w:spacing w:after="0" w:line="305" w:lineRule="auto"/>
        <w:tabs>
          <w:tab w:leader="none" w:pos="2044" w:val="left"/>
        </w:tabs>
        <w:numPr>
          <w:ilvl w:val="0"/>
          <w:numId w:val="831"/>
        </w:numPr>
        <w:rPr>
          <w:rFonts w:ascii="Arial" w:cs="Arial" w:eastAsia="Arial" w:hAnsi="Arial"/>
          <w:sz w:val="19"/>
          <w:szCs w:val="19"/>
          <w:color w:val="auto"/>
        </w:rPr>
      </w:pPr>
      <w:r>
        <w:rPr>
          <w:rFonts w:ascii="Arial" w:cs="Arial" w:eastAsia="Arial" w:hAnsi="Arial"/>
          <w:sz w:val="19"/>
          <w:szCs w:val="19"/>
          <w:color w:val="auto"/>
        </w:rPr>
        <w:t>Upon the Discharge of all Notes Obligations, the Notes Collateral Agent shall deliver to the LC Collateral Agent (at the sole expense of the Grantors), to the extent that it is legally permitted to do so, the remaining Possessory Collateral (if any) held by it, together with any necessary endorsements (or otherwise allow the LC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or gross negligence. The Notes Collateral Agent shall not be obligated to follow instructions from any LC Collateral Agent in contravention of this Agreement.</w:t>
      </w:r>
    </w:p>
    <w:p>
      <w:pPr>
        <w:spacing w:after="0" w:line="15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b w:val="1"/>
          <w:bCs w:val="1"/>
          <w:i w:val="1"/>
          <w:iCs w:val="1"/>
          <w:color w:val="auto"/>
        </w:rPr>
        <w:t>m. Control Agreements</w:t>
      </w:r>
      <w:r>
        <w:rPr>
          <w:rFonts w:ascii="Arial" w:cs="Arial" w:eastAsia="Arial" w:hAnsi="Arial"/>
          <w:sz w:val="21"/>
          <w:szCs w:val="21"/>
          <w:color w:val="auto"/>
        </w:rPr>
        <w:t>. The LC Collateral Agent hereby agrees to act as collateral agent of the Notes Secured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Parties under each control agreement solely for the purpose of perfecting the Lien of the Notes Secured Parties in the deposit accounts and securities accounts subject to such control agreements by control. The Notes Collateral Agent, on behalf of the Notes Secured Parties, hereby appoints the LC Collateral Agent to act as its collateral agent under each such control agreement, as applicable. The duties or responsibilities of the LC Collateral Agent under this Section 2.13 shall be limited solely to acting as agent for the benefit of each Notes Secured Party for purposes of perfecting the security interest held by the Secured Parties in the deposit accounts and securities accounts subject to such control agreements by control, in each case prior to the Discharge of all LC Obligations</w:t>
      </w:r>
    </w:p>
    <w:p>
      <w:pPr>
        <w:spacing w:after="0" w:line="179"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b w:val="1"/>
          <w:bCs w:val="1"/>
          <w:i w:val="1"/>
          <w:iCs w:val="1"/>
          <w:color w:val="auto"/>
        </w:rPr>
        <w:t>n. Rights under Permits and Licenses</w:t>
      </w:r>
      <w:r>
        <w:rPr>
          <w:rFonts w:ascii="Arial" w:cs="Arial" w:eastAsia="Arial" w:hAnsi="Arial"/>
          <w:sz w:val="19"/>
          <w:szCs w:val="19"/>
          <w:color w:val="auto"/>
        </w:rPr>
        <w:t>. The LC Collateral Agent agrees that if the Notes Collateral Agent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 rights available under any permit or license controlled by the LC Collateral Agent (as certified to the LC Collateral Agent by the Notes Collateral Agent, upon which the LC Collateral Agent may rely) in order to realize on any Notes Priority Collateral, the LC Collateral Agent shall (subject to the terms of the LC Documents, including the LC Collateral Agent’s rights to indemnification thereunder) take all such actions as shall be available to it (at the sole expense of the Grantors), consistent with applicable law and reasonably requested by the Notes Collateral Agent in writing, to make such rights available to the Notes Collateral Agent, subject to the Liens held by the LC Collateral Agent for the benefit of the LC Secured Parties. The Notes Collateral Agent agrees that if the LC Collateral Agent shall require rights available under any permit or license controlled by the Notes Collateral Agent (as certified to the Notes Collateral Agent by the LC Collateral Agent, upon which the Notes Collateral Agent may rely) in order to realize on any LC Priority Collateral, the Notes Collateral Agent shall (subject to the terms of the Notes Documents, including such Notes Collateral Agent’s rights to indemnification thereunder) take all such actions as shall be available to it (at the sole expense of the Grantors), consistent with applicable law and reasonably requested by the LC Collateral Agent in writing, to make such rights available to the LC Collateral Agent, subject to the Liens held by the Notes Collateral Agent for the benefit of the Notes Secured Parties.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Existence and Amounts of Liens and Obligations</w:t>
      </w:r>
    </w:p>
    <w:p>
      <w:pPr>
        <w:spacing w:after="0" w:line="239"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9"/>
          <w:szCs w:val="19"/>
          <w:color w:val="auto"/>
        </w:rPr>
        <w:t xml:space="preserve">Whenever a Representative shall be required, in connection with the exercise of its rights or the performance of its obligations hereunder, to determine the existence or amount of any Senior Secured Obligations (or the existence of any commitment to extend credit that would constitute Senior Secured Obligations) or Junior Secured Obligations, or the Collateral subject to any such Lien, it may, acting reasonably, request that such information be furnished to it in writing by the other Representatives and shall be entitled to make such determination on the basis of the information so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Parent. Each Representative may rely conclusively, and shall be fully protected in so relying, on any determination made by it in accordance with the provisions of the preceding sentence (or as otherwise directed by a court of competent jurisdiction) and shall have no liability to the Parent or any of its subsidiaries, any Secured Party or any other Person as a result of such determination.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w:t>
      </w:r>
    </w:p>
    <w:p>
      <w:pPr>
        <w:sectPr>
          <w:pgSz w:w="11900" w:h="16838" w:orient="portrait"/>
          <w:cols w:equalWidth="0" w:num="1">
            <w:col w:w="11240"/>
          </w:cols>
          <w:pgMar w:left="320" w:top="132" w:right="339" w:bottom="288" w:gutter="0" w:footer="0" w:header="0"/>
        </w:sectPr>
      </w:pPr>
    </w:p>
    <w:bookmarkStart w:id="667" w:name="page668"/>
    <w:bookmarkEnd w:id="667"/>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Grantors</w:t>
      </w:r>
    </w:p>
    <w:p>
      <w:pPr>
        <w:spacing w:after="0" w:line="23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Each Grantor hereby consents to the provisions of this Agreement and the intercreditor arrangements provided for herein and agrees that the obligations of the Grantors under the Notes Security Documents, the LC Security Documents or the Foreign Collateral Documents will in no way be diminished or otherwise affected by such provisions or arrangements.</w:t>
      </w:r>
    </w:p>
    <w:p>
      <w:pPr>
        <w:spacing w:after="0" w:line="133"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Notwithstanding any other provision of this Agreement to the contrary, the obligations and liabilities of any Grantor incorporated in Norway shall be limited by such mandatory provisions of sections 8-7 and/or 8-10 of the Norwegian Limited Liability Companies Act of 13 June 1997 regarding restrictions on a Norwegian limited liability company’s ability to grant guarantees, loans, security or other financial assistance.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39"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b w:val="1"/>
          <w:bCs w:val="1"/>
          <w:i w:val="1"/>
          <w:iCs w:val="1"/>
          <w:color w:val="auto"/>
        </w:rPr>
        <w:t>a. Representations and Warranties of Each Party</w:t>
      </w:r>
      <w:r>
        <w:rPr>
          <w:rFonts w:ascii="Arial" w:cs="Arial" w:eastAsia="Arial" w:hAnsi="Arial"/>
          <w:sz w:val="22"/>
          <w:szCs w:val="22"/>
          <w:color w:val="auto"/>
        </w:rPr>
        <w:t>. Each party hereto represents and warrants to the other parties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hereto as follows:</w:t>
      </w:r>
    </w:p>
    <w:p>
      <w:pPr>
        <w:spacing w:after="0" w:line="174" w:lineRule="exact"/>
        <w:rPr>
          <w:sz w:val="20"/>
          <w:szCs w:val="20"/>
          <w:color w:val="auto"/>
        </w:rPr>
      </w:pPr>
    </w:p>
    <w:p>
      <w:pPr>
        <w:jc w:val="both"/>
        <w:ind w:firstLine="1304"/>
        <w:spacing w:after="0" w:line="262" w:lineRule="auto"/>
        <w:tabs>
          <w:tab w:leader="none" w:pos="2071" w:val="left"/>
        </w:tabs>
        <w:numPr>
          <w:ilvl w:val="1"/>
          <w:numId w:val="832"/>
        </w:numPr>
        <w:rPr>
          <w:rFonts w:ascii="Arial" w:cs="Arial" w:eastAsia="Arial" w:hAnsi="Arial"/>
          <w:sz w:val="22"/>
          <w:szCs w:val="22"/>
          <w:color w:val="auto"/>
        </w:rPr>
      </w:pPr>
      <w:r>
        <w:rPr>
          <w:rFonts w:ascii="Arial" w:cs="Arial" w:eastAsia="Arial" w:hAnsi="Arial"/>
          <w:sz w:val="22"/>
          <w:szCs w:val="22"/>
          <w:color w:val="auto"/>
        </w:rPr>
        <w:t>Such party is duly organized or incorporated (as the case may be), validly existing and, if applicable, in good standing (or the equivalent status under the laws of any foreign jurisdiction) under the laws of the jurisdiction of its organization or incorporation (as the case may be) and has all requisite power and authority to enter into and perform its obligations under this Agreement.</w:t>
      </w:r>
    </w:p>
    <w:p>
      <w:pPr>
        <w:spacing w:after="0" w:line="191" w:lineRule="exact"/>
        <w:rPr>
          <w:rFonts w:ascii="Arial" w:cs="Arial" w:eastAsia="Arial" w:hAnsi="Arial"/>
          <w:sz w:val="22"/>
          <w:szCs w:val="22"/>
          <w:color w:val="auto"/>
        </w:rPr>
      </w:pPr>
    </w:p>
    <w:p>
      <w:pPr>
        <w:ind w:left="2020" w:hanging="716"/>
        <w:spacing w:after="0"/>
        <w:tabs>
          <w:tab w:leader="none" w:pos="2020" w:val="left"/>
        </w:tabs>
        <w:numPr>
          <w:ilvl w:val="1"/>
          <w:numId w:val="832"/>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such party.</w:t>
      </w:r>
    </w:p>
    <w:p>
      <w:pPr>
        <w:spacing w:after="0" w:line="233" w:lineRule="exact"/>
        <w:rPr>
          <w:rFonts w:ascii="Arial" w:cs="Arial" w:eastAsia="Arial" w:hAnsi="Arial"/>
          <w:sz w:val="22"/>
          <w:szCs w:val="22"/>
          <w:color w:val="auto"/>
        </w:rPr>
      </w:pPr>
    </w:p>
    <w:p>
      <w:pPr>
        <w:jc w:val="both"/>
        <w:ind w:firstLine="1304"/>
        <w:spacing w:after="0" w:line="298" w:lineRule="auto"/>
        <w:tabs>
          <w:tab w:leader="none" w:pos="2124" w:val="left"/>
        </w:tabs>
        <w:numPr>
          <w:ilvl w:val="1"/>
          <w:numId w:val="832"/>
        </w:numPr>
        <w:rPr>
          <w:rFonts w:ascii="Arial" w:cs="Arial" w:eastAsia="Arial" w:hAnsi="Arial"/>
          <w:sz w:val="19"/>
          <w:szCs w:val="19"/>
          <w:color w:val="auto"/>
        </w:rPr>
      </w:pPr>
      <w:r>
        <w:rPr>
          <w:rFonts w:ascii="Arial" w:cs="Arial" w:eastAsia="Arial" w:hAnsi="Arial"/>
          <w:sz w:val="19"/>
          <w:szCs w:val="19"/>
          <w:color w:val="auto"/>
        </w:rPr>
        <w:t>The execution, delivery and performance by such party of this Agreement (i) do not require any consent or approval of, registration or filing with or any other action by any governmental authority, (ii) will not violate any applicable law or regulation governing the powers of such party or any order of any governmental authority having jurisdiction over it and</w:t>
      </w:r>
    </w:p>
    <w:p>
      <w:pPr>
        <w:ind w:left="380" w:hanging="372"/>
        <w:spacing w:after="0"/>
        <w:tabs>
          <w:tab w:leader="none" w:pos="380" w:val="left"/>
        </w:tabs>
        <w:numPr>
          <w:ilvl w:val="0"/>
          <w:numId w:val="833"/>
        </w:numPr>
        <w:rPr>
          <w:rFonts w:ascii="Arial" w:cs="Arial" w:eastAsia="Arial" w:hAnsi="Arial"/>
          <w:sz w:val="22"/>
          <w:szCs w:val="22"/>
          <w:color w:val="auto"/>
        </w:rPr>
      </w:pPr>
      <w:r>
        <w:rPr>
          <w:rFonts w:ascii="Arial" w:cs="Arial" w:eastAsia="Arial" w:hAnsi="Arial"/>
          <w:sz w:val="22"/>
          <w:szCs w:val="22"/>
          <w:color w:val="auto"/>
        </w:rPr>
        <w:t>will not violate the charter, by-laws or other organizational documents of such party.</w:t>
      </w:r>
    </w:p>
    <w:p>
      <w:pPr>
        <w:spacing w:after="0" w:line="22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b w:val="1"/>
          <w:bCs w:val="1"/>
          <w:i w:val="1"/>
          <w:iCs w:val="1"/>
          <w:color w:val="auto"/>
        </w:rPr>
        <w:t>b. Representations and Warranties of Each Representative</w:t>
      </w:r>
      <w:r>
        <w:rPr>
          <w:rFonts w:ascii="Arial" w:cs="Arial" w:eastAsia="Arial" w:hAnsi="Arial"/>
          <w:sz w:val="22"/>
          <w:szCs w:val="22"/>
          <w:color w:val="auto"/>
        </w:rPr>
        <w:t>. Each Collateral Agent and Representative represents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warrants to the other parties hereto that it is authorized under the Notes Indenture or the LC Obligations Credit Agreement, as applicable, to enter into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Collateral Agency for Foreign Collateral</w:t>
      </w:r>
    </w:p>
    <w:p>
      <w:pPr>
        <w:spacing w:after="0" w:line="239"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b w:val="1"/>
          <w:bCs w:val="1"/>
          <w:i w:val="1"/>
          <w:iCs w:val="1"/>
          <w:color w:val="auto"/>
        </w:rPr>
        <w:t>a. Appointment of Foreign Collateral Agent</w:t>
      </w:r>
      <w:r>
        <w:rPr>
          <w:rFonts w:ascii="Arial" w:cs="Arial" w:eastAsia="Arial" w:hAnsi="Arial"/>
          <w:sz w:val="19"/>
          <w:szCs w:val="19"/>
          <w:color w:val="auto"/>
        </w:rPr>
        <w:t>. It is acknowledged that, in certain jurisdictions outside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United State of America, applicable law prevents both the Notes Collateral Agent and the LC Collateral Agent from obtaining liens on the Collateral. In such circumstances, solely for Foreign Collateral, the parties hereto agree that with effect as of the resignation of the Preceding Foreign Collateral Agent (i) the LC Collateral Agent, who may appoint any sub-agent in its sole discretion and upon written notice to the Notes Collateral Agent to act in such capacity, is hereby appointed as Foreign Collateral Agent and sub-agent for the Collateral Agents in respect of any LC Priority Collateral, (ii) the Notes Collateral Agent, or any sub-agent that it may in its sole discretion and upon written notice to the LC Collateral Agent designate to act in such capacity, is hereby appointed as Foreign Collateral Agent and sub-agent for the Collateral Agents in respect of any Notes Priority Collateral, and (iii) notwithstanding anything to the contrary contained herein, Foreign Collateral Agent is permitted to hold Liens on such Foreign Collateral in trust for the Secured Parties notwithstanding the inability of any other Collateral Agent to hold similar Liens. In recognition of the foregoing, each other Collateral Agent hereby irrevocably appoints the LC Collateral Agent or the Notes Collateral Agent, as applicable, to act as the “collateral agent” under any Foreign Collateral Documents, pursuant to Section 6.01(i) and (ii), and each other Collateral Agent hereby irrevocably appoints and authorizes the LC Collateral Agent or the Notes Collateral Agent, as applicable, to act as the agent of such Secured Party for purposes of acquiring, holding and enforcing any and all Liens on Foreign Collateral, pursuant to </w:t>
      </w:r>
      <w:r>
        <w:rPr>
          <w:rFonts w:ascii="Arial" w:cs="Arial" w:eastAsia="Arial" w:hAnsi="Arial"/>
          <w:sz w:val="19"/>
          <w:szCs w:val="19"/>
          <w:u w:val="single" w:color="auto"/>
          <w:color w:val="auto"/>
        </w:rPr>
        <w:t>Section 6.01(i) and (ii)</w:t>
      </w:r>
      <w:r>
        <w:rPr>
          <w:rFonts w:ascii="Arial" w:cs="Arial" w:eastAsia="Arial" w:hAnsi="Arial"/>
          <w:sz w:val="19"/>
          <w:szCs w:val="19"/>
          <w:color w:val="auto"/>
        </w:rPr>
        <w:t xml:space="preserve">, granted by any of the Grantors to secure any of the Notes Obligations or LC Obligations, together with such powers and discretion as are reasonably incidental thereto (including, without limitation, to enter into additional Foreign Collateral Documents or supplements to existing Foreign Collateral Documents on behalf of the Secured Parties). In this connection, the Foreign Collateral Agent, as “collateral agent” and any co-agents, sub-agents and attorneys-in-fact appointed by the Foreign Collateral Agent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for purposes of holding or enforcing any Lien on the Foreign Collateral (or any portion thereof) granted under the Foreign Collateral Documents, or for exercising any rights and remedies thereunder at the direction of the Foreign Collateral Agent, shall be entitled to the benefits of all provisions of this Agreement, as though such co-agents, sub-agents and attorneys-in-fact were the “collateral</w:t>
      </w:r>
    </w:p>
    <w:p>
      <w:pPr>
        <w:sectPr>
          <w:pgSz w:w="11900" w:h="16851" w:orient="portrait"/>
          <w:cols w:equalWidth="0" w:num="1">
            <w:col w:w="11240"/>
          </w:cols>
          <w:pgMar w:left="320" w:top="396" w:right="339" w:bottom="0" w:gutter="0" w:footer="0" w:header="0"/>
        </w:sectPr>
      </w:pPr>
    </w:p>
    <w:bookmarkStart w:id="668" w:name="page669"/>
    <w:bookmarkEnd w:id="668"/>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agent” under this agreement and the Foreign Collateral Documents as if set forth in full herein with respect thereto. It is understood and agreed that the use of the term “agent” herein or in any other Foreign Collateral Documents (or any other similar term) with reference to the Foreign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7"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b w:val="1"/>
          <w:bCs w:val="1"/>
          <w:i w:val="1"/>
          <w:iCs w:val="1"/>
          <w:color w:val="auto"/>
        </w:rPr>
        <w:t>b. Rights as a Secured Party</w:t>
      </w:r>
      <w:r>
        <w:rPr>
          <w:rFonts w:ascii="Arial" w:cs="Arial" w:eastAsia="Arial" w:hAnsi="Arial"/>
          <w:sz w:val="19"/>
          <w:szCs w:val="19"/>
          <w:color w:val="auto"/>
        </w:rPr>
        <w:t>. The Person serving as the Foreign Collateral Agent hereunder shall have the same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rights and powers in its capacity as a Secured Party as any other Secured Party and may exercise the same as though it were not the Foreign Collateral Agent and the term “Secured Party” or “Secured Parties” (or, as applicable, Notes Secured Party or LC Secured Party) shall, unless otherwise expressly indicated or unless the context otherwise requires, include the Person serving as the Foreign Collateral Agent hereunder in its individual capacity. Such Person and its affiliates may accept deposits from, lend money to, own securities of, act as the financial advisor or in any other advisory capacity for and generally engage in any kind of business with any Grantor or any Grantor’s Subsidiary or other affiliate thereof as if such Person were not the Foreign Collateral Agent hereunder and without any duty to account therefor to the Secured Parties.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c. Exculpatory Provisions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327" w:lineRule="auto"/>
        <w:tabs>
          <w:tab w:leader="none" w:pos="2152" w:val="left"/>
        </w:tabs>
        <w:numPr>
          <w:ilvl w:val="0"/>
          <w:numId w:val="834"/>
        </w:numPr>
        <w:rPr>
          <w:rFonts w:ascii="Arial" w:cs="Arial" w:eastAsia="Arial" w:hAnsi="Arial"/>
          <w:sz w:val="19"/>
          <w:szCs w:val="19"/>
          <w:color w:val="auto"/>
        </w:rPr>
      </w:pPr>
      <w:r>
        <w:rPr>
          <w:rFonts w:ascii="Arial" w:cs="Arial" w:eastAsia="Arial" w:hAnsi="Arial"/>
          <w:sz w:val="19"/>
          <w:szCs w:val="19"/>
          <w:color w:val="auto"/>
        </w:rPr>
        <w:t>The Foreign Collateral Agent shall not have any duties or obligations except those expressly set forth herein and in the other Foreign Collateral Documents to which Foreign Collateral Agent is a party, and its duties hereunder and thereunder shall be administrative in nature. Without limiting the generality of the foregoing, the Foreign Collateral Agent:</w:t>
      </w:r>
    </w:p>
    <w:p>
      <w:pPr>
        <w:spacing w:after="0" w:line="132" w:lineRule="exact"/>
        <w:rPr>
          <w:rFonts w:ascii="Arial" w:cs="Arial" w:eastAsia="Arial" w:hAnsi="Arial"/>
          <w:sz w:val="19"/>
          <w:szCs w:val="19"/>
          <w:color w:val="auto"/>
        </w:rPr>
      </w:pPr>
    </w:p>
    <w:p>
      <w:pPr>
        <w:jc w:val="both"/>
        <w:ind w:left="2600" w:firstLine="648"/>
        <w:spacing w:after="0" w:line="266" w:lineRule="auto"/>
        <w:tabs>
          <w:tab w:leader="none" w:pos="3977" w:val="left"/>
        </w:tabs>
        <w:numPr>
          <w:ilvl w:val="1"/>
          <w:numId w:val="834"/>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or Event of Default under the Notes Documents or LC Documents has occurred and is continuing;</w:t>
      </w:r>
    </w:p>
    <w:p>
      <w:pPr>
        <w:spacing w:after="0" w:line="184" w:lineRule="exact"/>
        <w:rPr>
          <w:rFonts w:ascii="Arial" w:cs="Arial" w:eastAsia="Arial" w:hAnsi="Arial"/>
          <w:sz w:val="22"/>
          <w:szCs w:val="22"/>
          <w:color w:val="auto"/>
        </w:rPr>
      </w:pPr>
    </w:p>
    <w:p>
      <w:pPr>
        <w:jc w:val="both"/>
        <w:ind w:left="2600" w:firstLine="648"/>
        <w:spacing w:after="0" w:line="271" w:lineRule="auto"/>
        <w:tabs>
          <w:tab w:leader="none" w:pos="4476" w:val="left"/>
        </w:tabs>
        <w:numPr>
          <w:ilvl w:val="1"/>
          <w:numId w:val="834"/>
        </w:numPr>
        <w:rPr>
          <w:rFonts w:ascii="Arial" w:cs="Arial" w:eastAsia="Arial" w:hAnsi="Arial"/>
          <w:sz w:val="21"/>
          <w:szCs w:val="21"/>
          <w:color w:val="auto"/>
        </w:rPr>
      </w:pPr>
      <w:r>
        <w:rPr>
          <w:rFonts w:ascii="Arial" w:cs="Arial" w:eastAsia="Arial" w:hAnsi="Arial"/>
          <w:sz w:val="21"/>
          <w:szCs w:val="21"/>
          <w:color w:val="auto"/>
        </w:rPr>
        <w:t xml:space="preserve">shall not have any duty to take any discretionary action or exercise any discretionary powers (though it hereby is authorized to take such actions in its Permitted Discretion), except discretionary rights and powers expressly contemplated hereby or by the Foreign Collateral Documents that the Foreign Collateral Agent is required to exercise as directed in writing by the Controlling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Foreign Collateral Agent shall not be required to take any action that, in its good faith, based upon the advice of counsel or upon the written opinion of its counsel, may expose the Foreign Collateral Agent to liability, or for which it is not indemnified to its satisfaction or that is contrary to any Foreign Collateral Document or applicable law, including, for the avoidance of doubt, any action that may be in violation of the automatic stay under any Debtor Relief Law or that may effect a forfeiture, modification or termination of property in violation of any Debtor Relief Law; and</w:t>
      </w:r>
    </w:p>
    <w:p>
      <w:pPr>
        <w:spacing w:after="0" w:line="186" w:lineRule="exact"/>
        <w:rPr>
          <w:rFonts w:ascii="Arial" w:cs="Arial" w:eastAsia="Arial" w:hAnsi="Arial"/>
          <w:sz w:val="21"/>
          <w:szCs w:val="21"/>
          <w:color w:val="auto"/>
        </w:rPr>
      </w:pPr>
    </w:p>
    <w:p>
      <w:pPr>
        <w:jc w:val="both"/>
        <w:ind w:left="2600" w:firstLine="648"/>
        <w:spacing w:after="0" w:line="261" w:lineRule="auto"/>
        <w:tabs>
          <w:tab w:leader="none" w:pos="4341" w:val="left"/>
        </w:tabs>
        <w:numPr>
          <w:ilvl w:val="1"/>
          <w:numId w:val="834"/>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Foreign Collateral Documents, have any duty to disclose, and shall not be liable for the failure to disclose, any information relating to the Grantors or any of their Subsidiaries or affiliates that is communicated to or obtained by the Person serving as the Foreign Collateral Agent or any of its affiliates in any capacity.</w:t>
      </w:r>
    </w:p>
    <w:p>
      <w:pPr>
        <w:spacing w:after="0" w:line="190" w:lineRule="exact"/>
        <w:rPr>
          <w:rFonts w:ascii="Arial" w:cs="Arial" w:eastAsia="Arial" w:hAnsi="Arial"/>
          <w:sz w:val="22"/>
          <w:szCs w:val="22"/>
          <w:color w:val="auto"/>
        </w:rPr>
      </w:pPr>
    </w:p>
    <w:p>
      <w:pPr>
        <w:jc w:val="both"/>
        <w:ind w:firstLine="1304"/>
        <w:spacing w:after="0" w:line="260" w:lineRule="auto"/>
        <w:tabs>
          <w:tab w:leader="none" w:pos="2024" w:val="left"/>
        </w:tabs>
        <w:numPr>
          <w:ilvl w:val="0"/>
          <w:numId w:val="834"/>
        </w:numPr>
        <w:rPr>
          <w:rFonts w:ascii="Arial" w:cs="Arial" w:eastAsia="Arial" w:hAnsi="Arial"/>
          <w:sz w:val="22"/>
          <w:szCs w:val="22"/>
          <w:color w:val="auto"/>
        </w:rPr>
      </w:pPr>
      <w:r>
        <w:rPr>
          <w:rFonts w:ascii="Arial" w:cs="Arial" w:eastAsia="Arial" w:hAnsi="Arial"/>
          <w:sz w:val="22"/>
          <w:szCs w:val="22"/>
          <w:color w:val="auto"/>
        </w:rPr>
        <w:t>The Foreign Collateral Agent shall not be liable for any action taken or not taken by it (i) with the consent or at the request of the Controlling Parties or (ii) in the absence of its own willful misconduct or gross negligence as determined by a court of competent jurisdiction by final nonappealable judgment. The Foreign Collateral Agent shall be deemed not to have knowledge of any default or Event of Default under the Notes Documents or LC Documents unless and until written notice describing such default or Event of Default is given to the Foreign Collateral Agent by the Grantors, LC Collateral Agent, or Notes Collateral Agent.</w:t>
      </w:r>
    </w:p>
    <w:p>
      <w:pPr>
        <w:spacing w:after="0" w:line="191" w:lineRule="exact"/>
        <w:rPr>
          <w:rFonts w:ascii="Arial" w:cs="Arial" w:eastAsia="Arial" w:hAnsi="Arial"/>
          <w:sz w:val="22"/>
          <w:szCs w:val="22"/>
          <w:color w:val="auto"/>
        </w:rPr>
      </w:pPr>
    </w:p>
    <w:p>
      <w:pPr>
        <w:jc w:val="both"/>
        <w:ind w:firstLine="1304"/>
        <w:spacing w:after="0" w:line="308" w:lineRule="auto"/>
        <w:tabs>
          <w:tab w:leader="none" w:pos="2110" w:val="left"/>
        </w:tabs>
        <w:numPr>
          <w:ilvl w:val="0"/>
          <w:numId w:val="834"/>
        </w:numPr>
        <w:rPr>
          <w:rFonts w:ascii="Arial" w:cs="Arial" w:eastAsia="Arial" w:hAnsi="Arial"/>
          <w:sz w:val="19"/>
          <w:szCs w:val="19"/>
          <w:color w:val="auto"/>
        </w:rPr>
      </w:pPr>
      <w:r>
        <w:rPr>
          <w:rFonts w:ascii="Arial" w:cs="Arial" w:eastAsia="Arial" w:hAnsi="Arial"/>
          <w:sz w:val="19"/>
          <w:szCs w:val="19"/>
          <w:color w:val="auto"/>
        </w:rPr>
        <w:t>The Foreign Collateral Agent shall not be responsible for or have any duty to ascertain or inquire into (i) any statement, warranty or representation made in or in connection with this Agreement or any other Foreign Collateral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or (iv) the validity, enforceability, effectiveness or genuineness of this Agreement, any other Foreign Collateral Document or any other agreement, instrument or document.</w:t>
      </w:r>
    </w:p>
    <w:p>
      <w:pPr>
        <w:spacing w:after="0" w:line="15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9"/>
          <w:szCs w:val="19"/>
          <w:b w:val="1"/>
          <w:bCs w:val="1"/>
          <w:i w:val="1"/>
          <w:iCs w:val="1"/>
          <w:color w:val="auto"/>
        </w:rPr>
        <w:t>d. Reliance by the Foreign Collateral Agent</w:t>
      </w:r>
      <w:r>
        <w:rPr>
          <w:rFonts w:ascii="Arial" w:cs="Arial" w:eastAsia="Arial" w:hAnsi="Arial"/>
          <w:sz w:val="19"/>
          <w:szCs w:val="19"/>
          <w:color w:val="auto"/>
        </w:rPr>
        <w:t>. The Foreign Collateral Agent shall be entitled to rely upon,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Foreign Collateral Agent also may rely upon any statement made to it orally or by telephone and reasonably believed by it to have been made by the proper Person, and shall not incur any liability for relying thereon. The Foreign Collateral Agent may consult with legal counsel,</w:t>
      </w:r>
    </w:p>
    <w:p>
      <w:pPr>
        <w:sectPr>
          <w:pgSz w:w="11900" w:h="16919" w:orient="portrait"/>
          <w:cols w:equalWidth="0" w:num="1">
            <w:col w:w="11240"/>
          </w:cols>
          <w:pgMar w:left="320" w:top="132" w:right="339" w:bottom="0" w:gutter="0" w:footer="0" w:header="0"/>
        </w:sectPr>
      </w:pPr>
    </w:p>
    <w:bookmarkStart w:id="669" w:name="page670"/>
    <w:bookmarkEnd w:id="669"/>
    <w:p>
      <w:pPr>
        <w:spacing w:after="0" w:line="55"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independent accountants and other experts selected by it, and shall not be liable for any action taken or not taken by it in accordance with the written advice of any such counsel, accountants or experts.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e. Delegation of Duties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2" w:lineRule="auto"/>
        <w:tabs>
          <w:tab w:leader="none" w:pos="2139" w:val="left"/>
        </w:tabs>
        <w:numPr>
          <w:ilvl w:val="0"/>
          <w:numId w:val="835"/>
        </w:numPr>
        <w:rPr>
          <w:rFonts w:ascii="Arial" w:cs="Arial" w:eastAsia="Arial" w:hAnsi="Arial"/>
          <w:sz w:val="21"/>
          <w:szCs w:val="21"/>
          <w:color w:val="auto"/>
        </w:rPr>
      </w:pPr>
      <w:r>
        <w:rPr>
          <w:rFonts w:ascii="Arial" w:cs="Arial" w:eastAsia="Arial" w:hAnsi="Arial"/>
          <w:sz w:val="21"/>
          <w:szCs w:val="21"/>
          <w:color w:val="auto"/>
        </w:rPr>
        <w:t>The Foreign Collateral Agent may perform any and all of its duties and exercise its rights and powers hereunder or under any Foreign Collateral Document by or through any one or more sub-agents appointed by the Foreign Collateral Agent. The Foreign Collateral Agent and any such sub-agent may perform any and all of its duties and exercise its rights and powers by or through their respective Related Parties. The exculpatory provisions of this Article VI shall apply to any such sub-agent and to the Related Parties of the Foreign Collateral Agent and any such sub-agent, and shall apply to their respective activities in connection with the Foreign Collateral. The Foreign Collateral Agent shall not be responsible for the negligence or misconduct of any sub-agents except to the extent that a court of competent jurisdiction determines in a final and nonappealable judgment that the Foreign Collateral Agent acted with willful misconduct or gross negligence in the selection of such sub agents.</w:t>
      </w:r>
    </w:p>
    <w:p>
      <w:pPr>
        <w:spacing w:after="0" w:line="182" w:lineRule="exact"/>
        <w:rPr>
          <w:rFonts w:ascii="Arial" w:cs="Arial" w:eastAsia="Arial" w:hAnsi="Arial"/>
          <w:sz w:val="21"/>
          <w:szCs w:val="21"/>
          <w:color w:val="auto"/>
        </w:rPr>
      </w:pPr>
    </w:p>
    <w:p>
      <w:pPr>
        <w:jc w:val="both"/>
        <w:ind w:firstLine="1304"/>
        <w:spacing w:after="0" w:line="305" w:lineRule="auto"/>
        <w:tabs>
          <w:tab w:leader="none" w:pos="2010" w:val="left"/>
        </w:tabs>
        <w:numPr>
          <w:ilvl w:val="0"/>
          <w:numId w:val="835"/>
        </w:numPr>
        <w:rPr>
          <w:rFonts w:ascii="Arial" w:cs="Arial" w:eastAsia="Arial" w:hAnsi="Arial"/>
          <w:sz w:val="19"/>
          <w:szCs w:val="19"/>
          <w:color w:val="auto"/>
        </w:rPr>
      </w:pPr>
      <w:r>
        <w:rPr>
          <w:rFonts w:ascii="Arial" w:cs="Arial" w:eastAsia="Arial" w:hAnsi="Arial"/>
          <w:sz w:val="19"/>
          <w:szCs w:val="19"/>
          <w:color w:val="auto"/>
        </w:rPr>
        <w:t>Should any instrument in writing from any Grantor be required by any sub-agent appointed by the Foreign Collateral Agent to more fully or certainly vest in and confirm to such sub-agent such rights, powers, privileges and duties, such Grantor shall execute, acknowledge and deliver any and all such instruments promptly upon request by the Foreign Collateral Agent. If any such sub-agent, or successor thereto, shall resign or be removed, all rights, powers, privileges and duties of such sub-agent, to the extent permitted by law, shall automatically vest in and be exercised by the Foreign Collateral Agent until the appointment of a new sub-agent. All references in this Agreement or in any other Foreign Collateral Document to any Lien or Foreign Collateral Document granted or delivered in favour of the Foreign Collateral Agent shall include any Lien or Foreign Collateral Document granted to any sub-agent of the Foreign Collateral Agent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f. Resignation of Foreign Collateral Agent</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303" w:lineRule="auto"/>
        <w:tabs>
          <w:tab w:leader="none" w:pos="1990" w:val="left"/>
        </w:tabs>
        <w:numPr>
          <w:ilvl w:val="0"/>
          <w:numId w:val="836"/>
        </w:numPr>
        <w:rPr>
          <w:rFonts w:ascii="Arial" w:cs="Arial" w:eastAsia="Arial" w:hAnsi="Arial"/>
          <w:sz w:val="19"/>
          <w:szCs w:val="19"/>
          <w:color w:val="auto"/>
        </w:rPr>
      </w:pPr>
      <w:r>
        <w:rPr>
          <w:rFonts w:ascii="Arial" w:cs="Arial" w:eastAsia="Arial" w:hAnsi="Arial"/>
          <w:sz w:val="19"/>
          <w:szCs w:val="19"/>
          <w:color w:val="auto"/>
        </w:rPr>
        <w:t>The Foreign Collateral Agent may at any time give notice of its resignation to the Representatives and the Grantors. Upon receipt of any such notice of resignation, the Secured Parties, acting through their Collateral Agents, shall have the right (provided no Event of Default has occurred and is continuing under any LC Document or Notes Document at the time of such resignation) to appoint a successor, which shall be as jointly designated by Notes Collateral Agent and LC Collateral Agent. If no such successor shall have been so appointed in accordance with the preceding sentence and shall have accepted such appointment within 30 days after the retiring Foreign Collateral Agent gives notice of its resignation (or such earlier day as shall be agreed by the Representatives)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Foreign Collateral Agent may (but shall not be obligated to), on behalf of the Secured Parties, appoint a successor Foreign Collateral Agent meeting the qualifications set forth above. Whether or not a successor has been appointed, such resignation shall become effective in accordance with such notice on the Resignation Effective Date.</w:t>
      </w:r>
    </w:p>
    <w:p>
      <w:pPr>
        <w:spacing w:after="0" w:line="157" w:lineRule="exact"/>
        <w:rPr>
          <w:rFonts w:ascii="Arial" w:cs="Arial" w:eastAsia="Arial" w:hAnsi="Arial"/>
          <w:sz w:val="19"/>
          <w:szCs w:val="19"/>
          <w:color w:val="auto"/>
        </w:rPr>
      </w:pPr>
    </w:p>
    <w:p>
      <w:pPr>
        <w:jc w:val="both"/>
        <w:ind w:firstLine="1304"/>
        <w:spacing w:after="0" w:line="300" w:lineRule="auto"/>
        <w:tabs>
          <w:tab w:leader="none" w:pos="2321" w:val="left"/>
        </w:tabs>
        <w:numPr>
          <w:ilvl w:val="0"/>
          <w:numId w:val="836"/>
        </w:numPr>
        <w:rPr>
          <w:rFonts w:ascii="Arial" w:cs="Arial" w:eastAsia="Arial" w:hAnsi="Arial"/>
          <w:sz w:val="19"/>
          <w:szCs w:val="19"/>
          <w:color w:val="auto"/>
        </w:rPr>
      </w:pPr>
      <w:r>
        <w:rPr>
          <w:rFonts w:ascii="Arial" w:cs="Arial" w:eastAsia="Arial" w:hAnsi="Arial"/>
          <w:sz w:val="19"/>
          <w:szCs w:val="19"/>
          <w:color w:val="auto"/>
        </w:rPr>
        <w:t>With effect from the Resignation Effective Date, (1) the retiring Foreign Collateral Agent shall be discharged from its duties and obligations hereunder and under the other Foreign Collateral Documents (except that in the case of any collateral security held by the Foreign Collateral Agent on behalf of the Secured Parties under any of the Foreign Collateral Documents, the retiring Foreign Collateral Agent shall continue to hold such collateral security until such time as a successor Foreign Collateral Agent is appointed but in any event, no more than sixty (60) days following the Resignation Effective Date) and (2) except for any indemnity payments owed to the retiring Foreign Collateral Agent, all payments, communications and determinations provided to be made by, to or through the Foreign Collateral Agent shall instead be made by or to each Representative directly, until such time, if any, the relevant Collateral Agents appoint a successor Foreign Collateral Agent as provided for above. Upon the acceptance of a successor’s appointment as Foreign Collateral Agent hereunder, such successor shall succeed to and become vested with all of the rights, powers, privileges and duties of the retiring Foreign Collateral Agent (other than any rights to indemnity payments owed to the retiring Foreign Collateral Agent), and the retiring Foreign Collateral Agent shall be discharged from all of its duties and obligations hereunder or under the other Foreign Collateral Documents. After the retiring Foreign Collateral Agent’s resignation or removal hereunder and under the other Foreign Collateral Documents, the provisions of this Article shall continue in effect for the benefit of such retiring Foreign Collateral Agent, its sub-agents and their respective Related Parties in respect of any actions taken or omitted to be taken by any of them while the retiring Foreign Collateral Agent was acting as Foreign Collateral Agent.</w:t>
      </w: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b w:val="1"/>
          <w:bCs w:val="1"/>
          <w:i w:val="1"/>
          <w:iCs w:val="1"/>
          <w:color w:val="auto"/>
        </w:rPr>
        <w:t>g. Non-Reliance on Foreign Collateral Agent and Other Secured Parties</w:t>
      </w:r>
      <w:r>
        <w:rPr>
          <w:rFonts w:ascii="Arial" w:cs="Arial" w:eastAsia="Arial" w:hAnsi="Arial"/>
          <w:sz w:val="19"/>
          <w:szCs w:val="19"/>
          <w:color w:val="auto"/>
        </w:rPr>
        <w:t>. Each Collateral Agent acknowledges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it has, independently and without reliance upon the Foreign Collateral Agent or any of its related parties and based on such documents and information as it has deemed appropriate, made its own credit analysis and decision to enter into this Agreement, the LC Documents, and the Notes Documents, as applicable. Each Collateral Agent also acknowledges that it will, independently and without reliance upon the Foreign Collateral Agent or its related parties and based on such documents and information as it shall from time to time deem appropriate, continue to make its own decisions in taking or not taking action under or based upon this Agreement, any Foreign Collateral Document or any related agreement or any document furnished hereunder or thereunder.</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h. Collateral Matters</w:t>
      </w:r>
      <w:r>
        <w:rPr>
          <w:rFonts w:ascii="Arial" w:cs="Arial" w:eastAsia="Arial" w:hAnsi="Arial"/>
          <w:sz w:val="22"/>
          <w:szCs w:val="22"/>
          <w:color w:val="auto"/>
        </w:rPr>
        <w:t>.</w:t>
      </w:r>
    </w:p>
    <w:p>
      <w:pPr>
        <w:sectPr>
          <w:pgSz w:w="11900" w:h="16894" w:orient="portrait"/>
          <w:cols w:equalWidth="0" w:num="1">
            <w:col w:w="11240"/>
          </w:cols>
          <w:pgMar w:left="320" w:top="132" w:right="339" w:bottom="0" w:gutter="0" w:footer="0" w:header="0"/>
        </w:sectPr>
      </w:pPr>
    </w:p>
    <w:bookmarkStart w:id="670" w:name="page671"/>
    <w:bookmarkEnd w:id="670"/>
    <w:p>
      <w:pPr>
        <w:spacing w:after="0" w:line="27" w:lineRule="exact"/>
        <w:rPr>
          <w:sz w:val="20"/>
          <w:szCs w:val="20"/>
          <w:color w:val="auto"/>
        </w:rPr>
      </w:pPr>
    </w:p>
    <w:p>
      <w:pPr>
        <w:jc w:val="both"/>
        <w:ind w:left="180"/>
        <w:spacing w:after="0" w:line="273" w:lineRule="auto"/>
        <w:rPr>
          <w:sz w:val="20"/>
          <w:szCs w:val="20"/>
          <w:color w:val="auto"/>
        </w:rPr>
      </w:pPr>
      <w:r>
        <w:rPr>
          <w:rFonts w:ascii="Arial" w:cs="Arial" w:eastAsia="Arial" w:hAnsi="Arial"/>
          <w:sz w:val="21"/>
          <w:szCs w:val="21"/>
          <w:color w:val="auto"/>
        </w:rPr>
        <w:t xml:space="preserve">Each of the Collateral Agents irrevocably authorize the Foreign Collateral Agent, at its option and in its Permitted Discretion;to release any Lien or any other claim on any Foreign Collateral granted to or held by the Foreign Collateral Agent, for the benefit of the Secured Parties, under any Foreign Collateral Document (A) upon the Discharge of the Notes Obligations and the Discharge of the LC Obligations, as applicable, in which case such Lien shall only be released with respect to the Obligations so Discharged; (B) that is sold or otherwise disposed of or to be sold or otherwise disposed of as part of or in connection with any sale or other disposition permitted hereunder or under the Foreign Collateral Documents, Notes Documents and LC Documents or (C) if approved, authorized or ratified in writing in accordance with </w:t>
      </w:r>
      <w:r>
        <w:rPr>
          <w:rFonts w:ascii="Arial" w:cs="Arial" w:eastAsia="Arial" w:hAnsi="Arial"/>
          <w:sz w:val="21"/>
          <w:szCs w:val="21"/>
          <w:u w:val="single" w:color="auto"/>
          <w:color w:val="auto"/>
        </w:rPr>
        <w:t>Section 6.08(b)</w:t>
      </w:r>
      <w:r>
        <w:rPr>
          <w:rFonts w:ascii="Arial" w:cs="Arial" w:eastAsia="Arial" w:hAnsi="Arial"/>
          <w:sz w:val="21"/>
          <w:szCs w:val="21"/>
          <w:color w:val="auto"/>
        </w:rPr>
        <w:t>.</w:t>
      </w:r>
    </w:p>
    <w:p>
      <w:pPr>
        <w:spacing w:after="0" w:line="179" w:lineRule="exact"/>
        <w:rPr>
          <w:sz w:val="20"/>
          <w:szCs w:val="20"/>
          <w:color w:val="auto"/>
        </w:rPr>
      </w:pPr>
    </w:p>
    <w:p>
      <w:pPr>
        <w:jc w:val="both"/>
        <w:ind w:left="-1120" w:firstLine="1304"/>
        <w:spacing w:after="0" w:line="273" w:lineRule="auto"/>
        <w:tabs>
          <w:tab w:leader="none" w:pos="911" w:val="left"/>
        </w:tabs>
        <w:numPr>
          <w:ilvl w:val="0"/>
          <w:numId w:val="837"/>
        </w:numPr>
        <w:rPr>
          <w:rFonts w:ascii="Arial" w:cs="Arial" w:eastAsia="Arial" w:hAnsi="Arial"/>
          <w:sz w:val="21"/>
          <w:szCs w:val="21"/>
          <w:color w:val="auto"/>
        </w:rPr>
      </w:pPr>
      <w:r>
        <w:rPr>
          <w:rFonts w:ascii="Arial" w:cs="Arial" w:eastAsia="Arial" w:hAnsi="Arial"/>
          <w:sz w:val="21"/>
          <w:szCs w:val="21"/>
          <w:color w:val="auto"/>
        </w:rPr>
        <w:t xml:space="preserve">Upon request by the Foreign Collateral Agent at any time, the Controlling Parties will confirm in writing the Foreign Collateral Agent’s authority to release or subordinate its interest in particular types or items of property or take any other action necessary to administer the Foreign Collateral. In each case, as specified in this </w:t>
      </w:r>
      <w:r>
        <w:rPr>
          <w:rFonts w:ascii="Arial" w:cs="Arial" w:eastAsia="Arial" w:hAnsi="Arial"/>
          <w:sz w:val="21"/>
          <w:szCs w:val="21"/>
          <w:u w:val="single" w:color="auto"/>
          <w:color w:val="auto"/>
        </w:rPr>
        <w:t>Section 6.08</w:t>
      </w:r>
      <w:r>
        <w:rPr>
          <w:rFonts w:ascii="Arial" w:cs="Arial" w:eastAsia="Arial" w:hAnsi="Arial"/>
          <w:sz w:val="21"/>
          <w:szCs w:val="21"/>
          <w:color w:val="auto"/>
        </w:rPr>
        <w:t>, the Foreign Collateral Agent will, at the Grantors’ joint and several expense, execute and deliver to the applicable Grantor such documents as such Grantor may reasonably request to evidence the release of such item of Foreign Collateral from the assignment and security interest granted under the Foreign Collateral Documents or to subordinate its interest in such item, or to release such Grantor from its obligations under the Foreign Collateral Documents, in each case in accordance with the terms hereof and the terms of the Foreign Collateral Documents.</w:t>
      </w:r>
    </w:p>
    <w:p>
      <w:pPr>
        <w:spacing w:after="0" w:line="178" w:lineRule="exact"/>
        <w:rPr>
          <w:rFonts w:ascii="Arial" w:cs="Arial" w:eastAsia="Arial" w:hAnsi="Arial"/>
          <w:sz w:val="21"/>
          <w:szCs w:val="21"/>
          <w:color w:val="auto"/>
        </w:rPr>
      </w:pPr>
    </w:p>
    <w:p>
      <w:pPr>
        <w:jc w:val="both"/>
        <w:ind w:left="-1120" w:firstLine="1304"/>
        <w:spacing w:after="0" w:line="261" w:lineRule="auto"/>
        <w:tabs>
          <w:tab w:leader="none" w:pos="985" w:val="left"/>
        </w:tabs>
        <w:numPr>
          <w:ilvl w:val="0"/>
          <w:numId w:val="837"/>
        </w:numPr>
        <w:rPr>
          <w:rFonts w:ascii="Arial" w:cs="Arial" w:eastAsia="Arial" w:hAnsi="Arial"/>
          <w:sz w:val="22"/>
          <w:szCs w:val="22"/>
          <w:color w:val="auto"/>
        </w:rPr>
      </w:pPr>
      <w:r>
        <w:rPr>
          <w:rFonts w:ascii="Arial" w:cs="Arial" w:eastAsia="Arial" w:hAnsi="Arial"/>
          <w:sz w:val="22"/>
          <w:szCs w:val="22"/>
          <w:color w:val="auto"/>
        </w:rPr>
        <w:t>The Foreign Collateral Agent shall not be responsible for or have a duty to ascertain or inquire into any representation or warranty regarding the existence, value or collectability of the Foreign Collateral, the existence, priority or perfection of the Foreign Collateral Agent’s Lien thereon, or any certificate prepared by any Grantor in connection therewith, nor shall the Foreign Collateral Agent be responsible or liable to the Secured Parties for any failure to monitor or maintain any portion of the Foreign Collateral.</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 Discretionary Rights</w:t>
      </w:r>
      <w:r>
        <w:rPr>
          <w:rFonts w:ascii="Arial" w:cs="Arial" w:eastAsia="Arial" w:hAnsi="Arial"/>
          <w:sz w:val="22"/>
          <w:szCs w:val="22"/>
          <w:color w:val="auto"/>
        </w:rPr>
        <w:t>. The Foreign Collateral Agent may:</w:t>
      </w:r>
    </w:p>
    <w:p>
      <w:pPr>
        <w:spacing w:after="0" w:line="233" w:lineRule="exact"/>
        <w:rPr>
          <w:sz w:val="20"/>
          <w:szCs w:val="20"/>
          <w:color w:val="auto"/>
        </w:rPr>
      </w:pPr>
    </w:p>
    <w:p>
      <w:pPr>
        <w:jc w:val="both"/>
        <w:ind w:left="-1120" w:firstLine="1304"/>
        <w:spacing w:after="0" w:line="317" w:lineRule="auto"/>
        <w:tabs>
          <w:tab w:leader="none" w:pos="911" w:val="left"/>
        </w:tabs>
        <w:numPr>
          <w:ilvl w:val="0"/>
          <w:numId w:val="838"/>
        </w:numPr>
        <w:rPr>
          <w:rFonts w:ascii="Arial" w:cs="Arial" w:eastAsia="Arial" w:hAnsi="Arial"/>
          <w:sz w:val="19"/>
          <w:szCs w:val="19"/>
          <w:color w:val="auto"/>
        </w:rPr>
      </w:pPr>
      <w:r>
        <w:rPr>
          <w:rFonts w:ascii="Arial" w:cs="Arial" w:eastAsia="Arial" w:hAnsi="Arial"/>
          <w:sz w:val="19"/>
          <w:szCs w:val="19"/>
          <w:color w:val="auto"/>
        </w:rPr>
        <w:t>assume (unless it has received actual notice to the contrary from the Collateral Agents) that (i) no default or Event of Default has occurred and no Grantor is in breach of or default under its obligations under any of the Foreign Collateral Documents, Notes Documents, or LC Documents, and (ii) any right, power, authority or discretion vested by any Foreign Collateral Documents, Notes Documents, or LC Documents in any person has not been exercised;</w:t>
      </w:r>
    </w:p>
    <w:p>
      <w:pPr>
        <w:spacing w:after="0" w:line="141" w:lineRule="exact"/>
        <w:rPr>
          <w:rFonts w:ascii="Arial" w:cs="Arial" w:eastAsia="Arial" w:hAnsi="Arial"/>
          <w:sz w:val="19"/>
          <w:szCs w:val="19"/>
          <w:color w:val="auto"/>
        </w:rPr>
      </w:pPr>
    </w:p>
    <w:p>
      <w:pPr>
        <w:jc w:val="both"/>
        <w:ind w:left="-1120" w:firstLine="1304"/>
        <w:spacing w:after="0" w:line="266" w:lineRule="auto"/>
        <w:tabs>
          <w:tab w:leader="none" w:pos="944" w:val="left"/>
        </w:tabs>
        <w:numPr>
          <w:ilvl w:val="0"/>
          <w:numId w:val="838"/>
        </w:numPr>
        <w:rPr>
          <w:rFonts w:ascii="Arial" w:cs="Arial" w:eastAsia="Arial" w:hAnsi="Arial"/>
          <w:sz w:val="22"/>
          <w:szCs w:val="22"/>
          <w:color w:val="auto"/>
        </w:rPr>
      </w:pPr>
      <w:r>
        <w:rPr>
          <w:rFonts w:ascii="Arial" w:cs="Arial" w:eastAsia="Arial" w:hAnsi="Arial"/>
          <w:sz w:val="22"/>
          <w:szCs w:val="22"/>
          <w:color w:val="auto"/>
        </w:rPr>
        <w:t>if it receives any instructions or directions to take any action in relation to the Foreign Collateral, assume that all applicable conditions under this Agreement, LC Documents and Notes Documents for taking that action have been satisfied;</w:t>
      </w:r>
    </w:p>
    <w:p>
      <w:pPr>
        <w:spacing w:after="0" w:line="184" w:lineRule="exact"/>
        <w:rPr>
          <w:rFonts w:ascii="Arial" w:cs="Arial" w:eastAsia="Arial" w:hAnsi="Arial"/>
          <w:sz w:val="22"/>
          <w:szCs w:val="22"/>
          <w:color w:val="auto"/>
        </w:rPr>
      </w:pPr>
    </w:p>
    <w:p>
      <w:pPr>
        <w:jc w:val="both"/>
        <w:ind w:left="-1120" w:firstLine="1304"/>
        <w:spacing w:after="0" w:line="266" w:lineRule="auto"/>
        <w:tabs>
          <w:tab w:leader="none" w:pos="1085" w:val="left"/>
        </w:tabs>
        <w:numPr>
          <w:ilvl w:val="0"/>
          <w:numId w:val="838"/>
        </w:numPr>
        <w:rPr>
          <w:rFonts w:ascii="Arial" w:cs="Arial" w:eastAsia="Arial" w:hAnsi="Arial"/>
          <w:sz w:val="22"/>
          <w:szCs w:val="22"/>
          <w:color w:val="auto"/>
        </w:rPr>
      </w:pPr>
      <w:r>
        <w:rPr>
          <w:rFonts w:ascii="Arial" w:cs="Arial" w:eastAsia="Arial" w:hAnsi="Arial"/>
          <w:sz w:val="22"/>
          <w:szCs w:val="22"/>
          <w:color w:val="auto"/>
        </w:rPr>
        <w:t>engage and pay for the advice or services of accountants, tax advisers, surveyors or other professional advisers or experts and a single legal counsel in each applicable jurisdiction (in addition to the Foreign Collateral Agent’s general outside counsel);</w:t>
      </w:r>
    </w:p>
    <w:p>
      <w:pPr>
        <w:spacing w:after="0" w:line="184" w:lineRule="exact"/>
        <w:rPr>
          <w:rFonts w:ascii="Arial" w:cs="Arial" w:eastAsia="Arial" w:hAnsi="Arial"/>
          <w:sz w:val="22"/>
          <w:szCs w:val="22"/>
          <w:color w:val="auto"/>
        </w:rPr>
      </w:pPr>
    </w:p>
    <w:p>
      <w:pPr>
        <w:jc w:val="both"/>
        <w:ind w:left="-1120" w:firstLine="1304"/>
        <w:spacing w:after="0" w:line="308" w:lineRule="auto"/>
        <w:tabs>
          <w:tab w:leader="none" w:pos="937" w:val="left"/>
        </w:tabs>
        <w:numPr>
          <w:ilvl w:val="0"/>
          <w:numId w:val="838"/>
        </w:numPr>
        <w:rPr>
          <w:rFonts w:ascii="Arial" w:cs="Arial" w:eastAsia="Arial" w:hAnsi="Arial"/>
          <w:sz w:val="19"/>
          <w:szCs w:val="19"/>
          <w:color w:val="auto"/>
        </w:rPr>
      </w:pPr>
      <w:r>
        <w:rPr>
          <w:rFonts w:ascii="Arial" w:cs="Arial" w:eastAsia="Arial" w:hAnsi="Arial"/>
          <w:sz w:val="19"/>
          <w:szCs w:val="19"/>
          <w:color w:val="auto"/>
        </w:rPr>
        <w:t>without prejudice for the generality of paragraph (c) above, at any time engage and pay for the services of a single additional counsel in each applicable jurisdiction to act as independent counsel to the Foreign Collateral Agent (in addition to the Foreign Collateral Agent’s general outside counsel) (and so separate from any lawyers instructed by the other Secured Parties) if the Foreign Collateral Agent in its reasonable opinion deems this to be desirable and the Collateral Agent shall not be liable for any damages, costs or losses to any person, any diminution in value or any liability whatsoever arising as a result of its so relying on the advice or services of any professional engaged under this Section 6.09; and</w:t>
      </w:r>
    </w:p>
    <w:p>
      <w:pPr>
        <w:spacing w:after="0" w:line="153" w:lineRule="exact"/>
        <w:rPr>
          <w:rFonts w:ascii="Arial" w:cs="Arial" w:eastAsia="Arial" w:hAnsi="Arial"/>
          <w:sz w:val="19"/>
          <w:szCs w:val="19"/>
          <w:color w:val="auto"/>
        </w:rPr>
      </w:pPr>
    </w:p>
    <w:p>
      <w:pPr>
        <w:jc w:val="both"/>
        <w:ind w:left="-1120" w:firstLine="1304"/>
        <w:spacing w:after="0" w:line="305" w:lineRule="auto"/>
        <w:tabs>
          <w:tab w:leader="none" w:pos="1228" w:val="left"/>
        </w:tabs>
        <w:numPr>
          <w:ilvl w:val="0"/>
          <w:numId w:val="838"/>
        </w:numPr>
        <w:rPr>
          <w:rFonts w:ascii="Arial" w:cs="Arial" w:eastAsia="Arial" w:hAnsi="Arial"/>
          <w:sz w:val="19"/>
          <w:szCs w:val="19"/>
          <w:color w:val="auto"/>
        </w:rPr>
      </w:pPr>
      <w:r>
        <w:rPr>
          <w:rFonts w:ascii="Arial" w:cs="Arial" w:eastAsia="Arial" w:hAnsi="Arial"/>
          <w:sz w:val="19"/>
          <w:szCs w:val="19"/>
          <w:color w:val="auto"/>
        </w:rPr>
        <w:t>refrain from acting in accordance with the instructions of any Secured Party or Controlling Party (including bringing any legal action or proceeding arising out of or in connection with the Foreign Collateral Documents) until it has received any indemnification and/or security that it may in its reasonable discretion require which may be greater in extent than that contained for the benefit of any Representative in the Notes Documents or LC Documents. Notwithstanding any provision of any Notes Documents or LC Documents to the contrary, the Foreign Collateral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j. Indemnification of Foreign Collateral Agent</w:t>
      </w:r>
      <w:r>
        <w:rPr>
          <w:rFonts w:ascii="Arial" w:cs="Arial" w:eastAsia="Arial" w:hAnsi="Arial"/>
          <w:sz w:val="22"/>
          <w:szCs w:val="22"/>
          <w:color w:val="auto"/>
        </w:rPr>
        <w:t>.</w:t>
      </w:r>
    </w:p>
    <w:p>
      <w:pPr>
        <w:spacing w:after="0" w:line="233" w:lineRule="exact"/>
        <w:rPr>
          <w:sz w:val="20"/>
          <w:szCs w:val="20"/>
          <w:color w:val="auto"/>
        </w:rPr>
      </w:pPr>
    </w:p>
    <w:p>
      <w:pPr>
        <w:jc w:val="both"/>
        <w:ind w:left="-1120" w:firstLine="1304"/>
        <w:spacing w:after="0" w:line="308" w:lineRule="auto"/>
        <w:tabs>
          <w:tab w:leader="none" w:pos="911" w:val="left"/>
        </w:tabs>
        <w:numPr>
          <w:ilvl w:val="0"/>
          <w:numId w:val="839"/>
        </w:numPr>
        <w:rPr>
          <w:rFonts w:ascii="Arial" w:cs="Arial" w:eastAsia="Arial" w:hAnsi="Arial"/>
          <w:sz w:val="19"/>
          <w:szCs w:val="19"/>
          <w:color w:val="auto"/>
        </w:rPr>
      </w:pPr>
      <w:r>
        <w:rPr>
          <w:rFonts w:ascii="Arial" w:cs="Arial" w:eastAsia="Arial" w:hAnsi="Arial"/>
          <w:sz w:val="19"/>
          <w:szCs w:val="19"/>
          <w:color w:val="auto"/>
        </w:rPr>
        <w:t>The Secured Parties (other than the LC Australian Collateral Agent and the Notes Collateral Agent) shall jointly and severally indemnify the Foreign Collateral Agent within three Business Days of demand, and keep the Foreign Collateral Agent indemnified against any demands, damages, expenses, costs, losses or liabilities made against or incurred by it in acting as Foreign Collateral Agent on behalf of the Secured Parties under this Agreement, the Foreign Collateral Documents, the LC Documents, or the Notes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indemnification obligations arising solely due to the instructions of a Controlling Party shall be borne solely by the Class represented by such Controlling Party), unless the Foreign Collateral</w:t>
      </w:r>
    </w:p>
    <w:p>
      <w:pPr>
        <w:sectPr>
          <w:pgSz w:w="11900" w:h="16865" w:orient="portrait"/>
          <w:cols w:equalWidth="0" w:num="1">
            <w:col w:w="10120"/>
          </w:cols>
          <w:pgMar w:left="1440" w:top="132" w:right="339" w:bottom="0" w:gutter="0" w:footer="0" w:header="0"/>
        </w:sectPr>
      </w:pPr>
    </w:p>
    <w:bookmarkStart w:id="671" w:name="page672"/>
    <w:bookmarkEnd w:id="671"/>
    <w:p>
      <w:pPr>
        <w:spacing w:after="0" w:line="44"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Agent (i) has been reimbursed by a Grantor pursuant to any of the Foreign Collateral Documents or (ii) such liabilities, losses, demands, damages, expenses or costs are incurred by or made against the Foreign Collateral Agent as a result of willful misconduct or gross negligence as determined by a court of competent jurisdiction by a final nonappealable judgment. The Grantors hereby jointly and severally indemnify the Secured Parties against any payment made by them under this Section 6.10(a) and agree that any payments made by or costs attributable to any Notes Secured Party on account of the Foreign Collateral Agent shall be added to the Notes Obligations and any payments made by or costs attributable to any LC Secured Party on account of the Foreign Collateral Agent shall be added to the LC Obligations.</w:t>
      </w:r>
    </w:p>
    <w:p>
      <w:pPr>
        <w:spacing w:after="0" w:line="183" w:lineRule="exact"/>
        <w:rPr>
          <w:sz w:val="20"/>
          <w:szCs w:val="20"/>
          <w:color w:val="auto"/>
        </w:rPr>
      </w:pPr>
    </w:p>
    <w:p>
      <w:pPr>
        <w:jc w:val="both"/>
        <w:ind w:firstLine="1304"/>
        <w:spacing w:after="0" w:line="302" w:lineRule="auto"/>
        <w:tabs>
          <w:tab w:leader="none" w:pos="2132" w:val="left"/>
        </w:tabs>
        <w:numPr>
          <w:ilvl w:val="0"/>
          <w:numId w:val="840"/>
        </w:numPr>
        <w:rPr>
          <w:rFonts w:ascii="Arial" w:cs="Arial" w:eastAsia="Arial" w:hAnsi="Arial"/>
          <w:sz w:val="19"/>
          <w:szCs w:val="19"/>
          <w:color w:val="auto"/>
        </w:rPr>
      </w:pPr>
      <w:r>
        <w:rPr>
          <w:rFonts w:ascii="Arial" w:cs="Arial" w:eastAsia="Arial" w:hAnsi="Arial"/>
          <w:sz w:val="19"/>
          <w:szCs w:val="19"/>
          <w:color w:val="auto"/>
        </w:rPr>
        <w:t>The Grantors covenant and agree that they shall defend and be jointly and severally liable to reimburse and indemnify the Foreign Collateral Agent (and its Affiliates, officers, directors, employees, attorneys and agents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Agent Related Persons</w:t>
      </w:r>
      <w:r>
        <w:rPr>
          <w:rFonts w:ascii="Arial" w:cs="Arial" w:eastAsia="Arial" w:hAnsi="Arial"/>
          <w:sz w:val="19"/>
          <w:szCs w:val="19"/>
          <w:color w:val="auto"/>
        </w:rPr>
        <w:t>”)) for any and all reasonable expenses and other charges actually incurred by the Foreign Collateral Agent on behalf of the Secured Parties in connection with the execution, delivery, administration and enforcement of this Agreement and the Foreign Collateral Documents (or any of them) and from and against any and all liabilities, obligations, losses, damages, penalties, actions, judgments, suits, costs, actual reasonable expenses or disbursements of any kind and nature whatsoever that may be imposed on, incurred by or asserted against the Foreign Collateral Agent, in any way relating to or arising out of this Agreement, any Foreign Collateral Document, or any other document delivered in connection herewith or therewith or the transactions contemplated hereby or thereby, or the enforcement of any of the terms hereof or thereof, in each case, except to the extent caused by the Foreign Collateral Agent’s or the Foreign Collateral Agent Related Person’s willful misconduct or gross negligence as determined by a court of competent jurisdiction by a final nonappealable judgment.</w:t>
      </w:r>
    </w:p>
    <w:p>
      <w:pPr>
        <w:spacing w:after="0" w:line="161" w:lineRule="exact"/>
        <w:rPr>
          <w:rFonts w:ascii="Arial" w:cs="Arial" w:eastAsia="Arial" w:hAnsi="Arial"/>
          <w:sz w:val="19"/>
          <w:szCs w:val="19"/>
          <w:color w:val="auto"/>
        </w:rPr>
      </w:pPr>
    </w:p>
    <w:p>
      <w:pPr>
        <w:jc w:val="both"/>
        <w:ind w:firstLine="1304"/>
        <w:spacing w:after="0" w:line="266" w:lineRule="auto"/>
        <w:tabs>
          <w:tab w:leader="none" w:pos="2407" w:val="left"/>
        </w:tabs>
        <w:numPr>
          <w:ilvl w:val="0"/>
          <w:numId w:val="840"/>
        </w:numPr>
        <w:rPr>
          <w:rFonts w:ascii="Arial" w:cs="Arial" w:eastAsia="Arial" w:hAnsi="Arial"/>
          <w:sz w:val="22"/>
          <w:szCs w:val="22"/>
          <w:color w:val="auto"/>
        </w:rPr>
      </w:pPr>
      <w:r>
        <w:rPr>
          <w:rFonts w:ascii="Arial" w:cs="Arial" w:eastAsia="Arial" w:hAnsi="Arial"/>
          <w:sz w:val="22"/>
          <w:szCs w:val="22"/>
          <w:color w:val="auto"/>
        </w:rPr>
        <w:t>The obligations under this Section 6.10 shall survive the Discharge of the Notes Obligations, the Discharge of the LC Obligations, the resignation of any Foreign Collateral Agent, and termination of this Agreement and all of the Foreign Collateral Documents.</w:t>
      </w:r>
    </w:p>
    <w:p>
      <w:pPr>
        <w:spacing w:after="0" w:line="185" w:lineRule="exact"/>
        <w:rPr>
          <w:sz w:val="20"/>
          <w:szCs w:val="20"/>
          <w:color w:val="auto"/>
        </w:rPr>
      </w:pPr>
    </w:p>
    <w:p>
      <w:pPr>
        <w:jc w:val="both"/>
        <w:ind w:firstLine="656"/>
        <w:spacing w:after="0" w:line="266" w:lineRule="auto"/>
        <w:tabs>
          <w:tab w:leader="none" w:pos="1723" w:val="left"/>
        </w:tabs>
        <w:numPr>
          <w:ilvl w:val="0"/>
          <w:numId w:val="841"/>
        </w:numPr>
        <w:rPr>
          <w:rFonts w:ascii="Arial" w:cs="Arial" w:eastAsia="Arial" w:hAnsi="Arial"/>
          <w:sz w:val="22"/>
          <w:szCs w:val="22"/>
          <w:color w:val="auto"/>
        </w:rPr>
      </w:pPr>
      <w:r>
        <w:rPr>
          <w:rFonts w:ascii="Arial" w:cs="Arial" w:eastAsia="Arial" w:hAnsi="Arial"/>
          <w:sz w:val="22"/>
          <w:szCs w:val="22"/>
          <w:color w:val="auto"/>
        </w:rPr>
        <w:t>Notwithstanding anything else in this Section 6.10, the Grantors shall have no obligation to indemnify or reimburse any Person for any Taxes unless such Taxes would be subject to indemnification or reimbursement under the LC Credit Agreement or Notes Indenture.</w:t>
      </w:r>
    </w:p>
    <w:p>
      <w:pPr>
        <w:spacing w:after="0" w:line="184" w:lineRule="exact"/>
        <w:rPr>
          <w:rFonts w:ascii="Arial" w:cs="Arial" w:eastAsia="Arial" w:hAnsi="Arial"/>
          <w:sz w:val="22"/>
          <w:szCs w:val="22"/>
          <w:color w:val="auto"/>
        </w:rPr>
      </w:pPr>
    </w:p>
    <w:p>
      <w:pPr>
        <w:ind w:left="1520" w:hanging="216"/>
        <w:spacing w:after="0"/>
        <w:tabs>
          <w:tab w:leader="none" w:pos="1520" w:val="left"/>
        </w:tabs>
        <w:numPr>
          <w:ilvl w:val="1"/>
          <w:numId w:val="84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Treatment of Proceeds of Foreign Collateral</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62" w:lineRule="auto"/>
        <w:tabs>
          <w:tab w:leader="none" w:pos="1963" w:val="left"/>
        </w:tabs>
        <w:numPr>
          <w:ilvl w:val="0"/>
          <w:numId w:val="842"/>
        </w:numPr>
        <w:rPr>
          <w:rFonts w:ascii="Arial" w:cs="Arial" w:eastAsia="Arial" w:hAnsi="Arial"/>
          <w:sz w:val="22"/>
          <w:szCs w:val="22"/>
          <w:color w:val="auto"/>
        </w:rPr>
      </w:pPr>
      <w:r>
        <w:rPr>
          <w:rFonts w:ascii="Arial" w:cs="Arial" w:eastAsia="Arial" w:hAnsi="Arial"/>
          <w:sz w:val="22"/>
          <w:szCs w:val="22"/>
          <w:color w:val="auto"/>
        </w:rPr>
        <w:t>All amounts from time to time received or recovered by the Foreign Collateral Agent pursuant to the terms of any Foreign Collateral Document or in connection with the realization or enforcement of all or any part of the Foreign Collateral (the “</w:t>
      </w:r>
      <w:r>
        <w:rPr>
          <w:rFonts w:ascii="Arial" w:cs="Arial" w:eastAsia="Arial" w:hAnsi="Arial"/>
          <w:sz w:val="22"/>
          <w:szCs w:val="22"/>
          <w:u w:val="single" w:color="auto"/>
          <w:color w:val="auto"/>
        </w:rPr>
        <w:t>Foreign Recoveries</w:t>
      </w:r>
      <w:r>
        <w:rPr>
          <w:rFonts w:ascii="Arial" w:cs="Arial" w:eastAsia="Arial" w:hAnsi="Arial"/>
          <w:sz w:val="22"/>
          <w:szCs w:val="22"/>
          <w:color w:val="auto"/>
        </w:rPr>
        <w:t>”) shall be held by the Foreign Collateral Agent in trust and applied, to the extent permitted by applicable law, in the following order:</w:t>
      </w:r>
    </w:p>
    <w:p>
      <w:pPr>
        <w:spacing w:after="0" w:line="191" w:lineRule="exact"/>
        <w:rPr>
          <w:sz w:val="20"/>
          <w:szCs w:val="20"/>
          <w:color w:val="auto"/>
        </w:rPr>
      </w:pPr>
    </w:p>
    <w:p>
      <w:pPr>
        <w:jc w:val="both"/>
        <w:ind w:left="1300"/>
        <w:spacing w:after="0" w:line="301" w:lineRule="auto"/>
        <w:rPr>
          <w:sz w:val="20"/>
          <w:szCs w:val="20"/>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in discharging any sums owing to the Foreign Collateral Agent (in its capacity as such), including (i) amounts owing to Foreign Collateral Agent to indemnify Foreign Collateral Agent for claims against it or claims that, in the reasonable discretion of Foreign Collateral Agent, may be asserted against Foreign Collateral Agent and are subject to the indemnification provisions of this Agreement and (ii) any deductions and withholdings (on account of taxes or otherwise) which Foreign Collateral Agent is or may be required by any applicable law to make from any distribution or payment made by it under this Agreement and to pay all taxes which may be assessed against it in respect of any of the Foreign Collateral Documents, or as a consequence of performing its duties, or by virtue of its capacity as Foreign Collateral Agent (other than in connection with its remuneration for performing its duties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Foreign Collateral or proceeds thereof that is LC Priority Collateral may only be applied or retained by Foreign Collateral Agent to secure indemnification obligations or other amounts owing (or potentially owing) by the LC Secured Parties and Foreign Collateral or proceeds thereof that is Notes Priority Collateral may only be applied or retained by Foreign Collateral Agent to secure indemnification obligations or other amounts owing (or potentially owing) by the Notes Secured Parties;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Representatives to be applied in accordance with Section 2.01(a) hereof.</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For the avoidance of doubt, following acceleration of any of the Notes Obligations or the LC Obligations, Foreign Collateral Agent may, in its Permitted Discretion, hold any amount of the Foreign Recoveries (subject to the proviso set forth in subclause “first” above) in a non-interest bearing account(s) in the name of the Foreign Collateral Agent with such financial institution as it may select (including itself) and for so long as the Foreign Collateral Agent shall think appropriate in its Permitted Discretion for later application as set forth herein in respect of any sum owing to the Foreign Collateral Agent that the Foreign Collateral Agent reasonably considers might become due or owing at any time in the future.</w:t>
      </w:r>
    </w:p>
    <w:p>
      <w:pPr>
        <w:spacing w:after="0" w:line="15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b w:val="1"/>
          <w:bCs w:val="1"/>
          <w:i w:val="1"/>
          <w:iCs w:val="1"/>
          <w:color w:val="auto"/>
        </w:rPr>
        <w:t>l. Currency Conversion</w:t>
      </w:r>
      <w:r>
        <w:rPr>
          <w:rFonts w:ascii="Arial" w:cs="Arial" w:eastAsia="Arial" w:hAnsi="Arial"/>
          <w:sz w:val="22"/>
          <w:szCs w:val="22"/>
          <w:color w:val="auto"/>
        </w:rPr>
        <w:t>. The Foreign Collateral Agent is under no obligation to make the payments to the Secured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Parties above in the same currency as that in which the obligations and liabilities owing to the Secured Parties are denominated. To the extent any payment from Foreign Collateral Agent to a Representative causes a currency conversion, the provisions of the Notes Documents or the LC Documents (as applicable, based on the Representative receiving payment) relating to currency conversions shall apply.</w:t>
      </w:r>
    </w:p>
    <w:p>
      <w:pPr>
        <w:sectPr>
          <w:pgSz w:w="11900" w:h="16882" w:orient="portrait"/>
          <w:cols w:equalWidth="0" w:num="1">
            <w:col w:w="11240"/>
          </w:cols>
          <w:pgMar w:left="320" w:top="132" w:right="339" w:bottom="0" w:gutter="0" w:footer="0" w:header="0"/>
        </w:sectPr>
      </w:pPr>
    </w:p>
    <w:bookmarkStart w:id="672" w:name="page673"/>
    <w:bookmarkEnd w:id="672"/>
    <w:p>
      <w:pPr>
        <w:ind w:left="1300"/>
        <w:spacing w:after="0"/>
        <w:rPr>
          <w:sz w:val="20"/>
          <w:szCs w:val="20"/>
          <w:color w:val="auto"/>
        </w:rPr>
      </w:pPr>
      <w:r>
        <w:rPr>
          <w:rFonts w:ascii="Arial" w:cs="Arial" w:eastAsia="Arial" w:hAnsi="Arial"/>
          <w:sz w:val="22"/>
          <w:szCs w:val="22"/>
          <w:b w:val="1"/>
          <w:bCs w:val="1"/>
          <w:i w:val="1"/>
          <w:iCs w:val="1"/>
          <w:color w:val="auto"/>
        </w:rPr>
        <w:t>m. Swiss Collateral</w:t>
      </w:r>
      <w:r>
        <w:rPr>
          <w:rFonts w:ascii="Arial" w:cs="Arial" w:eastAsia="Arial" w:hAnsi="Arial"/>
          <w:sz w:val="22"/>
          <w:szCs w:val="22"/>
          <w:color w:val="auto"/>
        </w:rPr>
        <w:t>.</w:t>
      </w:r>
    </w:p>
    <w:p>
      <w:pPr>
        <w:spacing w:after="0" w:line="233" w:lineRule="exact"/>
        <w:rPr>
          <w:sz w:val="20"/>
          <w:szCs w:val="20"/>
          <w:color w:val="auto"/>
        </w:rPr>
      </w:pPr>
    </w:p>
    <w:p>
      <w:pPr>
        <w:ind w:firstLine="1304"/>
        <w:spacing w:after="0" w:line="276" w:lineRule="auto"/>
        <w:tabs>
          <w:tab w:leader="none" w:pos="2071" w:val="left"/>
        </w:tabs>
        <w:numPr>
          <w:ilvl w:val="0"/>
          <w:numId w:val="843"/>
        </w:numPr>
        <w:rPr>
          <w:rFonts w:ascii="Arial" w:cs="Arial" w:eastAsia="Arial" w:hAnsi="Arial"/>
          <w:sz w:val="22"/>
          <w:szCs w:val="22"/>
          <w:color w:val="auto"/>
        </w:rPr>
      </w:pPr>
      <w:r>
        <w:rPr>
          <w:rFonts w:ascii="Arial" w:cs="Arial" w:eastAsia="Arial" w:hAnsi="Arial"/>
          <w:sz w:val="22"/>
          <w:szCs w:val="22"/>
          <w:color w:val="auto"/>
        </w:rPr>
        <w:t>In relation to Foreign Collateral which is subject to a security document governed by Swiss law, the LC Collateral Agent in its capacity as Foreign Collateral Agent shall:</w:t>
      </w:r>
    </w:p>
    <w:p>
      <w:pPr>
        <w:spacing w:after="0" w:line="174" w:lineRule="exact"/>
        <w:rPr>
          <w:rFonts w:ascii="Arial" w:cs="Arial" w:eastAsia="Arial" w:hAnsi="Arial"/>
          <w:sz w:val="22"/>
          <w:szCs w:val="22"/>
          <w:color w:val="auto"/>
        </w:rPr>
      </w:pPr>
    </w:p>
    <w:p>
      <w:pPr>
        <w:jc w:val="both"/>
        <w:ind w:left="2600" w:firstLine="648"/>
        <w:spacing w:after="0" w:line="266" w:lineRule="auto"/>
        <w:tabs>
          <w:tab w:leader="none" w:pos="4058" w:val="left"/>
        </w:tabs>
        <w:numPr>
          <w:ilvl w:val="1"/>
          <w:numId w:val="843"/>
        </w:numPr>
        <w:rPr>
          <w:rFonts w:ascii="Arial" w:cs="Arial" w:eastAsia="Arial" w:hAnsi="Arial"/>
          <w:sz w:val="22"/>
          <w:szCs w:val="22"/>
          <w:color w:val="auto"/>
        </w:rPr>
      </w:pPr>
      <w:r>
        <w:rPr>
          <w:rFonts w:ascii="Arial" w:cs="Arial" w:eastAsia="Arial" w:hAnsi="Arial"/>
          <w:sz w:val="22"/>
          <w:szCs w:val="22"/>
          <w:color w:val="auto"/>
        </w:rPr>
        <w:t>hold and administer any non-accessory Collateral (</w:t>
      </w:r>
      <w:r>
        <w:rPr>
          <w:rFonts w:ascii="Arial" w:cs="Arial" w:eastAsia="Arial" w:hAnsi="Arial"/>
          <w:sz w:val="22"/>
          <w:szCs w:val="22"/>
          <w:i w:val="1"/>
          <w:iCs w:val="1"/>
          <w:color w:val="auto"/>
        </w:rPr>
        <w:t>nicht-akzessorische Sicherheit</w:t>
      </w:r>
      <w:r>
        <w:rPr>
          <w:rFonts w:ascii="Arial" w:cs="Arial" w:eastAsia="Arial" w:hAnsi="Arial"/>
          <w:sz w:val="22"/>
          <w:szCs w:val="22"/>
          <w:color w:val="auto"/>
        </w:rPr>
        <w:t>) governed by Swiss law as fiduciary (</w:t>
      </w:r>
      <w:r>
        <w:rPr>
          <w:rFonts w:ascii="Arial" w:cs="Arial" w:eastAsia="Arial" w:hAnsi="Arial"/>
          <w:sz w:val="22"/>
          <w:szCs w:val="22"/>
          <w:i w:val="1"/>
          <w:iCs w:val="1"/>
          <w:color w:val="auto"/>
        </w:rPr>
        <w:t>treuhänderisch</w:t>
      </w:r>
      <w:r>
        <w:rPr>
          <w:rFonts w:ascii="Arial" w:cs="Arial" w:eastAsia="Arial" w:hAnsi="Arial"/>
          <w:sz w:val="22"/>
          <w:szCs w:val="22"/>
          <w:color w:val="auto"/>
        </w:rPr>
        <w:t>) in its own name but for the benefit of the Secured Parties; and</w:t>
      </w:r>
    </w:p>
    <w:p>
      <w:pPr>
        <w:spacing w:after="0" w:line="184" w:lineRule="exact"/>
        <w:rPr>
          <w:rFonts w:ascii="Arial" w:cs="Arial" w:eastAsia="Arial" w:hAnsi="Arial"/>
          <w:sz w:val="22"/>
          <w:szCs w:val="22"/>
          <w:color w:val="auto"/>
        </w:rPr>
      </w:pPr>
    </w:p>
    <w:p>
      <w:pPr>
        <w:jc w:val="both"/>
        <w:ind w:left="2600" w:right="20" w:firstLine="648"/>
        <w:spacing w:after="0" w:line="266" w:lineRule="auto"/>
        <w:tabs>
          <w:tab w:leader="none" w:pos="4071" w:val="left"/>
        </w:tabs>
        <w:numPr>
          <w:ilvl w:val="1"/>
          <w:numId w:val="843"/>
        </w:numPr>
        <w:rPr>
          <w:rFonts w:ascii="Arial" w:cs="Arial" w:eastAsia="Arial" w:hAnsi="Arial"/>
          <w:sz w:val="22"/>
          <w:szCs w:val="22"/>
          <w:color w:val="auto"/>
        </w:rPr>
      </w:pPr>
      <w:r>
        <w:rPr>
          <w:rFonts w:ascii="Arial" w:cs="Arial" w:eastAsia="Arial" w:hAnsi="Arial"/>
          <w:sz w:val="22"/>
          <w:szCs w:val="22"/>
          <w:color w:val="auto"/>
        </w:rPr>
        <w:t>hold and administer any accessory Collateral (</w:t>
      </w:r>
      <w:r>
        <w:rPr>
          <w:rFonts w:ascii="Arial" w:cs="Arial" w:eastAsia="Arial" w:hAnsi="Arial"/>
          <w:sz w:val="22"/>
          <w:szCs w:val="22"/>
          <w:i w:val="1"/>
          <w:iCs w:val="1"/>
          <w:color w:val="auto"/>
        </w:rPr>
        <w:t>akzessorische Sicherheit</w:t>
      </w:r>
      <w:r>
        <w:rPr>
          <w:rFonts w:ascii="Arial" w:cs="Arial" w:eastAsia="Arial" w:hAnsi="Arial"/>
          <w:sz w:val="22"/>
          <w:szCs w:val="22"/>
          <w:color w:val="auto"/>
        </w:rPr>
        <w:t>) governed by Swiss law as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in the name and on behalf of the Secured Parties.</w:t>
      </w:r>
    </w:p>
    <w:p>
      <w:pPr>
        <w:spacing w:after="0" w:line="184" w:lineRule="exact"/>
        <w:rPr>
          <w:rFonts w:ascii="Arial" w:cs="Arial" w:eastAsia="Arial" w:hAnsi="Arial"/>
          <w:sz w:val="22"/>
          <w:szCs w:val="22"/>
          <w:color w:val="auto"/>
        </w:rPr>
      </w:pPr>
    </w:p>
    <w:p>
      <w:pPr>
        <w:ind w:left="2020" w:hanging="716"/>
        <w:spacing w:after="0"/>
        <w:tabs>
          <w:tab w:leader="none" w:pos="2020" w:val="left"/>
        </w:tabs>
        <w:numPr>
          <w:ilvl w:val="0"/>
          <w:numId w:val="843"/>
        </w:numPr>
        <w:rPr>
          <w:rFonts w:ascii="Arial" w:cs="Arial" w:eastAsia="Arial" w:hAnsi="Arial"/>
          <w:sz w:val="22"/>
          <w:szCs w:val="22"/>
          <w:color w:val="auto"/>
        </w:rPr>
      </w:pPr>
      <w:r>
        <w:rPr>
          <w:rFonts w:ascii="Arial" w:cs="Arial" w:eastAsia="Arial" w:hAnsi="Arial"/>
          <w:sz w:val="22"/>
          <w:szCs w:val="22"/>
          <w:color w:val="auto"/>
        </w:rPr>
        <w:t>The LC Collateral Agent in its capacity as Foreign Collateral Agent shall be empowered to:</w:t>
      </w:r>
    </w:p>
    <w:p>
      <w:pPr>
        <w:spacing w:after="0" w:line="233" w:lineRule="exact"/>
        <w:rPr>
          <w:rFonts w:ascii="Arial" w:cs="Arial" w:eastAsia="Arial" w:hAnsi="Arial"/>
          <w:sz w:val="22"/>
          <w:szCs w:val="22"/>
          <w:color w:val="auto"/>
        </w:rPr>
      </w:pPr>
    </w:p>
    <w:p>
      <w:pPr>
        <w:jc w:val="both"/>
        <w:ind w:left="2600" w:firstLine="648"/>
        <w:spacing w:after="0" w:line="327" w:lineRule="auto"/>
        <w:tabs>
          <w:tab w:leader="none" w:pos="4004" w:val="left"/>
        </w:tabs>
        <w:numPr>
          <w:ilvl w:val="1"/>
          <w:numId w:val="843"/>
        </w:numPr>
        <w:rPr>
          <w:rFonts w:ascii="Arial" w:cs="Arial" w:eastAsia="Arial" w:hAnsi="Arial"/>
          <w:sz w:val="19"/>
          <w:szCs w:val="19"/>
          <w:color w:val="auto"/>
        </w:rPr>
      </w:pPr>
      <w:r>
        <w:rPr>
          <w:rFonts w:ascii="Arial" w:cs="Arial" w:eastAsia="Arial" w:hAnsi="Arial"/>
          <w:sz w:val="19"/>
          <w:szCs w:val="19"/>
          <w:color w:val="auto"/>
        </w:rPr>
        <w:t>exercise such rights, remedies, powers and discretions as are specifically delegated to or conferred upon the Foreign Collateral Agent under the relevant security documents governed by Swiss law together with such powers and discretions as are reasonably incidental thereto;</w:t>
      </w:r>
    </w:p>
    <w:p>
      <w:pPr>
        <w:spacing w:after="0" w:line="132" w:lineRule="exact"/>
        <w:rPr>
          <w:rFonts w:ascii="Arial" w:cs="Arial" w:eastAsia="Arial" w:hAnsi="Arial"/>
          <w:sz w:val="19"/>
          <w:szCs w:val="19"/>
          <w:color w:val="auto"/>
        </w:rPr>
      </w:pPr>
    </w:p>
    <w:p>
      <w:pPr>
        <w:ind w:left="2600" w:right="60" w:firstLine="648"/>
        <w:spacing w:after="0" w:line="358" w:lineRule="auto"/>
        <w:tabs>
          <w:tab w:leader="none" w:pos="4044" w:val="left"/>
        </w:tabs>
        <w:numPr>
          <w:ilvl w:val="1"/>
          <w:numId w:val="843"/>
        </w:numPr>
        <w:rPr>
          <w:rFonts w:ascii="Arial" w:cs="Arial" w:eastAsia="Arial" w:hAnsi="Arial"/>
          <w:sz w:val="19"/>
          <w:szCs w:val="19"/>
          <w:color w:val="auto"/>
        </w:rPr>
      </w:pPr>
      <w:r>
        <w:rPr>
          <w:rFonts w:ascii="Arial" w:cs="Arial" w:eastAsia="Arial" w:hAnsi="Arial"/>
          <w:sz w:val="19"/>
          <w:szCs w:val="19"/>
          <w:color w:val="auto"/>
        </w:rPr>
        <w:t>take such action on its behalf as may from time to time be authorized under or in accordance with the relevant Foreign Collateral Documents governed by Swiss law; and</w:t>
      </w:r>
    </w:p>
    <w:p>
      <w:pPr>
        <w:spacing w:after="0" w:line="104" w:lineRule="exact"/>
        <w:rPr>
          <w:rFonts w:ascii="Arial" w:cs="Arial" w:eastAsia="Arial" w:hAnsi="Arial"/>
          <w:sz w:val="19"/>
          <w:szCs w:val="19"/>
          <w:color w:val="auto"/>
        </w:rPr>
      </w:pPr>
    </w:p>
    <w:p>
      <w:pPr>
        <w:jc w:val="both"/>
        <w:ind w:left="2600" w:firstLine="648"/>
        <w:spacing w:after="0" w:line="259" w:lineRule="auto"/>
        <w:tabs>
          <w:tab w:leader="none" w:pos="4098" w:val="left"/>
        </w:tabs>
        <w:numPr>
          <w:ilvl w:val="1"/>
          <w:numId w:val="843"/>
        </w:numPr>
        <w:rPr>
          <w:rFonts w:ascii="Arial" w:cs="Arial" w:eastAsia="Arial" w:hAnsi="Arial"/>
          <w:sz w:val="22"/>
          <w:szCs w:val="22"/>
          <w:color w:val="auto"/>
        </w:rPr>
      </w:pPr>
      <w:r>
        <w:rPr>
          <w:rFonts w:ascii="Arial" w:cs="Arial" w:eastAsia="Arial" w:hAnsi="Arial"/>
          <w:sz w:val="22"/>
          <w:szCs w:val="22"/>
          <w:color w:val="auto"/>
        </w:rPr>
        <w:t>accept, enter into and execute,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pledge or other creation of any accessory security right granted in favor of any Secured Party under Swiss law in connection with the Notes Documents and/or the LC Documents and to agree to and execute in its name and on its behalf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amendments, confirmations and/or alterations to any security document governed by Swiss law which creates a pledge or any other accessory security right (</w:t>
      </w:r>
      <w:r>
        <w:rPr>
          <w:rFonts w:ascii="Arial" w:cs="Arial" w:eastAsia="Arial" w:hAnsi="Arial"/>
          <w:sz w:val="22"/>
          <w:szCs w:val="22"/>
          <w:i w:val="1"/>
          <w:iCs w:val="1"/>
          <w:color w:val="auto"/>
        </w:rPr>
        <w:t>akzessorische Sicherheit</w:t>
      </w:r>
      <w:r>
        <w:rPr>
          <w:rFonts w:ascii="Arial" w:cs="Arial" w:eastAsia="Arial" w:hAnsi="Arial"/>
          <w:sz w:val="22"/>
          <w:szCs w:val="22"/>
          <w:color w:val="auto"/>
        </w:rPr>
        <w:t>) including the release or confirmation of release of such Collateral, all subject to the provisions of this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n. Scottish Collateral</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1" w:lineRule="auto"/>
        <w:tabs>
          <w:tab w:leader="none" w:pos="1977" w:val="left"/>
        </w:tabs>
        <w:numPr>
          <w:ilvl w:val="1"/>
          <w:numId w:val="844"/>
        </w:numPr>
        <w:rPr>
          <w:rFonts w:ascii="Arial" w:cs="Arial" w:eastAsia="Arial" w:hAnsi="Arial"/>
          <w:sz w:val="21"/>
          <w:szCs w:val="21"/>
          <w:color w:val="auto"/>
        </w:rPr>
      </w:pPr>
      <w:r>
        <w:rPr>
          <w:rFonts w:ascii="Arial" w:cs="Arial" w:eastAsia="Arial" w:hAnsi="Arial"/>
          <w:sz w:val="21"/>
          <w:szCs w:val="21"/>
          <w:color w:val="auto"/>
        </w:rPr>
        <w:t xml:space="preserve">The Foreign Collateral Agent declares that it holds on trust for the Secured Parties, on the terms contained in this </w:t>
      </w:r>
      <w:r>
        <w:rPr>
          <w:rFonts w:ascii="Arial" w:cs="Arial" w:eastAsia="Arial" w:hAnsi="Arial"/>
          <w:sz w:val="21"/>
          <w:szCs w:val="21"/>
          <w:u w:val="single" w:color="auto"/>
          <w:color w:val="auto"/>
        </w:rPr>
        <w:t>Article VI</w:t>
      </w:r>
      <w:r>
        <w:rPr>
          <w:rFonts w:ascii="Arial" w:cs="Arial" w:eastAsia="Arial" w:hAnsi="Arial"/>
          <w:sz w:val="21"/>
          <w:szCs w:val="21"/>
          <w:color w:val="auto"/>
        </w:rPr>
        <w:t>: (i) the Foreign Collateral expressed to be subject to the Liens created in favor of the Foreign Collateral Agent as trustee for the Secured Parties by or pursuant to each Foreign Collateral Document which is governed by or subject to the laws of Scotland, and all proceeds of that Foreign Collateral; (ii) all obligations expressed to be undertaken by any Grantor to pay amounts in respect of the Obligations to the Foreign Collateral Agent as trustee for the Secured Parties and secured by any Foreign Collateral Document which is governed by or subject to the laws of Scotland together with all representations and warranties expressed to be given by any Grantor or any other person in favour of the Foreign Collateral Agent as trustee for the Secured Parties; and (iii) any other amounts or property, whether rights, entitlements, choses in action or otherwise, actual or contingent, which the Foreign Collateral Agent is required by the terms of the Notes Documents or the LC Documents to hold as trustee on trust for the Secured Parties.</w:t>
      </w:r>
    </w:p>
    <w:p>
      <w:pPr>
        <w:spacing w:after="0" w:line="189" w:lineRule="exact"/>
        <w:rPr>
          <w:rFonts w:ascii="Arial" w:cs="Arial" w:eastAsia="Arial" w:hAnsi="Arial"/>
          <w:sz w:val="21"/>
          <w:szCs w:val="21"/>
          <w:color w:val="auto"/>
        </w:rPr>
      </w:pPr>
    </w:p>
    <w:p>
      <w:pPr>
        <w:jc w:val="both"/>
        <w:ind w:firstLine="1304"/>
        <w:spacing w:after="0" w:line="273" w:lineRule="auto"/>
        <w:tabs>
          <w:tab w:leader="none" w:pos="2429" w:val="left"/>
        </w:tabs>
        <w:numPr>
          <w:ilvl w:val="1"/>
          <w:numId w:val="844"/>
        </w:numPr>
        <w:rPr>
          <w:rFonts w:ascii="Arial" w:cs="Arial" w:eastAsia="Arial" w:hAnsi="Arial"/>
          <w:sz w:val="21"/>
          <w:szCs w:val="21"/>
          <w:color w:val="auto"/>
        </w:rPr>
      </w:pPr>
      <w:r>
        <w:rPr>
          <w:rFonts w:ascii="Arial" w:cs="Arial" w:eastAsia="Arial" w:hAnsi="Arial"/>
          <w:sz w:val="21"/>
          <w:szCs w:val="21"/>
          <w:color w:val="auto"/>
        </w:rPr>
        <w:t xml:space="preserve">Without prejudice to the other provisions of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each other Collateral Agent hereby irrevocably authorizes the Foreign Collateral Agent to perform the duties, obligations and responsibilities and to exercise the rights, powers, authorities and discretions specifically given to the Foreign Collateral Agent as trustee for the Secured Parties under or in connection with the Notes Documents and the LC Documents together with any other incidental rights, powers, authorities and discretions. For the avoidance of doubt, the Foreign Collateral Agent in its capacity as trustee for the Secured Parties shall have the same rights, powers, immunities, indemnities and exclusions from liability as are prescribed in favor of the Foreign Collateral Agent in this Agreement, which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ind w:left="1360" w:hanging="218"/>
        <w:spacing w:after="0"/>
        <w:tabs>
          <w:tab w:leader="none" w:pos="1360" w:val="left"/>
        </w:tabs>
        <w:numPr>
          <w:ilvl w:val="0"/>
          <w:numId w:val="84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Benefits of Foreign Collateral Agent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provisions of this Article VI granting rights, privileges, immunities and indemnities to the LC Collateral Agent or Notes Collateral Agent, as applicable, when acting as Foreign Collateral Agent, are intended to be in addition to, and shall not impair, the rights, privileges, immunities and indemnities granted to the LC Collateral Agent and Notes Collateral Agent, as applicable, under the LC Documents and Notes Documents, as the case may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w:t>
      </w:r>
    </w:p>
    <w:p>
      <w:pPr>
        <w:sectPr>
          <w:pgSz w:w="11900" w:h="16838" w:orient="portrait"/>
          <w:cols w:equalWidth="0" w:num="1">
            <w:col w:w="11240"/>
          </w:cols>
          <w:pgMar w:left="320" w:top="132" w:right="339"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Miscellaneous</w:t>
      </w:r>
    </w:p>
    <w:p>
      <w:pPr>
        <w:sectPr>
          <w:pgSz w:w="11900" w:h="16838" w:orient="portrait"/>
          <w:cols w:equalWidth="0" w:num="1">
            <w:col w:w="11240"/>
          </w:cols>
          <w:pgMar w:left="320" w:top="132" w:right="339" w:bottom="0" w:gutter="0" w:footer="0" w:header="0"/>
          <w:type w:val="continuous"/>
        </w:sectPr>
      </w:pPr>
    </w:p>
    <w:bookmarkStart w:id="673" w:name="page674"/>
    <w:bookmarkEnd w:id="673"/>
    <w:p>
      <w:pPr>
        <w:spacing w:after="0" w:line="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b w:val="1"/>
          <w:bCs w:val="1"/>
          <w:i w:val="1"/>
          <w:iCs w:val="1"/>
          <w:color w:val="auto"/>
        </w:rPr>
        <w:t>a. Legends</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Each Security Document shall (and, to the extent already in existence, shall be amended to) include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legend, substantially similar to the form provided below, describing this Agreement (except in the case of any foreign jurisdiction, where such legend is not customary or where otherwise prohibited by applicable law):</w:t>
      </w:r>
    </w:p>
    <w:p>
      <w:pPr>
        <w:spacing w:after="0" w:line="179" w:lineRule="exact"/>
        <w:rPr>
          <w:sz w:val="20"/>
          <w:szCs w:val="20"/>
          <w:color w:val="auto"/>
        </w:rPr>
      </w:pPr>
    </w:p>
    <w:p>
      <w:pPr>
        <w:jc w:val="both"/>
        <w:ind w:left="1300"/>
        <w:spacing w:after="0" w:line="299" w:lineRule="auto"/>
        <w:rPr>
          <w:sz w:val="20"/>
          <w:szCs w:val="20"/>
          <w:color w:val="auto"/>
        </w:rPr>
      </w:pPr>
      <w:r>
        <w:rPr>
          <w:rFonts w:ascii="Arial" w:cs="Arial" w:eastAsia="Arial" w:hAnsi="Arial"/>
          <w:sz w:val="19"/>
          <w:szCs w:val="19"/>
          <w:b w:val="1"/>
          <w:bCs w:val="1"/>
          <w:color w:val="auto"/>
        </w:rPr>
        <w:t>Reference is made to the Intercreditor Agreement (the “Intercreditor Agreement”), dated as of August 28, 2020, among BTA Institutional Services Australia Limited (ABN 48 002 916 396), in its capacity as trustee of the LC Australian Security Trust referred to herein (when joined to such agreement, in such capacity, together with its successors in substantially the same capacity as may from time to time be appointed, the “LC Australian Collateral Agent”), Deutsche Bank Trust Company Americas (“DBTCA”), as administrative agent and collateral 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“LC Collateral Agent”), Wilmington Trust, National Association (“Wilmington Trust”), as collateral agent for the Notes Secured Parties referred to herein (in such capacity, together with its successors and co-agents and, as applicable, sub-agents, in substantially the same capacity as may from time to time be appointed, the “Notes Collateral Agent”), Weatherford International plc (“Parent”) and the other Subsidiaries of the Parent from time to time party thereto. Each [Notes Secured Party] [LC Secured Party], through its Collateral Agent, by obtaining the benefits of this Agreement, (a) consents to the subordination of Liens provided for in the Intercreditor Agreement, (b) agrees that it will be bound by, and will take no actions contrary to, the provisions of the Intercreditor Agreement and (c) authorizes and instructs the [Notes Collateral Agent] [LC Collateral Agent] to enter into the Intercreditor Agreement as [Notes Collateral Agent ] [LC Collateral Agent] on behalf of such Secured Party. The foregoing provisions are intended as an inducement to the [Notes Secured Parties] [LC Secured Parties] to extend credit to [LC Borrowers] [Notes Issuer] or to acquire any notes or other evidence of any debt obligation owing from the [LC Borrowers] [Notes Issuer] and such [Notes Secured Parties] [LC Secured Parties] are intended third party beneficiaries of such provisions and the provisions of the Intercreditor Agreement.</w:t>
      </w:r>
    </w:p>
    <w:p>
      <w:pPr>
        <w:spacing w:after="0" w:line="200" w:lineRule="exact"/>
        <w:rPr>
          <w:sz w:val="20"/>
          <w:szCs w:val="20"/>
          <w:color w:val="auto"/>
        </w:rPr>
      </w:pPr>
    </w:p>
    <w:p>
      <w:pPr>
        <w:spacing w:after="0" w:line="238" w:lineRule="exact"/>
        <w:rPr>
          <w:sz w:val="20"/>
          <w:szCs w:val="20"/>
          <w:color w:val="auto"/>
        </w:rPr>
      </w:pPr>
    </w:p>
    <w:p>
      <w:pPr>
        <w:jc w:val="both"/>
        <w:ind w:left="1300"/>
        <w:spacing w:after="0" w:line="276" w:lineRule="auto"/>
        <w:rPr>
          <w:sz w:val="20"/>
          <w:szCs w:val="20"/>
          <w:color w:val="auto"/>
        </w:rPr>
      </w:pPr>
      <w:r>
        <w:rPr>
          <w:rFonts w:ascii="Arial" w:cs="Arial" w:eastAsia="Arial" w:hAnsi="Arial"/>
          <w:sz w:val="21"/>
          <w:szCs w:val="21"/>
          <w:b w:val="1"/>
          <w:bCs w:val="1"/>
          <w:color w:val="auto"/>
        </w:rPr>
        <w:t>Notwithstanding any other provision contained herein, this Agreement, the Liens created hereby and the rights, remedies, duties and obligations provided for herein are subject in all respects to the provisions of the Intercreditor Agreement and, to the extent provided therein, the applicable Notes Security Documents and LC Security Documents (as defined in the ntercreditor Agreement). In the event of any conflict or inconsistency between the provisions of this Agreement and the Intercreditor Agreement, the provisions of the Intercreditor Agreement shall control.</w:t>
      </w:r>
    </w:p>
    <w:p>
      <w:pPr>
        <w:spacing w:after="0" w:line="176"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b w:val="1"/>
          <w:bCs w:val="1"/>
          <w:i w:val="1"/>
          <w:iCs w:val="1"/>
          <w:color w:val="auto"/>
        </w:rPr>
        <w:t>b. Notices</w:t>
      </w:r>
      <w:r>
        <w:rPr>
          <w:rFonts w:ascii="Arial" w:cs="Arial" w:eastAsia="Arial" w:hAnsi="Arial"/>
          <w:sz w:val="22"/>
          <w:szCs w:val="22"/>
          <w:color w:val="auto"/>
        </w:rPr>
        <w:t>. All notices and other communications provided for herein shall be in writing and shall be delivered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hand or overnight courier service, mailed by certified or registered mail or sent by telecopy, as follows:</w:t>
      </w:r>
    </w:p>
    <w:p>
      <w:pPr>
        <w:spacing w:after="0" w:line="174" w:lineRule="exact"/>
        <w:rPr>
          <w:sz w:val="20"/>
          <w:szCs w:val="20"/>
          <w:color w:val="auto"/>
        </w:rPr>
      </w:pPr>
    </w:p>
    <w:p>
      <w:pPr>
        <w:ind w:left="1960" w:hanging="656"/>
        <w:spacing w:after="0"/>
        <w:tabs>
          <w:tab w:leader="none" w:pos="1960" w:val="left"/>
        </w:tabs>
        <w:numPr>
          <w:ilvl w:val="0"/>
          <w:numId w:val="846"/>
        </w:numPr>
        <w:rPr>
          <w:rFonts w:ascii="Arial" w:cs="Arial" w:eastAsia="Arial" w:hAnsi="Arial"/>
          <w:sz w:val="22"/>
          <w:szCs w:val="22"/>
          <w:color w:val="auto"/>
        </w:rPr>
      </w:pPr>
      <w:r>
        <w:rPr>
          <w:rFonts w:ascii="Arial" w:cs="Arial" w:eastAsia="Arial" w:hAnsi="Arial"/>
          <w:sz w:val="22"/>
          <w:szCs w:val="22"/>
          <w:color w:val="auto"/>
        </w:rPr>
        <w:t>if to the Notes Collateral Agent, to it at:</w:t>
      </w:r>
    </w:p>
    <w:p>
      <w:pPr>
        <w:spacing w:after="0" w:line="233" w:lineRule="exact"/>
        <w:rPr>
          <w:rFonts w:ascii="Arial" w:cs="Arial" w:eastAsia="Arial" w:hAnsi="Arial"/>
          <w:sz w:val="22"/>
          <w:szCs w:val="22"/>
          <w:color w:val="auto"/>
        </w:rPr>
      </w:pPr>
    </w:p>
    <w:p>
      <w:pPr>
        <w:ind w:left="1960" w:right="5820"/>
        <w:spacing w:after="0" w:line="258" w:lineRule="auto"/>
        <w:rPr>
          <w:rFonts w:ascii="Arial" w:cs="Arial" w:eastAsia="Arial" w:hAnsi="Arial"/>
          <w:sz w:val="22"/>
          <w:szCs w:val="22"/>
          <w:color w:val="auto"/>
        </w:rPr>
      </w:pPr>
      <w:r>
        <w:rPr>
          <w:rFonts w:ascii="Arial" w:cs="Arial" w:eastAsia="Arial" w:hAnsi="Arial"/>
          <w:sz w:val="22"/>
          <w:szCs w:val="22"/>
          <w:color w:val="auto"/>
        </w:rPr>
        <w:t>Wilmington Trust, National Association Global Capital Markets</w:t>
      </w:r>
    </w:p>
    <w:p>
      <w:pPr>
        <w:ind w:left="1960" w:right="6400"/>
        <w:spacing w:after="0" w:line="296" w:lineRule="auto"/>
        <w:rPr>
          <w:rFonts w:ascii="Arial" w:cs="Arial" w:eastAsia="Arial" w:hAnsi="Arial"/>
          <w:sz w:val="22"/>
          <w:szCs w:val="22"/>
          <w:color w:val="auto"/>
        </w:rPr>
      </w:pPr>
      <w:r>
        <w:rPr>
          <w:rFonts w:ascii="Arial" w:cs="Arial" w:eastAsia="Arial" w:hAnsi="Arial"/>
          <w:sz w:val="19"/>
          <w:szCs w:val="19"/>
          <w:color w:val="auto"/>
        </w:rPr>
        <w:t>50 South Sixth Street, Suite 1290 Minneapolis, Minnesota 55402</w:t>
      </w:r>
    </w:p>
    <w:p>
      <w:pPr>
        <w:spacing w:after="0" w:line="1"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USA</w:t>
      </w:r>
    </w:p>
    <w:p>
      <w:pPr>
        <w:spacing w:after="0" w:line="17"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Attention: Weatherford International Notes Administrator</w:t>
      </w:r>
    </w:p>
    <w:p>
      <w:pPr>
        <w:spacing w:after="0" w:line="17"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Fax: 612-217-5651</w:t>
      </w:r>
    </w:p>
    <w:p>
      <w:pPr>
        <w:spacing w:after="0" w:line="228" w:lineRule="exact"/>
        <w:rPr>
          <w:rFonts w:ascii="Arial" w:cs="Arial" w:eastAsia="Arial" w:hAnsi="Arial"/>
          <w:sz w:val="22"/>
          <w:szCs w:val="22"/>
          <w:color w:val="auto"/>
        </w:rPr>
      </w:pPr>
    </w:p>
    <w:p>
      <w:pPr>
        <w:ind w:left="2080" w:hanging="776"/>
        <w:spacing w:after="0"/>
        <w:tabs>
          <w:tab w:leader="none" w:pos="2080" w:val="left"/>
        </w:tabs>
        <w:numPr>
          <w:ilvl w:val="0"/>
          <w:numId w:val="846"/>
        </w:numPr>
        <w:rPr>
          <w:rFonts w:ascii="Arial" w:cs="Arial" w:eastAsia="Arial" w:hAnsi="Arial"/>
          <w:sz w:val="22"/>
          <w:szCs w:val="22"/>
          <w:color w:val="auto"/>
        </w:rPr>
      </w:pPr>
      <w:r>
        <w:rPr>
          <w:rFonts w:ascii="Arial" w:cs="Arial" w:eastAsia="Arial" w:hAnsi="Arial"/>
          <w:sz w:val="22"/>
          <w:szCs w:val="22"/>
          <w:color w:val="auto"/>
        </w:rPr>
        <w:t>if to the LC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and Agency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24th Floor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NYC60 - 2410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10005</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Project Finance Agency Services, Weatherford, SF0580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(646) 961-3317</w:t>
      </w:r>
    </w:p>
    <w:p>
      <w:pPr>
        <w:spacing w:after="0" w:line="229" w:lineRule="exact"/>
        <w:rPr>
          <w:sz w:val="20"/>
          <w:szCs w:val="20"/>
          <w:color w:val="auto"/>
        </w:rPr>
      </w:pPr>
    </w:p>
    <w:p>
      <w:pPr>
        <w:ind w:left="2080" w:hanging="776"/>
        <w:spacing w:after="0"/>
        <w:tabs>
          <w:tab w:leader="none" w:pos="2080" w:val="left"/>
        </w:tabs>
        <w:numPr>
          <w:ilvl w:val="0"/>
          <w:numId w:val="847"/>
        </w:numPr>
        <w:rPr>
          <w:rFonts w:ascii="Arial" w:cs="Arial" w:eastAsia="Arial" w:hAnsi="Arial"/>
          <w:sz w:val="22"/>
          <w:szCs w:val="22"/>
          <w:color w:val="auto"/>
        </w:rPr>
      </w:pPr>
      <w:r>
        <w:rPr>
          <w:rFonts w:ascii="Arial" w:cs="Arial" w:eastAsia="Arial" w:hAnsi="Arial"/>
          <w:sz w:val="22"/>
          <w:szCs w:val="22"/>
          <w:color w:val="auto"/>
        </w:rPr>
        <w:t>if to the LC Australian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BTA Institutional Services Australia Limited</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Level 2, 1 Bligh Street</w:t>
      </w:r>
    </w:p>
    <w:p>
      <w:pPr>
        <w:sectPr>
          <w:pgSz w:w="11900" w:h="16844" w:orient="portrait"/>
          <w:cols w:equalWidth="0" w:num="1">
            <w:col w:w="11240"/>
          </w:cols>
          <w:pgMar w:left="320" w:top="132" w:right="339" w:bottom="0" w:gutter="0" w:footer="0" w:header="0"/>
        </w:sectPr>
      </w:pPr>
    </w:p>
    <w:bookmarkStart w:id="674" w:name="page675"/>
    <w:bookmarkEnd w:id="674"/>
    <w:p>
      <w:pPr>
        <w:ind w:left="1960"/>
        <w:spacing w:after="0"/>
        <w:rPr>
          <w:sz w:val="20"/>
          <w:szCs w:val="20"/>
          <w:color w:val="auto"/>
        </w:rPr>
      </w:pPr>
      <w:r>
        <w:rPr>
          <w:rFonts w:ascii="Arial" w:cs="Arial" w:eastAsia="Arial" w:hAnsi="Arial"/>
          <w:sz w:val="22"/>
          <w:szCs w:val="22"/>
          <w:color w:val="auto"/>
        </w:rPr>
        <w:t>Sydney NSW 2000</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Australia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Global Client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+61 2 9260 6009</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BNYM_CT_Aus_RMG@bnymellon.com</w:t>
      </w:r>
    </w:p>
    <w:p>
      <w:pPr>
        <w:spacing w:after="0" w:line="229" w:lineRule="exact"/>
        <w:rPr>
          <w:sz w:val="20"/>
          <w:szCs w:val="20"/>
          <w:color w:val="auto"/>
        </w:rPr>
      </w:pPr>
    </w:p>
    <w:p>
      <w:pPr>
        <w:ind w:left="2060" w:hanging="756"/>
        <w:spacing w:after="0"/>
        <w:tabs>
          <w:tab w:leader="none" w:pos="2060" w:val="left"/>
        </w:tabs>
        <w:numPr>
          <w:ilvl w:val="0"/>
          <w:numId w:val="848"/>
        </w:numPr>
        <w:rPr>
          <w:rFonts w:ascii="Arial" w:cs="Arial" w:eastAsia="Arial" w:hAnsi="Arial"/>
          <w:sz w:val="22"/>
          <w:szCs w:val="22"/>
          <w:color w:val="auto"/>
        </w:rPr>
      </w:pPr>
      <w:r>
        <w:rPr>
          <w:rFonts w:ascii="Arial" w:cs="Arial" w:eastAsia="Arial" w:hAnsi="Arial"/>
          <w:sz w:val="22"/>
          <w:szCs w:val="22"/>
          <w:color w:val="auto"/>
        </w:rPr>
        <w:t>if to the Grantors, to them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836-4000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LegalWeatherford@weatherford.com</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836-7460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Mark.Rothleitner@weatherford.com; Josh.Silverman@weatherford.com</w:t>
      </w:r>
    </w:p>
    <w:p>
      <w:pPr>
        <w:spacing w:after="0" w:line="22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Any party hereto may change its address or telecopy number for notices and other communications hereunder by notice to the other parties hereto (and for this purpose a notice to the Parent shall be deemed to be a notice to each Grantor).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five Business Days after dispatch by certified or registered mail if mailed, in each case delivered, sent or mailed (properly addressed) to such party as provided in this Section 7.02 or in accordance with the latest unrevoked direction from such party given in accordance with this Section 7.02. As agreed to in writing among the Parent, the Notes Collateral Agent, the LC Collateral Agent, notices and other communications may also be delivered by e-mail to the e-mail address of a representative of the applicable Person provided from time to time by such Person.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c. Waivers; Amendment</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305" w:lineRule="auto"/>
        <w:tabs>
          <w:tab w:leader="none" w:pos="1977" w:val="left"/>
        </w:tabs>
        <w:numPr>
          <w:ilvl w:val="0"/>
          <w:numId w:val="849"/>
        </w:numPr>
        <w:rPr>
          <w:rFonts w:ascii="Arial" w:cs="Arial" w:eastAsia="Arial" w:hAnsi="Arial"/>
          <w:sz w:val="19"/>
          <w:szCs w:val="19"/>
          <w:color w:val="auto"/>
        </w:rPr>
      </w:pPr>
      <w:r>
        <w:rPr>
          <w:rFonts w:ascii="Arial" w:cs="Arial" w:eastAsia="Arial" w:hAnsi="Arial"/>
          <w:sz w:val="19"/>
          <w:szCs w:val="19"/>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7.03,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54" w:lineRule="exact"/>
        <w:rPr>
          <w:rFonts w:ascii="Arial" w:cs="Arial" w:eastAsia="Arial" w:hAnsi="Arial"/>
          <w:sz w:val="19"/>
          <w:szCs w:val="19"/>
          <w:color w:val="auto"/>
        </w:rPr>
      </w:pPr>
    </w:p>
    <w:p>
      <w:pPr>
        <w:jc w:val="both"/>
        <w:ind w:firstLine="1304"/>
        <w:spacing w:after="0" w:line="262" w:lineRule="auto"/>
        <w:tabs>
          <w:tab w:leader="none" w:pos="2159" w:val="left"/>
        </w:tabs>
        <w:numPr>
          <w:ilvl w:val="0"/>
          <w:numId w:val="849"/>
        </w:numPr>
        <w:rPr>
          <w:rFonts w:ascii="Arial" w:cs="Arial" w:eastAsia="Arial" w:hAnsi="Arial"/>
          <w:sz w:val="22"/>
          <w:szCs w:val="22"/>
          <w:color w:val="auto"/>
        </w:rPr>
      </w:pPr>
      <w:r>
        <w:rPr>
          <w:rFonts w:ascii="Arial" w:cs="Arial" w:eastAsia="Arial" w:hAnsi="Arial"/>
          <w:sz w:val="22"/>
          <w:szCs w:val="22"/>
          <w:color w:val="auto"/>
        </w:rPr>
        <w:t>Subject to Sections 2.03, 2.10, 2.11, Article 6 and 7.15 hereof, and except as set forth in Section 7.18, neither this Agreement nor any provision hereof may be terminated, waived, amended or modified except pursuant to an agreement or agreements in writing entered into by each Representative, each Collateral Agent and the Parent (for and on behalf of each of the other Grantors).</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b w:val="1"/>
          <w:bCs w:val="1"/>
          <w:i w:val="1"/>
          <w:iCs w:val="1"/>
          <w:color w:val="auto"/>
        </w:rPr>
        <w:t>d. Parties in Interest</w:t>
      </w:r>
      <w:r>
        <w:rPr>
          <w:rFonts w:ascii="Arial" w:cs="Arial" w:eastAsia="Arial" w:hAnsi="Arial"/>
          <w:sz w:val="22"/>
          <w:szCs w:val="22"/>
          <w:color w:val="auto"/>
        </w:rPr>
        <w:t>. This Agreement shall be binding upon and inure to the benefit of the parties hereto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their respective successors and assigns, all of whom are intended to be bound by this Agreement.</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b w:val="1"/>
          <w:bCs w:val="1"/>
          <w:i w:val="1"/>
          <w:iCs w:val="1"/>
          <w:color w:val="auto"/>
        </w:rPr>
        <w:t>e. Survival of Agreement</w:t>
      </w:r>
      <w:r>
        <w:rPr>
          <w:rFonts w:ascii="Arial" w:cs="Arial" w:eastAsia="Arial" w:hAnsi="Arial"/>
          <w:sz w:val="22"/>
          <w:szCs w:val="22"/>
          <w:color w:val="auto"/>
        </w:rPr>
        <w:t>. All covenants, agreements, representations and warranties made by any party in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shall be considered to have been relied upon by the other parties hereto and shall survive the execution and delivery of this Agreement.</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i w:val="1"/>
          <w:iCs w:val="1"/>
          <w:color w:val="auto"/>
        </w:rPr>
        <w:t>f. Counterparts</w:t>
      </w:r>
      <w:r>
        <w:rPr>
          <w:rFonts w:ascii="Arial" w:cs="Arial" w:eastAsia="Arial" w:hAnsi="Arial"/>
          <w:sz w:val="22"/>
          <w:szCs w:val="22"/>
          <w:color w:val="auto"/>
        </w:rPr>
        <w:t>. This Agreement may be executed in counterparts, each of which shall constitute an original but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ectPr>
          <w:pgSz w:w="11900" w:h="16838" w:orient="portrait"/>
          <w:cols w:equalWidth="0" w:num="1">
            <w:col w:w="11240"/>
          </w:cols>
          <w:pgMar w:left="320" w:top="132" w:right="339" w:bottom="0" w:gutter="0" w:footer="0" w:header="0"/>
        </w:sectPr>
      </w:pPr>
    </w:p>
    <w:bookmarkStart w:id="675" w:name="page676"/>
    <w:bookmarkEnd w:id="675"/>
    <w:p>
      <w:pPr>
        <w:spacing w:after="0" w:line="7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i w:val="1"/>
          <w:iCs w:val="1"/>
          <w:color w:val="auto"/>
        </w:rPr>
        <w:t>g. Severability</w:t>
      </w:r>
      <w:r>
        <w:rPr>
          <w:rFonts w:ascii="Arial" w:cs="Arial" w:eastAsia="Arial" w:hAnsi="Arial"/>
          <w:sz w:val="21"/>
          <w:szCs w:val="21"/>
          <w:color w:val="auto"/>
        </w:rPr>
        <w:t>. Any provision of this Agreement held to be invalid, illegal or unenforceable in any jurisdiction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h. Governing Law; Jurisdiction; Consent to Service of Process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1" w:lineRule="exact"/>
        <w:tabs>
          <w:tab w:leader="none" w:pos="1990" w:val="left"/>
        </w:tabs>
        <w:numPr>
          <w:ilvl w:val="0"/>
          <w:numId w:val="850"/>
        </w:numPr>
        <w:rPr>
          <w:rFonts w:ascii="Arial" w:cs="Arial" w:eastAsia="Arial" w:hAnsi="Arial"/>
          <w:sz w:val="22"/>
          <w:szCs w:val="22"/>
          <w:color w:val="auto"/>
        </w:rPr>
      </w:pPr>
      <w:r>
        <w:rPr>
          <w:rFonts w:ascii="Arial" w:cs="Arial" w:eastAsia="Arial" w:hAnsi="Arial"/>
          <w:sz w:val="22"/>
          <w:szCs w:val="22"/>
          <w:color w:val="auto"/>
        </w:rPr>
        <w:t>This Agreement and any claim, controversy or dispute arising under or related to such Agreement shall be governed by, and construed in accordance with, the law of the State of New York, without giving effect to conflict of law provisions, other than 5-1401 and 5</w:t>
      </w:r>
      <w:r>
        <w:rPr>
          <w:rFonts w:ascii="MS PGothic" w:cs="MS PGothic" w:eastAsia="MS PGothic" w:hAnsi="MS PGothic"/>
          <w:sz w:val="22"/>
          <w:szCs w:val="22"/>
          <w:color w:val="auto"/>
        </w:rPr>
        <w:t>‑</w:t>
      </w:r>
      <w:r>
        <w:rPr>
          <w:rFonts w:ascii="Arial" w:cs="Arial" w:eastAsia="Arial" w:hAnsi="Arial"/>
          <w:sz w:val="22"/>
          <w:szCs w:val="22"/>
          <w:color w:val="auto"/>
        </w:rPr>
        <w:t>1402 of the New York General Obligations Law.</w:t>
      </w:r>
    </w:p>
    <w:p>
      <w:pPr>
        <w:spacing w:after="0" w:line="213" w:lineRule="exact"/>
        <w:rPr>
          <w:rFonts w:ascii="Arial" w:cs="Arial" w:eastAsia="Arial" w:hAnsi="Arial"/>
          <w:sz w:val="22"/>
          <w:szCs w:val="22"/>
          <w:color w:val="auto"/>
        </w:rPr>
      </w:pPr>
    </w:p>
    <w:p>
      <w:pPr>
        <w:jc w:val="both"/>
        <w:ind w:firstLine="1304"/>
        <w:spacing w:after="0" w:line="304" w:lineRule="auto"/>
        <w:tabs>
          <w:tab w:leader="none" w:pos="2294" w:val="left"/>
        </w:tabs>
        <w:numPr>
          <w:ilvl w:val="0"/>
          <w:numId w:val="850"/>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in the courts of any jurisdiction.</w:t>
      </w:r>
    </w:p>
    <w:p>
      <w:pPr>
        <w:spacing w:after="0" w:line="155" w:lineRule="exact"/>
        <w:rPr>
          <w:rFonts w:ascii="Arial" w:cs="Arial" w:eastAsia="Arial" w:hAnsi="Arial"/>
          <w:sz w:val="19"/>
          <w:szCs w:val="19"/>
          <w:color w:val="auto"/>
        </w:rPr>
      </w:pPr>
    </w:p>
    <w:p>
      <w:pPr>
        <w:jc w:val="both"/>
        <w:ind w:firstLine="1304"/>
        <w:spacing w:after="0" w:line="261" w:lineRule="auto"/>
        <w:tabs>
          <w:tab w:leader="none" w:pos="2124" w:val="left"/>
        </w:tabs>
        <w:numPr>
          <w:ilvl w:val="0"/>
          <w:numId w:val="850"/>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7.08. Each of the parties hereto hereby irrevocably waives, to the fullest extent permitted by law, the defense of an inconvenient forum to the maintenance of such action or proceeding in any such court.</w:t>
      </w:r>
    </w:p>
    <w:p>
      <w:pPr>
        <w:spacing w:after="0" w:line="190" w:lineRule="exact"/>
        <w:rPr>
          <w:rFonts w:ascii="Arial" w:cs="Arial" w:eastAsia="Arial" w:hAnsi="Arial"/>
          <w:sz w:val="22"/>
          <w:szCs w:val="22"/>
          <w:color w:val="auto"/>
        </w:rPr>
      </w:pPr>
    </w:p>
    <w:p>
      <w:pPr>
        <w:jc w:val="both"/>
        <w:ind w:firstLine="1304"/>
        <w:spacing w:after="0" w:line="266" w:lineRule="auto"/>
        <w:tabs>
          <w:tab w:leader="none" w:pos="2287" w:val="left"/>
        </w:tabs>
        <w:numPr>
          <w:ilvl w:val="0"/>
          <w:numId w:val="850"/>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7.02. Nothing in this Agreement will affect the right of any party to this Agreement to serve process in any other manner permitted by law.</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b w:val="1"/>
          <w:bCs w:val="1"/>
          <w:i w:val="1"/>
          <w:iCs w:val="1"/>
          <w:color w:val="auto"/>
        </w:rPr>
        <w:t>i. WAIVER OF JURY TRIAL</w:t>
      </w:r>
      <w:r>
        <w:rPr>
          <w:rFonts w:ascii="Arial" w:cs="Arial" w:eastAsia="Arial" w:hAnsi="Arial"/>
          <w:sz w:val="22"/>
          <w:szCs w:val="22"/>
          <w:color w:val="auto"/>
        </w:rPr>
        <w:t>. EACH PARTY HERETO HEREBY WAIVES, TO THE FULLEST EXTENT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PERMITTED BY APPLICABLE LAW, ANY RIGHT IT MAY HAVE TO A TRIAL BY JURY IN ANY LEGAL PROCEEDING DIRECTLY OR INDIRECTLY ARISING OUT OF OR RELATING TO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right="20" w:firstLine="1296"/>
        <w:spacing w:after="0" w:line="358" w:lineRule="auto"/>
        <w:rPr>
          <w:sz w:val="20"/>
          <w:szCs w:val="20"/>
          <w:color w:val="auto"/>
        </w:rPr>
      </w:pPr>
      <w:r>
        <w:rPr>
          <w:rFonts w:ascii="Arial" w:cs="Arial" w:eastAsia="Arial" w:hAnsi="Arial"/>
          <w:sz w:val="19"/>
          <w:szCs w:val="19"/>
          <w:b w:val="1"/>
          <w:bCs w:val="1"/>
          <w:i w:val="1"/>
          <w:iCs w:val="1"/>
          <w:color w:val="auto"/>
        </w:rPr>
        <w:t>j. Headings</w:t>
      </w:r>
      <w:r>
        <w:rPr>
          <w:rFonts w:ascii="Arial" w:cs="Arial" w:eastAsia="Arial" w:hAnsi="Arial"/>
          <w:sz w:val="19"/>
          <w:szCs w:val="19"/>
          <w:color w:val="auto"/>
        </w:rPr>
        <w:t>. Article, Section and Annex headings used herein are for convenience of reference only, are not part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this Agreement and are not to affect the construction of, or to be taken into consideration in interpreting, this Agreement.</w:t>
      </w:r>
    </w:p>
    <w:p>
      <w:pPr>
        <w:spacing w:after="0" w:line="104"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b w:val="1"/>
          <w:bCs w:val="1"/>
          <w:i w:val="1"/>
          <w:iCs w:val="1"/>
          <w:color w:val="auto"/>
        </w:rPr>
        <w:t>k. Conflicts</w:t>
      </w:r>
      <w:r>
        <w:rPr>
          <w:rFonts w:ascii="Arial" w:cs="Arial" w:eastAsia="Arial" w:hAnsi="Arial"/>
          <w:sz w:val="19"/>
          <w:szCs w:val="19"/>
          <w:color w:val="auto"/>
        </w:rPr>
        <w:t>. In the event of any conflict or inconsistency between the provisions of this Agreement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provisions of any of the Notes Documents and/or any of the LC Documents, the provisions of this Agreement shall control, except with respect to provisions governing the rights, privileges, immunities and indemnities of the Collateral Agents and Representatives, in their capacities as such, in which case the applicable Notes Documents or LC Documents shall control.</w:t>
      </w:r>
    </w:p>
    <w:p>
      <w:pPr>
        <w:spacing w:after="0" w:line="14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b w:val="1"/>
          <w:bCs w:val="1"/>
          <w:i w:val="1"/>
          <w:iCs w:val="1"/>
          <w:color w:val="auto"/>
        </w:rPr>
        <w:t>l. Provisions Solely to Define Relative Rights</w:t>
      </w:r>
      <w:r>
        <w:rPr>
          <w:rFonts w:ascii="Arial" w:cs="Arial" w:eastAsia="Arial" w:hAnsi="Arial"/>
          <w:sz w:val="19"/>
          <w:szCs w:val="19"/>
          <w:color w:val="auto"/>
        </w:rPr>
        <w:t>. The provisions of this Agreement are and are intended solely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purpose of defining the relative rights of the Notes Secured Parties and the LC Secured Parties in relation to one another. None of the Grantors shall have any rights or obligations hereunder, except as expressly provided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(other than Sections 2.05, 2.06, 2.10, 2.11, Article V and Article VI) is intended to or will amend, waive or otherwise modify the provisions of the Notes Documents or any LC Documents), and none of the Grantors may rely on the terms hereof. Nothing in this Agreement is intended to or shall impair or relieve the obligations of the Grantors, which are absolute and unconditional, to pay the Obligations as and when the same shall become due and payable in accordance with their terms. Notwithstanding anything to the contrary herein or in any Notes Document or any LC Obligations Document, the Grantors shall not be required to act or refrain from acting (a) pursuant to this Agreement or any LC Obligations Document with respect to any Notes Priority Collateral in any manner that would cause a default under any Notes Document, or (b) pursuant to this Agreement or any Notes Document with respect to any LC Priority Collateral in any manner that would cause a default under any LC Obligations Document. For the avoidance of doubt, the provisions of this agreement shall apply to the Notes Secured Parties solely in their capacity as Notes Secured Parties and not in any other capacity.</w:t>
      </w:r>
    </w:p>
    <w:p>
      <w:pPr>
        <w:sectPr>
          <w:pgSz w:w="11900" w:h="16909" w:orient="portrait"/>
          <w:cols w:equalWidth="0" w:num="1">
            <w:col w:w="11240"/>
          </w:cols>
          <w:pgMar w:left="320" w:top="132" w:right="339" w:bottom="0" w:gutter="0" w:footer="0" w:header="0"/>
        </w:sectPr>
      </w:pPr>
    </w:p>
    <w:bookmarkStart w:id="676" w:name="page677"/>
    <w:bookmarkEnd w:id="676"/>
    <w:p>
      <w:pPr>
        <w:jc w:val="both"/>
        <w:ind w:firstLine="1296"/>
        <w:spacing w:after="0" w:line="271" w:lineRule="auto"/>
        <w:rPr>
          <w:sz w:val="20"/>
          <w:szCs w:val="20"/>
          <w:color w:val="auto"/>
        </w:rPr>
      </w:pPr>
      <w:r>
        <w:rPr>
          <w:rFonts w:ascii="Arial" w:cs="Arial" w:eastAsia="Arial" w:hAnsi="Arial"/>
          <w:sz w:val="21"/>
          <w:szCs w:val="21"/>
          <w:b w:val="1"/>
          <w:bCs w:val="1"/>
          <w:i w:val="1"/>
          <w:iCs w:val="1"/>
          <w:color w:val="auto"/>
        </w:rPr>
        <w:t>m. Agent Capacities</w:t>
      </w:r>
      <w:r>
        <w:rPr>
          <w:rFonts w:ascii="Arial" w:cs="Arial" w:eastAsia="Arial" w:hAnsi="Arial"/>
          <w:sz w:val="21"/>
          <w:szCs w:val="21"/>
          <w:color w:val="auto"/>
        </w:rPr>
        <w:t>. Except as expressly set forth herein, neither the Notes Collateral Agent, nor the LC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Collateral Agent (including the LC Australian Collateral Agent), shall have (i) any duties or obligations in respect of any of the Collateral, all of such duties and obligations, if any, being subject to and governed by the Notes Documents and the LC Documents, as the case may be, or (ii) any liability or responsibility for the actions or omissions of any other Secured Party or for any other Secured Party’s compliance with (or failure to comply with) the terms of this Agreement. Neither the Notes Collateral Agent, nor the LC Collateral Agent (including the LC Australian Collateral Agent) shall have individual liability to any Person if it shall mistakenly pay over or distribute to any Secured Party (or Grantor) any amounts in violation of the terms of this Agreement, so long as such Person is acting in good faith and without willful misconduct. Furthermore, and notwithstanding anything to the contrary contained herein, the LC Australian Collateral Agent shall act or refrain from acting with respect to the LC Australian Collateral only at the direction of the LC Administrative Agent.</w:t>
      </w:r>
    </w:p>
    <w:p>
      <w:pPr>
        <w:spacing w:after="0" w:line="18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i w:val="1"/>
          <w:iCs w:val="1"/>
          <w:color w:val="auto"/>
        </w:rPr>
        <w:t>n. Supplements</w:t>
      </w:r>
      <w:r>
        <w:rPr>
          <w:rFonts w:ascii="Arial" w:cs="Arial" w:eastAsia="Arial" w:hAnsi="Arial"/>
          <w:sz w:val="22"/>
          <w:szCs w:val="22"/>
          <w:color w:val="auto"/>
        </w:rPr>
        <w:t>. Upon the execution by any Subsidiary of Parent of a supplement hereto in form and substance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satisfactory to the Collateral Agents, such subsidiary shall be a party to this Agreement and shall be bound by the provisions hereof to the same extent as each Grantor are so bound. The Parent shall cause any Subsidiary that becomes a Grantor to execute and deliver such supplement.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o. Collateral Agent Rights, Protections and Immunities</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 xml:space="preserve">In acting under or by virtue of this Agreement, the LC Collateral Agent and the LC Australian Collateral Agent shall have the rights, protections, immunities and indemnities granted to the “Administrative Agent” and its respective sub-agents under the LC Credit Agreement, all of which are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 acting under or by virtue of this Agreement, the Notes Collateral Agent shall have the rights, protections, immunities and indemnities granted to the “Collateral Agent” under the Notes Indenture, all of which are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In acting under or by virtue of this Agreement, the LC Australian Collateral Agent shall have the rights, protections and immunities granted to the “LC Australian Collateral Agent” under the LC Australian Security Trust Deed.</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p. Other Junior Intercreditor Agreements</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In addition, in the event that the Parent or any Subsidiary incurs any obligations secured by a lien on any Collateral that is junior to the LC Obligations or the Notes Obligations, then the Notes Collateral Agent and the LC Collateral Agent shall enter into an intercreditor agreement (at the sole cost and expense of the Grantors) with the agent or trustee for the secured parties with respect to such secured obligation to reflect the relative lien priorities of such parties with respect to the Collateral and governing the relative rights, benefits and privileges as among such parties in respect of the Collateral, including as to application of proceeds of the Collateral, voting rights, control of the Collateral and waivers with respect to the Collateral, in each case so long as such secured obligations are permitted under, and the terms of such intercreditor agreement do not violate or conflict with, the provisions of this Agreement or the other Notes Documents or LC Documents, as the case may be. Each party hereto agrees that the Notes Secured Parties (as among themselves) and the LC Secured Parties (as among themselves) may each enter into intercreditor agreements (or similar arrangements) with the Applicable Senior Collateral Agent governing the rights, benefits and privileges as among the Notes Secured Parties or the LC Secured Parties, as the case may be, in respect of the Collateral, this Agreement and the applicable Senior Secured Obligations Collateral Documents, as the case may be, including as to the application of proceeds of the Collateral, voting rights, control of the Collateral and waivers with respect to the Collateral, in each case so long as the terms thereof do not violate or conflict with the provisions of this Agreement or the other applicable Senior Secured Obligations Collateral Documents, as the case may be. If any such intercreditor agreement (or similar arrangement) is entered into, the provisions thereof shall not be (or be construed to be) an amendment, modification or other change to this Agreement or any other Notes Document or LC Document, and the provisions of this Agreement and the other Notes Documents and LC Documents shall remain in full force and effect in accordance with the terms hereof and thereof (as such provisions may be amended, modified or otherwise supplemented from time to time in accordance with the terms thereof, including to give effect to any intercreditor agreement (or similar arrangement)).</w:t>
      </w:r>
    </w:p>
    <w:p>
      <w:pPr>
        <w:spacing w:after="0" w:line="200" w:lineRule="exact"/>
        <w:rPr>
          <w:sz w:val="20"/>
          <w:szCs w:val="20"/>
          <w:color w:val="auto"/>
        </w:rPr>
      </w:pPr>
    </w:p>
    <w:p>
      <w:pPr>
        <w:spacing w:after="0" w:line="2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q. Additional Grantors</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Promptly upon request by any Collateral Agent, any Person that becomes a Grantor after the date hereof will provide to the Collateral Agents a fully signed acknowledgement,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consenting to the provisions of this Agreement and the intercreditor arrangements provided for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failure on the part of any Collateral Agent to request or obtain such acknowledgement will in any way diminish or impair any of the rights of the Secured Parties hereunder.</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r. Joinder of LC Australian Collateral Agent</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Substantially concurrently with its entry into the LC Australian Security Trust Deed, BTA Institutional Services Australia Limited shall, without requiring the consent of any other party hereto, join to this Agreement by executing and delivering a joinder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ectPr>
          <w:pgSz w:w="11900" w:h="16838" w:orient="portrait"/>
          <w:cols w:equalWidth="0" w:num="1">
            <w:col w:w="11240"/>
          </w:cols>
          <w:pgMar w:left="320" w:top="132" w:right="339" w:bottom="0" w:gutter="0" w:footer="0" w:header="0"/>
        </w:sectPr>
      </w:pPr>
    </w:p>
    <w:bookmarkStart w:id="677" w:name="page678"/>
    <w:bookmarkEnd w:id="677"/>
    <w:p>
      <w:pPr>
        <w:ind w:left="1300"/>
        <w:spacing w:after="0"/>
        <w:rPr>
          <w:sz w:val="20"/>
          <w:szCs w:val="20"/>
          <w:color w:val="auto"/>
        </w:rPr>
      </w:pPr>
      <w:r>
        <w:rPr>
          <w:rFonts w:ascii="Arial" w:cs="Arial" w:eastAsia="Arial" w:hAnsi="Arial"/>
          <w:sz w:val="22"/>
          <w:szCs w:val="22"/>
          <w:b w:val="1"/>
          <w:bCs w:val="1"/>
          <w:i w:val="1"/>
          <w:iCs w:val="1"/>
          <w:color w:val="auto"/>
        </w:rPr>
        <w:t>s. Purchase Right.</w:t>
      </w:r>
    </w:p>
    <w:p>
      <w:pPr>
        <w:spacing w:after="0" w:line="233" w:lineRule="exact"/>
        <w:rPr>
          <w:sz w:val="20"/>
          <w:szCs w:val="20"/>
          <w:color w:val="auto"/>
        </w:rPr>
      </w:pPr>
    </w:p>
    <w:p>
      <w:pPr>
        <w:jc w:val="both"/>
        <w:ind w:firstLine="1304"/>
        <w:spacing w:after="0" w:line="296" w:lineRule="auto"/>
        <w:tabs>
          <w:tab w:leader="none" w:pos="2152" w:val="left"/>
        </w:tabs>
        <w:numPr>
          <w:ilvl w:val="1"/>
          <w:numId w:val="851"/>
        </w:numPr>
        <w:rPr>
          <w:rFonts w:ascii="Arial" w:cs="Arial" w:eastAsia="Arial" w:hAnsi="Arial"/>
          <w:sz w:val="19"/>
          <w:szCs w:val="19"/>
          <w:b w:val="1"/>
          <w:bCs w:val="1"/>
          <w:i w:val="1"/>
          <w:iCs w:val="1"/>
          <w:color w:val="auto"/>
        </w:rPr>
      </w:pPr>
      <w:r>
        <w:rPr>
          <w:rFonts w:ascii="Arial" w:cs="Arial" w:eastAsia="Arial" w:hAnsi="Arial"/>
          <w:sz w:val="19"/>
          <w:szCs w:val="19"/>
          <w:color w:val="auto"/>
        </w:rPr>
        <w:t>Without prejudice to the enforcement of the LC Secured Parties’ rights and remedies, the LC Secured Parties agree that following the occurrence of (i) the occurrence of an Event of Default and acceleration of the LC Obligations in accordance with the terms of the LC Documents, (ii) any enforcement action by any LC Secured Party with respect to any material portion of the Collateral, (iii) any Insolvency or Liquidation Proceeding, or (iv) any bankruptcy or payment default under the Notes Indenture (each such event, a “</w:t>
      </w:r>
      <w:r>
        <w:rPr>
          <w:rFonts w:ascii="Arial" w:cs="Arial" w:eastAsia="Arial" w:hAnsi="Arial"/>
          <w:sz w:val="19"/>
          <w:szCs w:val="19"/>
          <w:u w:val="single" w:color="auto"/>
          <w:color w:val="auto"/>
        </w:rPr>
        <w:t>Purchase Option Event</w:t>
      </w:r>
      <w:r>
        <w:rPr>
          <w:rFonts w:ascii="Arial" w:cs="Arial" w:eastAsia="Arial" w:hAnsi="Arial"/>
          <w:sz w:val="19"/>
          <w:szCs w:val="19"/>
          <w:color w:val="auto"/>
        </w:rPr>
        <w:t xml:space="preserve">”), then some or all of the Notes Secured Parties shall have the right to elect to purchase all but not less than all of the outstanding LC Obligations, at par, without regard to any prepayment penalty or premium and without warranty, representation or recourse, for the Purchase Price (defined below); provided, with respect to any LC Obligations constituting Bank Product Obligations, at the time of any such purchase pursuant to this Section 7.19, the Bank Product Obligations shall have been terminated in accordance with their terms. The participating Notes Secured Parties shall irrevocably exercise each such purchase right by delivery of written notice of their intent to purchase the LC Obligations to the LC Collateral Agent at any time following the Purchase Option Event;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unless the LC Collateral Agent otherwise consents, such written notice must be received by the LC Collateral Agent no later than the earlier to occur of</w:t>
      </w:r>
    </w:p>
    <w:p>
      <w:pPr>
        <w:spacing w:after="0" w:line="10" w:lineRule="exact"/>
        <w:rPr>
          <w:rFonts w:ascii="Arial" w:cs="Arial" w:eastAsia="Arial" w:hAnsi="Arial"/>
          <w:sz w:val="19"/>
          <w:szCs w:val="19"/>
          <w:b w:val="1"/>
          <w:bCs w:val="1"/>
          <w:i w:val="1"/>
          <w:iCs w:val="1"/>
          <w:color w:val="auto"/>
        </w:rPr>
      </w:pPr>
    </w:p>
    <w:p>
      <w:pPr>
        <w:jc w:val="both"/>
        <w:ind w:firstLine="8"/>
        <w:spacing w:after="0" w:line="302" w:lineRule="auto"/>
        <w:tabs>
          <w:tab w:leader="none" w:pos="394" w:val="left"/>
        </w:tabs>
        <w:numPr>
          <w:ilvl w:val="0"/>
          <w:numId w:val="852"/>
        </w:numPr>
        <w:rPr>
          <w:rFonts w:ascii="Arial" w:cs="Arial" w:eastAsia="Arial" w:hAnsi="Arial"/>
          <w:sz w:val="19"/>
          <w:szCs w:val="19"/>
          <w:color w:val="auto"/>
        </w:rPr>
      </w:pPr>
      <w:r>
        <w:rPr>
          <w:rFonts w:ascii="Arial" w:cs="Arial" w:eastAsia="Arial" w:hAnsi="Arial"/>
          <w:sz w:val="19"/>
          <w:szCs w:val="19"/>
          <w:color w:val="auto"/>
        </w:rPr>
        <w:t xml:space="preserve">10 Business Days after the LC Collateral Agent delivers to the Notes Trustee written notice of the occurrence of any Purchase Option Event described in clause (i), (ii) or (iii) above, or (B) if any bankruptcy or payment default under the Notes Indenture has occurred and is continuing, 10 Business Days after LC Collateral Agent delivers written notice to the Notes Trustee that the LC Facility Secured Parties desire to sell or assign the LC Obligations and are actively seeking to identify one or more Persons to purchase and acquire its LC Obligations from such LC Facility Secured Parties. The parties shall close such purchase and sale within 20 Business Days (or such shorter time as reasonably specified by the participating Notes Secured Parties in such notice) after such delivery of such notice. To the extent that more than one Notes Secured Party elects to purchase the LC Obligations in accordance with this </w:t>
      </w:r>
      <w:r>
        <w:rPr>
          <w:rFonts w:ascii="Arial" w:cs="Arial" w:eastAsia="Arial" w:hAnsi="Arial"/>
          <w:sz w:val="19"/>
          <w:szCs w:val="19"/>
          <w:u w:val="single" w:color="auto"/>
          <w:color w:val="auto"/>
        </w:rPr>
        <w:t>Section 7.19</w:t>
      </w:r>
      <w:r>
        <w:rPr>
          <w:rFonts w:ascii="Arial" w:cs="Arial" w:eastAsia="Arial" w:hAnsi="Arial"/>
          <w:sz w:val="19"/>
          <w:szCs w:val="19"/>
          <w:color w:val="auto"/>
        </w:rPr>
        <w:t xml:space="preserve">, unless otherwise agreed upon by such Notes Secured Parties electing to purchase the LC Obligations, such Notes Secured Parties shall purchase all of the LC Obligations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7.19</w:t>
      </w:r>
      <w:r>
        <w:rPr>
          <w:rFonts w:ascii="Arial" w:cs="Arial" w:eastAsia="Arial" w:hAnsi="Arial"/>
          <w:sz w:val="19"/>
          <w:szCs w:val="19"/>
          <w:color w:val="auto"/>
        </w:rPr>
        <w:t xml:space="preserve"> on a ratable basis based on their outstanding Notes Obligations.</w:t>
      </w:r>
    </w:p>
    <w:p>
      <w:pPr>
        <w:spacing w:after="0" w:line="162" w:lineRule="exact"/>
        <w:rPr>
          <w:rFonts w:ascii="Arial" w:cs="Arial" w:eastAsia="Arial" w:hAnsi="Arial"/>
          <w:sz w:val="19"/>
          <w:szCs w:val="19"/>
          <w:color w:val="auto"/>
        </w:rPr>
      </w:pPr>
    </w:p>
    <w:p>
      <w:pPr>
        <w:ind w:left="2040" w:hanging="736"/>
        <w:spacing w:after="0"/>
        <w:tabs>
          <w:tab w:leader="none" w:pos="2040" w:val="left"/>
        </w:tabs>
        <w:numPr>
          <w:ilvl w:val="1"/>
          <w:numId w:val="852"/>
        </w:numPr>
        <w:rPr>
          <w:rFonts w:ascii="Arial" w:cs="Arial" w:eastAsia="Arial" w:hAnsi="Arial"/>
          <w:sz w:val="19"/>
          <w:szCs w:val="19"/>
          <w:color w:val="auto"/>
        </w:rPr>
      </w:pPr>
      <w:r>
        <w:rPr>
          <w:rFonts w:ascii="Arial" w:cs="Arial" w:eastAsia="Arial" w:hAnsi="Arial"/>
          <w:sz w:val="19"/>
          <w:szCs w:val="19"/>
          <w:color w:val="auto"/>
        </w:rPr>
        <w:t>On the date of such purchase and sale (the “</w:t>
      </w:r>
      <w:r>
        <w:rPr>
          <w:rFonts w:ascii="Arial" w:cs="Arial" w:eastAsia="Arial" w:hAnsi="Arial"/>
          <w:sz w:val="19"/>
          <w:szCs w:val="19"/>
          <w:u w:val="single" w:color="auto"/>
          <w:color w:val="auto"/>
        </w:rPr>
        <w:t>Purchase Date</w:t>
      </w:r>
      <w:r>
        <w:rPr>
          <w:rFonts w:ascii="Arial" w:cs="Arial" w:eastAsia="Arial" w:hAnsi="Arial"/>
          <w:sz w:val="19"/>
          <w:szCs w:val="19"/>
          <w:color w:val="auto"/>
        </w:rPr>
        <w:t>”), the participating Notes Secured Parties shall</w:t>
      </w:r>
    </w:p>
    <w:p>
      <w:pPr>
        <w:spacing w:after="0" w:line="55" w:lineRule="exact"/>
        <w:rPr>
          <w:rFonts w:ascii="Arial" w:cs="Arial" w:eastAsia="Arial" w:hAnsi="Arial"/>
          <w:sz w:val="19"/>
          <w:szCs w:val="19"/>
          <w:color w:val="auto"/>
        </w:rPr>
      </w:pPr>
    </w:p>
    <w:p>
      <w:pPr>
        <w:jc w:val="both"/>
        <w:spacing w:after="0" w:line="271" w:lineRule="auto"/>
        <w:rPr>
          <w:rFonts w:ascii="Arial" w:cs="Arial" w:eastAsia="Arial" w:hAnsi="Arial"/>
          <w:sz w:val="19"/>
          <w:szCs w:val="19"/>
          <w:color w:val="auto"/>
        </w:rPr>
      </w:pPr>
      <w:r>
        <w:rPr>
          <w:rFonts w:ascii="Arial" w:cs="Arial" w:eastAsia="Arial" w:hAnsi="Arial"/>
          <w:sz w:val="21"/>
          <w:szCs w:val="21"/>
          <w:color w:val="auto"/>
        </w:rPr>
        <w:t>(i) pay to LC Collateral Agent (on behalf of all LC Facility Secured Parties) as the purchase price therefor, the full amount of all the LC Obligations (other than LC Obligations cash collateralized in accordance with clause (b)(ii) below) then outstanding and unpaid, and (ii) furnish cash collateral to the LC Collateral Agent in such amounts as the LC Collateral Agent determines is reasonably necessary to secure the LC Secured Parties in connection with any issued and outstanding Letters of Credit (as defined in the LC Credit Agreement) (but not in any event in an amount greater than (I) 105% of the face amount of letters of credit denominated in a currency other than U.S. dollars and (II) 103% of the face amount with respect to letters of credit denominated in U.S. dollars. Such purchase price and cash collateral (collectively, the “</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be remitted by wire transfer in federal funds to such bank account of the LC Collateral Agent as the LC Collateral Agent may designate in writing to the participating Notes Secured Parties for such purpose. Interest shall be calculated to but exclude the Business Day on which such purchase and sale shall occur.</w:t>
      </w:r>
    </w:p>
    <w:p>
      <w:pPr>
        <w:spacing w:after="0" w:line="184" w:lineRule="exact"/>
        <w:rPr>
          <w:rFonts w:ascii="Arial" w:cs="Arial" w:eastAsia="Arial" w:hAnsi="Arial"/>
          <w:sz w:val="19"/>
          <w:szCs w:val="19"/>
          <w:color w:val="auto"/>
        </w:rPr>
      </w:pPr>
    </w:p>
    <w:p>
      <w:pPr>
        <w:jc w:val="both"/>
        <w:ind w:firstLine="1304"/>
        <w:spacing w:after="0" w:line="311" w:lineRule="auto"/>
        <w:tabs>
          <w:tab w:leader="none" w:pos="2083" w:val="left"/>
        </w:tabs>
        <w:numPr>
          <w:ilvl w:val="1"/>
          <w:numId w:val="852"/>
        </w:numPr>
        <w:rPr>
          <w:rFonts w:ascii="Arial" w:cs="Arial" w:eastAsia="Arial" w:hAnsi="Arial"/>
          <w:sz w:val="19"/>
          <w:szCs w:val="19"/>
          <w:color w:val="auto"/>
        </w:rPr>
      </w:pPr>
      <w:r>
        <w:rPr>
          <w:rFonts w:ascii="Arial" w:cs="Arial" w:eastAsia="Arial" w:hAnsi="Arial"/>
          <w:sz w:val="19"/>
          <w:szCs w:val="19"/>
          <w:color w:val="auto"/>
        </w:rPr>
        <w:t>Such purchase shall be expressly made without representation or warranty of any kind by the LC Secured Parties as to the LC Obligations or LC Documents so purchased or otherwise and without recourse to any LC Secured Party; except that each LC Secured Party shall represent and warrant: (i) the amount of the LC Obligations being purchased from such LC Secured Party, (ii) that such LC Secured Party owns the LC Obligations free and clear of any Liens, and (iii) that such LC Secured Party has the right to assign such LC Obligations and the assignment is duly authorized.</w:t>
      </w:r>
    </w:p>
    <w:p>
      <w:pPr>
        <w:spacing w:after="0" w:line="150" w:lineRule="exact"/>
        <w:rPr>
          <w:rFonts w:ascii="Arial" w:cs="Arial" w:eastAsia="Arial" w:hAnsi="Arial"/>
          <w:sz w:val="19"/>
          <w:szCs w:val="19"/>
          <w:color w:val="auto"/>
        </w:rPr>
      </w:pPr>
    </w:p>
    <w:p>
      <w:pPr>
        <w:jc w:val="both"/>
        <w:ind w:firstLine="1304"/>
        <w:spacing w:after="0" w:line="317" w:lineRule="auto"/>
        <w:tabs>
          <w:tab w:leader="none" w:pos="2057" w:val="left"/>
        </w:tabs>
        <w:numPr>
          <w:ilvl w:val="1"/>
          <w:numId w:val="852"/>
        </w:numPr>
        <w:rPr>
          <w:rFonts w:ascii="Arial" w:cs="Arial" w:eastAsia="Arial" w:hAnsi="Arial"/>
          <w:sz w:val="19"/>
          <w:szCs w:val="19"/>
          <w:color w:val="auto"/>
        </w:rPr>
      </w:pPr>
      <w:r>
        <w:rPr>
          <w:rFonts w:ascii="Arial" w:cs="Arial" w:eastAsia="Arial" w:hAnsi="Arial"/>
          <w:sz w:val="19"/>
          <w:szCs w:val="19"/>
          <w:color w:val="auto"/>
        </w:rPr>
        <w:t xml:space="preserve">In the event that the participating Notes Secured Parties exercise and consummate the purchase option set forth in this </w:t>
      </w:r>
      <w:r>
        <w:rPr>
          <w:rFonts w:ascii="Arial" w:cs="Arial" w:eastAsia="Arial" w:hAnsi="Arial"/>
          <w:sz w:val="19"/>
          <w:szCs w:val="19"/>
          <w:u w:val="single" w:color="auto"/>
          <w:color w:val="auto"/>
        </w:rPr>
        <w:t>Section 7.19</w:t>
      </w:r>
      <w:r>
        <w:rPr>
          <w:rFonts w:ascii="Arial" w:cs="Arial" w:eastAsia="Arial" w:hAnsi="Arial"/>
          <w:sz w:val="19"/>
          <w:szCs w:val="19"/>
          <w:color w:val="auto"/>
        </w:rPr>
        <w:t>, (i) LC Collateral Agent and any other agent under the LC Documents shall have the right, but not the obligation, to immediately resign under the LC Documents, and (ii) the participating Notes Secured Parties shall have the right, but not the obligation, to require LC Collateral Agent and such other agent to immediately resign under the LC Documents.</w:t>
      </w:r>
    </w:p>
    <w:p>
      <w:pPr>
        <w:spacing w:after="0" w:line="141" w:lineRule="exact"/>
        <w:rPr>
          <w:rFonts w:ascii="Arial" w:cs="Arial" w:eastAsia="Arial" w:hAnsi="Arial"/>
          <w:sz w:val="19"/>
          <w:szCs w:val="19"/>
          <w:color w:val="auto"/>
        </w:rPr>
      </w:pPr>
    </w:p>
    <w:p>
      <w:pPr>
        <w:jc w:val="both"/>
        <w:ind w:firstLine="1304"/>
        <w:spacing w:after="0" w:line="274" w:lineRule="auto"/>
        <w:tabs>
          <w:tab w:leader="none" w:pos="2038" w:val="left"/>
        </w:tabs>
        <w:numPr>
          <w:ilvl w:val="1"/>
          <w:numId w:val="852"/>
        </w:numPr>
        <w:rPr>
          <w:rFonts w:ascii="Arial" w:cs="Arial" w:eastAsia="Arial" w:hAnsi="Arial"/>
          <w:sz w:val="21"/>
          <w:szCs w:val="21"/>
          <w:color w:val="auto"/>
        </w:rPr>
      </w:pPr>
      <w:r>
        <w:rPr>
          <w:rFonts w:ascii="Arial" w:cs="Arial" w:eastAsia="Arial" w:hAnsi="Arial"/>
          <w:sz w:val="21"/>
          <w:szCs w:val="21"/>
          <w:color w:val="auto"/>
        </w:rPr>
        <w:t xml:space="preserve">With respect to any cash collateral held under </w:t>
      </w:r>
      <w:r>
        <w:rPr>
          <w:rFonts w:ascii="Arial" w:cs="Arial" w:eastAsia="Arial" w:hAnsi="Arial"/>
          <w:sz w:val="21"/>
          <w:szCs w:val="21"/>
          <w:u w:val="single" w:color="auto"/>
          <w:color w:val="auto"/>
        </w:rPr>
        <w:t>Section 7.4(b)(ii)</w:t>
      </w:r>
      <w:r>
        <w:rPr>
          <w:rFonts w:ascii="Arial" w:cs="Arial" w:eastAsia="Arial" w:hAnsi="Arial"/>
          <w:sz w:val="21"/>
          <w:szCs w:val="21"/>
          <w:color w:val="auto"/>
        </w:rPr>
        <w:t xml:space="preserve"> above, after giving effect to any payment made and applied to amounts coming due with respect to any letters of credit (or termination thereof without a drawing thereon), the amount of any cash collateral then on deposit with the LC Collateral Agent with respect to such obligations which exceeds the sum of (x) 105% of the face amount of letters of credit denominated in a currency other than U.S. dollars and (y) 103% of the face amount with respect to letters of credit denominated in U.S. dollars, shall promptly be returned to the Notes Collateral Agent (for the benefit of the applicable Notes Secured Parties).</w:t>
      </w:r>
    </w:p>
    <w:p>
      <w:pPr>
        <w:spacing w:after="0" w:line="181" w:lineRule="exact"/>
        <w:rPr>
          <w:rFonts w:ascii="Arial" w:cs="Arial" w:eastAsia="Arial" w:hAnsi="Arial"/>
          <w:sz w:val="21"/>
          <w:szCs w:val="21"/>
          <w:color w:val="auto"/>
        </w:rPr>
      </w:pPr>
    </w:p>
    <w:p>
      <w:pPr>
        <w:jc w:val="both"/>
        <w:ind w:firstLine="1304"/>
        <w:spacing w:after="0" w:line="260" w:lineRule="auto"/>
        <w:tabs>
          <w:tab w:leader="none" w:pos="2058" w:val="left"/>
        </w:tabs>
        <w:numPr>
          <w:ilvl w:val="1"/>
          <w:numId w:val="852"/>
        </w:numPr>
        <w:rPr>
          <w:rFonts w:ascii="Arial" w:cs="Arial" w:eastAsia="Arial" w:hAnsi="Arial"/>
          <w:sz w:val="22"/>
          <w:szCs w:val="22"/>
          <w:color w:val="auto"/>
        </w:rPr>
      </w:pPr>
      <w:r>
        <w:rPr>
          <w:rFonts w:ascii="Arial" w:cs="Arial" w:eastAsia="Arial" w:hAnsi="Arial"/>
          <w:sz w:val="22"/>
          <w:szCs w:val="22"/>
          <w:color w:val="auto"/>
        </w:rPr>
        <w:t xml:space="preserve">For the avoidance of doubt, notwithstanding anything to the contrary herein, (i) any obligations to pay the purchase price or furnish cash collateral in connection with the exercise of the purchase option set forth herein shall be obligations of the participating Notes Secured Parties (and not the Notes Trustee or the Notes Collateral Agent) and (ii) the Notes Trustee and the Notes Collateral Agent shall have no obligations under this </w:t>
      </w:r>
      <w:r>
        <w:rPr>
          <w:rFonts w:ascii="Arial" w:cs="Arial" w:eastAsia="Arial" w:hAnsi="Arial"/>
          <w:sz w:val="22"/>
          <w:szCs w:val="22"/>
          <w:u w:val="single" w:color="auto"/>
          <w:color w:val="auto"/>
        </w:rPr>
        <w:t>Section 7.19</w:t>
      </w:r>
      <w:r>
        <w:rPr>
          <w:rFonts w:ascii="Arial" w:cs="Arial" w:eastAsia="Arial" w:hAnsi="Arial"/>
          <w:sz w:val="22"/>
          <w:szCs w:val="22"/>
          <w:color w:val="auto"/>
        </w:rPr>
        <w:t xml:space="preserve"> except to the extent they are required to act in an administrative agent capacity for the applicable Notes Secured Parties in accordance with the applicable Notes Documents.</w:t>
      </w:r>
    </w:p>
    <w:p>
      <w:pPr>
        <w:sectPr>
          <w:pgSz w:w="11900" w:h="16838" w:orient="portrait"/>
          <w:cols w:equalWidth="0" w:num="1">
            <w:col w:w="11240"/>
          </w:cols>
          <w:pgMar w:left="320" w:top="132" w:right="339" w:bottom="0" w:gutter="0" w:footer="0" w:header="0"/>
        </w:sectPr>
      </w:pPr>
    </w:p>
    <w:bookmarkStart w:id="678" w:name="page679"/>
    <w:bookmarkEnd w:id="678"/>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this page intentionally left blank; signatures follow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174625</wp:posOffset>
            </wp:positionV>
            <wp:extent cx="71323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79" w:name="page680"/>
    <w:bookmarkEnd w:id="679"/>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Notes Collateral Agent</w:t>
      </w:r>
    </w:p>
    <w:p>
      <w:pPr>
        <w:spacing w:after="0" w:line="200" w:lineRule="exact"/>
        <w:rPr>
          <w:sz w:val="20"/>
          <w:szCs w:val="20"/>
          <w:color w:val="auto"/>
        </w:rPr>
      </w:pPr>
    </w:p>
    <w:p>
      <w:pPr>
        <w:spacing w:after="0" w:line="34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__________________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DEUTSCHE BANK TRUST COMPANY AMERICAS, as LC Collateral Agent</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ind w:left="3900"/>
              <w:spacing w:after="0"/>
              <w:rPr>
                <w:sz w:val="20"/>
                <w:szCs w:val="20"/>
                <w:color w:val="auto"/>
              </w:rPr>
            </w:pPr>
            <w:r>
              <w:rPr>
                <w:rFonts w:ascii="Arial" w:cs="Arial" w:eastAsia="Arial" w:hAnsi="Arial"/>
                <w:sz w:val="18"/>
                <w:szCs w:val="18"/>
                <w:color w:val="auto"/>
              </w:rPr>
              <w:t>By:</w:t>
            </w:r>
          </w:p>
        </w:tc>
        <w:tc>
          <w:tcPr>
            <w:tcW w:w="6980" w:type="dxa"/>
            <w:vAlign w:val="bottom"/>
          </w:tcPr>
          <w:p>
            <w:pPr>
              <w:ind w:left="120"/>
              <w:spacing w:after="0"/>
              <w:rPr>
                <w:sz w:val="20"/>
                <w:szCs w:val="20"/>
                <w:color w:val="auto"/>
              </w:rPr>
            </w:pPr>
            <w:r>
              <w:rPr>
                <w:rFonts w:ascii="Arial" w:cs="Arial" w:eastAsia="Arial" w:hAnsi="Arial"/>
                <w:sz w:val="18"/>
                <w:szCs w:val="18"/>
                <w:color w:val="auto"/>
              </w:rPr>
              <w:t>__________________</w:t>
            </w:r>
          </w:p>
        </w:tc>
      </w:tr>
      <w:tr>
        <w:trPr>
          <w:trHeight w:val="216"/>
        </w:trPr>
        <w:tc>
          <w:tcPr>
            <w:tcW w:w="426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Name:</w:t>
            </w:r>
          </w:p>
        </w:tc>
      </w:tr>
      <w:tr>
        <w:trPr>
          <w:trHeight w:val="230"/>
        </w:trPr>
        <w:tc>
          <w:tcPr>
            <w:tcW w:w="4260" w:type="dxa"/>
            <w:vAlign w:val="bottom"/>
          </w:tcPr>
          <w:p>
            <w:pPr>
              <w:spacing w:after="0"/>
              <w:rPr>
                <w:sz w:val="20"/>
                <w:szCs w:val="20"/>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Title:</w:t>
            </w:r>
          </w:p>
        </w:tc>
      </w:tr>
      <w:tr>
        <w:trPr>
          <w:trHeight w:val="742"/>
        </w:trPr>
        <w:tc>
          <w:tcPr>
            <w:tcW w:w="4260" w:type="dxa"/>
            <w:vAlign w:val="bottom"/>
          </w:tcPr>
          <w:p>
            <w:pPr>
              <w:ind w:left="3900"/>
              <w:spacing w:after="0"/>
              <w:rPr>
                <w:sz w:val="20"/>
                <w:szCs w:val="20"/>
                <w:color w:val="auto"/>
              </w:rPr>
            </w:pPr>
            <w:r>
              <w:rPr>
                <w:rFonts w:ascii="Arial" w:cs="Arial" w:eastAsia="Arial" w:hAnsi="Arial"/>
                <w:sz w:val="18"/>
                <w:szCs w:val="18"/>
                <w:color w:val="auto"/>
              </w:rPr>
              <w:t>By:</w:t>
            </w:r>
          </w:p>
        </w:tc>
        <w:tc>
          <w:tcPr>
            <w:tcW w:w="6980" w:type="dxa"/>
            <w:vAlign w:val="bottom"/>
          </w:tcPr>
          <w:p>
            <w:pPr>
              <w:ind w:left="120"/>
              <w:spacing w:after="0"/>
              <w:rPr>
                <w:sz w:val="20"/>
                <w:szCs w:val="20"/>
                <w:color w:val="auto"/>
              </w:rPr>
            </w:pPr>
            <w:r>
              <w:rPr>
                <w:rFonts w:ascii="Arial" w:cs="Arial" w:eastAsia="Arial" w:hAnsi="Arial"/>
                <w:sz w:val="18"/>
                <w:szCs w:val="18"/>
                <w:color w:val="auto"/>
              </w:rPr>
              <w:t>__________________</w:t>
            </w:r>
          </w:p>
        </w:tc>
      </w:tr>
      <w:tr>
        <w:trPr>
          <w:trHeight w:val="216"/>
        </w:trPr>
        <w:tc>
          <w:tcPr>
            <w:tcW w:w="426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Name:</w:t>
            </w:r>
          </w:p>
        </w:tc>
      </w:tr>
      <w:tr>
        <w:trPr>
          <w:trHeight w:val="230"/>
        </w:trPr>
        <w:tc>
          <w:tcPr>
            <w:tcW w:w="4260" w:type="dxa"/>
            <w:vAlign w:val="bottom"/>
          </w:tcPr>
          <w:p>
            <w:pPr>
              <w:spacing w:after="0"/>
              <w:rPr>
                <w:sz w:val="20"/>
                <w:szCs w:val="20"/>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Title:</w:t>
            </w:r>
          </w:p>
        </w:tc>
      </w:tr>
      <w:tr>
        <w:trPr>
          <w:trHeight w:val="547"/>
        </w:trPr>
        <w:tc>
          <w:tcPr>
            <w:tcW w:w="42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2" w:right="339" w:bottom="1440" w:gutter="0" w:footer="0" w:header="0"/>
        </w:sectPr>
      </w:pPr>
    </w:p>
    <w:bookmarkStart w:id="680" w:name="page681"/>
    <w:bookmarkEnd w:id="680"/>
    <w:p>
      <w:pPr>
        <w:jc w:val="center"/>
        <w:spacing w:after="0"/>
        <w:rPr>
          <w:sz w:val="20"/>
          <w:szCs w:val="20"/>
          <w:color w:val="auto"/>
        </w:rPr>
      </w:pPr>
      <w:r>
        <w:rPr>
          <w:rFonts w:ascii="Arial" w:cs="Arial" w:eastAsia="Arial" w:hAnsi="Arial"/>
          <w:sz w:val="22"/>
          <w:szCs w:val="22"/>
          <w:b w:val="1"/>
          <w:bCs w:val="1"/>
          <w:color w:val="auto"/>
        </w:rPr>
        <w:t>AUSTRALIA INITIAL GUARANTOR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WEATHERFORD AUSTRALIA PTY LIMITED ACN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-119380</wp:posOffset>
            </wp:positionV>
            <wp:extent cx="17145" cy="55753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145" cy="5575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008 947 395 </w:t>
      </w:r>
      <w:r>
        <w:rPr>
          <w:rFonts w:ascii="Arial" w:cs="Arial" w:eastAsia="Arial" w:hAnsi="Arial"/>
          <w:sz w:val="18"/>
          <w:szCs w:val="18"/>
          <w:color w:val="auto"/>
        </w:rPr>
        <w:t>in accordance with section 127 of the Corporations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2001 (Cth):</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800" w:type="dxa"/>
            <w:vAlign w:val="bottom"/>
          </w:tcPr>
          <w:p>
            <w:pPr>
              <w:spacing w:after="0"/>
              <w:rPr>
                <w:sz w:val="22"/>
                <w:szCs w:val="22"/>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w:t>
            </w:r>
          </w:p>
        </w:tc>
      </w:tr>
      <w:tr>
        <w:trPr>
          <w:trHeight w:val="425"/>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Bruno Teixeira Bezarra</w:t>
            </w:r>
          </w:p>
        </w:tc>
        <w:tc>
          <w:tcPr>
            <w:tcW w:w="5140" w:type="dxa"/>
            <w:vAlign w:val="bottom"/>
          </w:tcPr>
          <w:p>
            <w:pPr>
              <w:spacing w:after="0"/>
              <w:rPr>
                <w:sz w:val="20"/>
                <w:szCs w:val="20"/>
                <w:color w:val="auto"/>
              </w:rPr>
            </w:pPr>
            <w:r>
              <w:rPr>
                <w:rFonts w:ascii="Arial" w:cs="Arial" w:eastAsia="Arial" w:hAnsi="Arial"/>
                <w:sz w:val="18"/>
                <w:szCs w:val="18"/>
                <w:b w:val="1"/>
                <w:bCs w:val="1"/>
                <w:color w:val="auto"/>
              </w:rPr>
              <w:t>Robert Antonio De Gasperis</w:t>
            </w:r>
          </w:p>
        </w:tc>
      </w:tr>
      <w:tr>
        <w:trPr>
          <w:trHeight w:val="230"/>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director</w:t>
            </w:r>
          </w:p>
        </w:tc>
        <w:tc>
          <w:tcPr>
            <w:tcW w:w="800" w:type="dxa"/>
            <w:vAlign w:val="bottom"/>
          </w:tcPr>
          <w:p>
            <w:pPr>
              <w:spacing w:after="0"/>
              <w:rPr>
                <w:sz w:val="20"/>
                <w:szCs w:val="20"/>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company secretary</w:t>
            </w:r>
          </w:p>
        </w:tc>
      </w:tr>
      <w:tr>
        <w:trPr>
          <w:trHeight w:val="4488"/>
        </w:trPr>
        <w:tc>
          <w:tcPr>
            <w:tcW w:w="5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6" w:right="339" w:bottom="1440" w:gutter="0" w:footer="0" w:header="0"/>
        </w:sectPr>
      </w:pPr>
    </w:p>
    <w:bookmarkStart w:id="681" w:name="page682"/>
    <w:bookmarkEnd w:id="681"/>
    <w:p>
      <w:pPr>
        <w:ind w:left="2700"/>
        <w:spacing w:after="0"/>
        <w:rPr>
          <w:sz w:val="20"/>
          <w:szCs w:val="20"/>
          <w:color w:val="auto"/>
        </w:rPr>
      </w:pPr>
      <w:r>
        <w:rPr>
          <w:rFonts w:ascii="Arial" w:cs="Arial" w:eastAsia="Arial" w:hAnsi="Arial"/>
          <w:sz w:val="22"/>
          <w:szCs w:val="22"/>
          <w:b w:val="1"/>
          <w:bCs w:val="1"/>
          <w:color w:val="auto"/>
        </w:rPr>
        <w:t>BERMUDA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INTERNATIONAL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HOLDING (BERMUDA)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PANGAEA HOLDINGS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SABRE DRILLING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KEY INTERNATIONAL DRILLING COMPANY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BERMUDA HOLDINGS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SERVICES,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WOFS ASSURANCE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HOLDINGS (BERMUDA)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0"/>
          </w:cols>
          <w:pgMar w:left="1440" w:top="126" w:right="859" w:bottom="266" w:gutter="0" w:footer="0" w:header="0"/>
        </w:sectPr>
      </w:pPr>
    </w:p>
    <w:bookmarkStart w:id="682" w:name="page683"/>
    <w:bookmarkEnd w:id="682"/>
    <w:p>
      <w:pPr>
        <w:ind w:left="1880"/>
        <w:spacing w:after="0"/>
        <w:rPr>
          <w:sz w:val="20"/>
          <w:szCs w:val="20"/>
          <w:color w:val="auto"/>
        </w:rPr>
      </w:pPr>
      <w:r>
        <w:rPr>
          <w:rFonts w:ascii="Arial" w:cs="Arial" w:eastAsia="Arial" w:hAnsi="Arial"/>
          <w:sz w:val="22"/>
          <w:szCs w:val="22"/>
          <w:b w:val="1"/>
          <w:bCs w:val="1"/>
          <w:color w:val="auto"/>
        </w:rPr>
        <w:t>BRITISH VIRGIN ISLANDS INITIAL GUARANTORS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DRILLING INTERNATIONAL HOLDINGS (BVI)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DRILLING INTERNATIONAL (BVI)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COLOMBIA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HOLDINGS (BVI)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OIL TOOL MIDDLE EAST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528955</wp:posOffset>
            </wp:positionV>
            <wp:extent cx="71323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126" w:right="459" w:bottom="1440" w:gutter="0" w:footer="0" w:header="0"/>
        </w:sectPr>
      </w:pPr>
    </w:p>
    <w:bookmarkStart w:id="683" w:name="page684"/>
    <w:bookmarkEnd w:id="683"/>
    <w:p>
      <w:pPr>
        <w:jc w:val="center"/>
        <w:ind w:right="19"/>
        <w:spacing w:after="0"/>
        <w:rPr>
          <w:sz w:val="20"/>
          <w:szCs w:val="20"/>
          <w:color w:val="auto"/>
        </w:rPr>
      </w:pPr>
      <w:r>
        <w:rPr>
          <w:rFonts w:ascii="Arial" w:cs="Arial" w:eastAsia="Arial" w:hAnsi="Arial"/>
          <w:sz w:val="22"/>
          <w:szCs w:val="22"/>
          <w:b w:val="1"/>
          <w:bCs w:val="1"/>
          <w:color w:val="auto"/>
        </w:rPr>
        <w:t>CANADA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CANADA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(NOVA SCOTIA) ULC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ENERGY SERVICES ULC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ENERGY INTERNATIONAL LTD.</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PRECISION ENERGY SERVICES COLOMBIA LTD.</w:t>
      </w: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803275</wp:posOffset>
            </wp:positionV>
            <wp:extent cx="713232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84" w:name="page685"/>
    <w:bookmarkEnd w:id="684"/>
    <w:p>
      <w:pPr>
        <w:jc w:val="center"/>
        <w:spacing w:after="0"/>
        <w:rPr>
          <w:sz w:val="20"/>
          <w:szCs w:val="20"/>
          <w:color w:val="auto"/>
        </w:rPr>
      </w:pPr>
      <w:r>
        <w:rPr>
          <w:rFonts w:ascii="Arial" w:cs="Arial" w:eastAsia="Arial" w:hAnsi="Arial"/>
          <w:sz w:val="22"/>
          <w:szCs w:val="22"/>
          <w:b w:val="1"/>
          <w:bCs w:val="1"/>
          <w:color w:val="auto"/>
        </w:rPr>
        <w:t>ENGLAND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EURASIA LIMITED</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U.K. LIMITED</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666115</wp:posOffset>
            </wp:positionV>
            <wp:extent cx="71323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85" w:name="page686"/>
    <w:bookmarkEnd w:id="685"/>
    <w:p>
      <w:pPr>
        <w:jc w:val="center"/>
        <w:ind w:right="19"/>
        <w:spacing w:after="0"/>
        <w:rPr>
          <w:sz w:val="20"/>
          <w:szCs w:val="20"/>
          <w:color w:val="auto"/>
        </w:rPr>
      </w:pPr>
      <w:r>
        <w:rPr>
          <w:rFonts w:ascii="Arial" w:cs="Arial" w:eastAsia="Arial" w:hAnsi="Arial"/>
          <w:sz w:val="22"/>
          <w:szCs w:val="22"/>
          <w:b w:val="1"/>
          <w:bCs w:val="1"/>
          <w:color w:val="auto"/>
        </w:rPr>
        <w:t>GERMANY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OIL TOOL GMBH</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86" w:name="page687"/>
    <w:bookmarkEnd w:id="686"/>
    <w:p>
      <w:pPr>
        <w:jc w:val="center"/>
        <w:spacing w:after="0"/>
        <w:rPr>
          <w:sz w:val="20"/>
          <w:szCs w:val="20"/>
          <w:color w:val="auto"/>
        </w:rPr>
      </w:pPr>
      <w:r>
        <w:rPr>
          <w:rFonts w:ascii="Arial" w:cs="Arial" w:eastAsia="Arial" w:hAnsi="Arial"/>
          <w:sz w:val="22"/>
          <w:szCs w:val="22"/>
          <w:b w:val="1"/>
          <w:bCs w:val="1"/>
          <w:color w:val="auto"/>
        </w:rPr>
        <w:t>IRELAND INITIAL GUARANTORS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w:t>
      </w:r>
      <w:r>
        <w:rPr>
          <w:rFonts w:ascii="Arial" w:cs="Arial" w:eastAsia="Arial" w:hAnsi="Arial"/>
          <w:sz w:val="22"/>
          <w:szCs w:val="22"/>
          <w:b w:val="1"/>
          <w:bCs w:val="1"/>
          <w:color w:val="auto"/>
        </w:rPr>
        <w:t xml:space="preserve"> COMMON SEAL</w:t>
      </w:r>
    </w:p>
    <w:p>
      <w:pPr>
        <w:spacing w:after="0" w:line="293" w:lineRule="exact"/>
        <w:rPr>
          <w:sz w:val="20"/>
          <w:szCs w:val="20"/>
          <w:color w:val="auto"/>
        </w:rPr>
      </w:pPr>
    </w:p>
    <w:p>
      <w:pPr>
        <w:ind w:right="4740"/>
        <w:spacing w:after="0" w:line="509" w:lineRule="auto"/>
        <w:rPr>
          <w:sz w:val="20"/>
          <w:szCs w:val="20"/>
          <w:color w:val="auto"/>
        </w:rPr>
      </w:pPr>
      <w:r>
        <w:rPr>
          <w:rFonts w:ascii="Arial" w:cs="Arial" w:eastAsia="Arial" w:hAnsi="Arial"/>
          <w:sz w:val="22"/>
          <w:szCs w:val="22"/>
          <w:color w:val="auto"/>
        </w:rPr>
        <w:t>of WEATHERFORD INTERNATIONAL PUBLIC LIMITED COMPANY and this Deed was delivered:</w:t>
      </w:r>
    </w:p>
    <w:p>
      <w:pPr>
        <w:spacing w:after="0" w:line="1"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w:t>
      </w:r>
      <w:r>
        <w:rPr>
          <w:rFonts w:ascii="Arial" w:cs="Arial" w:eastAsia="Arial" w:hAnsi="Arial"/>
          <w:sz w:val="22"/>
          <w:szCs w:val="22"/>
          <w:b w:val="1"/>
          <w:bCs w:val="1"/>
          <w:color w:val="auto"/>
        </w:rPr>
        <w:t xml:space="preserve"> COMMON SEAL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of WEATHERFORD IRISH HOLDINGS LIMITED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and this Deed was delivered:</w:t>
      </w:r>
    </w:p>
    <w:p>
      <w:pPr>
        <w:spacing w:after="0" w:line="281"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947420</wp:posOffset>
            </wp:positionV>
            <wp:extent cx="71323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7" w:name="page688"/>
    <w:bookmarkEnd w:id="687"/>
    <w:p>
      <w:pPr>
        <w:ind w:left="2460"/>
        <w:spacing w:after="0"/>
        <w:rPr>
          <w:sz w:val="20"/>
          <w:szCs w:val="20"/>
          <w:color w:val="auto"/>
        </w:rPr>
      </w:pPr>
      <w:r>
        <w:rPr>
          <w:rFonts w:ascii="Arial" w:cs="Arial" w:eastAsia="Arial" w:hAnsi="Arial"/>
          <w:sz w:val="22"/>
          <w:szCs w:val="22"/>
          <w:b w:val="1"/>
          <w:bCs w:val="1"/>
          <w:color w:val="auto"/>
        </w:rPr>
        <w:t>LUXEMBOURG INITIAL GUARANTORS</w:t>
      </w:r>
    </w:p>
    <w:p>
      <w:pPr>
        <w:spacing w:after="0" w:line="287" w:lineRule="exact"/>
        <w:rPr>
          <w:sz w:val="20"/>
          <w:szCs w:val="20"/>
          <w:color w:val="auto"/>
        </w:rPr>
      </w:pPr>
    </w:p>
    <w:p>
      <w:pPr>
        <w:ind w:left="4420"/>
        <w:spacing w:after="0" w:line="258" w:lineRule="auto"/>
        <w:rPr>
          <w:sz w:val="20"/>
          <w:szCs w:val="20"/>
          <w:color w:val="auto"/>
        </w:rPr>
      </w:pPr>
      <w:r>
        <w:rPr>
          <w:rFonts w:ascii="Arial" w:cs="Arial" w:eastAsia="Arial" w:hAnsi="Arial"/>
          <w:sz w:val="18"/>
          <w:szCs w:val="18"/>
          <w:color w:val="auto"/>
        </w:rPr>
        <w:t>WEATHERFORD INTERNATIONAL (LUXEMBOURG) HOLDINGS S.À R.L.</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R.C.S. Luxembourg B146.622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WEATHERFORD EUROPEAN HOLDINGS (LUXEMBOURG) S.À R.L.</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R.C.S. Luxembourg B150.992</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803275</wp:posOffset>
            </wp:positionV>
            <wp:extent cx="71323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126" w:right="499" w:bottom="1440" w:gutter="0" w:footer="0" w:header="0"/>
        </w:sectPr>
      </w:pPr>
    </w:p>
    <w:bookmarkStart w:id="688" w:name="page689"/>
    <w:bookmarkEnd w:id="688"/>
    <w:p>
      <w:pPr>
        <w:jc w:val="center"/>
        <w:spacing w:after="0"/>
        <w:rPr>
          <w:sz w:val="20"/>
          <w:szCs w:val="20"/>
          <w:color w:val="auto"/>
        </w:rPr>
      </w:pPr>
      <w:r>
        <w:rPr>
          <w:rFonts w:ascii="Arial" w:cs="Arial" w:eastAsia="Arial" w:hAnsi="Arial"/>
          <w:sz w:val="22"/>
          <w:szCs w:val="22"/>
          <w:b w:val="1"/>
          <w:bCs w:val="1"/>
          <w:color w:val="auto"/>
        </w:rPr>
        <w:t>NETHERLANDS INITIAL GUARANTOR</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NETHERLANDS B.V.</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528955</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89" w:name="page690"/>
    <w:bookmarkEnd w:id="689"/>
    <w:p>
      <w:pPr>
        <w:jc w:val="center"/>
        <w:ind w:right="19"/>
        <w:spacing w:after="0"/>
        <w:rPr>
          <w:sz w:val="20"/>
          <w:szCs w:val="20"/>
          <w:color w:val="auto"/>
        </w:rPr>
      </w:pPr>
      <w:r>
        <w:rPr>
          <w:rFonts w:ascii="Arial" w:cs="Arial" w:eastAsia="Arial" w:hAnsi="Arial"/>
          <w:sz w:val="21"/>
          <w:szCs w:val="21"/>
          <w:b w:val="1"/>
          <w:bCs w:val="1"/>
          <w:color w:val="auto"/>
        </w:rPr>
        <w:t>NORWAY INITIAL GUARANTOR</w:t>
      </w: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NORGE AS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90" w:name="page691"/>
    <w:bookmarkEnd w:id="690"/>
    <w:p>
      <w:pPr>
        <w:ind w:left="2840"/>
        <w:spacing w:after="0"/>
        <w:rPr>
          <w:sz w:val="20"/>
          <w:szCs w:val="20"/>
          <w:color w:val="auto"/>
        </w:rPr>
      </w:pPr>
      <w:r>
        <w:rPr>
          <w:rFonts w:ascii="Arial" w:cs="Arial" w:eastAsia="Arial" w:hAnsi="Arial"/>
          <w:sz w:val="22"/>
          <w:szCs w:val="22"/>
          <w:b w:val="1"/>
          <w:bCs w:val="1"/>
          <w:color w:val="auto"/>
        </w:rPr>
        <w:t>PANAMA INITIAL GUARANTOR</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SERVICES S. DE R.L.</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SWITZERLAND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WORLDWIDE HOLDINGS GMBH</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right="10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MANAGEMENT COMPANY SWITZERLAND SÀRL</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PRODUCTS GMBH</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HOLDINGS (SWITZERLAND) GMBH</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1077595</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440" w:top="126" w:right="599" w:bottom="1440" w:gutter="0" w:footer="0" w:header="0"/>
        </w:sectPr>
      </w:pPr>
    </w:p>
    <w:bookmarkStart w:id="691" w:name="page692"/>
    <w:bookmarkEnd w:id="691"/>
    <w:p>
      <w:pPr>
        <w:jc w:val="center"/>
        <w:spacing w:after="0"/>
        <w:rPr>
          <w:sz w:val="20"/>
          <w:szCs w:val="20"/>
          <w:color w:val="auto"/>
        </w:rPr>
      </w:pPr>
      <w:r>
        <w:rPr>
          <w:rFonts w:ascii="Arial" w:cs="Arial" w:eastAsia="Arial" w:hAnsi="Arial"/>
          <w:sz w:val="21"/>
          <w:szCs w:val="21"/>
          <w:b w:val="1"/>
          <w:bCs w:val="1"/>
          <w:color w:val="auto"/>
        </w:rPr>
        <w:t>UNITED STATES INITIAL GUARANTORS</w:t>
      </w: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INTERNATIONAL,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WEUS HOLDING,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WEATHERFORD ARTIFICIAL LIFT SYSTEMS,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PD HOLDINGS (USA), L.P.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ENERGY SERVICES,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U.S., L.P.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WEATHERFORD/LAMB,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INVESTMENT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OILFIELD SERVICES, LLP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26" w:right="1440" w:bottom="0" w:gutter="0" w:footer="0" w:header="0"/>
        </w:sectPr>
      </w:pPr>
    </w:p>
    <w:bookmarkStart w:id="692" w:name="page693"/>
    <w:bookmarkEnd w:id="692"/>
    <w:p>
      <w:pPr>
        <w:ind w:left="4420"/>
        <w:spacing w:after="0"/>
        <w:rPr>
          <w:sz w:val="20"/>
          <w:szCs w:val="20"/>
          <w:color w:val="auto"/>
        </w:rPr>
      </w:pPr>
      <w:r>
        <w:rPr>
          <w:rFonts w:ascii="Arial" w:cs="Arial" w:eastAsia="Arial" w:hAnsi="Arial"/>
          <w:sz w:val="18"/>
          <w:szCs w:val="18"/>
          <w:color w:val="auto"/>
        </w:rPr>
        <w:t>VISUAL SYSTEMS,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COLUMBIA OILFIELD SUPPLY,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EPRODUCTION SOLUTIONS,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ADVANTAGE R&amp;D,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DISCOVERY LOGGING,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CASE SERVICES,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WARRIOR WELL SERVICES,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DATALOG ACQUISITION,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EDINBURGH PETROLEUM SERVICES AMERICAS INCORPORATED</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GLOBAL SERVICES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880"/>
          </w:cols>
          <w:pgMar w:left="1440" w:top="342" w:right="579" w:bottom="0" w:gutter="0" w:footer="0" w:header="0"/>
        </w:sectPr>
      </w:pPr>
    </w:p>
    <w:bookmarkStart w:id="693" w:name="page694"/>
    <w:bookmarkEnd w:id="693"/>
    <w:p>
      <w:pPr>
        <w:ind w:left="4420"/>
        <w:spacing w:after="0"/>
        <w:rPr>
          <w:sz w:val="20"/>
          <w:szCs w:val="20"/>
          <w:color w:val="auto"/>
        </w:rPr>
      </w:pPr>
      <w:r>
        <w:rPr>
          <w:rFonts w:ascii="Arial" w:cs="Arial" w:eastAsia="Arial" w:hAnsi="Arial"/>
          <w:sz w:val="18"/>
          <w:szCs w:val="18"/>
          <w:color w:val="auto"/>
        </w:rPr>
        <w:t>INTERNATIONAL LOGGING S.A.,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IN-DEPTH SYSTEMS,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BENMORE IN-DEPTH CORP.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WEATHERFORD TECHNOLOGY HOLDINGS, LLC</w:t>
      </w: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STEALTH OIL &amp; GAS,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MANAGEMENT,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(PTWI),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LATIN AMERICA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WIHBV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WUS HOLDING, L.L.C.</w:t>
      </w:r>
    </w:p>
    <w:p>
      <w:pPr>
        <w:sectPr>
          <w:pgSz w:w="11900" w:h="16838" w:orient="portrait"/>
          <w:cols w:equalWidth="0" w:num="1">
            <w:col w:w="9019"/>
          </w:cols>
          <w:pgMar w:left="1440" w:top="342" w:right="1440" w:bottom="0" w:gutter="0" w:footer="0" w:header="0"/>
        </w:sectPr>
      </w:pPr>
    </w:p>
    <w:bookmarkStart w:id="694" w:name="page695"/>
    <w:bookmarkEnd w:id="694"/>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DISC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HIGH PRESSURE INTEGRITY,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TOOKE ROCKIES,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COLOMBIA PETROLEUM SERVICES CORP.</w:t>
      </w: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INTERNATIONAL LOGGING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DRILLING GP,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VISEAN INFORMATION SERVICES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URS HOLDINGS,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1084580</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95" w:name="page696"/>
    <w:bookmarkEnd w:id="695"/>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33" w:lineRule="exact"/>
        <w:rPr>
          <w:sz w:val="20"/>
          <w:szCs w:val="20"/>
          <w:color w:val="auto"/>
        </w:rPr>
      </w:pPr>
    </w:p>
    <w:p>
      <w:pPr>
        <w:ind w:left="2480"/>
        <w:spacing w:after="0"/>
        <w:rPr>
          <w:sz w:val="20"/>
          <w:szCs w:val="20"/>
          <w:color w:val="auto"/>
        </w:rPr>
      </w:pPr>
      <w:r>
        <w:rPr>
          <w:rFonts w:ascii="Arial" w:cs="Arial" w:eastAsia="Arial" w:hAnsi="Arial"/>
          <w:sz w:val="22"/>
          <w:szCs w:val="22"/>
          <w:u w:val="single" w:color="auto"/>
          <w:color w:val="auto"/>
        </w:rPr>
        <w:t>Exhibit A – Joinder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435610</wp:posOffset>
            </wp:positionV>
            <wp:extent cx="71323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696" w:name="page697"/>
    <w:bookmarkEnd w:id="696"/>
    <w:p>
      <w:pPr>
        <w:jc w:val="right"/>
        <w:spacing w:after="0"/>
        <w:rPr>
          <w:sz w:val="20"/>
          <w:szCs w:val="20"/>
          <w:color w:val="auto"/>
        </w:rPr>
      </w:pPr>
      <w:r>
        <w:rPr>
          <w:rFonts w:ascii="Arial" w:cs="Arial" w:eastAsia="Arial" w:hAnsi="Arial"/>
          <w:sz w:val="22"/>
          <w:szCs w:val="22"/>
          <w:u w:val="single" w:color="auto"/>
          <w:color w:val="auto"/>
        </w:rPr>
        <w:t>Exhibit A-1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Obligations)</w:t>
      </w:r>
    </w:p>
    <w:p>
      <w:pPr>
        <w:spacing w:after="0" w:line="22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This JOINDER AGREEMENT (as amended,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 is among [____], as a LC Collateral Agent (the “</w:t>
      </w:r>
      <w:r>
        <w:rPr>
          <w:rFonts w:ascii="Arial" w:cs="Arial" w:eastAsia="Arial" w:hAnsi="Arial"/>
          <w:sz w:val="19"/>
          <w:szCs w:val="19"/>
          <w:b w:val="1"/>
          <w:bCs w:val="1"/>
          <w:i w:val="1"/>
          <w:iCs w:val="1"/>
          <w:color w:val="auto"/>
        </w:rPr>
        <w:t>New Collateral Agent</w:t>
      </w:r>
      <w:r>
        <w:rPr>
          <w:rFonts w:ascii="Arial" w:cs="Arial" w:eastAsia="Arial" w:hAnsi="Arial"/>
          <w:sz w:val="19"/>
          <w:szCs w:val="19"/>
          <w:color w:val="auto"/>
        </w:rPr>
        <w:t>”), Wilmington Trust, as Notes Collateral Agent, DBTCA, as LC Collateral Agent, and Parent (on behalf of itself and its Subsidiaries).</w:t>
      </w:r>
    </w:p>
    <w:p>
      <w:pPr>
        <w:spacing w:after="0" w:line="133"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This Agreement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LC Collateral Agent under the Intercreditor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LC Collateral Agent as if it had originally been party to the Intercreditor Agreement as an LC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LC Collateral Agent for purposes of the Intercreditor Agreement.</w:t>
      </w:r>
    </w:p>
    <w:p>
      <w:pPr>
        <w:spacing w:after="0" w:line="174"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LC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7" w:name="page698"/>
    <w:bookmarkEnd w:id="697"/>
    <w:p>
      <w:pPr>
        <w:jc w:val="right"/>
        <w:spacing w:after="0"/>
        <w:rPr>
          <w:sz w:val="20"/>
          <w:szCs w:val="20"/>
          <w:color w:val="auto"/>
        </w:rPr>
      </w:pPr>
      <w:r>
        <w:rPr>
          <w:rFonts w:ascii="Arial" w:cs="Arial" w:eastAsia="Arial" w:hAnsi="Arial"/>
          <w:sz w:val="22"/>
          <w:szCs w:val="22"/>
          <w:u w:val="single" w:color="auto"/>
          <w:color w:val="auto"/>
        </w:rPr>
        <w:t>Exhibit A-2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Obligations)</w:t>
      </w:r>
    </w:p>
    <w:p>
      <w:pPr>
        <w:spacing w:after="0" w:line="22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This JOINDER AGREEMENT (as amended,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 is among [_____], as a Notes Collateral Agent (the “</w:t>
      </w:r>
      <w:r>
        <w:rPr>
          <w:rFonts w:ascii="Arial" w:cs="Arial" w:eastAsia="Arial" w:hAnsi="Arial"/>
          <w:sz w:val="19"/>
          <w:szCs w:val="19"/>
          <w:b w:val="1"/>
          <w:bCs w:val="1"/>
          <w:i w:val="1"/>
          <w:iCs w:val="1"/>
          <w:color w:val="auto"/>
        </w:rPr>
        <w:t>New Collateral Agent</w:t>
      </w:r>
      <w:r>
        <w:rPr>
          <w:rFonts w:ascii="Arial" w:cs="Arial" w:eastAsia="Arial" w:hAnsi="Arial"/>
          <w:sz w:val="19"/>
          <w:szCs w:val="19"/>
          <w:color w:val="auto"/>
        </w:rPr>
        <w:t>”), Wilmington Trust, as Notes Collateral Agent, DBTCA, as LC Collateral Agent, and Parent (on behalf of itself and its Subsidiaries).</w:t>
      </w:r>
    </w:p>
    <w:p>
      <w:pPr>
        <w:spacing w:after="0" w:line="133"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This Agreement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Notes Collateral Agent under the Intercreditor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Notes Collateral Agent as if it had originally been party to the Intercreditor Agreement as a Notes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Notes Collateral Agent for purposes of the Intercreditor Agreement.</w:t>
      </w:r>
    </w:p>
    <w:p>
      <w:pPr>
        <w:spacing w:after="0" w:line="17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Notes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8" w:name="page699"/>
    <w:bookmarkEnd w:id="698"/>
    <w:p>
      <w:pPr>
        <w:jc w:val="right"/>
        <w:spacing w:after="0"/>
        <w:rPr>
          <w:sz w:val="20"/>
          <w:szCs w:val="20"/>
          <w:color w:val="auto"/>
        </w:rPr>
      </w:pPr>
      <w:r>
        <w:rPr>
          <w:rFonts w:ascii="Arial" w:cs="Arial" w:eastAsia="Arial" w:hAnsi="Arial"/>
          <w:sz w:val="22"/>
          <w:szCs w:val="22"/>
          <w:u w:val="single" w:color="auto"/>
          <w:color w:val="auto"/>
        </w:rPr>
        <w:t>EXHIBIT 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B – Grantor Acknowledgement to Intercreditor Agreement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INTERCREDITOR AGREEMENT ACKNOWLEDGMENT</w:t>
      </w:r>
    </w:p>
    <w:p>
      <w:pPr>
        <w:spacing w:after="0" w:line="239" w:lineRule="exact"/>
        <w:rPr>
          <w:sz w:val="20"/>
          <w:szCs w:val="20"/>
          <w:color w:val="auto"/>
        </w:rPr>
      </w:pPr>
    </w:p>
    <w:p>
      <w:pPr>
        <w:jc w:val="both"/>
        <w:ind w:firstLine="656"/>
        <w:spacing w:after="0" w:line="302" w:lineRule="auto"/>
        <w:tabs>
          <w:tab w:leader="none" w:pos="1363" w:val="left"/>
        </w:tabs>
        <w:numPr>
          <w:ilvl w:val="0"/>
          <w:numId w:val="853"/>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[______________] (“</w:t>
      </w:r>
      <w:r>
        <w:rPr>
          <w:rFonts w:ascii="Arial" w:cs="Arial" w:eastAsia="Arial" w:hAnsi="Arial"/>
          <w:sz w:val="19"/>
          <w:szCs w:val="19"/>
          <w:u w:val="single" w:color="auto"/>
          <w:color w:val="auto"/>
        </w:rPr>
        <w:t>New Grantor</w:t>
      </w:r>
      <w:r>
        <w:rPr>
          <w:rFonts w:ascii="Arial" w:cs="Arial" w:eastAsia="Arial" w:hAnsi="Arial"/>
          <w:sz w:val="19"/>
          <w:szCs w:val="19"/>
          <w:color w:val="auto"/>
        </w:rPr>
        <w:t>”) acknowledges, as of [___], that it has received a copy of the Intercreditor Agreement dated as of August 28, 2020, between Wilmington Trust, National Association, as Notes Collateral Agent, Deutsche Bank Trust Company Americas as LC Collateral Agent, and Weatherford International PLC and certain of its affiliates party thereto as Grantors (the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as in effect on the date hereof, and consents thereto, agrees to recognize all rights granted thereby to the Notes Collateral Agent, the other Notes Secured Parties, the LC Collateral Agent and the other LC Secured Parties, and agrees that it shall not do any act or perform any obligation which is not in accordance with the agreements set forth in the Intercreditor Agreement as in effect on the date hereof (as amended or otherwise modified in accordance with the provisions thereof, including any necessary consents by each Grantor to the extent required thereby). New Grantor further acknowledges and agrees that (a) New Grantor is not a beneficiary or third party beneficiary of the Intercreditor Agreement, (b) New Grantor has no rights under the Intercreditor Agreement, and New Grantor may not rely on the terms of the Intercreditor Agreement, and (c) that the obligations of the New Grantor under the Notes Security Documents, the LC Security Documents or the Foreign Collateral Documents will in no way be diminished or otherwise affected by the provisions or arrangements in the Intercreditor Agreement.</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1380" w:hanging="724"/>
        <w:spacing w:after="0"/>
        <w:tabs>
          <w:tab w:leader="none" w:pos="1380" w:val="left"/>
        </w:tabs>
        <w:numPr>
          <w:ilvl w:val="0"/>
          <w:numId w:val="85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The address of the New Grantor and the other Grantors for purposes of Section 7.02 of the Intercreditor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is: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jc w:val="both"/>
        <w:ind w:firstLine="656"/>
        <w:spacing w:after="0" w:line="262" w:lineRule="auto"/>
        <w:tabs>
          <w:tab w:leader="none" w:pos="1701" w:val="left"/>
        </w:tabs>
        <w:numPr>
          <w:ilvl w:val="0"/>
          <w:numId w:val="85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Acknowledgement may be executed in two or more counterparts, each of which shall constitute an original but all of which when taken together shall constitute one document. Delivery of an executed signature page to this Acknowledgement by facsimile transmission or by email as a “.pdf” or “.tif” attachment shall be as effective as delivery of a manually signed counterpart of this Acknowledgement.</w:t>
      </w:r>
    </w:p>
    <w:p>
      <w:pPr>
        <w:spacing w:after="0" w:line="191" w:lineRule="exact"/>
        <w:rPr>
          <w:rFonts w:ascii="Arial" w:cs="Arial" w:eastAsia="Arial" w:hAnsi="Arial"/>
          <w:sz w:val="22"/>
          <w:szCs w:val="22"/>
          <w:color w:val="auto"/>
        </w:rPr>
      </w:pPr>
    </w:p>
    <w:p>
      <w:pPr>
        <w:jc w:val="both"/>
        <w:ind w:firstLine="656"/>
        <w:spacing w:after="0" w:line="260" w:lineRule="auto"/>
        <w:tabs>
          <w:tab w:leader="none" w:pos="1795" w:val="left"/>
        </w:tabs>
        <w:numPr>
          <w:ilvl w:val="0"/>
          <w:numId w:val="85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ACKNOWLEDGEMENT AND ANY CLAIM CONTROVERSY OR DISPUTE ARISING UNDER OR RELATED TO THE INTERCREDITOR AGREEMENT SHALL BE GOVERNED BY, AND CONSTRUED IN ACCORDANCE WITH, THE LAWS OF THE STATE OF NEW YORK, WITHOUT GIVING EFFECT TO ANY CONFLICT OF LAWS PROVISIONS OTHER THAN SECTIONS 5-1401 AND 5-1402 OF THE NEW YORK GENERAL OBLIGATIONS LAW. Sections 7.08 and 7.09 of the Intercreditor Agreement are hereby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right="20" w:firstLine="656"/>
        <w:spacing w:after="0" w:line="301" w:lineRule="auto"/>
        <w:tabs>
          <w:tab w:leader="none" w:pos="1363" w:val="left"/>
        </w:tabs>
        <w:numPr>
          <w:ilvl w:val="0"/>
          <w:numId w:val="854"/>
        </w:numPr>
        <w:rPr>
          <w:rFonts w:ascii="Arial" w:cs="Arial" w:eastAsia="Arial" w:hAnsi="Arial"/>
          <w:sz w:val="21"/>
          <w:szCs w:val="21"/>
          <w:color w:val="auto"/>
        </w:rPr>
      </w:pPr>
      <w:r>
        <w:rPr>
          <w:rFonts w:ascii="Arial" w:cs="Arial" w:eastAsia="Arial" w:hAnsi="Arial"/>
          <w:sz w:val="21"/>
          <w:szCs w:val="21"/>
          <w:u w:val="single" w:color="auto"/>
          <w:color w:val="auto"/>
        </w:rPr>
        <w:t>Credit Document</w:t>
      </w:r>
      <w:r>
        <w:rPr>
          <w:rFonts w:ascii="Arial" w:cs="Arial" w:eastAsia="Arial" w:hAnsi="Arial"/>
          <w:sz w:val="21"/>
          <w:szCs w:val="21"/>
          <w:color w:val="auto"/>
        </w:rPr>
        <w:t>. This Acknowledgement shall constitute a Notes Document and a LC Document and as a “Loan Document” under the LC Credit Agreement and an “Indenture Document” under the Notes Indenture.</w:t>
      </w:r>
    </w:p>
    <w:p>
      <w:pPr>
        <w:spacing w:after="0" w:line="150" w:lineRule="exact"/>
        <w:rPr>
          <w:rFonts w:ascii="Arial" w:cs="Arial" w:eastAsia="Arial" w:hAnsi="Arial"/>
          <w:sz w:val="21"/>
          <w:szCs w:val="21"/>
          <w:color w:val="auto"/>
        </w:rPr>
      </w:pPr>
    </w:p>
    <w:p>
      <w:pPr>
        <w:jc w:val="both"/>
        <w:ind w:firstLine="656"/>
        <w:spacing w:after="0" w:line="327" w:lineRule="auto"/>
        <w:tabs>
          <w:tab w:leader="none" w:pos="1444" w:val="left"/>
        </w:tabs>
        <w:numPr>
          <w:ilvl w:val="0"/>
          <w:numId w:val="854"/>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Notes Collateral Agent, the other Notes Secured Parties, the LC Collateral Agent, the other LC Secured Parties, and the Foreign Collateral Agent are the intended beneficiaries of this Acknowledgement. Capitalized terms used but not otherwise defined herein shall have the meanings assigned thereto in the Intercreditor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9" w:name="page700"/>
    <w:bookmarkEnd w:id="699"/>
    <w:p>
      <w:pPr>
        <w:jc w:val="right"/>
        <w:spacing w:after="0"/>
        <w:rPr>
          <w:sz w:val="20"/>
          <w:szCs w:val="20"/>
          <w:color w:val="auto"/>
        </w:rPr>
      </w:pPr>
      <w:r>
        <w:rPr>
          <w:rFonts w:ascii="Arial" w:cs="Arial" w:eastAsia="Arial" w:hAnsi="Arial"/>
          <w:sz w:val="22"/>
          <w:szCs w:val="22"/>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C – Joinder Agreement (LC Australian Collateral Agent)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Australian Collateral Agent)</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This JOINDER AGREEMENT (as amended, restated, supplemented or otherwise modified from time to time, this “</w:t>
      </w:r>
      <w:r>
        <w:rPr>
          <w:rFonts w:ascii="Arial" w:cs="Arial" w:eastAsia="Arial" w:hAnsi="Arial"/>
          <w:sz w:val="21"/>
          <w:szCs w:val="21"/>
          <w:b w:val="1"/>
          <w:bCs w:val="1"/>
          <w:i w:val="1"/>
          <w:iCs w:val="1"/>
          <w:color w:val="auto"/>
        </w:rPr>
        <w:t>Joinder</w:t>
      </w:r>
      <w:r>
        <w:rPr>
          <w:rFonts w:ascii="Arial" w:cs="Arial" w:eastAsia="Arial" w:hAnsi="Arial"/>
          <w:sz w:val="21"/>
          <w:szCs w:val="21"/>
          <w:color w:val="auto"/>
        </w:rPr>
        <w:t>”), dated as of [___], is provided by BTA INSTITUTIONAL SERVICES AUSTRALIA LIMITED ABN 48 002 916 396 in its capacity as trustee of the LC Australian Security Trust (the “</w:t>
      </w:r>
      <w:r>
        <w:rPr>
          <w:rFonts w:ascii="Arial" w:cs="Arial" w:eastAsia="Arial" w:hAnsi="Arial"/>
          <w:sz w:val="21"/>
          <w:szCs w:val="21"/>
          <w:b w:val="1"/>
          <w:bCs w:val="1"/>
          <w:i w:val="1"/>
          <w:iCs w:val="1"/>
          <w:color w:val="auto"/>
        </w:rPr>
        <w:t>LC Australian Collateral Agent</w:t>
      </w:r>
      <w:r>
        <w:rPr>
          <w:rFonts w:ascii="Arial" w:cs="Arial" w:eastAsia="Arial" w:hAnsi="Arial"/>
          <w:sz w:val="21"/>
          <w:szCs w:val="21"/>
          <w:color w:val="auto"/>
        </w:rPr>
        <w:t>”).</w:t>
      </w:r>
    </w:p>
    <w:p>
      <w:pPr>
        <w:spacing w:after="0" w:line="169"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This Joinder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Wilmington Trust, DBTCA, the Parent and its Subsidiaries party thereto. This Joinder has been entered into to record the joinder of BTA INSTITUTIONAL SERVICES AUSTRALIA LIMITED ABN 48 002 916 396 in its capacity as trustee of the LC Australian Security Trust as LC Australian Collateral Agent under the Intercreditor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LC Australian Collateral Agent agrees to become, with immediate effect, a party to and agrees to be bound by the terms of, the Intercreditor Agreement as the LC Australian Collateral Agent as if it had originally been party to the Intercreditor Agreement as an LC Australian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LC Australian Collateral Agent confirms that its address details for notices pursuant to the Intercreditor Agreement are as follows: [_____________].</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Joinder and any claim, controversy or dispute arising under or related to such Joinder shall be governed by, and construed in accordance with, the law of the State of New York.</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SECTION 3.02 This Joinder may be executed in counterparts, each of which shall constitute an original but all of which when taken together shall constitute a single contract. Delivery of an executed signature page to this Joinder by facsimile transmission or any other electronic means shall be as effective as delivery of a manually signed counterpart of this Joinder.</w:t>
      </w:r>
    </w:p>
    <w:p>
      <w:pPr>
        <w:spacing w:after="0" w:line="19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 xml:space="preserve">SECTION 3.03 Clause [___] (Limitation of liability of LC Australian Collateral Agent) of the LC Australian Security Trust Deed is incorporated by reference in this Joinder as if set out in full herein,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ectPr>
          <w:pgSz w:w="11900" w:h="16838" w:orient="portrait"/>
          <w:cols w:equalWidth="0" w:num="1">
            <w:col w:w="11240"/>
          </w:cols>
          <w:pgMar w:left="320" w:top="132" w:right="3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this page intentionally left blank; signatures follow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00" w:name="page701"/>
    <w:bookmarkEnd w:id="700"/>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Joinder to be duly executed by their respective authorized officers as of the day and year first above written.</w:t>
      </w: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BTA INSTITUTIONAL SERVICES AUSTRALIA LIMITED (ABN 48 002 916</w:t>
      </w:r>
    </w:p>
    <w:p>
      <w:pPr>
        <w:spacing w:after="0" w:line="21" w:lineRule="exact"/>
        <w:rPr>
          <w:sz w:val="20"/>
          <w:szCs w:val="20"/>
          <w:color w:val="auto"/>
        </w:rPr>
      </w:pPr>
    </w:p>
    <w:p>
      <w:pPr>
        <w:ind w:left="3900" w:right="140" w:hanging="4"/>
        <w:spacing w:after="0" w:line="272" w:lineRule="auto"/>
        <w:tabs>
          <w:tab w:leader="none" w:pos="4350" w:val="left"/>
        </w:tabs>
        <w:numPr>
          <w:ilvl w:val="0"/>
          <w:numId w:val="855"/>
        </w:numPr>
        <w:rPr>
          <w:rFonts w:ascii="Arial" w:cs="Arial" w:eastAsia="Arial" w:hAnsi="Arial"/>
          <w:sz w:val="22"/>
          <w:szCs w:val="22"/>
          <w:color w:val="auto"/>
        </w:rPr>
      </w:pPr>
      <w:r>
        <w:rPr>
          <w:rFonts w:ascii="Arial" w:cs="Arial" w:eastAsia="Arial" w:hAnsi="Arial"/>
          <w:sz w:val="22"/>
          <w:szCs w:val="22"/>
          <w:color w:val="auto"/>
        </w:rPr>
        <w:t>in its capacity as trustee of the LC Australian Security Trust, as LC Australian Collateral Agent</w:t>
      </w: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attorney:_______________________________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under power of attorney dated 1 September 2007 in the presence of:</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Witness:___________________________________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701" w:name="page702"/>
    <w:bookmarkEnd w:id="701"/>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 I – Foreign Collateral Documents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04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6100" w:type="dxa"/>
            <w:vAlign w:val="bottom"/>
            <w:tcBorders>
              <w:top w:val="single" w:sz="8" w:color="auto"/>
              <w:right w:val="single" w:sz="8" w:color="auto"/>
            </w:tcBorders>
            <w:vMerge w:val="restart"/>
            <w:shd w:val="clear" w:color="auto" w:fill="D9D9D9"/>
          </w:tcPr>
          <w:p>
            <w:pPr>
              <w:ind w:left="2620"/>
              <w:spacing w:after="0"/>
              <w:rPr>
                <w:sz w:val="20"/>
                <w:szCs w:val="20"/>
                <w:color w:val="auto"/>
              </w:rPr>
            </w:pPr>
            <w:r>
              <w:rPr>
                <w:rFonts w:ascii="Arial" w:cs="Arial" w:eastAsia="Arial" w:hAnsi="Arial"/>
                <w:sz w:val="18"/>
                <w:szCs w:val="18"/>
                <w:b w:val="1"/>
                <w:bCs w:val="1"/>
                <w:color w:val="auto"/>
              </w:rPr>
              <w:t>Agreement</w:t>
            </w:r>
          </w:p>
        </w:tc>
        <w:tc>
          <w:tcPr>
            <w:tcW w:w="2000" w:type="dxa"/>
            <w:vAlign w:val="bottom"/>
            <w:tcBorders>
              <w:top w:val="single" w:sz="8" w:color="auto"/>
              <w:right w:val="single" w:sz="8" w:color="auto"/>
            </w:tcBorders>
            <w:shd w:val="clear" w:color="auto" w:fill="D9D9D9"/>
          </w:tcPr>
          <w:p>
            <w:pPr>
              <w:ind w:left="440"/>
              <w:spacing w:after="0"/>
              <w:rPr>
                <w:sz w:val="20"/>
                <w:szCs w:val="20"/>
                <w:color w:val="auto"/>
              </w:rPr>
            </w:pPr>
            <w:r>
              <w:rPr>
                <w:rFonts w:ascii="Arial" w:cs="Arial" w:eastAsia="Arial" w:hAnsi="Arial"/>
                <w:sz w:val="18"/>
                <w:szCs w:val="18"/>
                <w:b w:val="1"/>
                <w:bCs w:val="1"/>
                <w:color w:val="auto"/>
              </w:rPr>
              <w:t>Jurisdiction of</w:t>
            </w:r>
          </w:p>
        </w:tc>
        <w:tc>
          <w:tcPr>
            <w:tcW w:w="2100" w:type="dxa"/>
            <w:vAlign w:val="bottom"/>
            <w:tcBorders>
              <w:top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w w:val="94"/>
              </w:rPr>
              <w:t>Jurisdiction of Collateral</w:t>
            </w: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shd w:val="clear" w:color="auto" w:fill="D9D9D9"/>
          </w:tcPr>
          <w:p>
            <w:pPr>
              <w:spacing w:after="0"/>
              <w:rPr>
                <w:sz w:val="10"/>
                <w:szCs w:val="10"/>
                <w:color w:val="auto"/>
              </w:rPr>
            </w:pPr>
          </w:p>
        </w:tc>
        <w:tc>
          <w:tcPr>
            <w:tcW w:w="6100" w:type="dxa"/>
            <w:vAlign w:val="bottom"/>
            <w:tcBorders>
              <w:right w:val="single" w:sz="8" w:color="auto"/>
            </w:tcBorders>
            <w:vMerge w:val="continue"/>
            <w:shd w:val="clear" w:color="auto" w:fill="D9D9D9"/>
          </w:tcPr>
          <w:p>
            <w:pPr>
              <w:spacing w:after="0"/>
              <w:rPr>
                <w:sz w:val="10"/>
                <w:szCs w:val="10"/>
                <w:color w:val="auto"/>
              </w:rPr>
            </w:pPr>
          </w:p>
        </w:tc>
        <w:tc>
          <w:tcPr>
            <w:tcW w:w="2000" w:type="dxa"/>
            <w:vAlign w:val="bottom"/>
            <w:tcBorders>
              <w:right w:val="single" w:sz="8" w:color="auto"/>
            </w:tcBorders>
            <w:vMerge w:val="restart"/>
            <w:shd w:val="clear" w:color="auto" w:fill="D9D9D9"/>
          </w:tcPr>
          <w:p>
            <w:pPr>
              <w:ind w:left="580"/>
              <w:spacing w:after="0"/>
              <w:rPr>
                <w:sz w:val="20"/>
                <w:szCs w:val="20"/>
                <w:color w:val="auto"/>
              </w:rPr>
            </w:pPr>
            <w:r>
              <w:rPr>
                <w:rFonts w:ascii="Arial" w:cs="Arial" w:eastAsia="Arial" w:hAnsi="Arial"/>
                <w:sz w:val="18"/>
                <w:szCs w:val="18"/>
                <w:b w:val="1"/>
                <w:bCs w:val="1"/>
                <w:color w:val="auto"/>
              </w:rPr>
              <w:t>Guarantor</w:t>
            </w:r>
          </w:p>
        </w:tc>
        <w:tc>
          <w:tcPr>
            <w:tcW w:w="210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40" w:type="dxa"/>
            <w:vAlign w:val="bottom"/>
            <w:tcBorders>
              <w:left w:val="single" w:sz="8" w:color="auto"/>
              <w:bottom w:val="single" w:sz="8" w:color="D9D9D9"/>
              <w:right w:val="single" w:sz="8" w:color="auto"/>
            </w:tcBorders>
            <w:shd w:val="clear" w:color="auto" w:fill="D9D9D9"/>
          </w:tcPr>
          <w:p>
            <w:pPr>
              <w:spacing w:after="0"/>
              <w:rPr>
                <w:sz w:val="12"/>
                <w:szCs w:val="12"/>
                <w:color w:val="auto"/>
              </w:rPr>
            </w:pPr>
          </w:p>
        </w:tc>
        <w:tc>
          <w:tcPr>
            <w:tcW w:w="6100" w:type="dxa"/>
            <w:vAlign w:val="bottom"/>
            <w:tcBorders>
              <w:bottom w:val="single" w:sz="8" w:color="D9D9D9"/>
              <w:right w:val="single" w:sz="8" w:color="auto"/>
            </w:tcBorders>
            <w:shd w:val="clear" w:color="auto" w:fill="D9D9D9"/>
          </w:tcPr>
          <w:p>
            <w:pPr>
              <w:spacing w:after="0"/>
              <w:rPr>
                <w:sz w:val="12"/>
                <w:szCs w:val="12"/>
                <w:color w:val="auto"/>
              </w:rPr>
            </w:pPr>
          </w:p>
        </w:tc>
        <w:tc>
          <w:tcPr>
            <w:tcW w:w="200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2100" w:type="dxa"/>
            <w:vAlign w:val="bottom"/>
            <w:tcBorders>
              <w:bottom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1</w:t>
            </w:r>
          </w:p>
        </w:tc>
        <w:tc>
          <w:tcPr>
            <w:tcW w:w="6100" w:type="dxa"/>
            <w:vAlign w:val="bottom"/>
            <w:tcBorders>
              <w:top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Amendment Agreement by Weatherford Oil Tool GmbH, Weatherford Technology</w:t>
            </w:r>
          </w:p>
        </w:tc>
        <w:tc>
          <w:tcPr>
            <w:tcW w:w="2000" w:type="dxa"/>
            <w:vAlign w:val="bottom"/>
            <w:tcBorders>
              <w:top w:val="single" w:sz="8" w:color="auto"/>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top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5"/>
              </w:rPr>
              <w:t>Holdings, LLC, Weatherford/Lamb, Inc., Weatherford U.K. Limited, Weatherford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US, England, Norway,</w:t>
            </w: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4"/>
              </w:rPr>
              <w:t>Norge AS, Weatherford Worldwide Holdings GmbH, Weatherford Holding GmbH</w:t>
            </w:r>
          </w:p>
        </w:tc>
        <w:tc>
          <w:tcPr>
            <w:tcW w:w="2000" w:type="dxa"/>
            <w:vAlign w:val="bottom"/>
            <w:tcBorders>
              <w:bottom w:val="single" w:sz="8" w:color="C6F4F9"/>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Assignment Agreement in relation to receivables (trade receivables, intra group</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receivables) to be entered into by Weatherford Oil Tool GmbH</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3</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German law governed inventory transfer agreement to be entered into by</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Weatherford Oil Tool GmbH</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Assignment Agreement in relation to IP Rights to be entered into by Weatherford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England, Norway</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Technology Holdings LLC, Weatherford / Lamb Inc., Weatherford UK Limited,</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Weatherford Norge AS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5</w:t>
            </w: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7"/>
              </w:rPr>
              <w:t>Account Pledge Agreement to be entered into by Weatherford Oil Tool GmbH</w:t>
            </w:r>
          </w:p>
        </w:tc>
        <w:tc>
          <w:tcPr>
            <w:tcW w:w="2000" w:type="dxa"/>
            <w:vAlign w:val="bottom"/>
            <w:tcBorders>
              <w:bottom w:val="single" w:sz="8" w:color="C6F4F9"/>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Share Pledge Agreement in relation to shares in Weatherford Central Europe</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 to be entered into by Weatherford Worldwide Holdings GmbH</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2"/>
              </w:rPr>
              <w:t>Share Pledge Agreement in relation to shares in Weatherford Oil Tool GmbH to be</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entered into by Weatherford Holding GmbH</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Quota pledge agreement regarding quotas in Weatherford Worldwide Holdings</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Ireland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GmbH, entered into by Weatherford Irish Holdings Limited, as amended on the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hereof by a confirmation and amendment agreement to quota pledge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Weatherford Management Company Switzerland Sàrl</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Weatherford Products GmbH</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12</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Weatherford Switzerland Trading and Development GmbH</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Weatherford Worldwide Holdings GmbH</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14</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Quota pledge agreement regarding quotas in Weatherford South America GmbH,</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0"/>
              </w:rPr>
              <w:t>entered into by Weatherford Worldwide Holdings GmbH, as amended as of the date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hereof by a confirmation and amendment agreement to quota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0"/>
              </w:rPr>
              <w:t>Quota pledge agreement regarding quotas in Weatherford Products GmbH,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into by Weatherford Worldwide Holdings GmbH, as amended as of the date hereof</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by a confirmation and amendment agreement to quota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16</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Quota pledge agreement regarding quotas in Weatherford Switzerland Trading and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Development GmbH, entered into by Weatherford Worldwide Holdings GmbH, as</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5"/>
              </w:rPr>
              <w:t>amended as of the date hereof by a confirmation and amendment agreement to</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quota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Quota pledge agreement regarding quotas in Weatherford Management Company</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Switzerland Sàrl, entered into by Weatherford Worldwide Holdings GmbH, as</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amended as of the date hereof by a confirmation and amendment agreement to</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quota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18</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2"/>
              </w:rPr>
              <w:t>Quota pledge agreement regarding quotas in WOFS International Finance GmbH,</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entered into by Weatherford Holdings (Switzerland) GmbH, as amended as of the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date hereof by a confirmation and amendment agreement to quota pledge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Quota pledge agreement regarding quotas in Weatherford Holdings (Switzerland)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GmbH, entered into by Weatherford Worldwide Holdings GmbH, as amended as of</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date hereof by a confirmation and amendment agreement to quota pledge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20</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WOFS International Finance GmbH</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Weatherford Holdings (Switzerland) GmbH,</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22</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7"/>
              </w:rPr>
              <w:t>into by Weatherford Holdings (Switzerland) GmbH, as amended as of the date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hereof by a 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2"/>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into by Weatherford Management Company Switzerland Sàrl, as amended as of the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2" w:right="339" w:bottom="0" w:gutter="0" w:footer="0" w:header="0"/>
        </w:sectPr>
      </w:pPr>
    </w:p>
    <w:bookmarkStart w:id="702" w:name="page703"/>
    <w:bookmarkEnd w:id="7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6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date hereof by a confirmation and amendment agreement to pledge agreements</w:t>
            </w:r>
          </w:p>
        </w:tc>
        <w:tc>
          <w:tcPr>
            <w:tcW w:w="200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24</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9"/>
              </w:rPr>
              <w:t>into by Weatherford Products GmbH, as amended as of the date hereof by a</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265</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into by Weatherford Switzerland Trading and Development GmbH, as amended as</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the date hereof by a confirmation and amendment agreement to pledge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26</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into by Weatherford Worldwide Holdings GmbH, as amended as of the date hereof</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by a 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into by WOFS International Finance GmbH, as amended as of the date hereof by a</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28</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7"/>
              </w:rPr>
              <w:t>Pledge agreements regarding Rental Tools, to be entered into by Weatherford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Products GmbH,</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US</w:t>
            </w: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Weatherford Technology Holdings, LLC, as amended as of the date hereof by a</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30</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7"/>
              </w:rPr>
              <w:t>Visual Systems, Inc., as amended as of the date hereof by a confirmation and</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Weatherford U.S., L.P., as amended as of the date hereof by a confirmation and</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979"/>
        </w:trPr>
        <w:tc>
          <w:tcPr>
            <w:tcW w:w="10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703" w:name="page704"/>
    <w:bookmarkEnd w:id="703"/>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INTERCREDITOR AGREEMENT</w:t>
      </w:r>
    </w:p>
    <w:p>
      <w:pPr>
        <w:spacing w:after="0" w:line="200" w:lineRule="exact"/>
        <w:rPr>
          <w:sz w:val="20"/>
          <w:szCs w:val="20"/>
          <w:color w:val="auto"/>
        </w:rPr>
      </w:pPr>
    </w:p>
    <w:p>
      <w:pPr>
        <w:spacing w:after="0" w:line="25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August 28, 2020</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LC Collateral Agent,</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Notes Collateral Agent,</w:t>
      </w:r>
    </w:p>
    <w:p>
      <w:pPr>
        <w:spacing w:after="0" w:line="200" w:lineRule="exact"/>
        <w:rPr>
          <w:sz w:val="20"/>
          <w:szCs w:val="20"/>
          <w:color w:val="auto"/>
        </w:rPr>
      </w:pPr>
    </w:p>
    <w:p>
      <w:pPr>
        <w:spacing w:after="0" w:line="245" w:lineRule="exact"/>
        <w:rPr>
          <w:sz w:val="20"/>
          <w:szCs w:val="20"/>
          <w:color w:val="auto"/>
        </w:rPr>
      </w:pPr>
    </w:p>
    <w:p>
      <w:pPr>
        <w:ind w:left="2180" w:right="2920" w:hanging="363"/>
        <w:spacing w:after="0" w:line="301" w:lineRule="auto"/>
        <w:rPr>
          <w:sz w:val="20"/>
          <w:szCs w:val="20"/>
          <w:color w:val="auto"/>
        </w:rPr>
      </w:pPr>
      <w:r>
        <w:rPr>
          <w:rFonts w:ascii="Arial" w:cs="Arial" w:eastAsia="Arial" w:hAnsi="Arial"/>
          <w:sz w:val="21"/>
          <w:szCs w:val="21"/>
          <w:color w:val="auto"/>
        </w:rPr>
        <w:t>BTA INSTITUTIONAL SERVICES AUSTRALIA LIMITED when joined hereto as LC Australian Collateral Agent,</w:t>
      </w:r>
    </w:p>
    <w:p>
      <w:pPr>
        <w:spacing w:after="0" w:line="204"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WEATHERFORD INTERNATIONAL PLC,</w:t>
      </w: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The other Grantors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290195</wp:posOffset>
            </wp:positionV>
            <wp:extent cx="71323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6" w:right="339" w:bottom="1440" w:gutter="0" w:footer="0" w:header="0"/>
        </w:sectPr>
      </w:pPr>
    </w:p>
    <w:bookmarkStart w:id="704" w:name="page705"/>
    <w:bookmarkEnd w:id="704"/>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700" w:type="dxa"/>
            <w:vAlign w:val="bottom"/>
          </w:tcPr>
          <w:p>
            <w:pPr>
              <w:spacing w:after="0"/>
              <w:rPr>
                <w:sz w:val="24"/>
                <w:szCs w:val="24"/>
                <w:color w:val="auto"/>
              </w:rPr>
            </w:pPr>
          </w:p>
        </w:tc>
        <w:tc>
          <w:tcPr>
            <w:tcW w:w="2560" w:type="dxa"/>
            <w:vAlign w:val="bottom"/>
            <w:gridSpan w:val="2"/>
          </w:tcPr>
          <w:p>
            <w:pPr>
              <w:ind w:left="2100"/>
              <w:spacing w:after="0"/>
              <w:rPr>
                <w:sz w:val="20"/>
                <w:szCs w:val="20"/>
                <w:color w:val="auto"/>
              </w:rPr>
            </w:pPr>
            <w:r>
              <w:rPr>
                <w:rFonts w:ascii="Arial" w:cs="Arial" w:eastAsia="Arial" w:hAnsi="Arial"/>
                <w:sz w:val="22"/>
                <w:szCs w:val="22"/>
                <w:b w:val="1"/>
                <w:bCs w:val="1"/>
                <w:color w:val="auto"/>
                <w:w w:val="83"/>
              </w:rPr>
              <w:t>Page</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ARTICLE I Definitions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1.01Construction; Certain Defined Terms</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1.02Luxembourg Terms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ARTICLE II Priorities and Agreements with Respect to Collateral</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2.01Priority of Claims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2.02Actions With Respect to Collateral; Prohibition on Contesting Liens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2.03No Duties of Senior Representative; Provision of Notice</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2.04No Interference; Payment Over; Reinstatement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2.05Automatic Release of Junior Liens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2.06Certain Agreements With Respect to Insolvency or Liquidation Proceedings</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2.07Reinstatement</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2.08[Reserved]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2.09Insurance</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2.10Refinancings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2.11Amendments to Security Documents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2.12Possessory Collateral Agent as Gratuitous Bailee for Perfection</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2.13Control Agreements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2.14Rights under Permits and Licenses</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ARTICLE III Existence and Amounts of Liens and Obligations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ARTICLE IV Consent of Grantors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ARTICLE V Representations and Warranties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5.01Representations and Warranties of Each Party</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5.02Representations and Warranties of Each Representative</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ARTICLE VI Collateral Agency for Foreign Collateral</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6.01Appointment of Foreign Collateral Agent</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6.02Rights as a Secured Party</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6.03Exculpatory Provisions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6.04Reliance by the Foreign Collateral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6.05Delegation of Duties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6.06Resignation of Foreign Collateral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6.07Non-Reliance on Foreign Collateral Agent and Other Secured Parties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6.08Collateral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6.09Discretionary Rights</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6.10Indemnification of Foreign Collateral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6.11Treatment of Proceeds of Foreign Collateral</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SECTION 6.12Currency Conversion</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6F4F9"/>
          </w:tcPr>
          <w:p>
            <w:pPr>
              <w:spacing w:after="0"/>
              <w:rPr>
                <w:sz w:val="20"/>
                <w:szCs w:val="20"/>
                <w:color w:val="auto"/>
              </w:rPr>
            </w:pPr>
            <w:r>
              <w:rPr>
                <w:rFonts w:ascii="Arial" w:cs="Arial" w:eastAsia="Arial" w:hAnsi="Arial"/>
                <w:sz w:val="18"/>
                <w:szCs w:val="18"/>
                <w:color w:val="auto"/>
              </w:rPr>
              <w:t>SECTION 6.13Swiss Collateral</w:t>
            </w:r>
          </w:p>
        </w:tc>
        <w:tc>
          <w:tcPr>
            <w:tcW w:w="2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8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705" w:name="page706"/>
    <w:bookmarkEnd w:id="7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6.14Scottish Collateral</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6.15Benefits of Foreign Collateral Agent</w:t>
            </w:r>
          </w:p>
        </w:tc>
        <w:tc>
          <w:tcPr>
            <w:tcW w:w="2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ARTICLE VII Miscellaneous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7.01Legends</w:t>
            </w:r>
          </w:p>
        </w:tc>
        <w:tc>
          <w:tcPr>
            <w:tcW w:w="2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7.02Notices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7.03Waivers; Amendment</w:t>
            </w:r>
          </w:p>
        </w:tc>
        <w:tc>
          <w:tcPr>
            <w:tcW w:w="2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7.04Parties in Interest</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7.05Survival of Agreement</w:t>
            </w:r>
          </w:p>
        </w:tc>
        <w:tc>
          <w:tcPr>
            <w:tcW w:w="2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7.06Counterparts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7.07Severability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7.08Governing Law; Jurisdiction; Consent to Service of Process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7.09WAIVER OF JURY TRIAL</w:t>
            </w:r>
          </w:p>
        </w:tc>
        <w:tc>
          <w:tcPr>
            <w:tcW w:w="2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7.10Headings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7.11Conflicts</w:t>
            </w:r>
          </w:p>
        </w:tc>
        <w:tc>
          <w:tcPr>
            <w:tcW w:w="2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7.12Provisions Solely to Define Relative Rights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7.13Agent Capacities</w:t>
            </w:r>
          </w:p>
        </w:tc>
        <w:tc>
          <w:tcPr>
            <w:tcW w:w="2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7.14Supplements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7.15Collateral Agent Rights, Protections and Immunities</w:t>
            </w:r>
          </w:p>
        </w:tc>
        <w:tc>
          <w:tcPr>
            <w:tcW w:w="2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7.16Other Junior Intercreditor Agreements</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SECTION 7.17Additional Grantors</w:t>
            </w:r>
          </w:p>
        </w:tc>
        <w:tc>
          <w:tcPr>
            <w:tcW w:w="2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260" w:type="dxa"/>
            <w:vAlign w:val="bottom"/>
            <w:shd w:val="clear" w:color="auto" w:fill="C6F4F9"/>
          </w:tcPr>
          <w:p>
            <w:pPr>
              <w:spacing w:after="0"/>
              <w:rPr>
                <w:sz w:val="20"/>
                <w:szCs w:val="20"/>
                <w:color w:val="auto"/>
              </w:rPr>
            </w:pPr>
            <w:r>
              <w:rPr>
                <w:rFonts w:ascii="Arial" w:cs="Arial" w:eastAsia="Arial" w:hAnsi="Arial"/>
                <w:sz w:val="18"/>
                <w:szCs w:val="18"/>
                <w:color w:val="auto"/>
              </w:rPr>
              <w:t>SECTION 7.18Joinder of LC Australian Collateral Agent</w:t>
            </w:r>
          </w:p>
        </w:tc>
        <w:tc>
          <w:tcPr>
            <w:tcW w:w="29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SECTION 7.19Purchase Right</w:t>
            </w:r>
          </w:p>
        </w:tc>
        <w:tc>
          <w:tcPr>
            <w:tcW w:w="2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708"/>
        </w:trPr>
        <w:tc>
          <w:tcPr>
            <w:tcW w:w="8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706" w:name="page707"/>
    <w:bookmarkEnd w:id="706"/>
    <w:p>
      <w:pPr>
        <w:jc w:val="both"/>
        <w:ind w:firstLine="1296"/>
        <w:spacing w:after="0" w:line="271" w:lineRule="auto"/>
        <w:rPr>
          <w:sz w:val="20"/>
          <w:szCs w:val="20"/>
          <w:color w:val="auto"/>
        </w:rPr>
      </w:pPr>
      <w:r>
        <w:rPr>
          <w:rFonts w:ascii="Arial" w:cs="Arial" w:eastAsia="Arial" w:hAnsi="Arial"/>
          <w:sz w:val="21"/>
          <w:szCs w:val="21"/>
          <w:color w:val="auto"/>
        </w:rPr>
        <w:t>This INTERCREDITOR AGREEMENT (as amended, restated, supplemented or otherwise modified from time to time,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August 28, 2020, is among BTA Institutional Services Australia Limited (ABN 48 002 916 396), in its capacity as trustee of the LC Australian Security Trust referred to herein (when joined to this Agreement, in such capacity, together with its successors in substantially the same capacity as may from time to time be appointed, the “</w:t>
      </w:r>
      <w:r>
        <w:rPr>
          <w:rFonts w:ascii="Arial" w:cs="Arial" w:eastAsia="Arial" w:hAnsi="Arial"/>
          <w:sz w:val="21"/>
          <w:szCs w:val="21"/>
          <w:b w:val="1"/>
          <w:bCs w:val="1"/>
          <w:i w:val="1"/>
          <w:iCs w:val="1"/>
          <w:color w:val="auto"/>
        </w:rPr>
        <w:t>LC</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Australian Collateral Agent</w:t>
      </w:r>
      <w:r>
        <w:rPr>
          <w:rFonts w:ascii="Arial" w:cs="Arial" w:eastAsia="Arial" w:hAnsi="Arial"/>
          <w:sz w:val="21"/>
          <w:szCs w:val="21"/>
          <w:color w:val="auto"/>
        </w:rPr>
        <w:t>”), Deutsche Bank Trust Company Americas (“</w:t>
      </w:r>
      <w:r>
        <w:rPr>
          <w:rFonts w:ascii="Arial" w:cs="Arial" w:eastAsia="Arial" w:hAnsi="Arial"/>
          <w:sz w:val="21"/>
          <w:szCs w:val="21"/>
          <w:b w:val="1"/>
          <w:bCs w:val="1"/>
          <w:i w:val="1"/>
          <w:iCs w:val="1"/>
          <w:color w:val="auto"/>
        </w:rPr>
        <w:t>DBTCA</w:t>
      </w:r>
      <w:r>
        <w:rPr>
          <w:rFonts w:ascii="Arial" w:cs="Arial" w:eastAsia="Arial" w:hAnsi="Arial"/>
          <w:sz w:val="21"/>
          <w:szCs w:val="21"/>
          <w:color w:val="auto"/>
        </w:rPr>
        <w:t>”), as administrative agent and collateral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w:t>
      </w:r>
      <w:r>
        <w:rPr>
          <w:rFonts w:ascii="Arial" w:cs="Arial" w:eastAsia="Arial" w:hAnsi="Arial"/>
          <w:sz w:val="21"/>
          <w:szCs w:val="21"/>
          <w:b w:val="1"/>
          <w:bCs w:val="1"/>
          <w:i w:val="1"/>
          <w:iCs w:val="1"/>
          <w:color w:val="auto"/>
        </w:rPr>
        <w:t>LC Collateral Agent</w:t>
      </w:r>
      <w:r>
        <w:rPr>
          <w:rFonts w:ascii="Arial" w:cs="Arial" w:eastAsia="Arial" w:hAnsi="Arial"/>
          <w:sz w:val="21"/>
          <w:szCs w:val="21"/>
          <w:color w:val="auto"/>
        </w:rPr>
        <w:t>”), Wilmington Trust, National Association (“</w:t>
      </w:r>
      <w:r>
        <w:rPr>
          <w:rFonts w:ascii="Arial" w:cs="Arial" w:eastAsia="Arial" w:hAnsi="Arial"/>
          <w:sz w:val="21"/>
          <w:szCs w:val="21"/>
          <w:b w:val="1"/>
          <w:bCs w:val="1"/>
          <w:i w:val="1"/>
          <w:iCs w:val="1"/>
          <w:color w:val="auto"/>
        </w:rPr>
        <w:t>Wilmington Trust</w:t>
      </w:r>
      <w:r>
        <w:rPr>
          <w:rFonts w:ascii="Arial" w:cs="Arial" w:eastAsia="Arial" w:hAnsi="Arial"/>
          <w:sz w:val="21"/>
          <w:szCs w:val="21"/>
          <w:color w:val="auto"/>
        </w:rPr>
        <w:t>”), as collateral agent for the Notes Secured Parties referred to herein (in such capacity, together with its successors and co-agents and, as applicable, sub-agents, in substantially the same capacity as may from time to time be appointed, the “</w:t>
      </w:r>
      <w:r>
        <w:rPr>
          <w:rFonts w:ascii="Arial" w:cs="Arial" w:eastAsia="Arial" w:hAnsi="Arial"/>
          <w:sz w:val="21"/>
          <w:szCs w:val="21"/>
          <w:b w:val="1"/>
          <w:bCs w:val="1"/>
          <w:i w:val="1"/>
          <w:iCs w:val="1"/>
          <w:color w:val="auto"/>
        </w:rPr>
        <w:t>Notes Collateral Agent</w:t>
      </w:r>
      <w:r>
        <w:rPr>
          <w:rFonts w:ascii="Arial" w:cs="Arial" w:eastAsia="Arial" w:hAnsi="Arial"/>
          <w:sz w:val="21"/>
          <w:szCs w:val="21"/>
          <w:color w:val="auto"/>
        </w:rPr>
        <w:t>”), the Parent (as defined below) and the other Subsidiaries of the Parent from time to time party hereto.</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Weatherford International Ltd., a Bermuda exempted company limited by shares (“</w:t>
      </w:r>
      <w:r>
        <w:rPr>
          <w:rFonts w:ascii="Arial" w:cs="Arial" w:eastAsia="Arial" w:hAnsi="Arial"/>
          <w:sz w:val="22"/>
          <w:szCs w:val="22"/>
          <w:b w:val="1"/>
          <w:bCs w:val="1"/>
          <w:i w:val="1"/>
          <w:iCs w:val="1"/>
          <w:color w:val="auto"/>
        </w:rPr>
        <w:t>WIL-Bermuda</w:t>
      </w:r>
      <w:r>
        <w:rPr>
          <w:rFonts w:ascii="Arial" w:cs="Arial" w:eastAsia="Arial" w:hAnsi="Arial"/>
          <w:sz w:val="22"/>
          <w:szCs w:val="22"/>
          <w:color w:val="auto"/>
        </w:rPr>
        <w:t>” or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Issuer</w:t>
      </w:r>
      <w:r>
        <w:rPr>
          <w:rFonts w:ascii="Arial" w:cs="Arial" w:eastAsia="Arial" w:hAnsi="Arial"/>
          <w:sz w:val="22"/>
          <w:szCs w:val="22"/>
          <w:color w:val="auto"/>
        </w:rPr>
        <w:t>”), Weatherford International plc, a public limited company incorporated in the Republic of Ireland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certain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subsidiaries of Parent, Wilmington Trust, as trustee (in such capacity, together with its successors and co-trustees, as applicable, in substantially the same capacity as may from time to time be appointed, the “</w:t>
      </w:r>
      <w:r>
        <w:rPr>
          <w:rFonts w:ascii="Arial" w:cs="Arial" w:eastAsia="Arial" w:hAnsi="Arial"/>
          <w:sz w:val="22"/>
          <w:szCs w:val="22"/>
          <w:b w:val="1"/>
          <w:bCs w:val="1"/>
          <w:i w:val="1"/>
          <w:iCs w:val="1"/>
          <w:color w:val="auto"/>
        </w:rPr>
        <w:t>Notes Trustee</w:t>
      </w:r>
      <w:r>
        <w:rPr>
          <w:rFonts w:ascii="Arial" w:cs="Arial" w:eastAsia="Arial" w:hAnsi="Arial"/>
          <w:sz w:val="22"/>
          <w:szCs w:val="22"/>
          <w:color w:val="auto"/>
        </w:rPr>
        <w:t>”) and the Notes Collateral Agent are party to the Notes Indenture, dated as of the date hereof (the “</w:t>
      </w:r>
      <w:r>
        <w:rPr>
          <w:rFonts w:ascii="Arial" w:cs="Arial" w:eastAsia="Arial" w:hAnsi="Arial"/>
          <w:sz w:val="22"/>
          <w:szCs w:val="22"/>
          <w:b w:val="1"/>
          <w:bCs w:val="1"/>
          <w:i w:val="1"/>
          <w:iCs w:val="1"/>
          <w:color w:val="auto"/>
        </w:rPr>
        <w:t>Existing Notes Indenture</w:t>
      </w:r>
      <w:r>
        <w:rPr>
          <w:rFonts w:ascii="Arial" w:cs="Arial" w:eastAsia="Arial" w:hAnsi="Arial"/>
          <w:sz w:val="22"/>
          <w:szCs w:val="22"/>
          <w:color w:val="auto"/>
        </w:rPr>
        <w:t>”), providing for an initial aggregate principal amount of up to $500,000,000 of the Notes Issuer’s 8.75% Senior Secured First Lien Notes due 2024 (the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w:t>
      </w:r>
    </w:p>
    <w:p>
      <w:pPr>
        <w:spacing w:after="0" w:line="19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WIL-Bermuda and Weatherford International LLC, a Delaware limited liability company (“</w:t>
      </w:r>
      <w:r>
        <w:rPr>
          <w:rFonts w:ascii="Arial" w:cs="Arial" w:eastAsia="Arial" w:hAnsi="Arial"/>
          <w:sz w:val="19"/>
          <w:szCs w:val="19"/>
          <w:b w:val="1"/>
          <w:bCs w:val="1"/>
          <w:i w:val="1"/>
          <w:iCs w:val="1"/>
          <w:color w:val="auto"/>
        </w:rPr>
        <w:t>WIL-Delaware</w:t>
      </w:r>
      <w:r>
        <w:rPr>
          <w:rFonts w:ascii="Arial" w:cs="Arial" w:eastAsia="Arial" w:hAnsi="Arial"/>
          <w:sz w:val="19"/>
          <w:szCs w:val="19"/>
          <w:color w:val="auto"/>
        </w:rPr>
        <w:t>”) (the “</w:t>
      </w:r>
      <w:r>
        <w:rPr>
          <w:rFonts w:ascii="Arial" w:cs="Arial" w:eastAsia="Arial" w:hAnsi="Arial"/>
          <w:sz w:val="19"/>
          <w:szCs w:val="19"/>
          <w:b w:val="1"/>
          <w:bCs w:val="1"/>
          <w:i w:val="1"/>
          <w:iCs w:val="1"/>
          <w:color w:val="auto"/>
        </w:rPr>
        <w:t>LC Borrowers</w:t>
      </w:r>
      <w:r>
        <w:rPr>
          <w:rFonts w:ascii="Arial" w:cs="Arial" w:eastAsia="Arial" w:hAnsi="Arial"/>
          <w:sz w:val="19"/>
          <w:szCs w:val="19"/>
          <w:color w:val="auto"/>
        </w:rPr>
        <w:t>”), the issuing lenders from time to time party thereto (the “</w:t>
      </w:r>
      <w:r>
        <w:rPr>
          <w:rFonts w:ascii="Arial" w:cs="Arial" w:eastAsia="Arial" w:hAnsi="Arial"/>
          <w:sz w:val="19"/>
          <w:szCs w:val="19"/>
          <w:b w:val="1"/>
          <w:bCs w:val="1"/>
          <w:i w:val="1"/>
          <w:iCs w:val="1"/>
          <w:color w:val="auto"/>
        </w:rPr>
        <w:t>Issuing Lenders</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i w:val="1"/>
          <w:iCs w:val="1"/>
          <w:color w:val="auto"/>
        </w:rPr>
        <w:t>LC Lenders</w:t>
      </w:r>
      <w:r>
        <w:rPr>
          <w:rFonts w:ascii="Arial" w:cs="Arial" w:eastAsia="Arial" w:hAnsi="Arial"/>
          <w:sz w:val="19"/>
          <w:szCs w:val="19"/>
          <w:color w:val="auto"/>
        </w:rPr>
        <w:t>”) and the LC Collateral Agent are party to the Credit Agreement, dated as of December 13, 2019 , pursuant to which the Issuing Lenders have agreed to issue, and the LC Lenders have agreed to purchase participations in, letters of credit (as amended by the Amendment No. 1 thereoto, dated as of the date hereof, the “</w:t>
      </w:r>
      <w:r>
        <w:rPr>
          <w:rFonts w:ascii="Arial" w:cs="Arial" w:eastAsia="Arial" w:hAnsi="Arial"/>
          <w:sz w:val="19"/>
          <w:szCs w:val="19"/>
          <w:b w:val="1"/>
          <w:bCs w:val="1"/>
          <w:i w:val="1"/>
          <w:iCs w:val="1"/>
          <w:color w:val="auto"/>
        </w:rPr>
        <w:t>Existing LC Credit Agreement</w:t>
      </w:r>
      <w:r>
        <w:rPr>
          <w:rFonts w:ascii="Arial" w:cs="Arial" w:eastAsia="Arial" w:hAnsi="Arial"/>
          <w:sz w:val="19"/>
          <w:szCs w:val="19"/>
          <w:color w:val="auto"/>
        </w:rPr>
        <w:t>”).</w:t>
      </w:r>
    </w:p>
    <w:p>
      <w:pPr>
        <w:spacing w:after="0" w:line="15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This Agreement governs the relationship between the LC Secured Parties as a group, on the one hand, and the Notes Secured Parties, on the other hand, with respect to the Collateral shared by the LC Secured Parties and the Notes Secured Parties. In addition, it is understood and agreed that not all of the Secured Parties may have security interests in all of the Collateral and nothing in this Agreement is intended to give rights to any Person in any Collateral in which such Person (or their Representative or Collateral Agent) does not otherwise have a security interest under their respective security documents.</w:t>
      </w:r>
    </w:p>
    <w:p>
      <w:pPr>
        <w:spacing w:after="0" w:line="15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In consideration of the mutual agreements herein contained and other good and valuable consideration, the receipt and sufficiency of which are hereby acknowledged,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07" w:name="page708"/>
    <w:bookmarkEnd w:id="707"/>
    <w:p>
      <w:pPr>
        <w:jc w:val="center"/>
        <w:ind w:right="-19"/>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7"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b w:val="1"/>
          <w:bCs w:val="1"/>
          <w:i w:val="1"/>
          <w:iCs w:val="1"/>
          <w:color w:val="auto"/>
        </w:rPr>
        <w:t>Construction; Certain Defined Terms</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301" w:lineRule="auto"/>
        <w:tabs>
          <w:tab w:leader="none" w:pos="2116" w:val="left"/>
        </w:tabs>
        <w:numPr>
          <w:ilvl w:val="0"/>
          <w:numId w:val="856"/>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Exhibits shall be construed to refer to Articles, Sections and Exhibits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63" w:lineRule="exact"/>
        <w:rPr>
          <w:rFonts w:ascii="Arial" w:cs="Arial" w:eastAsia="Arial" w:hAnsi="Arial"/>
          <w:sz w:val="19"/>
          <w:szCs w:val="19"/>
          <w:color w:val="auto"/>
        </w:rPr>
      </w:pPr>
    </w:p>
    <w:p>
      <w:pPr>
        <w:ind w:left="2100" w:hanging="796"/>
        <w:spacing w:after="0"/>
        <w:tabs>
          <w:tab w:leader="none" w:pos="2100" w:val="left"/>
        </w:tabs>
        <w:numPr>
          <w:ilvl w:val="0"/>
          <w:numId w:val="856"/>
        </w:numPr>
        <w:rPr>
          <w:rFonts w:ascii="Arial" w:cs="Arial" w:eastAsia="Arial" w:hAnsi="Arial"/>
          <w:sz w:val="22"/>
          <w:szCs w:val="22"/>
          <w:color w:val="auto"/>
        </w:rPr>
      </w:pPr>
      <w:r>
        <w:rPr>
          <w:rFonts w:ascii="Arial" w:cs="Arial" w:eastAsia="Arial" w:hAnsi="Arial"/>
          <w:sz w:val="22"/>
          <w:szCs w:val="22"/>
          <w:color w:val="auto"/>
        </w:rPr>
        <w:t>As used in this Agreement, the following terms have the meanings specified below:</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Junior Collateral Agent</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Possessory Collateral Agent</w:t>
      </w:r>
      <w:r>
        <w:rPr>
          <w:rFonts w:ascii="Arial" w:cs="Arial" w:eastAsia="Arial" w:hAnsi="Arial"/>
          <w:sz w:val="22"/>
          <w:szCs w:val="22"/>
          <w:color w:val="auto"/>
        </w:rPr>
        <w:t>” means (a) with respect to Notes Priority Possessory Collateral, the Notes Collateral Agent, (b) with respect to LC Priority Possessory Collateral, the LC Collateral Agent, and (c) notwithstanding the foregoing, with respect to Foreign Collateral, the Foreign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Senior Collateral Agent</w:t>
      </w:r>
      <w:r>
        <w:rPr>
          <w:rFonts w:ascii="Arial" w:cs="Arial" w:eastAsia="Arial" w:hAnsi="Arial"/>
          <w:sz w:val="22"/>
          <w:szCs w:val="22"/>
          <w:color w:val="auto"/>
        </w:rPr>
        <w:t>” means (a) with respect to the Notes Priority Collateral, the Notes Collateral Agent, and (b) with respect to the LC Priority Collateral, the LC Collateral Agent.</w:t>
      </w:r>
    </w:p>
    <w:p>
      <w:pPr>
        <w:spacing w:after="0" w:line="174"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 Product Obligations</w:t>
      </w:r>
      <w:r>
        <w:rPr>
          <w:rFonts w:ascii="Arial" w:cs="Arial" w:eastAsia="Arial" w:hAnsi="Arial"/>
          <w:sz w:val="21"/>
          <w:szCs w:val="21"/>
          <w:color w:val="auto"/>
        </w:rPr>
        <w:t>” means all “Banking Services Obligations” and all “Swap Obligations” as defined in the LC Credit Agreement (other than “Excluded Swap Obligations” as defined in the LC Credit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Case</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08" w:name="page709"/>
    <w:bookmarkEnd w:id="70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Title 11 of the United States Code, as amended.</w:t>
      </w:r>
    </w:p>
    <w:p>
      <w:pPr>
        <w:spacing w:after="0" w:line="19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that is not a Saturday, Sunday or other day that is a legal holiday under the laws of the State of New York or on which banking institutions in the State of New York are required or authorized by law or other governmental action to close.</w:t>
      </w:r>
    </w:p>
    <w:p>
      <w:pPr>
        <w:spacing w:after="0" w:line="158"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Stock</w:t>
      </w:r>
      <w:r>
        <w:rPr>
          <w:rFonts w:ascii="Arial" w:cs="Arial" w:eastAsia="Arial" w:hAnsi="Arial"/>
          <w:sz w:val="22"/>
          <w:szCs w:val="22"/>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has the meaning set forth in the definition of Senior Secured Obligations.</w:t>
      </w:r>
    </w:p>
    <w:p>
      <w:pPr>
        <w:spacing w:after="0" w:line="193"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means all assets and properties subject to (or purportedly subject to) Liens in favor of any Secured Party created by any of the Foreign Collateral Documents, Notes Security Documents or the LC Security Documents, as applicable, to secure the Notes Obligations or the LC Obligations, as applicable.</w:t>
      </w:r>
    </w:p>
    <w:p>
      <w:pPr>
        <w:spacing w:after="0" w:line="158"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Agent</w:t>
      </w:r>
      <w:r>
        <w:rPr>
          <w:rFonts w:ascii="Arial" w:cs="Arial" w:eastAsia="Arial" w:hAnsi="Arial"/>
          <w:sz w:val="22"/>
          <w:szCs w:val="22"/>
          <w:color w:val="auto"/>
        </w:rPr>
        <w:t>” means the Foreign Collateral Agent, the Notes Collateral Agent, the LC Collateral Agent, or any of the foregoing, as the context may require.</w:t>
      </w:r>
    </w:p>
    <w:p>
      <w:pPr>
        <w:spacing w:after="0" w:line="13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Junior Priority Collateral Document</w:t>
      </w:r>
      <w:r>
        <w:rPr>
          <w:rFonts w:ascii="Arial" w:cs="Arial" w:eastAsia="Arial" w:hAnsi="Arial"/>
          <w:sz w:val="22"/>
          <w:szCs w:val="22"/>
          <w:color w:val="auto"/>
        </w:rPr>
        <w:t>” means, in relation to any Senior Secured Obligations Collateral subject to any Lien created (or purportedly created) under any Senior Secured Obligations Collateral Document, those Junior Secured Obligations Collateral Documents that create (or purport to create) a Lien on the same Collateral, granted by the same Grantor.</w:t>
      </w:r>
    </w:p>
    <w:p>
      <w:pPr>
        <w:spacing w:after="0" w:line="151"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Controlling Party</w:t>
      </w:r>
      <w:r>
        <w:rPr>
          <w:rFonts w:ascii="Arial" w:cs="Arial" w:eastAsia="Arial" w:hAnsi="Arial"/>
          <w:sz w:val="22"/>
          <w:szCs w:val="22"/>
          <w:color w:val="auto"/>
        </w:rPr>
        <w:t>” means (i) for decisions relating to Foreign Collateral that is Notes Priority Collateral, the Notes Collateral Agent and; (ii) for decisions relating to Foreign Collateral that is LC Priority Collateral, the LC Collateral Agent (and in the case of the LC Australian Collateral Agent, acting for, and with any decisions relating to LC Australian Collateral made by, the LC Administrative Agent).</w:t>
      </w:r>
    </w:p>
    <w:p>
      <w:pPr>
        <w:spacing w:after="0" w:line="164"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Debtor Relief Laws</w:t>
      </w:r>
      <w:r>
        <w:rPr>
          <w:rFonts w:ascii="Arial" w:cs="Arial" w:eastAsia="Arial" w:hAnsi="Arial"/>
          <w:sz w:val="19"/>
          <w:szCs w:val="19"/>
          <w:color w:val="auto"/>
        </w:rPr>
        <w:t>” means the Bankruptcy Code, the United Kingdom’s Insolvency Act 1986, the Council Regulation (EU) No. 2015/848 of 20 May 2015 on insolvency proceedings (recast), as amended, the Bankruptcy and Insolvency Act (Canada), the Companies’ Creditors Arrangement Act (Canada), Dutch Bankruptcy Act (</w:t>
      </w:r>
      <w:r>
        <w:rPr>
          <w:rFonts w:ascii="Arial" w:cs="Arial" w:eastAsia="Arial" w:hAnsi="Arial"/>
          <w:sz w:val="19"/>
          <w:szCs w:val="19"/>
          <w:i w:val="1"/>
          <w:iCs w:val="1"/>
          <w:color w:val="auto"/>
        </w:rPr>
        <w:t>faillissementswet</w:t>
      </w:r>
      <w:r>
        <w:rPr>
          <w:rFonts w:ascii="Arial" w:cs="Arial" w:eastAsia="Arial" w:hAnsi="Arial"/>
          <w:sz w:val="19"/>
          <w:szCs w:val="19"/>
          <w:color w:val="auto"/>
        </w:rPr>
        <w:t>), the Winding-Up and Restructuring Act (Canada), the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Swiss Federal Debt Collection and Bankruptcy Act (</w:t>
      </w:r>
      <w:r>
        <w:rPr>
          <w:rFonts w:ascii="Arial" w:cs="Arial" w:eastAsia="Arial" w:hAnsi="Arial"/>
          <w:sz w:val="19"/>
          <w:szCs w:val="19"/>
          <w:i w:val="1"/>
          <w:iCs w:val="1"/>
          <w:color w:val="auto"/>
        </w:rPr>
        <w:t>Bundesgesetz über Schuldbetreibung und Konkurs</w:t>
      </w:r>
      <w:r>
        <w:rPr>
          <w:rFonts w:ascii="Arial" w:cs="Arial" w:eastAsia="Arial" w:hAnsi="Arial"/>
          <w:sz w:val="19"/>
          <w:szCs w:val="19"/>
          <w:color w:val="auto"/>
        </w:rPr>
        <w:t>), Part XIII of the Bermuda Companies Act 1981, the Luxembourg Commercial Code and the Luxembourg Act dated 10 August 1915 on Commercial Companies, the Insolvency Act 2003 of the British Virgin Islands and all other liquidation, conservatorship, bankruptcy, assignment for the benefit of creditors, moratorium, rearrangement, receivership, insolvency, examinership reorganization or similar debtor relief laws of the United States of America or other applicable jurisdictions from time to time in effect, in each case as amended, including any corporate law of any jurisdiction which may be used by a debtor to obtain a stay or a compromise, settlement, adjustment or arrangement of the claims of its creditors against it and including any rules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09" w:name="page710"/>
    <w:bookmarkEnd w:id="709"/>
    <w:p>
      <w:pPr>
        <w:jc w:val="both"/>
        <w:spacing w:after="0" w:line="276" w:lineRule="auto"/>
        <w:rPr>
          <w:sz w:val="20"/>
          <w:szCs w:val="20"/>
          <w:color w:val="auto"/>
        </w:rPr>
      </w:pPr>
      <w:r>
        <w:rPr>
          <w:rFonts w:ascii="Arial" w:cs="Arial" w:eastAsia="Arial" w:hAnsi="Arial"/>
          <w:sz w:val="22"/>
          <w:szCs w:val="22"/>
          <w:color w:val="auto"/>
        </w:rPr>
        <w:t>regulations pursuant thereto (but, in each case, shall exclude any part of such laws, rules or regulations which relate solely to any solvent reorganization or solvent restructuring process).</w:t>
      </w:r>
    </w:p>
    <w:p>
      <w:pPr>
        <w:spacing w:after="0" w:line="13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Disposition</w:t>
      </w:r>
      <w:r>
        <w:rPr>
          <w:rFonts w:ascii="Arial" w:cs="Arial" w:eastAsia="Arial" w:hAnsi="Arial"/>
          <w:sz w:val="19"/>
          <w:szCs w:val="19"/>
          <w:color w:val="auto"/>
        </w:rPr>
        <w:t>” means any private or public sale or disposition of all or any material portion of the Senior Secured Obligations Collateral (including Foreign Collateral) by one or more Grantors with the consent of Senior Collateral Agent or Foreign Collateral Agent (as instructed by the Controlling Party), as applicable, after the occurrence and during the continuation of an Event of Default under the Senior Secured Obligations Security Documents or the Notes Indenture or LC Credit Agreement, as applicable (and prior to the Discharge of the Senior Secured Obligations), including any disposition contemplated by Section 9-620 of the UCC, which disposition is conducted by such Grantors with the consent of Senior Collateral Agent or Foreign Collateral Agent (as instructed by the Controlling Party) in connection with good faith efforts by Senior Collateral Agent or Foreign Collateral Agent (as instructed by the Controlling Party) to collect the Senior Secured Obligations through the disposition of Senior Secured Obligations Collateral (including any Foreign Collateral).</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w:t>
      </w:r>
      <w:r>
        <w:rPr>
          <w:rFonts w:ascii="Arial" w:cs="Arial" w:eastAsia="Arial" w:hAnsi="Arial"/>
          <w:sz w:val="22"/>
          <w:szCs w:val="22"/>
          <w:color w:val="auto"/>
        </w:rPr>
        <w:t>” has the meaning set forth in Section 2.06(b).</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 Liens</w:t>
      </w:r>
      <w:r>
        <w:rPr>
          <w:rFonts w:ascii="Arial" w:cs="Arial" w:eastAsia="Arial" w:hAnsi="Arial"/>
          <w:sz w:val="22"/>
          <w:szCs w:val="22"/>
          <w:color w:val="auto"/>
        </w:rPr>
        <w:t>” has the meaning set forth in Section 2.06(b).</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Lenders</w:t>
      </w:r>
      <w:r>
        <w:rPr>
          <w:rFonts w:ascii="Arial" w:cs="Arial" w:eastAsia="Arial" w:hAnsi="Arial"/>
          <w:sz w:val="22"/>
          <w:szCs w:val="22"/>
          <w:color w:val="auto"/>
        </w:rPr>
        <w:t>” has the meaning set forth in Section 2.06(b).</w:t>
      </w:r>
    </w:p>
    <w:p>
      <w:pPr>
        <w:spacing w:after="0" w:line="206"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Discharge</w:t>
      </w:r>
      <w:r>
        <w:rPr>
          <w:rFonts w:ascii="Arial" w:cs="Arial" w:eastAsia="Arial" w:hAnsi="Arial"/>
          <w:sz w:val="19"/>
          <w:szCs w:val="19"/>
          <w:color w:val="auto"/>
        </w:rPr>
        <w:t>” means, with respect to any Obligations, except to the extent otherwise provided herein with respect to the reinstatement or continuation of any such Obligations, the payment in full in cash (except for contingent indemnities and cost and reimbursement obligations to the extent no claim has been threatened (in writing) or asserted) of all such Obligations then outstanding, if any, and, with respect to (x) letters of credit or letter of credit guaranties outstanding under the agreements or instruments governing such Obligations (as related to all or any subset of Obligations, the “</w:t>
      </w:r>
      <w:r>
        <w:rPr>
          <w:rFonts w:ascii="Arial" w:cs="Arial" w:eastAsia="Arial" w:hAnsi="Arial"/>
          <w:sz w:val="19"/>
          <w:szCs w:val="19"/>
          <w:b w:val="1"/>
          <w:bCs w:val="1"/>
          <w:i w:val="1"/>
          <w:iCs w:val="1"/>
          <w:color w:val="auto"/>
        </w:rPr>
        <w:t>Relevant Instruments</w:t>
      </w:r>
      <w:r>
        <w:rPr>
          <w:rFonts w:ascii="Arial" w:cs="Arial" w:eastAsia="Arial" w:hAnsi="Arial"/>
          <w:sz w:val="19"/>
          <w:szCs w:val="19"/>
          <w:color w:val="auto"/>
        </w:rPr>
        <w:t xml:space="preserve">”); (y) Bank Product Obligations; and (z) asserted or threatened (in writing) claims, demands, actions, suits, investigations, liabilities, fines, costs, or damages for which a party may be entitled to indemnification or reimbursement by any Grantor, delivery of cash collateral or backstop letters of credit in respect thereof in a manner consistent with such Relevant Instruments, in each case after or concurrently with the termination of all commitments to extend credit thereunder, and the termination of all commitments of “secured parties” under the Relevant Instruments (including, in any event, all such interest, fees, costs, expenses and other charges regardless of whether such amounts are allowed, allowable or reasonable in any Insolvency or Liquidation Proceeding, whether under Section 506 of the Bankruptcy Code of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Discharge of Notes Obligations shall not be deemed to have occurred if such payments are made with the proceeds of Notes Obligations that constitute an exchange or replacement for or a refinancing of Notes Obligations and (ii) the Discharge of LC Obligations shall not be deemed to have occurred if such payments are made with the proceeds of LC Obligations that constitute an exchange or replacement for or a refinancing of such Obligations or LC Obligations. In the event any Obligations are modified and such Obligations are paid over time or otherwise modified, in each case, pursuant to Section 1129 of the Bankruptcy Code or similar Debtor Relief Law, such Obligations shall be deemed to be discharged only when the final payment is made, in cash, in respect of such indebtedness and 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0" w:name="page711"/>
    <w:bookmarkEnd w:id="710"/>
    <w:p>
      <w:pPr>
        <w:jc w:val="both"/>
        <w:spacing w:after="0" w:line="276" w:lineRule="auto"/>
        <w:rPr>
          <w:sz w:val="20"/>
          <w:szCs w:val="20"/>
          <w:color w:val="auto"/>
        </w:rPr>
      </w:pPr>
      <w:r>
        <w:rPr>
          <w:rFonts w:ascii="Arial" w:cs="Arial" w:eastAsia="Arial" w:hAnsi="Arial"/>
          <w:sz w:val="22"/>
          <w:szCs w:val="22"/>
          <w:color w:val="auto"/>
        </w:rPr>
        <w:t>obligations pursuant to such new or modified indebtedness shall have been satisfied. The term “</w:t>
      </w:r>
      <w:r>
        <w:rPr>
          <w:rFonts w:ascii="Arial" w:cs="Arial" w:eastAsia="Arial" w:hAnsi="Arial"/>
          <w:sz w:val="22"/>
          <w:szCs w:val="22"/>
          <w:b w:val="1"/>
          <w:bCs w:val="1"/>
          <w:i w:val="1"/>
          <w:iCs w:val="1"/>
          <w:color w:val="auto"/>
        </w:rPr>
        <w:t>Discharged</w:t>
      </w:r>
      <w:r>
        <w:rPr>
          <w:rFonts w:ascii="Arial" w:cs="Arial" w:eastAsia="Arial" w:hAnsi="Arial"/>
          <w:sz w:val="22"/>
          <w:szCs w:val="22"/>
          <w:color w:val="auto"/>
        </w:rPr>
        <w:t>” shall have a corresponding meaning.</w:t>
      </w:r>
    </w:p>
    <w:p>
      <w:pPr>
        <w:spacing w:after="0" w:line="13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European Insolvency Regulation</w:t>
      </w:r>
      <w:r>
        <w:rPr>
          <w:rFonts w:ascii="Arial" w:cs="Arial" w:eastAsia="Arial" w:hAnsi="Arial"/>
          <w:sz w:val="22"/>
          <w:szCs w:val="22"/>
          <w:color w:val="auto"/>
        </w:rPr>
        <w:t>” means Regulation (EU) 2015/848 of the European Parliament and of the Council of 20 May 2015 on insolvency proceedings (recast)</w:t>
      </w:r>
    </w:p>
    <w:p>
      <w:pPr>
        <w:spacing w:after="0" w:line="147"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means an “Event of Default” under and as defined in the Notes Indenture or the LC Credit Agreement, as the context may require.</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w:t>
      </w:r>
      <w:r>
        <w:rPr>
          <w:rFonts w:ascii="Arial" w:cs="Arial" w:eastAsia="Arial" w:hAnsi="Arial"/>
          <w:sz w:val="22"/>
          <w:szCs w:val="22"/>
          <w:color w:val="auto"/>
        </w:rPr>
        <w:t>” has the meaning set forth in Section 2.01(d).</w:t>
      </w:r>
    </w:p>
    <w:p>
      <w:pPr>
        <w:spacing w:after="0" w:line="19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 Agent</w:t>
      </w:r>
      <w:r>
        <w:rPr>
          <w:rFonts w:ascii="Arial" w:cs="Arial" w:eastAsia="Arial" w:hAnsi="Arial"/>
          <w:sz w:val="22"/>
          <w:szCs w:val="22"/>
          <w:color w:val="auto"/>
        </w:rPr>
        <w:t xml:space="preserve">” means either the LC Collateral Agent or the Notes Collateral Agent with respect to Foreign Collateral as set forth in </w:t>
      </w:r>
      <w:r>
        <w:rPr>
          <w:rFonts w:ascii="Arial" w:cs="Arial" w:eastAsia="Arial" w:hAnsi="Arial"/>
          <w:sz w:val="22"/>
          <w:szCs w:val="22"/>
          <w:u w:val="single" w:color="auto"/>
          <w:color w:val="auto"/>
        </w:rPr>
        <w:t>Section 6.01(i) and (ii)</w:t>
      </w:r>
      <w:r>
        <w:rPr>
          <w:rFonts w:ascii="Arial" w:cs="Arial" w:eastAsia="Arial" w:hAnsi="Arial"/>
          <w:sz w:val="22"/>
          <w:szCs w:val="22"/>
          <w:color w:val="auto"/>
        </w:rPr>
        <w:t>, and their respective successors or assigns (as appointed in accordance with Article VI hereof).</w:t>
      </w:r>
    </w:p>
    <w:p>
      <w:pPr>
        <w:spacing w:after="0" w:line="158"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Foreign Collateral Documents</w:t>
      </w:r>
      <w:r>
        <w:rPr>
          <w:rFonts w:ascii="Arial" w:cs="Arial" w:eastAsia="Arial" w:hAnsi="Arial"/>
          <w:sz w:val="19"/>
          <w:szCs w:val="19"/>
          <w:color w:val="auto"/>
        </w:rPr>
        <w:t>” means the documents listed on Schedule I attached hereto and any other documents creating (or purporting to create) a Lien on any Foreign Collateral in favor of the Secured Parties and/or the Foreign Collateral Agent/Preceding Foreign Collateral Agent acting in their respective capacities and all documents delivered therewith.</w:t>
      </w:r>
    </w:p>
    <w:p>
      <w:pPr>
        <w:spacing w:after="0" w:line="9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Grantor</w:t>
      </w:r>
      <w:r>
        <w:rPr>
          <w:rFonts w:ascii="Arial" w:cs="Arial" w:eastAsia="Arial" w:hAnsi="Arial"/>
          <w:sz w:val="22"/>
          <w:szCs w:val="22"/>
          <w:color w:val="auto"/>
        </w:rPr>
        <w:t>” means Parent and each Subsidiary of Parent that shall have granted any Lien in favor of any Collateral Agent on any of its assets or properties to secure any of the Obligations.</w:t>
      </w:r>
    </w:p>
    <w:p>
      <w:pPr>
        <w:spacing w:after="0" w:line="13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Insolvency or Liquidation Proceeding</w:t>
      </w:r>
      <w:r>
        <w:rPr>
          <w:rFonts w:ascii="Arial" w:cs="Arial" w:eastAsia="Arial" w:hAnsi="Arial"/>
          <w:sz w:val="19"/>
          <w:szCs w:val="19"/>
          <w:color w:val="auto"/>
        </w:rPr>
        <w:t>” means (a) any case or proceeding commenced by or against the Parent or any other Grantor under the Bankruptcy Code or other Debtor Relief Laws or any other process or proceeding for the reorganization, recapitalization, restructuring, adjustment, arrangement or marshalling of the assets or liabilities of the Parent or any other Grantor or any receivership or assignment for the benefit of creditors relating to the Parent or any other Grantor or relating to all or a substantial part of the property or assets of the Parent or any other Grantor or any similar case or proceeding relative to the Parent or any other Grantor, or their respective property or their respective creditors, as such, in each case whether or not voluntary; (b) any process or proceeding for the appointment of any trustee in bankruptcy, receiver, receiver and manager, interim receiver, administrator, liquidator, monitor, custodian, sequestrator, examiner, conservator or any similar official appointed for or relating to the Parent or any other Grantor or all or a substantial portion of their respective property and assets, in each case whether or not voluntary; (c) any liquidation, dissolution, examinership, marshalling of assets or liabilities or other winding up (or similar process) of or relating to the Parent or any other Grantor, in each case whether or not voluntary and whether or not involving bankruptcy or insolvency; or (d) any other proceeding of any type or nature in which substantially all claims of creditors of the Parent or any other Grantor, or of a class of creditors of the Parent or any other Grantor, are stayed, compromised, restructured or determined and any payment, distribution, restructuring or arrangement is or may be made on account of or in relation to such claims.</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Claims</w:t>
      </w:r>
      <w:r>
        <w:rPr>
          <w:rFonts w:ascii="Arial" w:cs="Arial" w:eastAsia="Arial" w:hAnsi="Arial"/>
          <w:sz w:val="22"/>
          <w:szCs w:val="22"/>
          <w:color w:val="auto"/>
        </w:rPr>
        <w:t>” means (a) with respect to the Notes Priority Collateral, the LC Obligations secured by such Collateral and (b) with respect to the LC Priority Collateral, the Notes Obligations secured by such Collateral.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1" w:name="page712"/>
    <w:bookmarkEnd w:id="711"/>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Collateral Agent</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13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Representative</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147"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Junior Secured Obligations</w:t>
      </w:r>
      <w:r>
        <w:rPr>
          <w:rFonts w:ascii="Arial" w:cs="Arial" w:eastAsia="Arial" w:hAnsi="Arial"/>
          <w:sz w:val="19"/>
          <w:szCs w:val="19"/>
          <w:color w:val="auto"/>
        </w:rPr>
        <w:t>” means (a) with respect to the Notes Obligations (to the extent such Obligations are secured by the Notes Priority Collateral), the LC Obligations (to the extent such Obligations are secured by the Notes Priority Collateral) and (b) with respect to the LC Obligations (to the extent such Obligations are secured by the LC Priority Collateral), the Notes Obligations (to the extent such Obligations are secured by the LC Priority Collateral).</w:t>
      </w:r>
    </w:p>
    <w:p>
      <w:pPr>
        <w:spacing w:after="0" w:line="10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w:t>
      </w:r>
      <w:r>
        <w:rPr>
          <w:rFonts w:ascii="Arial" w:cs="Arial" w:eastAsia="Arial" w:hAnsi="Arial"/>
          <w:sz w:val="22"/>
          <w:szCs w:val="22"/>
          <w:color w:val="auto"/>
        </w:rPr>
        <w:t>” means, with respect to any Obligations, the Collateral in respect of which such Obligations constitute Junior Claims.</w:t>
      </w:r>
    </w:p>
    <w:p>
      <w:pPr>
        <w:spacing w:after="0" w:line="13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 Documents</w:t>
      </w:r>
      <w:r>
        <w:rPr>
          <w:rFonts w:ascii="Arial" w:cs="Arial" w:eastAsia="Arial" w:hAnsi="Arial"/>
          <w:sz w:val="22"/>
          <w:szCs w:val="22"/>
          <w:color w:val="auto"/>
        </w:rPr>
        <w:t>” means (a) with respect to the LC Obligations, the Notes Security Documents and (b) with respect to the Notes Obligations, the LC Security Documents.</w:t>
      </w:r>
    </w:p>
    <w:p>
      <w:pPr>
        <w:spacing w:after="0" w:line="147"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Secured Parties</w:t>
      </w:r>
      <w:r>
        <w:rPr>
          <w:rFonts w:ascii="Arial" w:cs="Arial" w:eastAsia="Arial" w:hAnsi="Arial"/>
          <w:sz w:val="22"/>
          <w:szCs w:val="22"/>
          <w:color w:val="auto"/>
        </w:rPr>
        <w:t>” means (a) with respect to the LC Priority Collateral, the Notes Secured Parties (to the extent that the Obligations owing to such Notes Secured Parties are secured by the LC Priority Collateral) and (b) with respect to the Notes Priority Collateral, the LC Secured Parties (to the extent that the Obligations owing to such LC Secured Parties are secured by the Notes Priority Collateral).</w:t>
      </w:r>
    </w:p>
    <w:p>
      <w:pPr>
        <w:spacing w:after="0" w:line="151"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Administrative Agent</w:t>
      </w:r>
      <w:r>
        <w:rPr>
          <w:rFonts w:ascii="Arial" w:cs="Arial" w:eastAsia="Arial" w:hAnsi="Arial"/>
          <w:sz w:val="19"/>
          <w:szCs w:val="19"/>
          <w:color w:val="auto"/>
        </w:rPr>
        <w:t>” means the Administrative Agent under, and as defined in, the LC Credit Agreement together with its successors and co-agents in substantially the same capacity as may from time to time be appointed.</w:t>
      </w:r>
    </w:p>
    <w:p>
      <w:pPr>
        <w:spacing w:after="0" w:line="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Collateral Agent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Documents</w:t>
      </w:r>
      <w:r>
        <w:rPr>
          <w:rFonts w:ascii="Arial" w:cs="Arial" w:eastAsia="Arial" w:hAnsi="Arial"/>
          <w:sz w:val="22"/>
          <w:szCs w:val="22"/>
          <w:color w:val="auto"/>
        </w:rPr>
        <w:t>” means the LC Australian Security Trust Deed and each other Australian law governed document now existing or entered into after the date hereof that create Liens on any assets or properties of any Grantor to secure any LC Obligations in favor of the LC Australian Collateral Agent.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Australian Security Trust</w:t>
      </w:r>
      <w:r>
        <w:rPr>
          <w:rFonts w:ascii="Arial" w:cs="Arial" w:eastAsia="Arial" w:hAnsi="Arial"/>
          <w:sz w:val="19"/>
          <w:szCs w:val="19"/>
          <w:color w:val="auto"/>
        </w:rPr>
        <w:t>” means the “Security Trust” under and as defined in the LC Australian Security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 Deed.</w:t>
      </w:r>
    </w:p>
    <w:p>
      <w:pPr>
        <w:spacing w:after="0" w:line="18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Trust Deed</w:t>
      </w:r>
      <w:r>
        <w:rPr>
          <w:rFonts w:ascii="Arial" w:cs="Arial" w:eastAsia="Arial" w:hAnsi="Arial"/>
          <w:sz w:val="22"/>
          <w:szCs w:val="22"/>
          <w:color w:val="auto"/>
        </w:rPr>
        <w:t>” means the Security Trust Deed to be entered into among the Borrowers, the LC Administrative Agent, the LC Lenders and the LC Australian Collateral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Collateral Agent</w:t>
      </w:r>
      <w:r>
        <w:rPr>
          <w:rFonts w:ascii="Arial" w:cs="Arial" w:eastAsia="Arial" w:hAnsi="Arial"/>
          <w:sz w:val="22"/>
          <w:szCs w:val="22"/>
          <w:color w:val="auto"/>
        </w:rPr>
        <w:t>” has the meaning set forth in the recitals.</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2" w:name="page713"/>
    <w:bookmarkEnd w:id="712"/>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Credit Agreement</w:t>
      </w:r>
      <w:r>
        <w:rPr>
          <w:rFonts w:ascii="Arial" w:cs="Arial" w:eastAsia="Arial" w:hAnsi="Arial"/>
          <w:sz w:val="19"/>
          <w:szCs w:val="19"/>
          <w:color w:val="auto"/>
        </w:rPr>
        <w:t>” means the Existing LC Credit Agreement, as amended, restated, supplemented, waived, replaced (whether or not upon termination, and whether with the original lenders or otherwise), restructured, repaid, refunded, Refinanced or otherwise modified from time to time after the date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“LC Credit Agreement”).</w:t>
      </w:r>
    </w:p>
    <w:p>
      <w:pPr>
        <w:spacing w:after="0" w:line="116"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Documents</w:t>
      </w:r>
      <w:r>
        <w:rPr>
          <w:rFonts w:ascii="Arial" w:cs="Arial" w:eastAsia="Arial" w:hAnsi="Arial"/>
          <w:sz w:val="22"/>
          <w:szCs w:val="22"/>
          <w:color w:val="auto"/>
        </w:rPr>
        <w:t>” means the LC Credit Agreement, the LC Security Agreement, the LC Mortgages, the LC Australian Security Documents and the other “Loan Documents” as defined in the LC Credit Agreement.</w:t>
      </w:r>
    </w:p>
    <w:p>
      <w:pPr>
        <w:spacing w:after="0" w:line="14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Guarantee</w:t>
      </w:r>
      <w:r>
        <w:rPr>
          <w:rFonts w:ascii="Arial" w:cs="Arial" w:eastAsia="Arial" w:hAnsi="Arial"/>
          <w:sz w:val="22"/>
          <w:szCs w:val="22"/>
          <w:color w:val="auto"/>
        </w:rPr>
        <w:t>” means any guarantee of the Obligations of the Parent under the LC Credit Agreement by any Person in accordance with the provisions of the LC Credit Agreement.</w:t>
      </w:r>
    </w:p>
    <w:p>
      <w:pPr>
        <w:spacing w:after="0" w:line="13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Guarantor</w:t>
      </w:r>
      <w:r>
        <w:rPr>
          <w:rFonts w:ascii="Arial" w:cs="Arial" w:eastAsia="Arial" w:hAnsi="Arial"/>
          <w:sz w:val="22"/>
          <w:szCs w:val="22"/>
          <w:color w:val="auto"/>
        </w:rPr>
        <w:t xml:space="preserve">” means any Person that incurs a LC Facility Guarantee;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release or discharge of such Person from its LC Facility Guarantee in accordance with the LC Credit Agreement, such Person ceases to be a LC Facility Guarantor.</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Secured Parties</w:t>
      </w:r>
      <w:r>
        <w:rPr>
          <w:rFonts w:ascii="Arial" w:cs="Arial" w:eastAsia="Arial" w:hAnsi="Arial"/>
          <w:sz w:val="22"/>
          <w:szCs w:val="22"/>
          <w:color w:val="auto"/>
        </w:rPr>
        <w:t>” means the “Secured Parties” as defined in the LC Credit Agreement.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Lenders</w:t>
      </w:r>
      <w:r>
        <w:rPr>
          <w:rFonts w:ascii="Arial" w:cs="Arial" w:eastAsia="Arial" w:hAnsi="Arial"/>
          <w:sz w:val="22"/>
          <w:szCs w:val="22"/>
          <w:color w:val="auto"/>
        </w:rPr>
        <w:t>” has the meaning set forth in the recitals.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Mortgages</w:t>
      </w:r>
      <w:r>
        <w:rPr>
          <w:rFonts w:ascii="Arial" w:cs="Arial" w:eastAsia="Arial" w:hAnsi="Arial"/>
          <w:sz w:val="22"/>
          <w:szCs w:val="22"/>
          <w:color w:val="auto"/>
        </w:rPr>
        <w:t>” means all “Mortgages” as defined in the LC Credit Agreement.</w:t>
      </w:r>
    </w:p>
    <w:p>
      <w:pPr>
        <w:spacing w:after="0" w:line="19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Obligations</w:t>
      </w:r>
      <w:r>
        <w:rPr>
          <w:rFonts w:ascii="Arial" w:cs="Arial" w:eastAsia="Arial" w:hAnsi="Arial"/>
          <w:sz w:val="19"/>
          <w:szCs w:val="19"/>
          <w:color w:val="auto"/>
        </w:rPr>
        <w:t>” means all “Secured Obligations” (as such term is defined in the LC Credit Agreement) of the LC Borrowers and other obligors under the LC Credit Agreement or any of the other LC Documents, including obligations to pay principal, premiums, if any, and interest, attorneys’ fees, fees, costs, charges, expenses, Letters of Credit (as defined in the LC Credit Agreement) and commissions,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LC Documents and the performance of all other Obligations of the obligors thereunder under the LC Documents, according to the respective terms thereof.</w:t>
      </w:r>
    </w:p>
    <w:p>
      <w:pPr>
        <w:spacing w:after="0" w:line="1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Collateral</w:t>
      </w:r>
      <w:r>
        <w:rPr>
          <w:rFonts w:ascii="Arial" w:cs="Arial" w:eastAsia="Arial" w:hAnsi="Arial"/>
          <w:sz w:val="22"/>
          <w:szCs w:val="22"/>
          <w:color w:val="auto"/>
        </w:rPr>
        <w:t>” means all Collateral (other than Notes Priority Collateral) now owned or at any time hereafter acquired (including, for the avoidance of doubt, any such assets that, but for the application of Section 552 of the Bankruptcy Code (or any provision of any other Debtor Relief Law), would constitute LC Priority Collateral) by any Grantor consisting of (a) all assets securing the LC Obligations on the date hereof immediately prior to giving effect to Amendment No. 1, dated as of August 28, 2020, (b) all assets of Grantors organized in the LC Priority Jurisdictions, and (c) all assets required to be subject of the Lien securing the 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3" w:name="page714"/>
    <w:bookmarkEnd w:id="713"/>
    <w:p>
      <w:pPr>
        <w:spacing w:after="0"/>
        <w:rPr>
          <w:sz w:val="20"/>
          <w:szCs w:val="20"/>
          <w:color w:val="auto"/>
        </w:rPr>
      </w:pPr>
      <w:r>
        <w:rPr>
          <w:rFonts w:ascii="Arial" w:cs="Arial" w:eastAsia="Arial" w:hAnsi="Arial"/>
          <w:sz w:val="22"/>
          <w:szCs w:val="22"/>
          <w:color w:val="auto"/>
        </w:rPr>
        <w:t>Obligations pursuant to the LC Credit Agreement and (d) all products and proceeds of any and all of the foregoing.</w:t>
      </w:r>
    </w:p>
    <w:p>
      <w:pPr>
        <w:spacing w:after="0" w:line="19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Jurisdictions</w:t>
      </w:r>
      <w:r>
        <w:rPr>
          <w:rFonts w:ascii="Arial" w:cs="Arial" w:eastAsia="Arial" w:hAnsi="Arial"/>
          <w:sz w:val="22"/>
          <w:szCs w:val="22"/>
          <w:color w:val="auto"/>
        </w:rPr>
        <w:t>” means the Specified Jurisdictions as defined in the LC Credit Agreement other than the Notes Priority Jurisdictions. .</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Possessory Collateral</w:t>
      </w:r>
      <w:r>
        <w:rPr>
          <w:rFonts w:ascii="Arial" w:cs="Arial" w:eastAsia="Arial" w:hAnsi="Arial"/>
          <w:sz w:val="22"/>
          <w:szCs w:val="22"/>
          <w:color w:val="auto"/>
        </w:rPr>
        <w:t>” means LC Priority Collateral that is Possessory Collateral.</w:t>
      </w:r>
    </w:p>
    <w:p>
      <w:pPr>
        <w:spacing w:after="0" w:line="193"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Secured Parties</w:t>
      </w:r>
      <w:r>
        <w:rPr>
          <w:rFonts w:ascii="Arial" w:cs="Arial" w:eastAsia="Arial" w:hAnsi="Arial"/>
          <w:sz w:val="22"/>
          <w:szCs w:val="22"/>
          <w:color w:val="auto"/>
        </w:rPr>
        <w:t>” means the (a) the LC Collateral Agent (including for avoidance of doubt the LC Australian Collateral Agent), and (b) the LC Facility Secured Parties.</w:t>
      </w:r>
    </w:p>
    <w:p>
      <w:pPr>
        <w:spacing w:after="0" w:line="13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Agreement</w:t>
      </w:r>
      <w:r>
        <w:rPr>
          <w:rFonts w:ascii="Arial" w:cs="Arial" w:eastAsia="Arial" w:hAnsi="Arial"/>
          <w:sz w:val="22"/>
          <w:szCs w:val="22"/>
          <w:color w:val="auto"/>
        </w:rPr>
        <w:t>” means the U.S. Security Agreement, as amended by the Amendment No. 1 to U.S. Security Agreement, dated as of the Amendment No. 1 Effective Date (as such term is defined in the LC Credit Agreement), by and among the Parent, LC Borrowers, each other pledgor party thereto and the LC Collateral Agent, as amended, amended and restated, supplemented or modified from time to time.</w:t>
      </w:r>
    </w:p>
    <w:p>
      <w:pPr>
        <w:spacing w:after="0" w:line="16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Documents</w:t>
      </w:r>
      <w:r>
        <w:rPr>
          <w:rFonts w:ascii="Arial" w:cs="Arial" w:eastAsia="Arial" w:hAnsi="Arial"/>
          <w:sz w:val="22"/>
          <w:szCs w:val="22"/>
          <w:color w:val="auto"/>
        </w:rPr>
        <w:t>” means the LC Security Agreement, the LC Mortgages, the LC Australian Security Documents and any other documents now existing or entered into after the date hereof that create Liens on any assets or properties of any Grantor to secure any LC Obligations.</w:t>
      </w:r>
    </w:p>
    <w:p>
      <w:pPr>
        <w:spacing w:after="0" w:line="14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xml:space="preserve">” means any lien, mortgage, deed of trust, pledge, hypothecation, security interest, charge or encumbrance of any kind, including any conditional sale or other title retention agreement or any lease in the nature thereof or a ‘security interest’ (as defined in section 12 (1) and (2) of the </w:t>
      </w:r>
      <w:r>
        <w:rPr>
          <w:rFonts w:ascii="Arial" w:cs="Arial" w:eastAsia="Arial" w:hAnsi="Arial"/>
          <w:sz w:val="22"/>
          <w:szCs w:val="22"/>
          <w:i w:val="1"/>
          <w:iCs w:val="1"/>
          <w:color w:val="auto"/>
        </w:rPr>
        <w:t>Personal Property Securities Act 2009 (Cth))</w:t>
      </w:r>
      <w:r>
        <w:rPr>
          <w:rFonts w:ascii="Arial" w:cs="Arial" w:eastAsia="Arial" w:hAnsi="Arial"/>
          <w:sz w:val="22"/>
          <w:szCs w:val="22"/>
          <w:color w:val="auto"/>
        </w:rPr>
        <w:t xml:space="preserve"> (whether voluntary or involuntary and whether imposed or created by operation of law or otherwise).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Luxembourg Obligors</w:t>
      </w:r>
      <w:r>
        <w:rPr>
          <w:rFonts w:ascii="Arial" w:cs="Arial" w:eastAsia="Arial" w:hAnsi="Arial"/>
          <w:sz w:val="19"/>
          <w:szCs w:val="19"/>
          <w:color w:val="auto"/>
        </w:rPr>
        <w:t>” means any Grantor organized under the laws of the Grand Duchy of Luxembourg.</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Memorandum</w:t>
      </w:r>
      <w:r>
        <w:rPr>
          <w:rFonts w:ascii="Arial" w:cs="Arial" w:eastAsia="Arial" w:hAnsi="Arial"/>
          <w:sz w:val="22"/>
          <w:szCs w:val="22"/>
          <w:color w:val="auto"/>
        </w:rPr>
        <w:t>” has the meaning set forth in Section 2.02(e).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Mortgages</w:t>
      </w:r>
      <w:r>
        <w:rPr>
          <w:rFonts w:ascii="Arial" w:cs="Arial" w:eastAsia="Arial" w:hAnsi="Arial"/>
          <w:sz w:val="22"/>
          <w:szCs w:val="22"/>
          <w:color w:val="auto"/>
        </w:rPr>
        <w:t>” means the Notes Mortgages and the LC Mortgages.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New York UCC</w:t>
      </w:r>
      <w:r>
        <w:rPr>
          <w:rFonts w:ascii="Arial" w:cs="Arial" w:eastAsia="Arial" w:hAnsi="Arial"/>
          <w:sz w:val="19"/>
          <w:szCs w:val="19"/>
          <w:color w:val="auto"/>
        </w:rPr>
        <w:t>” means the Uniform Commercial Code as from time to time in effect in the State of New York.</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Collateral Agent</w:t>
      </w:r>
      <w:r>
        <w:rPr>
          <w:rFonts w:ascii="Arial" w:cs="Arial" w:eastAsia="Arial" w:hAnsi="Arial"/>
          <w:sz w:val="22"/>
          <w:szCs w:val="22"/>
          <w:color w:val="auto"/>
        </w:rPr>
        <w:t>” has the meaning set forth in the recitals.</w:t>
      </w:r>
    </w:p>
    <w:p>
      <w:pPr>
        <w:spacing w:after="0" w:line="193"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Documents</w:t>
      </w:r>
      <w:r>
        <w:rPr>
          <w:rFonts w:ascii="Arial" w:cs="Arial" w:eastAsia="Arial" w:hAnsi="Arial"/>
          <w:sz w:val="22"/>
          <w:szCs w:val="22"/>
          <w:color w:val="auto"/>
        </w:rPr>
        <w:t>” means the Notes Indenture, the Notes Security Documents and the other “Notes Documents” as defined in the Notes Indenture.</w:t>
      </w:r>
    </w:p>
    <w:p>
      <w:pPr>
        <w:spacing w:after="0" w:line="13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Indenture</w:t>
      </w:r>
      <w:r>
        <w:rPr>
          <w:rFonts w:ascii="Arial" w:cs="Arial" w:eastAsia="Arial" w:hAnsi="Arial"/>
          <w:sz w:val="22"/>
          <w:szCs w:val="22"/>
          <w:color w:val="auto"/>
        </w:rPr>
        <w:t>” means the Existing Notes Indenture, as amended, restated, supplemented, waived, replaced (whether or not upon termination, and whether with the initial purchasers or otherwise), restructured, repaid, refunded, Refinanced or otherwise modified from time to time after the date hereof, in accordance with the terms hereof, including any agreement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4" w:name="page715"/>
    <w:bookmarkEnd w:id="714"/>
    <w:p>
      <w:pPr>
        <w:jc w:val="both"/>
        <w:spacing w:after="0" w:line="261" w:lineRule="auto"/>
        <w:rPr>
          <w:sz w:val="20"/>
          <w:szCs w:val="20"/>
          <w:color w:val="auto"/>
        </w:rPr>
      </w:pPr>
      <w:r>
        <w:rPr>
          <w:rFonts w:ascii="Arial" w:cs="Arial" w:eastAsia="Arial" w:hAnsi="Arial"/>
          <w:sz w:val="22"/>
          <w:szCs w:val="22"/>
          <w:color w:val="auto"/>
        </w:rPr>
        <w:t>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“Notes Indenture”).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Issuer</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Mortgages</w:t>
      </w:r>
      <w:r>
        <w:rPr>
          <w:rFonts w:ascii="Arial" w:cs="Arial" w:eastAsia="Arial" w:hAnsi="Arial"/>
          <w:sz w:val="22"/>
          <w:szCs w:val="22"/>
          <w:color w:val="auto"/>
        </w:rPr>
        <w:t>” means all “Mortgages” as defined in the Notes Indenture.</w:t>
      </w:r>
    </w:p>
    <w:p>
      <w:pPr>
        <w:spacing w:after="0" w:line="19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Notes Obligations</w:t>
      </w:r>
      <w:r>
        <w:rPr>
          <w:rFonts w:ascii="Arial" w:cs="Arial" w:eastAsia="Arial" w:hAnsi="Arial"/>
          <w:sz w:val="19"/>
          <w:szCs w:val="19"/>
          <w:color w:val="auto"/>
        </w:rPr>
        <w:t>” means all “Indenture Obligations” (as such term is defined in the Notes Indenture) of the Notes Parties (as defined in the Notes Indenture) under the Notes Indenture or any of the other Notes Documents, including obligations to pay principal, premiums, if any, interest, attorneys fees, fees, costs, charges, expenses, commissions, fees and charges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Notes Documents and the performance of all other Obligations of the obligors thereunder to the holders, the Notes Trustee, the Notes Collateral Agent, any other trustees and agents under the Notes Documents according to the respective terms thereof.</w:t>
      </w:r>
    </w:p>
    <w:p>
      <w:pPr>
        <w:spacing w:after="0" w:line="114"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Notes Priority Collateral</w:t>
      </w:r>
      <w:r>
        <w:rPr>
          <w:rFonts w:ascii="Arial" w:cs="Arial" w:eastAsia="Arial" w:hAnsi="Arial"/>
          <w:sz w:val="19"/>
          <w:szCs w:val="19"/>
          <w:color w:val="auto"/>
        </w:rPr>
        <w:t>” means all Collateral now owned or at any time hereafter acquired (including, for the avoidance of doubt, any such assets that, but for the application of Section 552 of the Bankruptcy Code (or any provision of any other Debtor Relief Law), would constitute Notes Priority Collateral) by (i) any Grantor (x) formed in Notes Priority Jurisdictions or (y) consisting of Capital Stock of Subsidiaries that are formed or located in the Cayman Islands, China, Cyprus, Qatar, Romania, Russia or the United Arab Emirates, other than to the extent such Subsidiary is a direct or indirect owner of a majority of Capital Stock in an LC Facility Guarantor or such Subsidiary becomes an LC Facility Guarantor as contemplated under the LC Credit Agreement as in effect on the date hereof, and (ii) all products and proceeds of any the foregoing; provided that, for the avoidance of doubt, in no event shall Notes Priority Collateral include (x) any assets securing the LC Obligations on the date hereof immediately prior to giving effect to Amendment No. 1 to the LC Credit Agreement dated as of August 28, 2020 and (y) any assets required to be subject of the Lien securing the LC Obligations pursuant to the LC Credit Agreement on the date hereof immediately prior to giving effect to Amendment No. 1 to the LC Credit Agreement dated as of August 28, 2020.</w:t>
      </w:r>
    </w:p>
    <w:p>
      <w:pPr>
        <w:spacing w:after="0" w:line="135"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Priority Jurisdictions</w:t>
      </w:r>
      <w:r>
        <w:rPr>
          <w:rFonts w:ascii="Arial" w:cs="Arial" w:eastAsia="Arial" w:hAnsi="Arial"/>
          <w:sz w:val="22"/>
          <w:szCs w:val="22"/>
          <w:i w:val="1"/>
          <w:iCs w:val="1"/>
          <w:color w:val="auto"/>
        </w:rPr>
        <w:t>”</w:t>
      </w:r>
      <w:r>
        <w:rPr>
          <w:rFonts w:ascii="Arial" w:cs="Arial" w:eastAsia="Arial" w:hAnsi="Arial"/>
          <w:sz w:val="22"/>
          <w:szCs w:val="22"/>
          <w:color w:val="auto"/>
        </w:rPr>
        <w:t xml:space="preserve"> means Mexico, Brazil and any other jurisdictions agreed upon by the Required Lenders under, and as defined in, the LC Credit Agreement.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1"/>
          <w:szCs w:val="21"/>
          <w:b w:val="1"/>
          <w:bCs w:val="1"/>
          <w:i w:val="1"/>
          <w:iCs w:val="1"/>
          <w:color w:val="auto"/>
        </w:rPr>
        <w:t>“Notes Priority Possessory Collateral</w:t>
      </w:r>
      <w:r>
        <w:rPr>
          <w:rFonts w:ascii="Arial" w:cs="Arial" w:eastAsia="Arial" w:hAnsi="Arial"/>
          <w:sz w:val="21"/>
          <w:szCs w:val="21"/>
          <w:color w:val="auto"/>
        </w:rPr>
        <w:t>” means Notes Priority Collateral that is Possessory Collateral.</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Secured Parties</w:t>
      </w:r>
      <w:r>
        <w:rPr>
          <w:rFonts w:ascii="Arial" w:cs="Arial" w:eastAsia="Arial" w:hAnsi="Arial"/>
          <w:sz w:val="22"/>
          <w:szCs w:val="22"/>
          <w:color w:val="auto"/>
        </w:rPr>
        <w:t>” means the “Secured Parties” as defined in the Notes Indenture.</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5" w:name="page716"/>
    <w:bookmarkEnd w:id="715"/>
    <w:p>
      <w:pPr>
        <w:jc w:val="both"/>
        <w:ind w:right="20"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Security Agreement</w:t>
      </w:r>
      <w:r>
        <w:rPr>
          <w:rFonts w:ascii="Arial" w:cs="Arial" w:eastAsia="Arial" w:hAnsi="Arial"/>
          <w:sz w:val="22"/>
          <w:szCs w:val="22"/>
          <w:i w:val="1"/>
          <w:iCs w:val="1"/>
          <w:color w:val="auto"/>
        </w:rPr>
        <w:t>”</w:t>
      </w:r>
      <w:r>
        <w:rPr>
          <w:rFonts w:ascii="Arial" w:cs="Arial" w:eastAsia="Arial" w:hAnsi="Arial"/>
          <w:sz w:val="22"/>
          <w:szCs w:val="22"/>
          <w:color w:val="auto"/>
        </w:rPr>
        <w:t xml:space="preserve"> means the Security Agreement (as such term in defined in the Notes Indenture), dated as of the date hereof, by and among WIL-Bermuda and the Notes Collateral Agent, as amended, amended and restated, supplemented or modified from time to time.</w:t>
      </w:r>
    </w:p>
    <w:p>
      <w:pPr>
        <w:spacing w:after="0" w:line="14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Security Documents</w:t>
      </w:r>
      <w:r>
        <w:rPr>
          <w:rFonts w:ascii="Arial" w:cs="Arial" w:eastAsia="Arial" w:hAnsi="Arial"/>
          <w:sz w:val="22"/>
          <w:szCs w:val="22"/>
          <w:color w:val="auto"/>
        </w:rPr>
        <w:t>” means the Notes Security Agreement, the Notes Mortgages and any other documents now existing or entered into after the date hereof that create or purport to create Liens on any assets or properties of any Grantor to secure any Notes Obligations.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Trustee</w:t>
      </w:r>
      <w:r>
        <w:rPr>
          <w:rFonts w:ascii="Arial" w:cs="Arial" w:eastAsia="Arial" w:hAnsi="Arial"/>
          <w:sz w:val="22"/>
          <w:szCs w:val="22"/>
          <w:color w:val="auto"/>
        </w:rPr>
        <w:t>” has the meaning set forth in the recitals.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Obligations</w:t>
      </w:r>
      <w:r>
        <w:rPr>
          <w:rFonts w:ascii="Arial" w:cs="Arial" w:eastAsia="Arial" w:hAnsi="Arial"/>
          <w:sz w:val="22"/>
          <w:szCs w:val="22"/>
          <w:color w:val="auto"/>
        </w:rPr>
        <w:t>” means the Notes Obligations and the LC Obligations.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Discretion</w:t>
      </w:r>
      <w:r>
        <w:rPr>
          <w:rFonts w:ascii="Arial" w:cs="Arial" w:eastAsia="Arial" w:hAnsi="Arial"/>
          <w:sz w:val="22"/>
          <w:szCs w:val="22"/>
          <w:color w:val="auto"/>
        </w:rPr>
        <w:t>” means a determination made in the exercise of good faith and reasonable credit judgment (from the perspective of a secured lender).</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Remedies</w:t>
      </w:r>
      <w:r>
        <w:rPr>
          <w:rFonts w:ascii="Arial" w:cs="Arial" w:eastAsia="Arial" w:hAnsi="Arial"/>
          <w:sz w:val="22"/>
          <w:szCs w:val="22"/>
          <w:color w:val="auto"/>
        </w:rPr>
        <w:t>” means, with respect to any Junior Secured Obligations:</w:t>
      </w:r>
    </w:p>
    <w:p>
      <w:pPr>
        <w:spacing w:after="0" w:line="193" w:lineRule="exact"/>
        <w:rPr>
          <w:sz w:val="20"/>
          <w:szCs w:val="20"/>
          <w:color w:val="auto"/>
        </w:rPr>
      </w:pPr>
    </w:p>
    <w:p>
      <w:pPr>
        <w:ind w:firstLine="1304"/>
        <w:spacing w:after="0" w:line="276" w:lineRule="auto"/>
        <w:tabs>
          <w:tab w:leader="none" w:pos="2400" w:val="left"/>
        </w:tabs>
        <w:numPr>
          <w:ilvl w:val="0"/>
          <w:numId w:val="857"/>
        </w:numPr>
        <w:rPr>
          <w:rFonts w:ascii="Arial" w:cs="Arial" w:eastAsia="Arial" w:hAnsi="Arial"/>
          <w:sz w:val="22"/>
          <w:szCs w:val="22"/>
          <w:color w:val="auto"/>
        </w:rPr>
      </w:pPr>
      <w:r>
        <w:rPr>
          <w:rFonts w:ascii="Arial" w:cs="Arial" w:eastAsia="Arial" w:hAnsi="Arial"/>
          <w:sz w:val="22"/>
          <w:szCs w:val="22"/>
          <w:color w:val="auto"/>
        </w:rPr>
        <w:t xml:space="preserve">filing a proof of claim or statement of interest with respect to such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Insolvency or Liquidation Proceeding has been commenced by or against any Grantor;</w:t>
      </w:r>
    </w:p>
    <w:p>
      <w:pPr>
        <w:spacing w:after="0" w:line="147"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857"/>
        </w:numPr>
        <w:rPr>
          <w:rFonts w:ascii="Arial" w:cs="Arial" w:eastAsia="Arial" w:hAnsi="Arial"/>
          <w:sz w:val="22"/>
          <w:szCs w:val="22"/>
          <w:color w:val="auto"/>
        </w:rPr>
      </w:pPr>
      <w:r>
        <w:rPr>
          <w:rFonts w:ascii="Arial" w:cs="Arial" w:eastAsia="Arial" w:hAnsi="Arial"/>
          <w:sz w:val="22"/>
          <w:szCs w:val="22"/>
          <w:color w:val="auto"/>
        </w:rPr>
        <w:t>taking any action (not adverse to the Liens securing Senior Secured Obligations, the priority status thereof, or the rights of the Applicable Senior Collateral Agent or any of the Senior Secured Obligations Secured Parties to exercise rights, powers and/or remedies in respect thereof) in order to create, perfect, preserve or protect (but not enforce) its Lien on any of the Collateral;</w:t>
      </w:r>
    </w:p>
    <w:p>
      <w:pPr>
        <w:spacing w:after="0" w:line="150" w:lineRule="exact"/>
        <w:rPr>
          <w:rFonts w:ascii="Arial" w:cs="Arial" w:eastAsia="Arial" w:hAnsi="Arial"/>
          <w:sz w:val="22"/>
          <w:szCs w:val="22"/>
          <w:color w:val="auto"/>
        </w:rPr>
      </w:pPr>
    </w:p>
    <w:p>
      <w:pPr>
        <w:jc w:val="both"/>
        <w:ind w:firstLine="1304"/>
        <w:spacing w:after="0" w:line="262" w:lineRule="auto"/>
        <w:tabs>
          <w:tab w:leader="none" w:pos="2278" w:val="left"/>
        </w:tabs>
        <w:numPr>
          <w:ilvl w:val="0"/>
          <w:numId w:val="857"/>
        </w:numPr>
        <w:rPr>
          <w:rFonts w:ascii="Arial" w:cs="Arial" w:eastAsia="Arial" w:hAnsi="Arial"/>
          <w:sz w:val="22"/>
          <w:szCs w:val="22"/>
          <w:color w:val="auto"/>
        </w:rPr>
      </w:pPr>
      <w:r>
        <w:rPr>
          <w:rFonts w:ascii="Arial" w:cs="Arial" w:eastAsia="Arial" w:hAnsi="Arial"/>
          <w:sz w:val="22"/>
          <w:szCs w:val="22"/>
          <w:color w:val="auto"/>
        </w:rPr>
        <w:t>filing any necessary responsive or defensive pleadings in opposition to any motion, claim, adversary proceeding or other pleading made by any person objecting to or otherwise seeking the disallowance of the claims of the Junior Secured Obligations Secured Parties, including any claims secured by the Junior Secured Obligations Collateral, in each case in accordance with the terms of this Agreement;</w:t>
      </w:r>
    </w:p>
    <w:p>
      <w:pPr>
        <w:spacing w:after="0" w:line="150"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857"/>
        </w:numPr>
        <w:rPr>
          <w:rFonts w:ascii="Arial" w:cs="Arial" w:eastAsia="Arial" w:hAnsi="Arial"/>
          <w:sz w:val="22"/>
          <w:szCs w:val="22"/>
          <w:color w:val="auto"/>
        </w:rPr>
      </w:pPr>
      <w:r>
        <w:rPr>
          <w:rFonts w:ascii="Arial" w:cs="Arial" w:eastAsia="Arial" w:hAnsi="Arial"/>
          <w:sz w:val="22"/>
          <w:szCs w:val="22"/>
          <w:color w:val="auto"/>
        </w:rPr>
        <w:t>filing any pleadings, objections, motions or agreements which assert rights or interests available to unsecured creditors of the Grantors arising under either any Insolvency or Liquidation Proceeding or applicable non-bankruptcy law, in each case in accordance with the terms of this Agreement or applicable law (including the bankruptcy laws of any applicable jurisdiction);</w:t>
      </w:r>
    </w:p>
    <w:p>
      <w:pPr>
        <w:spacing w:after="0" w:line="164" w:lineRule="exact"/>
        <w:rPr>
          <w:rFonts w:ascii="Arial" w:cs="Arial" w:eastAsia="Arial" w:hAnsi="Arial"/>
          <w:sz w:val="22"/>
          <w:szCs w:val="22"/>
          <w:color w:val="auto"/>
        </w:rPr>
      </w:pPr>
    </w:p>
    <w:p>
      <w:pPr>
        <w:jc w:val="both"/>
        <w:ind w:firstLine="1304"/>
        <w:spacing w:after="0" w:line="279" w:lineRule="auto"/>
        <w:tabs>
          <w:tab w:leader="none" w:pos="2211" w:val="left"/>
        </w:tabs>
        <w:numPr>
          <w:ilvl w:val="0"/>
          <w:numId w:val="857"/>
        </w:numPr>
        <w:rPr>
          <w:rFonts w:ascii="Arial" w:cs="Arial" w:eastAsia="Arial" w:hAnsi="Arial"/>
          <w:sz w:val="21"/>
          <w:szCs w:val="21"/>
          <w:color w:val="auto"/>
        </w:rPr>
      </w:pPr>
      <w:r>
        <w:rPr>
          <w:rFonts w:ascii="Arial" w:cs="Arial" w:eastAsia="Arial" w:hAnsi="Arial"/>
          <w:sz w:val="21"/>
          <w:szCs w:val="21"/>
          <w:color w:val="auto"/>
        </w:rPr>
        <w:t>join (but not exercise any control with respect to) any judicial foreclosure proceeding or other judicial lien enforcement proceeding with respect to the Senior Secured Obligations Collateral of the Senior Collateral Agent initiated by such Senior Collateral Agent to the extent that any such action could not reasonably be expected, in any material respect, to restrain, hinder, limit, delay for any material period or otherwise interfere with an enforcement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6" w:name="page717"/>
    <w:bookmarkEnd w:id="716"/>
    <w:p>
      <w:pPr>
        <w:jc w:val="both"/>
        <w:spacing w:after="0" w:line="266" w:lineRule="auto"/>
        <w:rPr>
          <w:sz w:val="20"/>
          <w:szCs w:val="20"/>
          <w:color w:val="auto"/>
        </w:rPr>
      </w:pPr>
      <w:r>
        <w:rPr>
          <w:rFonts w:ascii="Arial" w:cs="Arial" w:eastAsia="Arial" w:hAnsi="Arial"/>
          <w:sz w:val="22"/>
          <w:szCs w:val="22"/>
          <w:color w:val="auto"/>
        </w:rPr>
        <w:t>action by such Senior Collateral Agent (it being understood that neither the Junior Collateral Agent nor any Junior Secured Obligations Secured Parties shall be entitled to receive any proceeds from the Senior Secured Obligations Collateral unless otherwise expressly permitted herein);</w:t>
      </w:r>
    </w:p>
    <w:p>
      <w:pPr>
        <w:spacing w:after="0" w:line="144" w:lineRule="exact"/>
        <w:rPr>
          <w:sz w:val="20"/>
          <w:szCs w:val="20"/>
          <w:color w:val="auto"/>
        </w:rPr>
      </w:pPr>
    </w:p>
    <w:p>
      <w:pPr>
        <w:jc w:val="both"/>
        <w:ind w:firstLine="1304"/>
        <w:spacing w:after="0" w:line="327" w:lineRule="auto"/>
        <w:tabs>
          <w:tab w:leader="none" w:pos="2052" w:val="left"/>
        </w:tabs>
        <w:numPr>
          <w:ilvl w:val="0"/>
          <w:numId w:val="85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2.04(a)(iii)</w:t>
      </w:r>
      <w:r>
        <w:rPr>
          <w:rFonts w:ascii="Arial" w:cs="Arial" w:eastAsia="Arial" w:hAnsi="Arial"/>
          <w:sz w:val="19"/>
          <w:szCs w:val="19"/>
          <w:color w:val="auto"/>
        </w:rPr>
        <w:t>, inspect, appraise or value the Collateral (and to engage or retain investment bankers or appraisers for the purposes of appraising or valuing the Collateral) or to receive information or reports concerning the Collateral, in each case pursuant to the terms of the Notes Documents or LC Documents, as applicable, or applicable law;</w:t>
      </w:r>
    </w:p>
    <w:p>
      <w:pPr>
        <w:spacing w:after="0" w:line="105" w:lineRule="exact"/>
        <w:rPr>
          <w:rFonts w:ascii="Arial" w:cs="Arial" w:eastAsia="Arial" w:hAnsi="Arial"/>
          <w:sz w:val="19"/>
          <w:szCs w:val="19"/>
          <w:color w:val="auto"/>
        </w:rPr>
      </w:pPr>
    </w:p>
    <w:p>
      <w:pPr>
        <w:jc w:val="both"/>
        <w:ind w:firstLine="1304"/>
        <w:spacing w:after="0" w:line="260" w:lineRule="auto"/>
        <w:tabs>
          <w:tab w:leader="none" w:pos="2101" w:val="left"/>
        </w:tabs>
        <w:numPr>
          <w:ilvl w:val="0"/>
          <w:numId w:val="85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2.04(a)(iii)</w:t>
      </w:r>
      <w:r>
        <w:rPr>
          <w:rFonts w:ascii="Arial" w:cs="Arial" w:eastAsia="Arial" w:hAnsi="Arial"/>
          <w:sz w:val="22"/>
          <w:szCs w:val="22"/>
          <w:color w:val="auto"/>
        </w:rPr>
        <w:t xml:space="preserve">, take any action to seek and obtain specific performance or injunctive relief to compel a Grantor to comply with (or not to violate or breach) an obligation under the Notes Documents or LC Documents,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action does not include any action by a Junior Secured Obligations Secured Party to seek specific performance or injunctive relief against any Senior Secured Obligations Secured Party or the sale or disposition of any such Senior Secured Obligations Secured Party’s Senior Secured Obligations Collateral in contravention of the other provisions of this Agreement;</w:t>
      </w:r>
    </w:p>
    <w:p>
      <w:pPr>
        <w:spacing w:after="0" w:line="151" w:lineRule="exact"/>
        <w:rPr>
          <w:rFonts w:ascii="Arial" w:cs="Arial" w:eastAsia="Arial" w:hAnsi="Arial"/>
          <w:sz w:val="22"/>
          <w:szCs w:val="22"/>
          <w:color w:val="auto"/>
        </w:rPr>
      </w:pPr>
    </w:p>
    <w:p>
      <w:pPr>
        <w:jc w:val="both"/>
        <w:ind w:firstLine="1304"/>
        <w:spacing w:after="0" w:line="274" w:lineRule="auto"/>
        <w:tabs>
          <w:tab w:leader="none" w:pos="2209" w:val="left"/>
        </w:tabs>
        <w:numPr>
          <w:ilvl w:val="0"/>
          <w:numId w:val="858"/>
        </w:numPr>
        <w:rPr>
          <w:rFonts w:ascii="Arial" w:cs="Arial" w:eastAsia="Arial" w:hAnsi="Arial"/>
          <w:sz w:val="21"/>
          <w:szCs w:val="21"/>
          <w:color w:val="auto"/>
        </w:rPr>
      </w:pPr>
      <w:r>
        <w:rPr>
          <w:rFonts w:ascii="Arial" w:cs="Arial" w:eastAsia="Arial" w:hAnsi="Arial"/>
          <w:sz w:val="21"/>
          <w:szCs w:val="21"/>
          <w:color w:val="auto"/>
        </w:rPr>
        <w:t xml:space="preserve">make a cash or, if allowed pursuant to applicable law, credit bid for Collateral at any public or private sale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Secured Party does not challenge the bid of any Senior Secured Obligations Secured Party for its Senior Secured Obligations Collateral or otherwise bid for any Senior Secured Obligations Collateral other than by a bid that provides for the Discharge of the Senior Secured Obligations, and (ii) each Senior Secured Obligations Secured Party may, subject to the terms of its Senior Secured Obligations Collateral Documents, offset its Senior Secured Obligations against the purchase price for the Senior Secured Obligations Collateral; and</w:t>
      </w:r>
    </w:p>
    <w:p>
      <w:pPr>
        <w:spacing w:after="0" w:line="141" w:lineRule="exact"/>
        <w:rPr>
          <w:rFonts w:ascii="Arial" w:cs="Arial" w:eastAsia="Arial" w:hAnsi="Arial"/>
          <w:sz w:val="21"/>
          <w:szCs w:val="21"/>
          <w:color w:val="auto"/>
        </w:rPr>
      </w:pPr>
    </w:p>
    <w:p>
      <w:pPr>
        <w:jc w:val="both"/>
        <w:ind w:firstLine="1304"/>
        <w:spacing w:after="0" w:line="262" w:lineRule="auto"/>
        <w:tabs>
          <w:tab w:leader="none" w:pos="2148" w:val="left"/>
        </w:tabs>
        <w:numPr>
          <w:ilvl w:val="0"/>
          <w:numId w:val="858"/>
        </w:numPr>
        <w:rPr>
          <w:rFonts w:ascii="Arial" w:cs="Arial" w:eastAsia="Arial" w:hAnsi="Arial"/>
          <w:sz w:val="22"/>
          <w:szCs w:val="22"/>
          <w:color w:val="auto"/>
        </w:rPr>
      </w:pPr>
      <w:r>
        <w:rPr>
          <w:rFonts w:ascii="Arial" w:cs="Arial" w:eastAsia="Arial" w:hAnsi="Arial"/>
          <w:sz w:val="22"/>
          <w:szCs w:val="22"/>
          <w:color w:val="auto"/>
        </w:rPr>
        <w:t>in any Insolvency or Liquidation Proceeding, (i) voting on any Plan of Reorganization to the extent not otherwise prohibited by the terms hereof, (ii) filing any proof of claim and (iii) making other filings and motions and making any arguments in connection therewith (including in support of or opposition to, as applicable, the confirmation or approval of any Plan of Reorganization) that comply with the terms of this Agreement.</w:t>
      </w:r>
    </w:p>
    <w:p>
      <w:pPr>
        <w:spacing w:after="0" w:line="16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business trust, joint venture, association, company, partnership, limited liability partnership, limited liability company or government, individual or family trusts or any agency or political subdivision thereof.</w:t>
      </w:r>
    </w:p>
    <w:p>
      <w:pPr>
        <w:spacing w:after="0" w:line="14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Reorganization</w:t>
      </w:r>
      <w:r>
        <w:rPr>
          <w:rFonts w:ascii="Arial" w:cs="Arial" w:eastAsia="Arial" w:hAnsi="Arial"/>
          <w:sz w:val="22"/>
          <w:szCs w:val="22"/>
          <w:color w:val="auto"/>
        </w:rPr>
        <w:t>” means any plan of reorganization, scheme of arrangement, plan of arrangement or compromise, proposal, plan of liquidation, agreement for composition or other type of plan, proposal or arrangement proposed in or in connection with any Insolvency or Liquidation Proceeding.</w:t>
      </w:r>
    </w:p>
    <w:p>
      <w:pPr>
        <w:spacing w:after="0" w:line="14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Possessory Collateral</w:t>
      </w:r>
      <w:r>
        <w:rPr>
          <w:rFonts w:ascii="Arial" w:cs="Arial" w:eastAsia="Arial" w:hAnsi="Arial"/>
          <w:sz w:val="22"/>
          <w:szCs w:val="22"/>
          <w:color w:val="auto"/>
        </w:rPr>
        <w:t>” means the Collateral in the possession or control of any Collateral Agent (or its agents or bailees), to the extent that possession or control thereof (a) perfects a Lien thereon under the Uniform Commercial Code or (b) provides a substantially similar legal effects as “perfection” under the Uniform Commercial Code under other applicable legislation of any jurisdiction. Possessory Collateral includes, without limitation, any Certificated Securities, Promissory Notes, Instruments and Chattel Paper, in each case, delivered to or in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7" w:name="page718"/>
    <w:bookmarkEnd w:id="717"/>
    <w:p>
      <w:pPr>
        <w:jc w:val="both"/>
        <w:spacing w:after="0" w:line="266" w:lineRule="auto"/>
        <w:rPr>
          <w:sz w:val="20"/>
          <w:szCs w:val="20"/>
          <w:color w:val="auto"/>
        </w:rPr>
      </w:pPr>
      <w:r>
        <w:rPr>
          <w:rFonts w:ascii="Arial" w:cs="Arial" w:eastAsia="Arial" w:hAnsi="Arial"/>
          <w:sz w:val="22"/>
          <w:szCs w:val="22"/>
          <w:color w:val="auto"/>
        </w:rPr>
        <w:t>possession of any Collateral Agent under the terms of the Notes Security Documents or the LC Security Documents. All capitalized terms used in this definition and not defined elsewhere in this Agreement have the meanings assigned to them in the New York UCC.</w:t>
      </w:r>
    </w:p>
    <w:p>
      <w:pPr>
        <w:spacing w:after="0" w:line="14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Possessory Collateral Agent</w:t>
      </w:r>
      <w:r>
        <w:rPr>
          <w:rFonts w:ascii="Arial" w:cs="Arial" w:eastAsia="Arial" w:hAnsi="Arial"/>
          <w:sz w:val="22"/>
          <w:szCs w:val="22"/>
          <w:color w:val="auto"/>
        </w:rPr>
        <w:t>” means, with respect to any Possessory Collateral, the Collateral Agent having possession or control (including through its agents or bailees) of same.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Preceding Foreign Collateral Agent</w:t>
      </w:r>
      <w:r>
        <w:rPr>
          <w:rFonts w:ascii="Arial" w:cs="Arial" w:eastAsia="Arial" w:hAnsi="Arial"/>
          <w:sz w:val="22"/>
          <w:szCs w:val="22"/>
          <w:color w:val="auto"/>
        </w:rPr>
        <w:t>” means Wells Fargo Bank, National Association.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Proceeds</w:t>
      </w:r>
      <w:r>
        <w:rPr>
          <w:rFonts w:ascii="Arial" w:cs="Arial" w:eastAsia="Arial" w:hAnsi="Arial"/>
          <w:sz w:val="22"/>
          <w:szCs w:val="22"/>
          <w:color w:val="auto"/>
        </w:rPr>
        <w:t>” has the meaning set forth in Section 2.01(a).</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Option Event</w:t>
      </w:r>
      <w:r>
        <w:rPr>
          <w:rFonts w:ascii="Arial" w:cs="Arial" w:eastAsia="Arial" w:hAnsi="Arial"/>
          <w:sz w:val="22"/>
          <w:szCs w:val="22"/>
          <w:color w:val="auto"/>
        </w:rPr>
        <w:t>” has the meaning set forth in Section 7.19(a).</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has the meaning set forth in Section 7.19(b).</w:t>
      </w:r>
    </w:p>
    <w:p>
      <w:pPr>
        <w:spacing w:after="0" w:line="193"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 Estate Asset</w:t>
      </w:r>
      <w:r>
        <w:rPr>
          <w:rFonts w:ascii="Arial" w:cs="Arial" w:eastAsia="Arial" w:hAnsi="Arial"/>
          <w:sz w:val="19"/>
          <w:szCs w:val="19"/>
          <w:color w:val="auto"/>
        </w:rPr>
        <w:t>” means, at any time of determination, any interest (fee, leasehold or otherwise) then owned by any Grantor in any real property that does not constitute Excluded Assets (as defined in the LC Credit Agreement).</w:t>
      </w:r>
    </w:p>
    <w:p>
      <w:pPr>
        <w:spacing w:after="0" w:line="6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Refinance</w:t>
      </w:r>
      <w:r>
        <w:rPr>
          <w:rFonts w:ascii="Arial" w:cs="Arial" w:eastAsia="Arial" w:hAnsi="Arial"/>
          <w:sz w:val="19"/>
          <w:szCs w:val="19"/>
          <w:color w:val="auto"/>
        </w:rPr>
        <w:t>” means to amend, restate, supplement, waive, replace (whether or not upon termination, and whether with the original parties or otherwise), restructure, repay, refund, refinance or otherwise modify from time to time (including by means of any agreement or indenture extending the maturity thereof, refinancing, replacing or otherwise restructuring all or any portion of the obligations under such agreement or agreements or indentures or any successor or replacement agreement or agreements or indentures or increasing the amount loaned or issued thereunder or altering the maturity thereof). “</w:t>
      </w:r>
      <w:r>
        <w:rPr>
          <w:rFonts w:ascii="Arial" w:cs="Arial" w:eastAsia="Arial" w:hAnsi="Arial"/>
          <w:sz w:val="19"/>
          <w:szCs w:val="19"/>
          <w:b w:val="1"/>
          <w:bCs w:val="1"/>
          <w:i w:val="1"/>
          <w:iCs w:val="1"/>
          <w:color w:val="auto"/>
        </w:rPr>
        <w:t>Refinanced</w:t>
      </w:r>
      <w:r>
        <w:rPr>
          <w:rFonts w:ascii="Arial" w:cs="Arial" w:eastAsia="Arial" w:hAnsi="Arial"/>
          <w:sz w:val="19"/>
          <w:szCs w:val="19"/>
          <w:color w:val="auto"/>
        </w:rPr>
        <w:t>” and “</w:t>
      </w:r>
      <w:r>
        <w:rPr>
          <w:rFonts w:ascii="Arial" w:cs="Arial" w:eastAsia="Arial" w:hAnsi="Arial"/>
          <w:sz w:val="19"/>
          <w:szCs w:val="19"/>
          <w:b w:val="1"/>
          <w:bCs w:val="1"/>
          <w:i w:val="1"/>
          <w:iCs w:val="1"/>
          <w:color w:val="auto"/>
        </w:rPr>
        <w:t>Refinancing</w:t>
      </w:r>
      <w:r>
        <w:rPr>
          <w:rFonts w:ascii="Arial" w:cs="Arial" w:eastAsia="Arial" w:hAnsi="Arial"/>
          <w:sz w:val="19"/>
          <w:szCs w:val="19"/>
          <w:color w:val="auto"/>
        </w:rPr>
        <w:t xml:space="preserve">” shall have correlative meanings;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that any of the foregoing that increases the principal amount of Senior Claims with respect to any Collateral shall be effective for purposes hereof only if such increase does not contravene the documents pursuant to which any Junior Claims with respect to such Collateral have been incurred, all as in effect on the date hereof or as may be amended in accordance with the terms hereof.</w:t>
      </w:r>
    </w:p>
    <w:p>
      <w:pPr>
        <w:spacing w:after="0" w:line="128"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6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means (a) in the case of any Notes Obligations, the Notes Collateral Agent and (b) in the case of any LC Obligations, the LC Collateral Agent.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Secured Parties</w:t>
      </w:r>
      <w:r>
        <w:rPr>
          <w:rFonts w:ascii="Arial" w:cs="Arial" w:eastAsia="Arial" w:hAnsi="Arial"/>
          <w:sz w:val="22"/>
          <w:szCs w:val="22"/>
          <w:color w:val="auto"/>
        </w:rPr>
        <w:t>” means (a) the Notes Secured Parties and (b) the LC Secured Parties.</w:t>
      </w:r>
    </w:p>
    <w:p>
      <w:pPr>
        <w:spacing w:after="0" w:line="20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Senior Claims</w:t>
      </w:r>
      <w:r>
        <w:rPr>
          <w:rFonts w:ascii="Arial" w:cs="Arial" w:eastAsia="Arial" w:hAnsi="Arial"/>
          <w:sz w:val="21"/>
          <w:szCs w:val="21"/>
          <w:color w:val="auto"/>
        </w:rPr>
        <w:t>” means (a) with respect to the Notes Priority Collateral, the Notes Obligations secured by such Collateral and (b) with respect to the LC Priority Collateral, the LC Obligations secured by such Collateral.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8" w:name="page719"/>
    <w:bookmarkEnd w:id="718"/>
    <w:p>
      <w:pPr>
        <w:ind w:left="1300"/>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Collateral Agent</w:t>
      </w:r>
      <w:r>
        <w:rPr>
          <w:rFonts w:ascii="Arial" w:cs="Arial" w:eastAsia="Arial" w:hAnsi="Arial"/>
          <w:sz w:val="22"/>
          <w:szCs w:val="22"/>
          <w:color w:val="auto"/>
        </w:rPr>
        <w:t>” means (a) with respect to the LC Priority Collateral, the LC Collateral Agent and (b) with respect to the Notes Priority Collateral, the Notes Collateral Agent.</w:t>
      </w:r>
    </w:p>
    <w:p>
      <w:pPr>
        <w:spacing w:after="0" w:line="13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Representative</w:t>
      </w:r>
      <w:r>
        <w:rPr>
          <w:rFonts w:ascii="Arial" w:cs="Arial" w:eastAsia="Arial" w:hAnsi="Arial"/>
          <w:sz w:val="22"/>
          <w:szCs w:val="22"/>
          <w:color w:val="auto"/>
        </w:rPr>
        <w:t>” means (a) with respect to the LC Priority Collateral, the LC Collateral Agent and (b) with respect to the Notes Priority Collateral, the Notes Collateral Agent.</w:t>
      </w:r>
    </w:p>
    <w:p>
      <w:pPr>
        <w:spacing w:after="0" w:line="14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w:t>
      </w:r>
      <w:r>
        <w:rPr>
          <w:rFonts w:ascii="Arial" w:cs="Arial" w:eastAsia="Arial" w:hAnsi="Arial"/>
          <w:sz w:val="22"/>
          <w:szCs w:val="22"/>
          <w:color w:val="auto"/>
        </w:rPr>
        <w:t>” means (a) with respect to the Notes Obligations (to the extent such Obligations are secured by the LC Priority Collateral), the LC Obligations, and (b) with respect to the LC Obligations (to the extent such Obligations are secured by the Notes Priority Collateral), the Notes Obligations; the LC Obligations shall, collectively, constitute one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 and the Notes Obligations shall constitute a separate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w:t>
      </w:r>
    </w:p>
    <w:p>
      <w:pPr>
        <w:spacing w:after="0" w:line="15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w:t>
      </w:r>
      <w:r>
        <w:rPr>
          <w:rFonts w:ascii="Arial" w:cs="Arial" w:eastAsia="Arial" w:hAnsi="Arial"/>
          <w:sz w:val="22"/>
          <w:szCs w:val="22"/>
          <w:color w:val="auto"/>
        </w:rPr>
        <w:t>” means, with respect to any Obligations, the Collateral in respect of which such Obligations constitute Senior Claims. For the avoidance of doubt, notwithstanding the Foreign Collateral Agent holding any Liens on Foreign Collateral for the benefit of the Secured Parties, subject to Article VI, Foreign Collateral shall not be treated differently from other Collateral when determining whether such Collateral or its proceeds are Senior Secured Obligations Collateral.</w:t>
      </w:r>
    </w:p>
    <w:p>
      <w:pPr>
        <w:spacing w:after="0" w:line="15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 Documents</w:t>
      </w:r>
      <w:r>
        <w:rPr>
          <w:rFonts w:ascii="Arial" w:cs="Arial" w:eastAsia="Arial" w:hAnsi="Arial"/>
          <w:sz w:val="22"/>
          <w:szCs w:val="22"/>
          <w:color w:val="auto"/>
        </w:rPr>
        <w:t>” means (a) with respect to the LC Obligations, the LC Security Documents and (b) with respect to the Notes Obligations, the Notes Security Documents.</w:t>
      </w:r>
    </w:p>
    <w:p>
      <w:pPr>
        <w:spacing w:after="0" w:line="147"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Secured Parties</w:t>
      </w:r>
      <w:r>
        <w:rPr>
          <w:rFonts w:ascii="Arial" w:cs="Arial" w:eastAsia="Arial" w:hAnsi="Arial"/>
          <w:sz w:val="22"/>
          <w:szCs w:val="22"/>
          <w:color w:val="auto"/>
        </w:rPr>
        <w:t>” means (a) with respect to the LC Priority Collateral, the LC Secured Parties (to the extent that the Obligations owing to such LC Secured Parties are secured by the LC Priority Collateral) and (b) with respect to the Notes Priority Collateral, the Notes Secured Parties (to the extent that the Obligations owing to such Notes Secured Parties are secured by the Notes Priority Collateral).</w:t>
      </w:r>
    </w:p>
    <w:p>
      <w:pPr>
        <w:spacing w:after="0" w:line="15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w:t>
      </w:r>
    </w:p>
    <w:p>
      <w:pPr>
        <w:spacing w:after="0" w:line="14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taxes, levies, imposts, duties, fees, assessments or other charges of whatever nature now or hereafter imposed by any taxing authority, and all interest, penalties or similar liabilities with respect thereto.</w:t>
      </w:r>
    </w:p>
    <w:p>
      <w:pPr>
        <w:spacing w:after="0" w:line="14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b w:val="1"/>
          <w:bCs w:val="1"/>
          <w:i w:val="1"/>
          <w:iCs w:val="1"/>
          <w:color w:val="auto"/>
        </w:rPr>
        <w:t>Luxembourg Terms</w:t>
      </w:r>
      <w:r>
        <w:rPr>
          <w:rFonts w:ascii="Arial" w:cs="Arial" w:eastAsia="Arial" w:hAnsi="Arial"/>
          <w:sz w:val="22"/>
          <w:szCs w:val="22"/>
          <w:color w:val="auto"/>
        </w:rPr>
        <w:t>. In this Agreement, in respect of any Luxembourg Obligor or any other entity which is organized under the laws of the Grand-Duchy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9" w:name="page720"/>
    <w:bookmarkEnd w:id="719"/>
    <w:p>
      <w:pPr>
        <w:spacing w:after="0"/>
        <w:rPr>
          <w:sz w:val="20"/>
          <w:szCs w:val="20"/>
          <w:color w:val="auto"/>
        </w:rPr>
      </w:pPr>
      <w:r>
        <w:rPr>
          <w:rFonts w:ascii="Arial" w:cs="Arial" w:eastAsia="Arial" w:hAnsi="Arial"/>
          <w:sz w:val="19"/>
          <w:szCs w:val="19"/>
          <w:color w:val="auto"/>
        </w:rPr>
        <w:t>of Luxembourg or has its “centre of main interests” (as that term is used in Article 3(1) of the European Insolvency Regulation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Luxembourg, a reference to:</w:t>
      </w:r>
    </w:p>
    <w:p>
      <w:pPr>
        <w:spacing w:after="0" w:line="188" w:lineRule="exact"/>
        <w:rPr>
          <w:sz w:val="20"/>
          <w:szCs w:val="20"/>
          <w:color w:val="auto"/>
        </w:rPr>
      </w:pPr>
    </w:p>
    <w:p>
      <w:pPr>
        <w:ind w:firstLine="1304"/>
        <w:spacing w:after="0" w:line="276" w:lineRule="auto"/>
        <w:tabs>
          <w:tab w:leader="none" w:pos="2359" w:val="left"/>
        </w:tabs>
        <w:numPr>
          <w:ilvl w:val="0"/>
          <w:numId w:val="859"/>
        </w:numPr>
        <w:rPr>
          <w:rFonts w:ascii="Arial" w:cs="Arial" w:eastAsia="Arial" w:hAnsi="Arial"/>
          <w:sz w:val="22"/>
          <w:szCs w:val="22"/>
          <w:color w:val="auto"/>
        </w:rPr>
      </w:pPr>
      <w:r>
        <w:rPr>
          <w:rFonts w:ascii="Arial" w:cs="Arial" w:eastAsia="Arial" w:hAnsi="Arial"/>
          <w:sz w:val="22"/>
          <w:szCs w:val="22"/>
          <w:color w:val="auto"/>
        </w:rPr>
        <w:t>a “liquidator”, “trustee”, “custodian”, “compulsory manager”, “receiver”, “administrative receiver”, “administrator” or “similar officer” includes any:</w:t>
      </w:r>
    </w:p>
    <w:p>
      <w:pPr>
        <w:spacing w:after="0" w:line="147" w:lineRule="exact"/>
        <w:rPr>
          <w:rFonts w:ascii="Arial" w:cs="Arial" w:eastAsia="Arial" w:hAnsi="Arial"/>
          <w:sz w:val="22"/>
          <w:szCs w:val="22"/>
          <w:color w:val="auto"/>
        </w:rPr>
      </w:pPr>
    </w:p>
    <w:p>
      <w:pPr>
        <w:ind w:left="2700" w:hanging="748"/>
        <w:spacing w:after="0"/>
        <w:tabs>
          <w:tab w:leader="none" w:pos="2700" w:val="left"/>
        </w:tabs>
        <w:numPr>
          <w:ilvl w:val="1"/>
          <w:numId w:val="859"/>
        </w:numPr>
        <w:rPr>
          <w:rFonts w:ascii="Arial" w:cs="Arial" w:eastAsia="Arial" w:hAnsi="Arial"/>
          <w:sz w:val="19"/>
          <w:szCs w:val="19"/>
          <w:color w:val="auto"/>
        </w:rPr>
      </w:pPr>
      <w:r>
        <w:rPr>
          <w:rFonts w:ascii="Arial" w:cs="Arial" w:eastAsia="Arial" w:hAnsi="Arial"/>
          <w:sz w:val="19"/>
          <w:szCs w:val="19"/>
          <w:i w:val="1"/>
          <w:iCs w:val="1"/>
          <w:color w:val="auto"/>
        </w:rPr>
        <w:t xml:space="preserve">juge-commissaire </w:t>
      </w:r>
      <w:r>
        <w:rPr>
          <w:rFonts w:ascii="Arial" w:cs="Arial" w:eastAsia="Arial" w:hAnsi="Arial"/>
          <w:sz w:val="19"/>
          <w:szCs w:val="19"/>
          <w:color w:val="auto"/>
        </w:rPr>
        <w:t>or insolvency receiver (</w:t>
      </w:r>
      <w:r>
        <w:rPr>
          <w:rFonts w:ascii="Arial" w:cs="Arial" w:eastAsia="Arial" w:hAnsi="Arial"/>
          <w:sz w:val="19"/>
          <w:szCs w:val="19"/>
          <w:i w:val="1"/>
          <w:iCs w:val="1"/>
          <w:color w:val="auto"/>
        </w:rPr>
        <w:t>curateur</w:t>
      </w:r>
      <w:r>
        <w:rPr>
          <w:rFonts w:ascii="Arial" w:cs="Arial" w:eastAsia="Arial" w:hAnsi="Arial"/>
          <w:sz w:val="19"/>
          <w:szCs w:val="19"/>
          <w:color w:val="auto"/>
        </w:rPr>
        <w:t>) appointed under the Luxembourg Commercial</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188" w:lineRule="exact"/>
        <w:rPr>
          <w:rFonts w:ascii="Arial" w:cs="Arial" w:eastAsia="Arial" w:hAnsi="Arial"/>
          <w:sz w:val="19"/>
          <w:szCs w:val="19"/>
          <w:color w:val="auto"/>
        </w:rPr>
      </w:pPr>
    </w:p>
    <w:p>
      <w:pPr>
        <w:ind w:left="1300" w:firstLine="652"/>
        <w:spacing w:after="0" w:line="276" w:lineRule="auto"/>
        <w:tabs>
          <w:tab w:leader="none" w:pos="2819" w:val="left"/>
        </w:tabs>
        <w:numPr>
          <w:ilvl w:val="1"/>
          <w:numId w:val="859"/>
        </w:numPr>
        <w:rPr>
          <w:rFonts w:ascii="Arial" w:cs="Arial" w:eastAsia="Arial" w:hAnsi="Arial"/>
          <w:sz w:val="22"/>
          <w:szCs w:val="22"/>
          <w:color w:val="auto"/>
        </w:rPr>
      </w:pPr>
      <w:r>
        <w:rPr>
          <w:rFonts w:ascii="Arial" w:cs="Arial" w:eastAsia="Arial" w:hAnsi="Arial"/>
          <w:sz w:val="22"/>
          <w:szCs w:val="22"/>
          <w:i w:val="1"/>
          <w:iCs w:val="1"/>
          <w:color w:val="auto"/>
        </w:rPr>
        <w:t xml:space="preserve">liquidateur </w:t>
      </w:r>
      <w:r>
        <w:rPr>
          <w:rFonts w:ascii="Arial" w:cs="Arial" w:eastAsia="Arial" w:hAnsi="Arial"/>
          <w:sz w:val="22"/>
          <w:szCs w:val="22"/>
          <w:color w:val="auto"/>
        </w:rPr>
        <w:t>appointed under Articles 1100-1 to 1100-15 (inclusive) of the Luxembourg act dated</w:t>
      </w:r>
      <w:r>
        <w:rPr>
          <w:rFonts w:ascii="Arial" w:cs="Arial" w:eastAsia="Arial" w:hAnsi="Arial"/>
          <w:sz w:val="22"/>
          <w:szCs w:val="22"/>
          <w:i w:val="1"/>
          <w:iCs w:val="1"/>
          <w:color w:val="auto"/>
        </w:rPr>
        <w:t xml:space="preserve"> </w:t>
      </w:r>
      <w:r>
        <w:rPr>
          <w:rFonts w:ascii="Arial" w:cs="Arial" w:eastAsia="Arial" w:hAnsi="Arial"/>
          <w:sz w:val="22"/>
          <w:szCs w:val="22"/>
          <w:color w:val="auto"/>
        </w:rPr>
        <w:t>10 August 1915 on commercial companies, as amended;</w:t>
      </w:r>
    </w:p>
    <w:p>
      <w:pPr>
        <w:spacing w:after="0" w:line="133" w:lineRule="exact"/>
        <w:rPr>
          <w:rFonts w:ascii="Arial" w:cs="Arial" w:eastAsia="Arial" w:hAnsi="Arial"/>
          <w:sz w:val="22"/>
          <w:szCs w:val="22"/>
          <w:color w:val="auto"/>
        </w:rPr>
      </w:pPr>
    </w:p>
    <w:p>
      <w:pPr>
        <w:ind w:left="1300" w:firstLine="652"/>
        <w:spacing w:after="0" w:line="276" w:lineRule="auto"/>
        <w:tabs>
          <w:tab w:leader="none" w:pos="2839" w:val="left"/>
        </w:tabs>
        <w:numPr>
          <w:ilvl w:val="1"/>
          <w:numId w:val="859"/>
        </w:numPr>
        <w:rPr>
          <w:rFonts w:ascii="Arial" w:cs="Arial" w:eastAsia="Arial" w:hAnsi="Arial"/>
          <w:sz w:val="22"/>
          <w:szCs w:val="22"/>
          <w:color w:val="auto"/>
        </w:rPr>
      </w:pPr>
      <w:r>
        <w:rPr>
          <w:rFonts w:ascii="Arial" w:cs="Arial" w:eastAsia="Arial" w:hAnsi="Arial"/>
          <w:sz w:val="22"/>
          <w:szCs w:val="22"/>
          <w:i w:val="1"/>
          <w:iCs w:val="1"/>
          <w:color w:val="auto"/>
        </w:rPr>
        <w:t xml:space="preserve">juge-commissaire </w:t>
      </w:r>
      <w:r>
        <w:rPr>
          <w:rFonts w:ascii="Arial" w:cs="Arial" w:eastAsia="Arial" w:hAnsi="Arial"/>
          <w:sz w:val="22"/>
          <w:szCs w:val="22"/>
          <w:color w:val="auto"/>
        </w:rPr>
        <w:t>or</w:t>
      </w:r>
      <w:r>
        <w:rPr>
          <w:rFonts w:ascii="Arial" w:cs="Arial" w:eastAsia="Arial" w:hAnsi="Arial"/>
          <w:sz w:val="22"/>
          <w:szCs w:val="22"/>
          <w:i w:val="1"/>
          <w:iCs w:val="1"/>
          <w:color w:val="auto"/>
        </w:rPr>
        <w:t xml:space="preserve"> liquidateur </w:t>
      </w:r>
      <w:r>
        <w:rPr>
          <w:rFonts w:ascii="Arial" w:cs="Arial" w:eastAsia="Arial" w:hAnsi="Arial"/>
          <w:sz w:val="22"/>
          <w:szCs w:val="22"/>
          <w:color w:val="auto"/>
        </w:rPr>
        <w:t>appointed under Article 1200-1 of the Luxembourg act dated 10</w:t>
      </w:r>
      <w:r>
        <w:rPr>
          <w:rFonts w:ascii="Arial" w:cs="Arial" w:eastAsia="Arial" w:hAnsi="Arial"/>
          <w:sz w:val="22"/>
          <w:szCs w:val="22"/>
          <w:i w:val="1"/>
          <w:iCs w:val="1"/>
          <w:color w:val="auto"/>
        </w:rPr>
        <w:t xml:space="preserve"> </w:t>
      </w:r>
      <w:r>
        <w:rPr>
          <w:rFonts w:ascii="Arial" w:cs="Arial" w:eastAsia="Arial" w:hAnsi="Arial"/>
          <w:sz w:val="22"/>
          <w:szCs w:val="22"/>
          <w:color w:val="auto"/>
        </w:rPr>
        <w:t>August 1915 on commercial companies, as amended;</w:t>
      </w:r>
    </w:p>
    <w:p>
      <w:pPr>
        <w:spacing w:after="0" w:line="147" w:lineRule="exact"/>
        <w:rPr>
          <w:rFonts w:ascii="Arial" w:cs="Arial" w:eastAsia="Arial" w:hAnsi="Arial"/>
          <w:sz w:val="22"/>
          <w:szCs w:val="22"/>
          <w:color w:val="auto"/>
        </w:rPr>
      </w:pPr>
    </w:p>
    <w:p>
      <w:pPr>
        <w:ind w:left="1300" w:firstLine="652"/>
        <w:spacing w:after="0" w:line="358" w:lineRule="auto"/>
        <w:tabs>
          <w:tab w:leader="none" w:pos="3164" w:val="left"/>
        </w:tabs>
        <w:numPr>
          <w:ilvl w:val="1"/>
          <w:numId w:val="859"/>
        </w:numPr>
        <w:rPr>
          <w:rFonts w:ascii="Arial" w:cs="Arial" w:eastAsia="Arial" w:hAnsi="Arial"/>
          <w:sz w:val="19"/>
          <w:szCs w:val="19"/>
          <w:color w:val="auto"/>
        </w:rPr>
      </w:pPr>
      <w:r>
        <w:rPr>
          <w:rFonts w:ascii="Arial" w:cs="Arial" w:eastAsia="Arial" w:hAnsi="Arial"/>
          <w:sz w:val="19"/>
          <w:szCs w:val="19"/>
          <w:i w:val="1"/>
          <w:iCs w:val="1"/>
          <w:color w:val="auto"/>
        </w:rPr>
        <w:t xml:space="preserve">commissaire </w:t>
      </w:r>
      <w:r>
        <w:rPr>
          <w:rFonts w:ascii="Arial" w:cs="Arial" w:eastAsia="Arial" w:hAnsi="Arial"/>
          <w:sz w:val="19"/>
          <w:szCs w:val="19"/>
          <w:color w:val="auto"/>
        </w:rPr>
        <w:t>appointed under the Grand-Ducal decree of 24 May 1935 on the controlled</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regime or under Articles 593 to 614 (inclusive) of the Luxembourg Commercial Code; and</w:t>
      </w:r>
    </w:p>
    <w:p>
      <w:pPr>
        <w:spacing w:after="0" w:line="63" w:lineRule="exact"/>
        <w:rPr>
          <w:rFonts w:ascii="Arial" w:cs="Arial" w:eastAsia="Arial" w:hAnsi="Arial"/>
          <w:sz w:val="19"/>
          <w:szCs w:val="19"/>
          <w:color w:val="auto"/>
        </w:rPr>
      </w:pPr>
    </w:p>
    <w:p>
      <w:pPr>
        <w:ind w:left="1300" w:firstLine="652"/>
        <w:spacing w:after="0" w:line="276" w:lineRule="auto"/>
        <w:tabs>
          <w:tab w:leader="none" w:pos="2807" w:val="left"/>
        </w:tabs>
        <w:numPr>
          <w:ilvl w:val="1"/>
          <w:numId w:val="859"/>
        </w:numPr>
        <w:rPr>
          <w:rFonts w:ascii="Arial" w:cs="Arial" w:eastAsia="Arial" w:hAnsi="Arial"/>
          <w:sz w:val="22"/>
          <w:szCs w:val="22"/>
          <w:color w:val="auto"/>
        </w:rPr>
      </w:pPr>
      <w:r>
        <w:rPr>
          <w:rFonts w:ascii="Arial" w:cs="Arial" w:eastAsia="Arial" w:hAnsi="Arial"/>
          <w:sz w:val="22"/>
          <w:szCs w:val="22"/>
          <w:i w:val="1"/>
          <w:iCs w:val="1"/>
          <w:color w:val="auto"/>
        </w:rPr>
        <w:t xml:space="preserve">juge délégué </w:t>
      </w:r>
      <w:r>
        <w:rPr>
          <w:rFonts w:ascii="Arial" w:cs="Arial" w:eastAsia="Arial" w:hAnsi="Arial"/>
          <w:sz w:val="22"/>
          <w:szCs w:val="22"/>
          <w:color w:val="auto"/>
        </w:rPr>
        <w:t>appointed under the Luxembourg act of 14 April 1886 on the composition to avoid</w:t>
      </w:r>
      <w:r>
        <w:rPr>
          <w:rFonts w:ascii="Arial" w:cs="Arial" w:eastAsia="Arial" w:hAnsi="Arial"/>
          <w:sz w:val="22"/>
          <w:szCs w:val="22"/>
          <w:i w:val="1"/>
          <w:iCs w:val="1"/>
          <w:color w:val="auto"/>
        </w:rPr>
        <w:t xml:space="preserve"> </w:t>
      </w:r>
      <w:r>
        <w:rPr>
          <w:rFonts w:ascii="Arial" w:cs="Arial" w:eastAsia="Arial" w:hAnsi="Arial"/>
          <w:sz w:val="22"/>
          <w:szCs w:val="22"/>
          <w:color w:val="auto"/>
        </w:rPr>
        <w:t>bankruptcy, as amended; and</w:t>
      </w:r>
    </w:p>
    <w:p>
      <w:pPr>
        <w:spacing w:after="0" w:line="133" w:lineRule="exact"/>
        <w:rPr>
          <w:rFonts w:ascii="Arial" w:cs="Arial" w:eastAsia="Arial" w:hAnsi="Arial"/>
          <w:sz w:val="22"/>
          <w:szCs w:val="22"/>
          <w:color w:val="auto"/>
        </w:rPr>
      </w:pPr>
    </w:p>
    <w:p>
      <w:pPr>
        <w:jc w:val="both"/>
        <w:ind w:firstLine="1304"/>
        <w:spacing w:after="0" w:line="266" w:lineRule="auto"/>
        <w:tabs>
          <w:tab w:leader="none" w:pos="2115" w:val="left"/>
        </w:tabs>
        <w:numPr>
          <w:ilvl w:val="0"/>
          <w:numId w:val="859"/>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i w:val="1"/>
          <w:iCs w:val="1"/>
          <w:color w:val="auto"/>
        </w:rPr>
        <w:t>winding-up</w:t>
      </w:r>
      <w:r>
        <w:rPr>
          <w:rFonts w:ascii="Arial" w:cs="Arial" w:eastAsia="Arial" w:hAnsi="Arial"/>
          <w:sz w:val="22"/>
          <w:szCs w:val="22"/>
          <w:color w:val="auto"/>
        </w:rPr>
        <w:t>”, “</w:t>
      </w:r>
      <w:r>
        <w:rPr>
          <w:rFonts w:ascii="Arial" w:cs="Arial" w:eastAsia="Arial" w:hAnsi="Arial"/>
          <w:sz w:val="22"/>
          <w:szCs w:val="22"/>
          <w:i w:val="1"/>
          <w:iCs w:val="1"/>
          <w:color w:val="auto"/>
        </w:rPr>
        <w:t>administration</w:t>
      </w:r>
      <w:r>
        <w:rPr>
          <w:rFonts w:ascii="Arial" w:cs="Arial" w:eastAsia="Arial" w:hAnsi="Arial"/>
          <w:sz w:val="22"/>
          <w:szCs w:val="22"/>
          <w:color w:val="auto"/>
        </w:rPr>
        <w:t>”, “</w:t>
      </w:r>
      <w:r>
        <w:rPr>
          <w:rFonts w:ascii="Arial" w:cs="Arial" w:eastAsia="Arial" w:hAnsi="Arial"/>
          <w:sz w:val="22"/>
          <w:szCs w:val="22"/>
          <w:i w:val="1"/>
          <w:iCs w:val="1"/>
          <w:color w:val="auto"/>
        </w:rPr>
        <w:t>liquidation</w:t>
      </w:r>
      <w:r>
        <w:rPr>
          <w:rFonts w:ascii="Arial" w:cs="Arial" w:eastAsia="Arial" w:hAnsi="Arial"/>
          <w:sz w:val="22"/>
          <w:szCs w:val="22"/>
          <w:color w:val="auto"/>
        </w:rPr>
        <w:t>” or “</w:t>
      </w:r>
      <w:r>
        <w:rPr>
          <w:rFonts w:ascii="Arial" w:cs="Arial" w:eastAsia="Arial" w:hAnsi="Arial"/>
          <w:sz w:val="22"/>
          <w:szCs w:val="22"/>
          <w:i w:val="1"/>
          <w:iCs w:val="1"/>
          <w:color w:val="auto"/>
        </w:rPr>
        <w:t>dissolution</w:t>
      </w:r>
      <w:r>
        <w:rPr>
          <w:rFonts w:ascii="Arial" w:cs="Arial" w:eastAsia="Arial" w:hAnsi="Arial"/>
          <w:sz w:val="22"/>
          <w:szCs w:val="22"/>
          <w:color w:val="auto"/>
        </w:rPr>
        <w:t>” includes, without limitation, bankruptcy (</w:t>
      </w:r>
      <w:r>
        <w:rPr>
          <w:rFonts w:ascii="Arial" w:cs="Arial" w:eastAsia="Arial" w:hAnsi="Arial"/>
          <w:sz w:val="22"/>
          <w:szCs w:val="22"/>
          <w:i w:val="1"/>
          <w:iCs w:val="1"/>
          <w:color w:val="auto"/>
        </w:rPr>
        <w:t>faillite</w:t>
      </w:r>
      <w:r>
        <w:rPr>
          <w:rFonts w:ascii="Arial" w:cs="Arial" w:eastAsia="Arial" w:hAnsi="Arial"/>
          <w:sz w:val="22"/>
          <w:szCs w:val="22"/>
          <w:color w:val="auto"/>
        </w:rPr>
        <w:t>), liquidation, composition with creditors (</w:t>
      </w:r>
      <w:r>
        <w:rPr>
          <w:rFonts w:ascii="Arial" w:cs="Arial" w:eastAsia="Arial" w:hAnsi="Arial"/>
          <w:sz w:val="22"/>
          <w:szCs w:val="22"/>
          <w:i w:val="1"/>
          <w:iCs w:val="1"/>
          <w:color w:val="auto"/>
        </w:rPr>
        <w:t>concordat préventif de faillite</w:t>
      </w:r>
      <w:r>
        <w:rPr>
          <w:rFonts w:ascii="Arial" w:cs="Arial" w:eastAsia="Arial" w:hAnsi="Arial"/>
          <w:sz w:val="22"/>
          <w:szCs w:val="22"/>
          <w:color w:val="auto"/>
        </w:rPr>
        <w:t>), moratorium or reprieve from payment (</w:t>
      </w:r>
      <w:r>
        <w:rPr>
          <w:rFonts w:ascii="Arial" w:cs="Arial" w:eastAsia="Arial" w:hAnsi="Arial"/>
          <w:sz w:val="22"/>
          <w:szCs w:val="22"/>
          <w:i w:val="1"/>
          <w:iCs w:val="1"/>
          <w:color w:val="auto"/>
        </w:rPr>
        <w:t>sursis de</w:t>
      </w:r>
      <w:r>
        <w:rPr>
          <w:rFonts w:ascii="Arial" w:cs="Arial" w:eastAsia="Arial" w:hAnsi="Arial"/>
          <w:sz w:val="22"/>
          <w:szCs w:val="22"/>
          <w:color w:val="auto"/>
        </w:rPr>
        <w:t xml:space="preserve"> </w:t>
      </w:r>
      <w:r>
        <w:rPr>
          <w:rFonts w:ascii="Arial" w:cs="Arial" w:eastAsia="Arial" w:hAnsi="Arial"/>
          <w:sz w:val="22"/>
          <w:szCs w:val="22"/>
          <w:i w:val="1"/>
          <w:iCs w:val="1"/>
          <w:color w:val="auto"/>
        </w:rPr>
        <w:t>paiement</w:t>
      </w:r>
      <w:r>
        <w:rPr>
          <w:rFonts w:ascii="Arial" w:cs="Arial" w:eastAsia="Arial" w:hAnsi="Arial"/>
          <w:sz w:val="22"/>
          <w:szCs w:val="22"/>
          <w:color w:val="auto"/>
        </w:rPr>
        <w:t>) and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2080" w:hanging="776"/>
        <w:spacing w:after="0"/>
        <w:tabs>
          <w:tab w:leader="none" w:pos="2080" w:val="left"/>
        </w:tabs>
        <w:numPr>
          <w:ilvl w:val="0"/>
          <w:numId w:val="859"/>
        </w:numPr>
        <w:rPr>
          <w:rFonts w:ascii="Arial" w:cs="Arial" w:eastAsia="Arial" w:hAnsi="Arial"/>
          <w:sz w:val="21"/>
          <w:szCs w:val="21"/>
          <w:color w:val="auto"/>
        </w:rPr>
      </w:pPr>
      <w:r>
        <w:rPr>
          <w:rFonts w:ascii="Arial" w:cs="Arial" w:eastAsia="Arial" w:hAnsi="Arial"/>
          <w:sz w:val="21"/>
          <w:szCs w:val="21"/>
          <w:color w:val="auto"/>
        </w:rPr>
        <w:t>an officer, a manager or a director includes a manager (</w:t>
      </w:r>
      <w:r>
        <w:rPr>
          <w:rFonts w:ascii="Arial" w:cs="Arial" w:eastAsia="Arial" w:hAnsi="Arial"/>
          <w:sz w:val="21"/>
          <w:szCs w:val="21"/>
          <w:i w:val="1"/>
          <w:iCs w:val="1"/>
          <w:color w:val="auto"/>
        </w:rPr>
        <w:t>gérant</w:t>
      </w:r>
      <w:r>
        <w:rPr>
          <w:rFonts w:ascii="Arial" w:cs="Arial" w:eastAsia="Arial" w:hAnsi="Arial"/>
          <w:sz w:val="21"/>
          <w:szCs w:val="21"/>
          <w:color w:val="auto"/>
        </w:rPr>
        <w:t>) and a director (</w:t>
      </w:r>
      <w:r>
        <w:rPr>
          <w:rFonts w:ascii="Arial" w:cs="Arial" w:eastAsia="Arial" w:hAnsi="Arial"/>
          <w:sz w:val="21"/>
          <w:szCs w:val="21"/>
          <w:i w:val="1"/>
          <w:iCs w:val="1"/>
          <w:color w:val="auto"/>
        </w:rPr>
        <w:t>administrateur</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ind w:left="5080"/>
        <w:spacing w:after="0"/>
        <w:rPr>
          <w:rFonts w:ascii="Arial" w:cs="Arial" w:eastAsia="Arial" w:hAnsi="Arial"/>
          <w:sz w:val="21"/>
          <w:szCs w:val="21"/>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Priorities and Agreements with Respect to Collateral</w:t>
      </w:r>
    </w:p>
    <w:p>
      <w:pPr>
        <w:spacing w:after="0" w:line="199"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b w:val="1"/>
          <w:bCs w:val="1"/>
          <w:i w:val="1"/>
          <w:iCs w:val="1"/>
          <w:color w:val="auto"/>
        </w:rPr>
        <w:t>Priority of Claims</w:t>
      </w:r>
      <w:r>
        <w:rPr>
          <w:rFonts w:ascii="Arial" w:cs="Arial" w:eastAsia="Arial" w:hAnsi="Arial"/>
          <w:sz w:val="19"/>
          <w:szCs w:val="19"/>
          <w:color w:val="auto"/>
        </w:rPr>
        <w:t>. (a) Anything contained herein or in any of the Notes Documents or the LC Documents to the contrary notwithstanding, if an Event of Default has occurred and is continuing, and any Collateral Agent is taking action to enforce rights in respect of any Collateral (whether in an Insolvency or Liquidation Proceeding or otherwise), or any distribution is made in respect of any Collateral in any Insolvency or Liquidation Proceeding with respect to any Grantor, the Proceeds (subject, in the case of any such distribution, to Section 2.06 hereof) (all proceeds of any sale, collection or other liquidation of any Collateral and all proceeds of any such distribution, including adequate protection or similar payments under any Debtor Relief Law, being collectively referred to as “</w:t>
      </w:r>
      <w:r>
        <w:rPr>
          <w:rFonts w:ascii="Arial" w:cs="Arial" w:eastAsia="Arial" w:hAnsi="Arial"/>
          <w:sz w:val="19"/>
          <w:szCs w:val="19"/>
          <w:b w:val="1"/>
          <w:bCs w:val="1"/>
          <w:i w:val="1"/>
          <w:iCs w:val="1"/>
          <w:color w:val="auto"/>
        </w:rPr>
        <w:t>Proceeds</w:t>
      </w:r>
      <w:r>
        <w:rPr>
          <w:rFonts w:ascii="Arial" w:cs="Arial" w:eastAsia="Arial" w:hAnsi="Arial"/>
          <w:sz w:val="19"/>
          <w:szCs w:val="19"/>
          <w:color w:val="auto"/>
        </w:rPr>
        <w:t>”) shall be applied as follows:</w:t>
      </w:r>
    </w:p>
    <w:p>
      <w:pPr>
        <w:spacing w:after="0" w:line="129" w:lineRule="exact"/>
        <w:rPr>
          <w:sz w:val="20"/>
          <w:szCs w:val="20"/>
          <w:color w:val="auto"/>
        </w:rPr>
      </w:pPr>
    </w:p>
    <w:p>
      <w:pPr>
        <w:ind w:left="5520" w:right="5380" w:hanging="3568"/>
        <w:spacing w:after="0" w:line="550" w:lineRule="auto"/>
        <w:tabs>
          <w:tab w:leader="none" w:pos="2700" w:val="left"/>
        </w:tabs>
        <w:numPr>
          <w:ilvl w:val="0"/>
          <w:numId w:val="860"/>
        </w:numPr>
        <w:rPr>
          <w:rFonts w:ascii="Arial" w:cs="Arial" w:eastAsia="Arial" w:hAnsi="Arial"/>
          <w:sz w:val="19"/>
          <w:szCs w:val="19"/>
          <w:color w:val="auto"/>
        </w:rPr>
      </w:pPr>
      <w:r>
        <w:rPr>
          <w:rFonts w:ascii="Arial" w:cs="Arial" w:eastAsia="Arial" w:hAnsi="Arial"/>
          <w:sz w:val="19"/>
          <w:szCs w:val="19"/>
          <w:color w:val="auto"/>
        </w:rPr>
        <w:t>In the case of LC Priority Collateral,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0" w:name="page721"/>
    <w:bookmarkEnd w:id="720"/>
    <w:p>
      <w:pPr>
        <w:jc w:val="both"/>
        <w:ind w:left="2600"/>
        <w:spacing w:after="0" w:line="266" w:lineRule="auto"/>
        <w:rPr>
          <w:sz w:val="20"/>
          <w:szCs w:val="20"/>
          <w:color w:val="auto"/>
        </w:rPr>
      </w:pPr>
      <w:r>
        <w:rPr>
          <w:rFonts w:ascii="Arial" w:cs="Arial" w:eastAsia="Arial" w:hAnsi="Arial"/>
          <w:sz w:val="22"/>
          <w:szCs w:val="22"/>
          <w:color w:val="auto"/>
        </w:rPr>
        <w:t>FIRST, to the payment in full of the LC Obligations (including the cash collateralization thereof) in accordance with Section 9.04 of the LC Credit Agreement and the other applicable provisions of the LC Documents, and</w:t>
      </w:r>
    </w:p>
    <w:p>
      <w:pPr>
        <w:spacing w:after="0" w:line="144" w:lineRule="exact"/>
        <w:rPr>
          <w:sz w:val="20"/>
          <w:szCs w:val="20"/>
          <w:color w:val="auto"/>
        </w:rPr>
      </w:pPr>
    </w:p>
    <w:p>
      <w:pPr>
        <w:jc w:val="both"/>
        <w:ind w:left="2600"/>
        <w:spacing w:after="0" w:line="276" w:lineRule="auto"/>
        <w:rPr>
          <w:sz w:val="20"/>
          <w:szCs w:val="20"/>
          <w:color w:val="auto"/>
        </w:rPr>
      </w:pPr>
      <w:r>
        <w:rPr>
          <w:rFonts w:ascii="Arial" w:cs="Arial" w:eastAsia="Arial" w:hAnsi="Arial"/>
          <w:sz w:val="22"/>
          <w:szCs w:val="22"/>
          <w:color w:val="auto"/>
        </w:rPr>
        <w:t>SECOND, to the payment in full of the Notes Obligations in accordance with Section 506 of the Notes Indenture and the other applicable provisions of the Notes Documents.</w:t>
      </w:r>
    </w:p>
    <w:p>
      <w:pPr>
        <w:spacing w:after="0" w:line="147"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If any Notes Obligations remain outstanding after the Discharge of the LC Obligations, all proceeds of the LC Priority Collateral will be applied to the repayment of any outstanding Notes Obligations.</w:t>
      </w:r>
    </w:p>
    <w:p>
      <w:pPr>
        <w:spacing w:after="0" w:line="134" w:lineRule="exact"/>
        <w:rPr>
          <w:sz w:val="20"/>
          <w:szCs w:val="20"/>
          <w:color w:val="auto"/>
        </w:rPr>
      </w:pPr>
    </w:p>
    <w:p>
      <w:pPr>
        <w:ind w:left="2760" w:hanging="808"/>
        <w:spacing w:after="0"/>
        <w:tabs>
          <w:tab w:leader="none" w:pos="2760" w:val="left"/>
        </w:tabs>
        <w:numPr>
          <w:ilvl w:val="0"/>
          <w:numId w:val="861"/>
        </w:numPr>
        <w:rPr>
          <w:rFonts w:ascii="Arial" w:cs="Arial" w:eastAsia="Arial" w:hAnsi="Arial"/>
          <w:sz w:val="22"/>
          <w:szCs w:val="22"/>
          <w:color w:val="auto"/>
        </w:rPr>
      </w:pPr>
      <w:r>
        <w:rPr>
          <w:rFonts w:ascii="Arial" w:cs="Arial" w:eastAsia="Arial" w:hAnsi="Arial"/>
          <w:sz w:val="22"/>
          <w:szCs w:val="22"/>
          <w:color w:val="auto"/>
        </w:rPr>
        <w:t>In the case of Notes Priority Collateral,</w:t>
      </w:r>
    </w:p>
    <w:p>
      <w:pPr>
        <w:spacing w:after="0" w:line="193" w:lineRule="exact"/>
        <w:rPr>
          <w:sz w:val="20"/>
          <w:szCs w:val="20"/>
          <w:color w:val="auto"/>
        </w:rPr>
      </w:pPr>
    </w:p>
    <w:p>
      <w:pPr>
        <w:jc w:val="both"/>
        <w:ind w:left="2600" w:right="20"/>
        <w:spacing w:after="0" w:line="276" w:lineRule="auto"/>
        <w:rPr>
          <w:sz w:val="20"/>
          <w:szCs w:val="20"/>
          <w:color w:val="auto"/>
        </w:rPr>
      </w:pPr>
      <w:r>
        <w:rPr>
          <w:rFonts w:ascii="Arial" w:cs="Arial" w:eastAsia="Arial" w:hAnsi="Arial"/>
          <w:sz w:val="22"/>
          <w:szCs w:val="22"/>
          <w:color w:val="auto"/>
        </w:rPr>
        <w:t>FIRST, to the payment in full of the Notes Obligations in accordance with Section 506 of the Notes Indenture and the other applicable provisions of the Notes Documents, and</w:t>
      </w:r>
    </w:p>
    <w:p>
      <w:pPr>
        <w:spacing w:after="0" w:line="147" w:lineRule="exact"/>
        <w:rPr>
          <w:sz w:val="20"/>
          <w:szCs w:val="20"/>
          <w:color w:val="auto"/>
        </w:rPr>
      </w:pPr>
    </w:p>
    <w:p>
      <w:pPr>
        <w:jc w:val="both"/>
        <w:ind w:left="2600"/>
        <w:spacing w:after="0" w:line="266" w:lineRule="auto"/>
        <w:rPr>
          <w:sz w:val="20"/>
          <w:szCs w:val="20"/>
          <w:color w:val="auto"/>
        </w:rPr>
      </w:pPr>
      <w:r>
        <w:rPr>
          <w:rFonts w:ascii="Arial" w:cs="Arial" w:eastAsia="Arial" w:hAnsi="Arial"/>
          <w:sz w:val="22"/>
          <w:szCs w:val="22"/>
          <w:color w:val="auto"/>
        </w:rPr>
        <w:t>SECOND, to the payment in full of the LC Obligations (including the cash collateralization thereof) in accordance with Section 9.04 of the LC Credit Agreement and the other applicable provisions of the LC Documents.</w:t>
      </w:r>
    </w:p>
    <w:p>
      <w:pPr>
        <w:spacing w:after="0" w:line="14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If any LC Obligations remain outstanding after the Discharge of the Notes Obligations, all proceeds of the Notes Priority Collateral will be applied to the repayment (including the cash collateralization thereof) of any outstanding LC Obligations.</w:t>
      </w:r>
    </w:p>
    <w:p>
      <w:pPr>
        <w:spacing w:after="0" w:line="144" w:lineRule="exact"/>
        <w:rPr>
          <w:sz w:val="20"/>
          <w:szCs w:val="20"/>
          <w:color w:val="auto"/>
        </w:rPr>
      </w:pPr>
    </w:p>
    <w:p>
      <w:pPr>
        <w:jc w:val="both"/>
        <w:ind w:firstLine="1304"/>
        <w:spacing w:after="0" w:line="271" w:lineRule="auto"/>
        <w:tabs>
          <w:tab w:leader="none" w:pos="2182" w:val="left"/>
        </w:tabs>
        <w:numPr>
          <w:ilvl w:val="0"/>
          <w:numId w:val="862"/>
        </w:numPr>
        <w:rPr>
          <w:rFonts w:ascii="Arial" w:cs="Arial" w:eastAsia="Arial" w:hAnsi="Arial"/>
          <w:sz w:val="21"/>
          <w:szCs w:val="21"/>
          <w:color w:val="auto"/>
        </w:rPr>
      </w:pPr>
      <w:r>
        <w:rPr>
          <w:rFonts w:ascii="Arial" w:cs="Arial" w:eastAsia="Arial" w:hAnsi="Arial"/>
          <w:sz w:val="21"/>
          <w:szCs w:val="21"/>
          <w:color w:val="auto"/>
        </w:rPr>
        <w:t>It is acknowledged that (i) the aggregate amount of any Senior Secured Obligations may, subject to the limitations set forth in the Notes Indenture and the LC Credit Agreement, both as in effect on the date hereof, be Refinanced from time to time, all without affecting the priorities set forth in Section 2.01(a) or the provisions of this Agreement defining the relative rights of the Notes Secured Parties and the LC Secured Parties and (ii) the Senior Secured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Secured Obligations (or any part thereof) or the Senior Secured Obligations (or any part thereof), by the release of any Collateral or of any guarantees for any Junior Secured Obligations or Senior Secured Obligations or by any action that any Representative or Secured Party may take or fail to take in respect of any Collateral.</w:t>
      </w:r>
    </w:p>
    <w:p>
      <w:pPr>
        <w:spacing w:after="0" w:line="162" w:lineRule="exact"/>
        <w:rPr>
          <w:rFonts w:ascii="Arial" w:cs="Arial" w:eastAsia="Arial" w:hAnsi="Arial"/>
          <w:sz w:val="21"/>
          <w:szCs w:val="21"/>
          <w:color w:val="auto"/>
        </w:rPr>
      </w:pPr>
    </w:p>
    <w:p>
      <w:pPr>
        <w:jc w:val="both"/>
        <w:ind w:firstLine="1304"/>
        <w:spacing w:after="0" w:line="260" w:lineRule="auto"/>
        <w:tabs>
          <w:tab w:leader="none" w:pos="2130" w:val="left"/>
        </w:tabs>
        <w:numPr>
          <w:ilvl w:val="0"/>
          <w:numId w:val="862"/>
        </w:numPr>
        <w:rPr>
          <w:rFonts w:ascii="Arial" w:cs="Arial" w:eastAsia="Arial" w:hAnsi="Arial"/>
          <w:sz w:val="22"/>
          <w:szCs w:val="22"/>
          <w:color w:val="auto"/>
        </w:rPr>
      </w:pPr>
      <w:r>
        <w:rPr>
          <w:rFonts w:ascii="Arial" w:cs="Arial" w:eastAsia="Arial" w:hAnsi="Arial"/>
          <w:sz w:val="22"/>
          <w:szCs w:val="22"/>
          <w:color w:val="auto"/>
        </w:rPr>
        <w:t>Notwithstanding the date, time, method, manner or order of grant, attachment or perfection of any Liens securing the LC Obligations granted on the Collateral or of any Liens securing the Notes Obligations granted on the Collateral and notwithstanding any provision of the Uniform Commercial Code or other applicable legislation of any jurisdiction, or any other applicable law or the Notes Documents or the LC Documents, or any defect or deficiencies in or failure to perfect any such Liens or any other circumstance whatsoever (1) the Liens on the LC Priority Collateral securing the LC Obligations will rank senior to any Liens 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1" w:name="page722"/>
    <w:bookmarkEnd w:id="721"/>
    <w:p>
      <w:pPr>
        <w:spacing w:after="0" w:line="276" w:lineRule="auto"/>
        <w:rPr>
          <w:sz w:val="20"/>
          <w:szCs w:val="20"/>
          <w:color w:val="auto"/>
        </w:rPr>
      </w:pPr>
      <w:r>
        <w:rPr>
          <w:rFonts w:ascii="Arial" w:cs="Arial" w:eastAsia="Arial" w:hAnsi="Arial"/>
          <w:sz w:val="22"/>
          <w:szCs w:val="22"/>
          <w:color w:val="auto"/>
        </w:rPr>
        <w:t>the LC Priority Collateral securing the Notes Obligations and (2) the Liens on the Notes Priority Collateral securing the Notes Obligations will rank senior to any Liens on the Notes Priority Collateral securing the LC Obligations.</w:t>
      </w:r>
    </w:p>
    <w:p>
      <w:pPr>
        <w:spacing w:after="0" w:line="134" w:lineRule="exact"/>
        <w:rPr>
          <w:sz w:val="20"/>
          <w:szCs w:val="20"/>
          <w:color w:val="auto"/>
        </w:rPr>
      </w:pPr>
    </w:p>
    <w:p>
      <w:pPr>
        <w:jc w:val="both"/>
        <w:ind w:firstLine="1304"/>
        <w:spacing w:after="0" w:line="259" w:lineRule="auto"/>
        <w:tabs>
          <w:tab w:leader="none" w:pos="2317" w:val="left"/>
        </w:tabs>
        <w:numPr>
          <w:ilvl w:val="0"/>
          <w:numId w:val="863"/>
        </w:numPr>
        <w:rPr>
          <w:rFonts w:ascii="Arial" w:cs="Arial" w:eastAsia="Arial" w:hAnsi="Arial"/>
          <w:sz w:val="22"/>
          <w:szCs w:val="22"/>
          <w:color w:val="auto"/>
        </w:rPr>
      </w:pPr>
      <w:r>
        <w:rPr>
          <w:rFonts w:ascii="Arial" w:cs="Arial" w:eastAsia="Arial" w:hAnsi="Arial"/>
          <w:sz w:val="22"/>
          <w:szCs w:val="22"/>
          <w:color w:val="auto"/>
        </w:rPr>
        <w:t>For the avoidance of doubt, notwithstanding that Liens granted to the Foreign Collateral Agent, LC Collateral Agent, or Notes Collateral Agent on the Collateral governed by the laws of a jurisdiction located outside of the United States of America (the “</w:t>
      </w:r>
      <w:r>
        <w:rPr>
          <w:rFonts w:ascii="Arial" w:cs="Arial" w:eastAsia="Arial" w:hAnsi="Arial"/>
          <w:sz w:val="22"/>
          <w:szCs w:val="22"/>
          <w:u w:val="single" w:color="auto"/>
          <w:color w:val="auto"/>
        </w:rPr>
        <w:t>Foreign Collateral</w:t>
      </w:r>
      <w:r>
        <w:rPr>
          <w:rFonts w:ascii="Arial" w:cs="Arial" w:eastAsia="Arial" w:hAnsi="Arial"/>
          <w:sz w:val="22"/>
          <w:szCs w:val="22"/>
          <w:color w:val="auto"/>
        </w:rPr>
        <w:t xml:space="preserve">”) may (A) have legally the same or different ranking due to mandatory legal provisions governing such Foreign Collateral; (B) have been granted or perfected in an order contrary to the contemplated ranking as set forth in this Agreement or (C) not have been granted to Notes Collateral Agent or LC Collateral Agent, the contractual ranking of the Liens on such Foreign Collateral shall be consistent with the ranking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Article VI</w:t>
      </w:r>
      <w:r>
        <w:rPr>
          <w:rFonts w:ascii="Arial" w:cs="Arial" w:eastAsia="Arial" w:hAnsi="Arial"/>
          <w:sz w:val="22"/>
          <w:szCs w:val="22"/>
          <w:color w:val="auto"/>
        </w:rPr>
        <w:t>, all other terms and provisions of this Agreement with respect to Collateral shall be applicable to such Foreign Collateral.</w:t>
      </w:r>
    </w:p>
    <w:p>
      <w:pPr>
        <w:spacing w:after="0" w:line="16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8"/>
          <w:szCs w:val="18"/>
          <w:b w:val="1"/>
          <w:bCs w:val="1"/>
          <w:i w:val="1"/>
          <w:iCs w:val="1"/>
          <w:color w:val="auto"/>
        </w:rPr>
        <w:t>Actions With Respect to Collateral; Prohibition on Contesting Liens</w:t>
      </w:r>
      <w:r>
        <w:rPr>
          <w:rFonts w:ascii="Arial" w:cs="Arial" w:eastAsia="Arial" w:hAnsi="Arial"/>
          <w:sz w:val="18"/>
          <w:szCs w:val="18"/>
          <w:color w:val="auto"/>
        </w:rPr>
        <w:t>.</w:t>
      </w:r>
    </w:p>
    <w:p>
      <w:pPr>
        <w:spacing w:after="0" w:line="193" w:lineRule="exact"/>
        <w:rPr>
          <w:sz w:val="20"/>
          <w:szCs w:val="20"/>
          <w:color w:val="auto"/>
        </w:rPr>
      </w:pPr>
    </w:p>
    <w:p>
      <w:pPr>
        <w:jc w:val="both"/>
        <w:ind w:firstLine="1304"/>
        <w:spacing w:after="0" w:line="299" w:lineRule="auto"/>
        <w:tabs>
          <w:tab w:leader="none" w:pos="2116" w:val="left"/>
        </w:tabs>
        <w:numPr>
          <w:ilvl w:val="1"/>
          <w:numId w:val="864"/>
        </w:numPr>
        <w:rPr>
          <w:rFonts w:ascii="Arial" w:cs="Arial" w:eastAsia="Arial" w:hAnsi="Arial"/>
          <w:sz w:val="19"/>
          <w:szCs w:val="19"/>
          <w:color w:val="auto"/>
        </w:rPr>
      </w:pPr>
      <w:r>
        <w:rPr>
          <w:rFonts w:ascii="Arial" w:cs="Arial" w:eastAsia="Arial" w:hAnsi="Arial"/>
          <w:sz w:val="19"/>
          <w:szCs w:val="19"/>
          <w:color w:val="auto"/>
        </w:rPr>
        <w:t>Until the Discharge of all of the Senior Secured Obligations of a particular Class, (i) only the Applicable Senior Collateral Agent shall act or refrain from acting with respect to the Senior Secured Obligations Collateral of such Class,</w:t>
      </w:r>
    </w:p>
    <w:p>
      <w:pPr>
        <w:jc w:val="both"/>
        <w:ind w:firstLine="8"/>
        <w:spacing w:after="0" w:line="300" w:lineRule="auto"/>
        <w:tabs>
          <w:tab w:leader="none" w:pos="326" w:val="left"/>
        </w:tabs>
        <w:numPr>
          <w:ilvl w:val="0"/>
          <w:numId w:val="865"/>
        </w:numPr>
        <w:rPr>
          <w:rFonts w:ascii="Arial" w:cs="Arial" w:eastAsia="Arial" w:hAnsi="Arial"/>
          <w:sz w:val="19"/>
          <w:szCs w:val="19"/>
          <w:color w:val="auto"/>
        </w:rPr>
      </w:pPr>
      <w:r>
        <w:rPr>
          <w:rFonts w:ascii="Arial" w:cs="Arial" w:eastAsia="Arial" w:hAnsi="Arial"/>
          <w:sz w:val="19"/>
          <w:szCs w:val="19"/>
          <w:color w:val="auto"/>
        </w:rPr>
        <w:t>no Collateral Agent shall follow any instructions with respect to such Senior Secured Obligations Collateral from any Junior Representative or from any Junior Secured Obligations Secured Parties and (iii) each Junior Representative and the Junior Secured Obligations Secured Parties shall not, and shall not instruct any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Junior Secured Obligations Collateral, whether under any Notes Security Document or any LC Security Document, as applicable, applicable law or otherwise, it being agreed that (A) only the Applicable Senior Collateral Agent, acting in accordance with the Notes Security Documents or the LC Security Documents, as applicable, shall be entitled to take any such actions or exercise any such remedies, or to cause any Collateral Agent to do so and (B) notwithstanding the foregoing, each Junior Representative may take Permitted Remedies. Each Senior Collateral Agent may deal with the Senior Secured Obligations Collateral as if they had a senior Lien on such Collateral. No Junior Collateral Agent, Junior Representative or Junior Secured Obligations Secured Party will contest, protest or object to any foreclosure proceeding or action brought by any Senior Collateral Agent, Senior Representative or Senior Secured Obligations Secured Party or any other exercise by such Senior Collateral Agent, Senior Representative or Senior Secured Obligations Secured Party of any rights and remedies relating to the Senior Secured Obligations Collateral.</w:t>
      </w:r>
    </w:p>
    <w:p>
      <w:pPr>
        <w:spacing w:after="0" w:line="121" w:lineRule="exact"/>
        <w:rPr>
          <w:rFonts w:ascii="Arial" w:cs="Arial" w:eastAsia="Arial" w:hAnsi="Arial"/>
          <w:sz w:val="19"/>
          <w:szCs w:val="19"/>
          <w:color w:val="auto"/>
        </w:rPr>
      </w:pPr>
    </w:p>
    <w:p>
      <w:pPr>
        <w:jc w:val="both"/>
        <w:ind w:firstLine="1304"/>
        <w:spacing w:after="0" w:line="327" w:lineRule="auto"/>
        <w:tabs>
          <w:tab w:leader="none" w:pos="2101" w:val="left"/>
        </w:tabs>
        <w:numPr>
          <w:ilvl w:val="1"/>
          <w:numId w:val="865"/>
        </w:numPr>
        <w:rPr>
          <w:rFonts w:ascii="Arial" w:cs="Arial" w:eastAsia="Arial" w:hAnsi="Arial"/>
          <w:sz w:val="19"/>
          <w:szCs w:val="19"/>
          <w:color w:val="auto"/>
        </w:rPr>
      </w:pPr>
      <w:r>
        <w:rPr>
          <w:rFonts w:ascii="Arial" w:cs="Arial" w:eastAsia="Arial" w:hAnsi="Arial"/>
          <w:sz w:val="19"/>
          <w:szCs w:val="19"/>
          <w:color w:val="auto"/>
        </w:rPr>
        <w:t>Each of the Junior Collateral Agent and the Junior Secured Obligations Secured Parties agrees that it will not (and hereby waives any right to) directly or indirectly contest or support any other Person in contesting, in any proceeding (including any Insolvency or Liquidation Proceeding), the creation, extent, attachment, perfection, priority, validity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2" w:name="page723"/>
    <w:bookmarkEnd w:id="722"/>
    <w:p>
      <w:pPr>
        <w:jc w:val="both"/>
        <w:spacing w:after="0" w:line="327" w:lineRule="auto"/>
        <w:rPr>
          <w:sz w:val="20"/>
          <w:szCs w:val="20"/>
          <w:color w:val="auto"/>
        </w:rPr>
      </w:pPr>
      <w:r>
        <w:rPr>
          <w:rFonts w:ascii="Arial" w:cs="Arial" w:eastAsia="Arial" w:hAnsi="Arial"/>
          <w:sz w:val="19"/>
          <w:szCs w:val="19"/>
          <w:color w:val="auto"/>
        </w:rPr>
        <w:t xml:space="preserve">enforceability of a Lien or Senior Secured Obligations held by or on behalf of any of the Senior Secured Obligations Secured Parties in all or any part of the Collateral or the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of the Collateral Agents or the Secured Parties to enforce this Agreement.</w:t>
      </w:r>
    </w:p>
    <w:p>
      <w:pPr>
        <w:spacing w:after="0" w:line="92" w:lineRule="exact"/>
        <w:rPr>
          <w:sz w:val="20"/>
          <w:szCs w:val="20"/>
          <w:color w:val="auto"/>
        </w:rPr>
      </w:pPr>
    </w:p>
    <w:p>
      <w:pPr>
        <w:jc w:val="both"/>
        <w:ind w:firstLine="1304"/>
        <w:spacing w:after="0" w:line="270" w:lineRule="auto"/>
        <w:tabs>
          <w:tab w:leader="none" w:pos="2413" w:val="left"/>
        </w:tabs>
        <w:numPr>
          <w:ilvl w:val="0"/>
          <w:numId w:val="866"/>
        </w:numPr>
        <w:rPr>
          <w:rFonts w:ascii="Arial" w:cs="Arial" w:eastAsia="Arial" w:hAnsi="Arial"/>
          <w:sz w:val="21"/>
          <w:szCs w:val="21"/>
          <w:color w:val="auto"/>
        </w:rPr>
      </w:pPr>
      <w:r>
        <w:rPr>
          <w:rFonts w:ascii="Arial" w:cs="Arial" w:eastAsia="Arial" w:hAnsi="Arial"/>
          <w:sz w:val="21"/>
          <w:szCs w:val="21"/>
          <w:color w:val="auto"/>
        </w:rPr>
        <w:t>(i) Only the Foreign Collateral Agent shall act or refrain from acting with respect to the Foreign Collateral, (ii) Foreign Collateral Agent shall not follow any instructions with respect to Foreign Collateral except from the Controlling Party (in accordance with Article VI) and (iii) other than the Controlling Parties, no Secured Party will, or will instruct Foreign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Foreign Collateral, whether under any Notes Security Document or any LC Security Document, applicable law or otherwise, it being agreed that (A) only the Foreign Collateral Agent, acting in accordance with the Foreign Collateral Documents and the terms of Article VI, shall be entitled to take any such actions or exercise any such remedies and (B) notwithstanding the foregoing, each Representative may take Permitted Remedies with regard to the Foreign Collateral. No Secured Party will contest, protest or object to any foreclosure or other proceeding or action brought by Foreign Collateral Agent acting upon instructions of a Controlling Party, and the Controlling Parties may make such instructions as if they had a senior Lien on such Foreign Collateral.</w:t>
      </w:r>
    </w:p>
    <w:p>
      <w:pPr>
        <w:spacing w:after="0" w:line="165" w:lineRule="exact"/>
        <w:rPr>
          <w:rFonts w:ascii="Arial" w:cs="Arial" w:eastAsia="Arial" w:hAnsi="Arial"/>
          <w:sz w:val="21"/>
          <w:szCs w:val="21"/>
          <w:color w:val="auto"/>
        </w:rPr>
      </w:pPr>
    </w:p>
    <w:p>
      <w:pPr>
        <w:jc w:val="both"/>
        <w:ind w:firstLine="1304"/>
        <w:spacing w:after="0" w:line="271" w:lineRule="auto"/>
        <w:tabs>
          <w:tab w:leader="none" w:pos="2115" w:val="left"/>
        </w:tabs>
        <w:numPr>
          <w:ilvl w:val="0"/>
          <w:numId w:val="866"/>
        </w:numPr>
        <w:rPr>
          <w:rFonts w:ascii="Arial" w:cs="Arial" w:eastAsia="Arial" w:hAnsi="Arial"/>
          <w:sz w:val="21"/>
          <w:szCs w:val="21"/>
          <w:color w:val="auto"/>
        </w:rPr>
      </w:pPr>
      <w:r>
        <w:rPr>
          <w:rFonts w:ascii="Arial" w:cs="Arial" w:eastAsia="Arial" w:hAnsi="Arial"/>
          <w:sz w:val="21"/>
          <w:szCs w:val="21"/>
          <w:color w:val="auto"/>
        </w:rPr>
        <w:t xml:space="preserve">(i) With respect to any payments or distributions in cash, property or other assets that any Junior Secured Obligations Secured Party pays over to any Senior Secured Obligations Secured Party under the terms of this Agreement, such Junior Secured Obligations Secured Party shall be subrogated to the rights of the Senior Secured Party Obligations Secured Party and (ii) any Secured Party may assert its rights of subrogation under applicable law resulting from any draw or other payment under any letter of credit issued under or secured by the Notes Documents or LC Documents,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that (x) the LC Facility Secured Parties shall not assert or enforce any such rights of subrogation they may acquire as described in clauses (i) or (ii) above with respect to the Notes Documents or Notes Priority Collateral until the Discharge of all Notes Obligations has occurred and (y) the Notes Secured Parties shall not assert or enforce any such rights of subrogation they may acquire as described in clauses (i) or (ii) above with respect to the LC Documents or LC Priority Collateral until the Discharge of all LC Obligations has occurred.</w:t>
      </w:r>
    </w:p>
    <w:p>
      <w:pPr>
        <w:spacing w:after="0" w:line="148" w:lineRule="exact"/>
        <w:rPr>
          <w:rFonts w:ascii="Arial" w:cs="Arial" w:eastAsia="Arial" w:hAnsi="Arial"/>
          <w:sz w:val="21"/>
          <w:szCs w:val="21"/>
          <w:color w:val="auto"/>
        </w:rPr>
      </w:pPr>
    </w:p>
    <w:p>
      <w:pPr>
        <w:jc w:val="both"/>
        <w:ind w:firstLine="1304"/>
        <w:spacing w:after="0" w:line="311" w:lineRule="auto"/>
        <w:tabs>
          <w:tab w:leader="none" w:pos="2103" w:val="left"/>
        </w:tabs>
        <w:numPr>
          <w:ilvl w:val="0"/>
          <w:numId w:val="866"/>
        </w:numPr>
        <w:rPr>
          <w:rFonts w:ascii="Arial" w:cs="Arial" w:eastAsia="Arial" w:hAnsi="Arial"/>
          <w:sz w:val="19"/>
          <w:szCs w:val="19"/>
          <w:color w:val="auto"/>
        </w:rPr>
      </w:pPr>
      <w:r>
        <w:rPr>
          <w:rFonts w:ascii="Arial" w:cs="Arial" w:eastAsia="Arial" w:hAnsi="Arial"/>
          <w:sz w:val="19"/>
          <w:szCs w:val="19"/>
          <w:color w:val="auto"/>
        </w:rPr>
        <w:t>The parties hereto agree to execute, acknowledge and deliver a Memorandum of Intercreditor Agreement (“</w:t>
      </w:r>
      <w:r>
        <w:rPr>
          <w:rFonts w:ascii="Arial" w:cs="Arial" w:eastAsia="Arial" w:hAnsi="Arial"/>
          <w:sz w:val="19"/>
          <w:szCs w:val="19"/>
          <w:b w:val="1"/>
          <w:bCs w:val="1"/>
          <w:i w:val="1"/>
          <w:iCs w:val="1"/>
          <w:color w:val="auto"/>
        </w:rPr>
        <w:t>Memorandum</w:t>
      </w:r>
      <w:r>
        <w:rPr>
          <w:rFonts w:ascii="Arial" w:cs="Arial" w:eastAsia="Arial" w:hAnsi="Arial"/>
          <w:sz w:val="19"/>
          <w:szCs w:val="19"/>
          <w:color w:val="auto"/>
        </w:rPr>
        <w:t>”), together with such other documents in furtherance hereof or thereof, in each case, in proper form for recording in connection with any Mortgages and in form and substance reasonably satisfactory to the Collateral Agents, in those jurisdictions where such recording is reasonably recommended or requested by local real estate counsel and/or the title insurance company, or as otherwise deemed reasonably necessary or proper by the parties hereto.</w:t>
      </w:r>
    </w:p>
    <w:p>
      <w:pPr>
        <w:spacing w:after="0" w:line="11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8"/>
          <w:szCs w:val="18"/>
          <w:b w:val="1"/>
          <w:bCs w:val="1"/>
          <w:i w:val="1"/>
          <w:iCs w:val="1"/>
          <w:color w:val="auto"/>
        </w:rPr>
        <w:t>No Duties of Senior Representative; Provision of Notice</w:t>
      </w:r>
      <w:r>
        <w:rPr>
          <w:rFonts w:ascii="Arial" w:cs="Arial" w:eastAsia="Arial" w:hAnsi="Arial"/>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3" w:name="page724"/>
    <w:bookmarkEnd w:id="723"/>
    <w:p>
      <w:pPr>
        <w:jc w:val="both"/>
        <w:ind w:firstLine="1304"/>
        <w:spacing w:after="0" w:line="298" w:lineRule="auto"/>
        <w:tabs>
          <w:tab w:leader="none" w:pos="2413" w:val="left"/>
        </w:tabs>
        <w:numPr>
          <w:ilvl w:val="0"/>
          <w:numId w:val="867"/>
        </w:numPr>
        <w:rPr>
          <w:rFonts w:ascii="Arial" w:cs="Arial" w:eastAsia="Arial" w:hAnsi="Arial"/>
          <w:sz w:val="19"/>
          <w:szCs w:val="19"/>
          <w:color w:val="auto"/>
        </w:rPr>
      </w:pPr>
      <w:r>
        <w:rPr>
          <w:rFonts w:ascii="Arial" w:cs="Arial" w:eastAsia="Arial" w:hAnsi="Arial"/>
          <w:sz w:val="19"/>
          <w:szCs w:val="19"/>
          <w:color w:val="auto"/>
        </w:rPr>
        <w:t>Each Junior Secured Obligations Secured Party acknowledges and agrees that none of the Senior Collateral Agents, the Senior Representative nor any other Senior Secured Obligations Secured Party shall have any duties or other obligations to such Junior Secured Obligations Secured Party with respect to any Senior Secured Obligations Collateral, other than to transfer to the Applicable Junior Collateral Agent any proceeds of any such Senior Secured Obligations Collateral remaining in its possession or under its control following any sale, transfer or other disposition of such Collateral (in each case, unless the Junior Secured Obligations have been Discharged prior to or concurrently with such sale, transfer, disposition, payment or satisfaction) and the Discharge of the Senior Secured Obligations secured thereby, or if a Senior Collateral Agent shall be in possession or control of all or any part of such Collateral after such payment and satisfaction in full and termination, such Collateral or any part thereof remaining, in each case without representation or warranty on the part of any Senior Collateral Agent, any Senior Representative or any Senior Secured Obligations Secured Party and at the sole cost and expense of the Grantors. In furtherance of the foregoing, each Junior Secured Obligations Secured Party acknowledges and agrees that, until the Senior Secured Obligations secured by any Collateral shall have been Discharged, the Applicable Senior Collateral Agent shall be entitled, for the benefit of the holders of such Senior Secured Obligations, to sell, transfer or otherwise dispose of, or cause the sale, transfer or other disposition of, such Senior Secured Obligations Collateral as provided herein and in the Notes Documents and the LC Documents, as applicable, without regard to any Junior Claims or any rights to which the holders of the Junior Secured Obligations would otherwise be entitled as a result of such Junior Claims. Without limiting the foregoing, each Junior Secured Obligations Secured Party agrees that none of the Senior Collateral Agents, the Senior Representatives nor any other Senior Secured Obligations Secured Party shall have any duty or obligation first to marshal or realize upon any type of Senior Secured Obligations Collateral (or any other collateral securing the Senior Secured Obligations), or to sell, dispose of, realize on or liquidate all or any portion of such Senior Secured Obligations Collateral (or any other collateral securing the Senior Secured Obligations), in any manner that would maximize the return to the Junior Secured Obligations Secured Parties, notwithstanding that the order and timing of any such realization, sale, disposition or liquidation may affect the amount of proceeds actually received by the Junior Secured Obligations Secured Parties from such realization, sale, disposition or liquidation. Each of the Junior Secured Obligations Secured Parties waives any claim such Junior Secured Obligations Secured Party may now or hereafter have against any Senior Collateral Agent, any Senior Representative or any other Senior Secured Obligations Secured Party (or their representatives, including any receiver, receiver and manager, interim receiver, administrator, delegate or agent they may appoint) arising out of (i) any actions which any Senior Collateral Agent, any Senior Representative or the Senior Secured Obligations Secured Parties (or their representatives, including any receiver, receiver and manager, interim receiver, administrator, delegate or agent they may appoint) take or omit to take (including, actions with respect to the creation, attachment, perfection or continuation of Liens on any Senior Secured Obligations Collateral, actions with respect to the preservation, foreclosure upon, realization, sale, release or depreciation of, or failure to realize upon, any of the Senior Secured Obligations Collateral and actions with respect to the collection of any claim for all or any part of the Senior Secured Obligations from any account debtor, guarantor or any other party) in accordance with the Notes Documents and the LC Documents or any other agreement related thereto or to the collection of the Senior Secured Obligations or the valuation, use, protection or release of any security for the Senior Secured Obligations, (ii) any election by any Applicable Senior Collateral Agent, 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4" w:name="page725"/>
    <w:bookmarkEnd w:id="724"/>
    <w:p>
      <w:pPr>
        <w:jc w:val="both"/>
        <w:spacing w:after="0" w:line="261" w:lineRule="auto"/>
        <w:rPr>
          <w:sz w:val="20"/>
          <w:szCs w:val="20"/>
          <w:color w:val="auto"/>
        </w:rPr>
      </w:pPr>
      <w:r>
        <w:rPr>
          <w:rFonts w:ascii="Arial" w:cs="Arial" w:eastAsia="Arial" w:hAnsi="Arial"/>
          <w:sz w:val="22"/>
          <w:szCs w:val="22"/>
          <w:color w:val="auto"/>
        </w:rPr>
        <w:t>Senior Representative or any Senior Secured Obligations Secured Parties, in any proceeding instituted under the Bankruptcy Code, of the application of Section 1111(b) of the Bankruptcy Code (or any equivalent proceeding under any other Debtor Relief Law) or (iii) subject to Section 2.06, any borrowing by, or grant of a security interest or administrative expense priority under Section 364 of the Bankruptcy Code by, the Parent or any of its Subsidiaries, as debtor-in-possession (or any equivalent action under any other Debtor Relief Law).</w:t>
      </w:r>
    </w:p>
    <w:p>
      <w:pPr>
        <w:spacing w:after="0" w:line="15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b w:val="1"/>
          <w:bCs w:val="1"/>
          <w:i w:val="1"/>
          <w:iCs w:val="1"/>
          <w:color w:val="auto"/>
        </w:rPr>
        <w:t>No Interference; Payment Over; Reinstatement</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98" w:lineRule="auto"/>
        <w:tabs>
          <w:tab w:leader="none" w:pos="2211" w:val="left"/>
        </w:tabs>
        <w:numPr>
          <w:ilvl w:val="0"/>
          <w:numId w:val="868"/>
        </w:numPr>
        <w:rPr>
          <w:rFonts w:ascii="Arial" w:cs="Arial" w:eastAsia="Arial" w:hAnsi="Arial"/>
          <w:sz w:val="19"/>
          <w:szCs w:val="19"/>
          <w:color w:val="auto"/>
        </w:rPr>
      </w:pPr>
      <w:r>
        <w:rPr>
          <w:rFonts w:ascii="Arial" w:cs="Arial" w:eastAsia="Arial" w:hAnsi="Arial"/>
          <w:sz w:val="19"/>
          <w:szCs w:val="19"/>
          <w:color w:val="auto"/>
        </w:rPr>
        <w:t xml:space="preserve">Each Junior Secured Obligations Secured Party, each Junior Representative and each Junior Collateral Agent agrees that (i) it will not take or cause to be taken any action the purpose or effect of which is, or could be, to make any Junior Claim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to give such Junior Secured Obligations Secured Party any preference or priority relative to, any Senior Claim with respect to the Senior Secured Obligations Collateral or any part thereof, (ii) it will not challenge or question in any proceeding the validity or enforceability of any Foreign Collateral Document, Notes Security Document, or LC Security Document or the extent, validity, attachment, perfection, priority, or enforceability of any Lien under the Foreign Collateral Documents, Notes Security Documents or the LC Security Documents, or the validity or enforceability of the priorities, rights or duties established by or other provisions of this Agreement, (iii) it will not take or cause to be taken any action the purpose or intent of which is, or could be, to interfere, hinder or delay, in any manner, whether by judicial proceedings or otherwise, any sale, transfer or other disposition of the Senior Secured Obligations Collateral by the Applicable Senior Collateral Agent or any Senior Secured Obligations Secured Parties or any Senior Representative acting on their behalf (or their respective representatives, including any receiver, receiver and manager, interim receiver, administrator, delegate or agent they may appoint), including with respect to the Foreign Collateral by the Foreign Collateral Agent following the instructions of a Controlling Party, (iv) it shall have no right to (A) direct the Applicable Senior Collateral Agent, any Senior Representative or any holder of Senior Secured Obligations (or their respective representatives, including any receiver, receiver and manager, interim receiver, administrator, delegate or agent they may appoint) to exercise any right, remedy or power with respect to any Senior Secured Obligations Collateral or (B) consent to the exercise by the Applicable Senior Collateral Agent, any Senior Representative or any other Senior Secured Obligations Secured Party (or their respective representatives, including any receiver, receiver and manager, interim receiver, administrator, delegate or agent they may appoint) of any right, remedy or power with respect to any Senior Secured Obligations Collateral, (v) it will not institute any suit or assert in any Insolvency or Liquidation Proceeding any claim against the Applicable Senior Collateral Agent, any Senior Representative or other Senior Secured Obligations Secured Party seeking damages from or other relief by way of specific performance, injunction, directions, instructions or otherwise with respect to, and none of the Applicable Senior Collateral Agent, any Senior Representative or any other Senior Secured Obligations Secured Party shall be liable for, any action taken or omitted to be taken by such Senior Collateral Agent, such Senior Representative or other Senior Secured Obligations Secured Party with respect to any Senior Secured Obligations Collateral, (vi) it will not seek, and hereby waives any right, to have any Senior Secured Obligations Collateral, Foreign Collateral or any part thereof marshaled upon any foreclosure or other disposition of such Senior Secured Obligations Collateral or Foreign Collateral and (vii) it will not attempt, directly or indirectly, whether by judicial proceedings or otherwise, to challenge the enforceability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5" w:name="page726"/>
    <w:bookmarkEnd w:id="725"/>
    <w:p>
      <w:pPr>
        <w:spacing w:after="0" w:line="276" w:lineRule="auto"/>
        <w:rPr>
          <w:sz w:val="20"/>
          <w:szCs w:val="20"/>
          <w:color w:val="auto"/>
        </w:rPr>
      </w:pPr>
      <w:r>
        <w:rPr>
          <w:rFonts w:ascii="Arial" w:cs="Arial" w:eastAsia="Arial" w:hAnsi="Arial"/>
          <w:sz w:val="22"/>
          <w:szCs w:val="22"/>
          <w:color w:val="auto"/>
        </w:rPr>
        <w:t>nothing in this Agreement shall be construed to prevent or impair the rights of any of the Collateral Agents, or the Secured Parties to enforce this Agreement.</w:t>
      </w:r>
    </w:p>
    <w:p>
      <w:pPr>
        <w:spacing w:after="0" w:line="134" w:lineRule="exact"/>
        <w:rPr>
          <w:sz w:val="20"/>
          <w:szCs w:val="20"/>
          <w:color w:val="auto"/>
        </w:rPr>
      </w:pPr>
    </w:p>
    <w:p>
      <w:pPr>
        <w:jc w:val="both"/>
        <w:ind w:firstLine="1304"/>
        <w:spacing w:after="0" w:line="300" w:lineRule="auto"/>
        <w:tabs>
          <w:tab w:leader="none" w:pos="2182" w:val="left"/>
        </w:tabs>
        <w:numPr>
          <w:ilvl w:val="0"/>
          <w:numId w:val="869"/>
        </w:numPr>
        <w:rPr>
          <w:rFonts w:ascii="Arial" w:cs="Arial" w:eastAsia="Arial" w:hAnsi="Arial"/>
          <w:sz w:val="19"/>
          <w:szCs w:val="19"/>
          <w:color w:val="auto"/>
        </w:rPr>
      </w:pPr>
      <w:r>
        <w:rPr>
          <w:rFonts w:ascii="Arial" w:cs="Arial" w:eastAsia="Arial" w:hAnsi="Arial"/>
          <w:sz w:val="19"/>
          <w:szCs w:val="19"/>
          <w:color w:val="auto"/>
        </w:rPr>
        <w:t>Each Junior Collateral Agent, each Junior Representative and each Junior Secured Obligations Secured Party hereby agrees that, if it shall obtain possession or control of any Senior Secured Obligations Collateral, or shall receive any Proceeds or payment in respect of any Senior Secured Obligations Collateral, pursuant to any Notes Security Document or LC Security Document or by the exercise of any rights available to it under any applicable law or in any Insolvency or Liquidation Proceeding or through any other exercise of rights or remedies, at any time prior to the Discharge of the Senior Secured Obligations, then it shall hold such Senior Secured Obligations Collateral proceeds or payment in trust for the Senior Secured Obligations Secured Parties and transfer such Senior Secured Obligations Collateral, proceeds or payment, as the case may be, to the Applicable Senior Collateral Agent reasonably promptly after obtaining actual knowledge, or notice from the Applicable Senior Collateral Agent, that it is in possession or control of such Senior Secured Obligations Collateral, proceeds or payment. Each Junior Secured Obligations Secured Party agrees that if, at any time, it receives notice or obtains actual knowledge that all or part of any payment with respect to any Senior Secured Obligations previously made shall be rescinded for any reason whatsoever, such Junior Secured Obligations Secured Party shall promptly pay over to the Applicable Senior Collateral Agent any payment received by it and then in its possession or under its control in respect of any Senior Secured Obligations Collateral and shall promptly turn over any Senior Secured Obligations Collateral then held by it over to the Applicable Senior Collateral Agent, and the provisions set forth in this Agreement shall be reinstated as if such payment had not been made, until the payment and satisfaction in full of the Senior Secured Obligations.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304"/>
        <w:spacing w:after="0" w:line="306" w:lineRule="auto"/>
        <w:tabs>
          <w:tab w:leader="none" w:pos="2211" w:val="left"/>
        </w:tabs>
        <w:numPr>
          <w:ilvl w:val="0"/>
          <w:numId w:val="869"/>
        </w:numPr>
        <w:rPr>
          <w:rFonts w:ascii="Arial" w:cs="Arial" w:eastAsia="Arial" w:hAnsi="Arial"/>
          <w:sz w:val="19"/>
          <w:szCs w:val="19"/>
          <w:color w:val="auto"/>
        </w:rPr>
      </w:pPr>
      <w:r>
        <w:rPr>
          <w:rFonts w:ascii="Arial" w:cs="Arial" w:eastAsia="Arial" w:hAnsi="Arial"/>
          <w:sz w:val="19"/>
          <w:szCs w:val="19"/>
          <w:color w:val="auto"/>
        </w:rPr>
        <w:t>Prior to the Discharge of Senior Secured Obligations, if any Junior Secured Obligations Secured Party holds any Lien on any assets of the Parent or any other Grantor securing any Junior Claims that are intended to secure the Senior Claims pursuant to the Senior Secured Obligations Collateral Documents but are not already subject to a senior Lien in favor of the Senior Secured Obligations Secured Parties, such Junior Secured Obligations Secured Party, upon demand by any Senior Secured Obligations Secured Party, will assign such Lien to the applicable Senior Representative, at the sole cost and expense of the Grantors, as security for such Senior Secured Obligations (in which case the Junior Secured Obligations Secured Parties may retain a junior Lien on such assets subject to the terms hereof).</w:t>
      </w:r>
    </w:p>
    <w:p>
      <w:pPr>
        <w:spacing w:after="0" w:line="116"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8"/>
          <w:szCs w:val="18"/>
          <w:b w:val="1"/>
          <w:bCs w:val="1"/>
          <w:i w:val="1"/>
          <w:iCs w:val="1"/>
          <w:color w:val="auto"/>
        </w:rPr>
        <w:t>Automatic Release of Junior Liens</w:t>
      </w:r>
      <w:r>
        <w:rPr>
          <w:rFonts w:ascii="Arial" w:cs="Arial" w:eastAsia="Arial" w:hAnsi="Arial"/>
          <w:sz w:val="18"/>
          <w:szCs w:val="18"/>
          <w:color w:val="auto"/>
        </w:rPr>
        <w:t>.</w:t>
      </w:r>
    </w:p>
    <w:p>
      <w:pPr>
        <w:spacing w:after="0" w:line="193" w:lineRule="exact"/>
        <w:rPr>
          <w:sz w:val="20"/>
          <w:szCs w:val="20"/>
          <w:color w:val="auto"/>
        </w:rPr>
      </w:pPr>
    </w:p>
    <w:p>
      <w:pPr>
        <w:jc w:val="both"/>
        <w:ind w:firstLine="1304"/>
        <w:spacing w:after="0" w:line="273" w:lineRule="auto"/>
        <w:tabs>
          <w:tab w:leader="none" w:pos="2143" w:val="left"/>
        </w:tabs>
        <w:numPr>
          <w:ilvl w:val="0"/>
          <w:numId w:val="870"/>
        </w:numPr>
        <w:rPr>
          <w:rFonts w:ascii="Arial" w:cs="Arial" w:eastAsia="Arial" w:hAnsi="Arial"/>
          <w:sz w:val="21"/>
          <w:szCs w:val="21"/>
          <w:color w:val="auto"/>
        </w:rPr>
      </w:pPr>
      <w:r>
        <w:rPr>
          <w:rFonts w:ascii="Arial" w:cs="Arial" w:eastAsia="Arial" w:hAnsi="Arial"/>
          <w:sz w:val="21"/>
          <w:szCs w:val="21"/>
          <w:color w:val="auto"/>
        </w:rPr>
        <w:t xml:space="preserve">The LC Collateral Agent and each other LC Secured Party agrees that, in the event of a sale, transfer or other disposition of any Notes Priority Collateral in connection with the foreclosure upon or other exercise of rights and remedies with respect to such Notes Priority Collateral that results in the release by the Notes Collateral Agent of the Lien held by the Notes Collateral Agent on such Notes Priority Collateral, the Lien held by the LC Collateral Agent on such Notes Priority Collateral shall be automatically released;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all holders of the LC Obligations shall be entitled to any proceeds of a sale, transfer or other disposition under this clause (a) that remain after Discharge of the Notes Obligations, and the Liens on such remaining proceeds securing the LC Obligations shall not be automatically released pursuant to this Section 2.05(a).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6" w:name="page727"/>
    <w:bookmarkEnd w:id="726"/>
    <w:p>
      <w:pPr>
        <w:jc w:val="both"/>
        <w:ind w:firstLine="1304"/>
        <w:spacing w:after="0" w:line="259" w:lineRule="auto"/>
        <w:tabs>
          <w:tab w:leader="none" w:pos="2344" w:val="left"/>
        </w:tabs>
        <w:numPr>
          <w:ilvl w:val="0"/>
          <w:numId w:val="871"/>
        </w:numPr>
        <w:rPr>
          <w:rFonts w:ascii="Arial" w:cs="Arial" w:eastAsia="Arial" w:hAnsi="Arial"/>
          <w:sz w:val="22"/>
          <w:szCs w:val="22"/>
          <w:color w:val="auto"/>
        </w:rPr>
      </w:pPr>
      <w:r>
        <w:rPr>
          <w:rFonts w:ascii="Arial" w:cs="Arial" w:eastAsia="Arial" w:hAnsi="Arial"/>
          <w:sz w:val="22"/>
          <w:szCs w:val="22"/>
          <w:color w:val="auto"/>
        </w:rPr>
        <w:t xml:space="preserve">The Notes Collateral Agent and each other Notes Secured Party agrees that, in the event of a sale, transfer or other disposition of any LC Priority Collateral in connection with the foreclosure upon or other exercise of rights and remedies with respect to such LC Priority Collateral that results in the release by the LC Collateral Agent of the Lien held by the LC Collateral Agent on such LC Priority Collateral, the Lien held by the Notes Collateral Agent on such LC Priority Collateral shall be automatically released;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all holders of the Notes Obligations shall be entitled to any proceeds of a sale, transfer or other disposition under this clause (b) that remain after Discharge of all LC Obligations, and the Liens on such remaining proceeds securing the Notes Obligations shall not be automatically released pursuant to this Section 2.05(b).</w:t>
      </w:r>
    </w:p>
    <w:p>
      <w:pPr>
        <w:spacing w:after="0" w:line="151" w:lineRule="exact"/>
        <w:rPr>
          <w:rFonts w:ascii="Arial" w:cs="Arial" w:eastAsia="Arial" w:hAnsi="Arial"/>
          <w:sz w:val="22"/>
          <w:szCs w:val="22"/>
          <w:color w:val="auto"/>
        </w:rPr>
      </w:pPr>
    </w:p>
    <w:p>
      <w:pPr>
        <w:jc w:val="both"/>
        <w:ind w:firstLine="1304"/>
        <w:spacing w:after="0" w:line="308" w:lineRule="auto"/>
        <w:tabs>
          <w:tab w:leader="none" w:pos="2089" w:val="left"/>
        </w:tabs>
        <w:numPr>
          <w:ilvl w:val="0"/>
          <w:numId w:val="871"/>
        </w:numPr>
        <w:rPr>
          <w:rFonts w:ascii="Arial" w:cs="Arial" w:eastAsia="Arial" w:hAnsi="Arial"/>
          <w:sz w:val="19"/>
          <w:szCs w:val="19"/>
          <w:color w:val="auto"/>
        </w:rPr>
      </w:pPr>
      <w:r>
        <w:rPr>
          <w:rFonts w:ascii="Arial" w:cs="Arial" w:eastAsia="Arial" w:hAnsi="Arial"/>
          <w:sz w:val="19"/>
          <w:szCs w:val="19"/>
          <w:color w:val="auto"/>
        </w:rPr>
        <w:t xml:space="preserve">In the event of a Default Disposition, the Liens of Junior Collateral Agent shall be automatically released so long as (i) such Default Disposition is conducted by the applicable Grantor(s) in a commercially reasonable manner (as if such Default Disposition were a disposition of collateral by a secured party in accordance with the UCC or similar law under the applicable jurisdiction) and in accordance with applicable law, (ii) Senior Collateral Agent also releases its Liens on such Senior Secured Obligations Collateral and (iii) the net cash proceeds of any such Default Disposition are applied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hereof (as if they were proceeds received in connection with an enforcement action).</w:t>
      </w:r>
    </w:p>
    <w:p>
      <w:pPr>
        <w:spacing w:after="0" w:line="126" w:lineRule="exact"/>
        <w:rPr>
          <w:rFonts w:ascii="Arial" w:cs="Arial" w:eastAsia="Arial" w:hAnsi="Arial"/>
          <w:sz w:val="19"/>
          <w:szCs w:val="19"/>
          <w:color w:val="auto"/>
        </w:rPr>
      </w:pPr>
    </w:p>
    <w:p>
      <w:pPr>
        <w:jc w:val="both"/>
        <w:ind w:firstLine="1304"/>
        <w:spacing w:after="0" w:line="262" w:lineRule="auto"/>
        <w:tabs>
          <w:tab w:leader="none" w:pos="2209" w:val="left"/>
        </w:tabs>
        <w:numPr>
          <w:ilvl w:val="0"/>
          <w:numId w:val="871"/>
        </w:numPr>
        <w:rPr>
          <w:rFonts w:ascii="Arial" w:cs="Arial" w:eastAsia="Arial" w:hAnsi="Arial"/>
          <w:sz w:val="22"/>
          <w:szCs w:val="22"/>
          <w:color w:val="auto"/>
        </w:rPr>
      </w:pPr>
      <w:r>
        <w:rPr>
          <w:rFonts w:ascii="Arial" w:cs="Arial" w:eastAsia="Arial" w:hAnsi="Arial"/>
          <w:sz w:val="22"/>
          <w:szCs w:val="22"/>
          <w:color w:val="auto"/>
        </w:rPr>
        <w:t>Each Junior Representative and each Junior Collateral Agent agrees to execute and deliver (at the sole cost and expense of the applicable Grantors) all such authorizations and other instruments as shall reasonably be requested by the applicable Senior Representative or the Applicable Senior Collateral Agent to evidence and confirm any release of Junior Secured Obligations Collateral provided for in this Section.</w:t>
      </w:r>
    </w:p>
    <w:p>
      <w:pPr>
        <w:spacing w:after="0" w:line="150" w:lineRule="exact"/>
        <w:rPr>
          <w:rFonts w:ascii="Arial" w:cs="Arial" w:eastAsia="Arial" w:hAnsi="Arial"/>
          <w:sz w:val="22"/>
          <w:szCs w:val="22"/>
          <w:color w:val="auto"/>
        </w:rPr>
      </w:pPr>
    </w:p>
    <w:p>
      <w:pPr>
        <w:jc w:val="both"/>
        <w:ind w:firstLine="1304"/>
        <w:spacing w:after="0" w:line="301" w:lineRule="auto"/>
        <w:tabs>
          <w:tab w:leader="none" w:pos="2116" w:val="left"/>
        </w:tabs>
        <w:numPr>
          <w:ilvl w:val="0"/>
          <w:numId w:val="871"/>
        </w:numPr>
        <w:rPr>
          <w:rFonts w:ascii="Arial" w:cs="Arial" w:eastAsia="Arial" w:hAnsi="Arial"/>
          <w:sz w:val="19"/>
          <w:szCs w:val="19"/>
          <w:color w:val="auto"/>
        </w:rPr>
      </w:pPr>
      <w:r>
        <w:rPr>
          <w:rFonts w:ascii="Arial" w:cs="Arial" w:eastAsia="Arial" w:hAnsi="Arial"/>
          <w:sz w:val="19"/>
          <w:szCs w:val="19"/>
          <w:color w:val="auto"/>
        </w:rPr>
        <w:t xml:space="preserve">If at any time any Grantor or the holder of any Senior Secured Obligations delivers notice to each Junior Collateral Agent that any specified Senior Secured Obligations Collateral (including all or substantially all of the Capital Stock of a Grantor or any of its Subsidiaries) is sold, transferred or otherwise disposed of (i) by the owner of such Collateral in a transaction permitted under the LC Documents and the Notes Documents, or (ii) during the existence of any Event of Default under the Notes Documents or the LC Documents, in each case in connection with the foreclosure upon (or exercise of rights and remedies with respect to) such Collateral, to the extent that the Applicable Senior Collateral Agent has consented to such sale, transfer or disposition, then the Liens in favor of the Junior Secured Obligations Secured Parties upon such Collateral will automatically be released and discharged as and when, but only to the extent, such Liens on such Senior Secured Obligations Collateral are released and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proceeds of such sale, transfer or disposition shall be applied in accordance with </w:t>
      </w:r>
      <w:r>
        <w:rPr>
          <w:rFonts w:ascii="Arial" w:cs="Arial" w:eastAsia="Arial" w:hAnsi="Arial"/>
          <w:sz w:val="19"/>
          <w:szCs w:val="19"/>
          <w:u w:val="single" w:color="auto"/>
          <w:color w:val="auto"/>
        </w:rPr>
        <w:t>Section 2.01(a)</w:t>
      </w:r>
      <w:r>
        <w:rPr>
          <w:rFonts w:ascii="Arial" w:cs="Arial" w:eastAsia="Arial" w:hAnsi="Arial"/>
          <w:sz w:val="19"/>
          <w:szCs w:val="19"/>
          <w:color w:val="auto"/>
        </w:rPr>
        <w:t>. Upon delivery to each Junior Collateral Agent of a notice from the Applicable Senior Collateral Agent stating that any release of Liens securing or supporting the Senior Secured Obligations has become effective (or shall become effective upon each Junior Collateral Agent’s release), each Junior Collateral Agent will promptly execute and deliver (at the sole cost and expense of the Grantors) such instruments, releases, terminations statements or other documents confirming such release on customary terms.</w:t>
      </w:r>
    </w:p>
    <w:p>
      <w:pPr>
        <w:spacing w:after="0" w:line="393"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8"/>
          <w:szCs w:val="18"/>
          <w:b w:val="1"/>
          <w:bCs w:val="1"/>
          <w:i w:val="1"/>
          <w:iCs w:val="1"/>
          <w:color w:val="auto"/>
        </w:rPr>
        <w:t>Certain Agreements With Respect to Insolvency or Liquidation Proceedings</w:t>
      </w:r>
      <w:r>
        <w:rPr>
          <w:rFonts w:ascii="Arial" w:cs="Arial" w:eastAsia="Arial" w:hAnsi="Arial"/>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7" w:name="page728"/>
    <w:bookmarkEnd w:id="727"/>
    <w:p>
      <w:pPr>
        <w:jc w:val="both"/>
        <w:ind w:firstLine="1304"/>
        <w:spacing w:after="0" w:line="308" w:lineRule="auto"/>
        <w:tabs>
          <w:tab w:leader="none" w:pos="2386" w:val="left"/>
        </w:tabs>
        <w:numPr>
          <w:ilvl w:val="0"/>
          <w:numId w:val="872"/>
        </w:numPr>
        <w:rPr>
          <w:rFonts w:ascii="Arial" w:cs="Arial" w:eastAsia="Arial" w:hAnsi="Arial"/>
          <w:sz w:val="19"/>
          <w:szCs w:val="19"/>
          <w:color w:val="auto"/>
        </w:rPr>
      </w:pPr>
      <w:r>
        <w:rPr>
          <w:rFonts w:ascii="Arial" w:cs="Arial" w:eastAsia="Arial" w:hAnsi="Arial"/>
          <w:sz w:val="19"/>
          <w:szCs w:val="19"/>
          <w:color w:val="auto"/>
        </w:rPr>
        <w:t>This Agreement shall continue in full force and effect notwithstanding the commencement of any proceeding under the Bankruptcy Code or any other Debtor Relief Law by or against the Parent or any of its Subsidiaries. Without limiting the generality of the foregoing, the provisions of this Agreement are intended to be and shall be enforceable as a “Subordination Agreement” under Section 510(a) of the Bankruptcy Code. All references to the Parent or any other Grantor shall include such Parent or Grantor as a debtor-in-possession and any receiver, trustee, liquidator (whether provisional or permanent, as the case may be) or court-appointed officer for such person in any Insolvency or Liquidation Proceeding.</w:t>
      </w:r>
    </w:p>
    <w:p>
      <w:pPr>
        <w:spacing w:after="0" w:line="113" w:lineRule="exact"/>
        <w:rPr>
          <w:rFonts w:ascii="Arial" w:cs="Arial" w:eastAsia="Arial" w:hAnsi="Arial"/>
          <w:sz w:val="19"/>
          <w:szCs w:val="19"/>
          <w:color w:val="auto"/>
        </w:rPr>
      </w:pPr>
    </w:p>
    <w:p>
      <w:pPr>
        <w:ind w:left="2180" w:hanging="876"/>
        <w:spacing w:after="0"/>
        <w:tabs>
          <w:tab w:leader="none" w:pos="2180" w:val="left"/>
        </w:tabs>
        <w:numPr>
          <w:ilvl w:val="0"/>
          <w:numId w:val="872"/>
        </w:numPr>
        <w:rPr>
          <w:rFonts w:ascii="Arial" w:cs="Arial" w:eastAsia="Arial" w:hAnsi="Arial"/>
          <w:sz w:val="19"/>
          <w:szCs w:val="19"/>
          <w:color w:val="auto"/>
        </w:rPr>
      </w:pPr>
      <w:r>
        <w:rPr>
          <w:rFonts w:ascii="Arial" w:cs="Arial" w:eastAsia="Arial" w:hAnsi="Arial"/>
          <w:sz w:val="19"/>
          <w:szCs w:val="19"/>
          <w:color w:val="auto"/>
        </w:rPr>
        <w:t>If the Parent or any of its Subsidiaries shall become subject to a case (a “</w:t>
      </w:r>
      <w:r>
        <w:rPr>
          <w:rFonts w:ascii="Arial" w:cs="Arial" w:eastAsia="Arial" w:hAnsi="Arial"/>
          <w:sz w:val="19"/>
          <w:szCs w:val="19"/>
          <w:b w:val="1"/>
          <w:bCs w:val="1"/>
          <w:i w:val="1"/>
          <w:iCs w:val="1"/>
          <w:color w:val="auto"/>
        </w:rPr>
        <w:t>Bankruptcy Case</w:t>
      </w:r>
      <w:r>
        <w:rPr>
          <w:rFonts w:ascii="Arial" w:cs="Arial" w:eastAsia="Arial" w:hAnsi="Arial"/>
          <w:sz w:val="19"/>
          <w:szCs w:val="19"/>
          <w:color w:val="auto"/>
        </w:rPr>
        <w:t>”) under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Debtor Relief Law:</w:t>
      </w:r>
    </w:p>
    <w:p>
      <w:pPr>
        <w:spacing w:after="0" w:line="201" w:lineRule="exact"/>
        <w:rPr>
          <w:rFonts w:ascii="Arial" w:cs="Arial" w:eastAsia="Arial" w:hAnsi="Arial"/>
          <w:sz w:val="19"/>
          <w:szCs w:val="19"/>
          <w:color w:val="auto"/>
        </w:rPr>
      </w:pPr>
    </w:p>
    <w:p>
      <w:pPr>
        <w:jc w:val="both"/>
        <w:ind w:left="1300" w:firstLine="652"/>
        <w:spacing w:after="0" w:line="296" w:lineRule="auto"/>
        <w:tabs>
          <w:tab w:leader="none" w:pos="2732" w:val="left"/>
        </w:tabs>
        <w:numPr>
          <w:ilvl w:val="1"/>
          <w:numId w:val="872"/>
        </w:numPr>
        <w:rPr>
          <w:rFonts w:ascii="Arial" w:cs="Arial" w:eastAsia="Arial" w:hAnsi="Arial"/>
          <w:sz w:val="19"/>
          <w:szCs w:val="19"/>
          <w:color w:val="auto"/>
        </w:rPr>
      </w:pPr>
      <w:r>
        <w:rPr>
          <w:rFonts w:ascii="Arial" w:cs="Arial" w:eastAsia="Arial" w:hAnsi="Arial"/>
          <w:sz w:val="19"/>
          <w:szCs w:val="19"/>
          <w:color w:val="auto"/>
        </w:rPr>
        <w:t>if the Notes Collateral Agent desires to permit debtor-in-possession financing (“</w:t>
      </w:r>
      <w:r>
        <w:rPr>
          <w:rFonts w:ascii="Arial" w:cs="Arial" w:eastAsia="Arial" w:hAnsi="Arial"/>
          <w:sz w:val="19"/>
          <w:szCs w:val="19"/>
          <w:b w:val="1"/>
          <w:bCs w:val="1"/>
          <w:i w:val="1"/>
          <w:iCs w:val="1"/>
          <w:color w:val="auto"/>
        </w:rPr>
        <w:t>DIP Financing</w:t>
      </w:r>
      <w:r>
        <w:rPr>
          <w:rFonts w:ascii="Arial" w:cs="Arial" w:eastAsia="Arial" w:hAnsi="Arial"/>
          <w:sz w:val="19"/>
          <w:szCs w:val="19"/>
          <w:color w:val="auto"/>
        </w:rPr>
        <w:t>”) secured by a Lien on the Notes Priority Collateral, to be provided by one or more lenders (the “</w:t>
      </w:r>
      <w:r>
        <w:rPr>
          <w:rFonts w:ascii="Arial" w:cs="Arial" w:eastAsia="Arial" w:hAnsi="Arial"/>
          <w:sz w:val="19"/>
          <w:szCs w:val="19"/>
          <w:b w:val="1"/>
          <w:bCs w:val="1"/>
          <w:i w:val="1"/>
          <w:iCs w:val="1"/>
          <w:color w:val="auto"/>
        </w:rPr>
        <w:t>DIP Lenders</w:t>
      </w:r>
      <w:r>
        <w:rPr>
          <w:rFonts w:ascii="Arial" w:cs="Arial" w:eastAsia="Arial" w:hAnsi="Arial"/>
          <w:sz w:val="19"/>
          <w:szCs w:val="19"/>
          <w:color w:val="auto"/>
        </w:rPr>
        <w:t>”) under Section 364 of the Bankruptcy Code (or any similar provision of any other Debtor Relief Laws) or the use of cash collateral under Section 363 of the Bankruptcy Code (or any similar provision of any other Debtor Relief Laws), then the LC Collateral Agent and the LC Secured Parties hereby agree to consent to and not to object to any such financing or to the Liens on the Notes Priority Collateral securing the same (“</w:t>
      </w:r>
      <w:r>
        <w:rPr>
          <w:rFonts w:ascii="Arial" w:cs="Arial" w:eastAsia="Arial" w:hAnsi="Arial"/>
          <w:sz w:val="19"/>
          <w:szCs w:val="19"/>
          <w:b w:val="1"/>
          <w:bCs w:val="1"/>
          <w:i w:val="1"/>
          <w:iCs w:val="1"/>
          <w:color w:val="auto"/>
        </w:rPr>
        <w:t>DIP Financing Liens</w:t>
      </w:r>
      <w:r>
        <w:rPr>
          <w:rFonts w:ascii="Arial" w:cs="Arial" w:eastAsia="Arial" w:hAnsi="Arial"/>
          <w:sz w:val="19"/>
          <w:szCs w:val="19"/>
          <w:color w:val="auto"/>
        </w:rPr>
        <w:t>”) or to any use of cash collateral that constitutes Notes Priority Collateral, unless the Notes Collateral Agent shall then oppose or object to such DIP Financing or such DIP Financing Liens or use of cash collateral that constitutes Notes Priority Collateral (and (i) to the extent that such DIP Financing Liens are senior to the Liens on any such Notes Priority Collateral for the benefit of the Notes Secured Parties, each LC Secured Party will subordinate its Liens with respect to such Notes Priority Collateral on the same terms as the Liens of the Notes Secured Parties (other than any Liens of any LC Secured Party constituting DIP Financing Liens) are subordinated thereto and to any “carve out” for the payment of professional fees, clerk fees, and United States trustee fees (or any other administration charge, directors’ and officers’ charge or similar court ordered priority charge under applicable Debtor Relief Laws) and (ii) to the extent that such DIP Financing Liens rank pari passu with the Liens on any such Notes Priority Collateral granted to secure the Notes Obligations of the Notes Secured Parties, each LC Secured Party will confirm the priorities with respect to such Notes Priority Collateral as set forth herein, in each case so long as (A) the Notes Secured Parties retain the benefit of their Liens on all such Notes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LC Secured Parties are granted junior Liens on any additional collateral pledged to any Notes Secured Party as adequate protection or otherwise in connection with such DIP Financing or use of cash collateral, (C) if any amount of such DIP Financing or cash collateral is applied to repay any of the Notes Obligations, such amount is applied pursuant to Section 2.01(a) of this Agreement, and</w:t>
      </w:r>
    </w:p>
    <w:p>
      <w:pPr>
        <w:spacing w:after="0" w:line="17" w:lineRule="exact"/>
        <w:rPr>
          <w:rFonts w:ascii="Arial" w:cs="Arial" w:eastAsia="Arial" w:hAnsi="Arial"/>
          <w:sz w:val="19"/>
          <w:szCs w:val="19"/>
          <w:color w:val="auto"/>
        </w:rPr>
      </w:pPr>
    </w:p>
    <w:p>
      <w:pPr>
        <w:ind w:left="1300"/>
        <w:spacing w:after="0" w:line="272" w:lineRule="auto"/>
        <w:rPr>
          <w:rFonts w:ascii="Arial" w:cs="Arial" w:eastAsia="Arial" w:hAnsi="Arial"/>
          <w:sz w:val="19"/>
          <w:szCs w:val="19"/>
          <w:color w:val="auto"/>
        </w:rPr>
      </w:pPr>
      <w:r>
        <w:rPr>
          <w:rFonts w:ascii="Arial" w:cs="Arial" w:eastAsia="Arial" w:hAnsi="Arial"/>
          <w:sz w:val="22"/>
          <w:szCs w:val="22"/>
          <w:color w:val="auto"/>
        </w:rPr>
        <w:t>(D) if any Notes Secured Parties are granted adequate protection, including in the form of periodic payments, in connection with such DIP Financing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8" w:name="page729"/>
    <w:bookmarkEnd w:id="728"/>
    <w:p>
      <w:pPr>
        <w:jc w:val="both"/>
        <w:ind w:left="180"/>
        <w:spacing w:after="0" w:line="308" w:lineRule="auto"/>
        <w:rPr>
          <w:sz w:val="20"/>
          <w:szCs w:val="20"/>
          <w:color w:val="auto"/>
        </w:rPr>
      </w:pPr>
      <w:r>
        <w:rPr>
          <w:rFonts w:ascii="Arial" w:cs="Arial" w:eastAsia="Arial" w:hAnsi="Arial"/>
          <w:sz w:val="19"/>
          <w:szCs w:val="19"/>
          <w:color w:val="auto"/>
        </w:rPr>
        <w:t xml:space="preserve">or use of cash collateral, the proceeds of such adequate protection are applied pursuant to Section 2.01(a)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LC Secured Parties shall have a right to object to the grant of a Lien (i) to secure the DIP Financing over any Collateral that shall not constitute Notes Priority Collateral and (ii) in respect of any additional Collateral that would not constitute Notes Priority Collateral hereunder were it pledged for the benefit of the Notes Secured Parties pursuant to the Notes Security Documents to any Notes Secured Party as adequate protection, for use of cash collateral, or otherwise, as set forth in clause (B) above; and</w:t>
      </w:r>
    </w:p>
    <w:p>
      <w:pPr>
        <w:spacing w:after="0" w:line="113" w:lineRule="exact"/>
        <w:rPr>
          <w:sz w:val="20"/>
          <w:szCs w:val="20"/>
          <w:color w:val="auto"/>
        </w:rPr>
      </w:pPr>
    </w:p>
    <w:p>
      <w:pPr>
        <w:jc w:val="both"/>
        <w:ind w:left="180" w:firstLine="652"/>
        <w:spacing w:after="0" w:line="299" w:lineRule="auto"/>
        <w:tabs>
          <w:tab w:leader="none" w:pos="1753" w:val="left"/>
        </w:tabs>
        <w:numPr>
          <w:ilvl w:val="0"/>
          <w:numId w:val="873"/>
        </w:numPr>
        <w:rPr>
          <w:rFonts w:ascii="Arial" w:cs="Arial" w:eastAsia="Arial" w:hAnsi="Arial"/>
          <w:sz w:val="19"/>
          <w:szCs w:val="19"/>
          <w:color w:val="auto"/>
        </w:rPr>
      </w:pPr>
      <w:r>
        <w:rPr>
          <w:rFonts w:ascii="Arial" w:cs="Arial" w:eastAsia="Arial" w:hAnsi="Arial"/>
          <w:sz w:val="19"/>
          <w:szCs w:val="19"/>
          <w:color w:val="auto"/>
        </w:rPr>
        <w:t xml:space="preserve">if the LC Collateral Agent desires to permit a DIP Financing secured by a Lien on LC Priority Collateral, to be provided by DIP Lenders under Section 364 of the Bankruptcy Code (or any similar provision of any other Debtor Relief Laws) or the use of cash collateral under Section 363 of the Bankruptcy Code (or any similar provision of any other Debtor Relief Laws), then the Notes Collateral Agent and the Notes Secured Parties hereby agree not to object to any such financing or to the DIP Financing Liens on the LC Priority Collateral securing the same or to any use of cash collateral that constitutes LC Priority Collateral, unless the LC Collateral Agent shall then oppose or object to such DIP Financing or such DIP Financing Liens or use of cash collateral that constitutes LC Priority Collateral (and (i) to the extent that such DIP Financing Liens are senior to the Liens on any such LC Priority Collateral for the benefit of the LC Secured Parties, each Notes Secured Party will subordinate its Liens with respect to such LC Priority Collateral on the same terms as the Liens of the LC Secured Parties (other than any Liens of any Notes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on any such LC Priority Collateral granted to secure the LC Obligations of the LC Secured Parties, each Notes Secured Party will confirm the priorities with respect to such LC Priority Collateral as set forth herein), in each case so long as (A) the Notes Secured Parties retain the benefit of their Liens on all such LC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Notes Secured Parties are granted Liens on any additional collateral pledged to any LC Secured Party as adequate protection or otherwise in connection with such DIP Financing or use of cash collateral, (C) if any amount of such DIP Financing or cash collateral is applied to repay any of the LC Obligations, such amount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and (D) if any LC Secured Parties are granted adequate protection, including in the form of periodic payments, in connection with such DIP Financing or use of cash collateral, the proceeds of such adequate protection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Notes Secured Parties shall have a right to object to the grant of a Lien (i) to secure the DIP Financing over any Collateral that shall not constitute LC</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729" w:name="page730"/>
    <w:bookmarkEnd w:id="729"/>
    <w:p>
      <w:pPr>
        <w:jc w:val="both"/>
        <w:ind w:left="1300"/>
        <w:spacing w:after="0" w:line="262" w:lineRule="auto"/>
        <w:rPr>
          <w:sz w:val="20"/>
          <w:szCs w:val="20"/>
          <w:color w:val="auto"/>
        </w:rPr>
      </w:pPr>
      <w:r>
        <w:rPr>
          <w:rFonts w:ascii="Arial" w:cs="Arial" w:eastAsia="Arial" w:hAnsi="Arial"/>
          <w:sz w:val="22"/>
          <w:szCs w:val="22"/>
          <w:color w:val="auto"/>
        </w:rPr>
        <w:t>Priority Collateral and (ii) in respect of any additional Collateral that would not constitute LC Priority Collateral hereunder were it pledged for the benefit of the LC Secured Parties pursuant to the LC Security Documents to any LC Facility Secured Party as adequate protection, for use of cash collateral, or otherwise, as set forth in clause (B) above).</w:t>
      </w:r>
    </w:p>
    <w:p>
      <w:pPr>
        <w:spacing w:after="0" w:line="151" w:lineRule="exact"/>
        <w:rPr>
          <w:sz w:val="20"/>
          <w:szCs w:val="20"/>
          <w:color w:val="auto"/>
        </w:rPr>
      </w:pPr>
    </w:p>
    <w:p>
      <w:pPr>
        <w:jc w:val="both"/>
        <w:ind w:left="1300" w:firstLine="652"/>
        <w:spacing w:after="0" w:line="262" w:lineRule="auto"/>
        <w:tabs>
          <w:tab w:leader="none" w:pos="2906" w:val="left"/>
        </w:tabs>
        <w:numPr>
          <w:ilvl w:val="1"/>
          <w:numId w:val="874"/>
        </w:numPr>
        <w:rPr>
          <w:rFonts w:ascii="Arial" w:cs="Arial" w:eastAsia="Arial" w:hAnsi="Arial"/>
          <w:sz w:val="22"/>
          <w:szCs w:val="22"/>
          <w:color w:val="auto"/>
        </w:rPr>
      </w:pPr>
      <w:r>
        <w:rPr>
          <w:rFonts w:ascii="Arial" w:cs="Arial" w:eastAsia="Arial" w:hAnsi="Arial"/>
          <w:sz w:val="22"/>
          <w:szCs w:val="22"/>
          <w:color w:val="auto"/>
        </w:rPr>
        <w:t>No Junior Secured Obligations Secured Party will directly or indirectly propose or support any DIP Financing secured by a Lien senior or prior to the Liens of the Senior Secured Obligations Secured Parties on the Senior Secured Obligations Collateral unless such DIP Financing provides for the Discharge of the Senior Secured Obligations.</w:t>
      </w:r>
    </w:p>
    <w:p>
      <w:pPr>
        <w:spacing w:after="0" w:line="164" w:lineRule="exact"/>
        <w:rPr>
          <w:rFonts w:ascii="Arial" w:cs="Arial" w:eastAsia="Arial" w:hAnsi="Arial"/>
          <w:sz w:val="22"/>
          <w:szCs w:val="22"/>
          <w:color w:val="auto"/>
        </w:rPr>
      </w:pPr>
    </w:p>
    <w:p>
      <w:pPr>
        <w:jc w:val="both"/>
        <w:ind w:firstLine="1304"/>
        <w:spacing w:after="0" w:line="300" w:lineRule="auto"/>
        <w:tabs>
          <w:tab w:leader="none" w:pos="2116" w:val="left"/>
        </w:tabs>
        <w:numPr>
          <w:ilvl w:val="0"/>
          <w:numId w:val="875"/>
        </w:numPr>
        <w:rPr>
          <w:rFonts w:ascii="Arial" w:cs="Arial" w:eastAsia="Arial" w:hAnsi="Arial"/>
          <w:sz w:val="19"/>
          <w:szCs w:val="19"/>
          <w:color w:val="auto"/>
        </w:rPr>
      </w:pPr>
      <w:r>
        <w:rPr>
          <w:rFonts w:ascii="Arial" w:cs="Arial" w:eastAsia="Arial" w:hAnsi="Arial"/>
          <w:sz w:val="19"/>
          <w:szCs w:val="19"/>
          <w:color w:val="auto"/>
        </w:rPr>
        <w:t>The Applicable Junior Collateral Agent and each Junior Secured Obligations Secured Party agrees that it will not object to and will not otherwise contest: (i) any motion for relief from the automatic stay or any other stay in any Insolvency or Liquidation Proceeding (including by way of moratorium) or from any injunction against foreclosure or enforcement in respect of the Senior Secured Obligations made by the Applicable Senior Collateral Agent or any Senior Secured Obligations Secured Party; (ii) any lawful exercise by any holder of Senior Claims of the right to credit bid Senior Claims in any sale of Collateral that is Senior Secured Obligations Collateral with respect to such Senior Claims; (iii) any other request for judicial relief made in any court by the Applicable Senior Collateral Agent or any Senior Secured Obligations Secured Party relating to the lawful enforcement of any Lien on the Senior Secured Obligations Collateral; (iv) and will consent to any sale or other disposition (or related order) of any Senior Secured Obligations Collateral (or any portion thereof) under Section 363 of the Bankruptcy Code or any other provision of the Bankruptcy Code (or any equivalent action under any other Debtor Relief Law) if the Senior Secured Obligations Secured Parties shall have consented to such sale or disposition (or related order) of such Senior Secured Obligations Collateral if such sale or other disposition is not free and clear of the Liens securing the Junior Secured Obligations or (v) any sale or other disposition (or related order) of any Senior Secured Obligations Collateral (or any portion thereof) under Section 363 of the Bankruptcy Code or any other equivalent provision of the Bankruptcy Code (or any other provision under any other Debtor Relief Law) if the Senior Secured Obligations Secured Parties shall have consented, and the related court order provides that, to the extent the sale is to be free and clear of Liens, the Liens securing the Senior Secured Obligations and the Junior Secured Obligations will attach to the proceeds of the sale on the same basis of priority as the Liens securing such Obligations on the assets being sold, in accordance with this Agreement.</w:t>
      </w:r>
    </w:p>
    <w:p>
      <w:pPr>
        <w:spacing w:after="0" w:line="392" w:lineRule="exact"/>
        <w:rPr>
          <w:rFonts w:ascii="Arial" w:cs="Arial" w:eastAsia="Arial" w:hAnsi="Arial"/>
          <w:sz w:val="19"/>
          <w:szCs w:val="19"/>
          <w:color w:val="auto"/>
        </w:rPr>
      </w:pPr>
    </w:p>
    <w:p>
      <w:pPr>
        <w:jc w:val="both"/>
        <w:ind w:firstLine="1304"/>
        <w:spacing w:after="0" w:line="274" w:lineRule="auto"/>
        <w:tabs>
          <w:tab w:leader="none" w:pos="2115" w:val="left"/>
        </w:tabs>
        <w:numPr>
          <w:ilvl w:val="0"/>
          <w:numId w:val="875"/>
        </w:numPr>
        <w:rPr>
          <w:rFonts w:ascii="Arial" w:cs="Arial" w:eastAsia="Arial" w:hAnsi="Arial"/>
          <w:sz w:val="21"/>
          <w:szCs w:val="21"/>
          <w:color w:val="auto"/>
        </w:rPr>
      </w:pPr>
      <w:r>
        <w:rPr>
          <w:rFonts w:ascii="Arial" w:cs="Arial" w:eastAsia="Arial" w:hAnsi="Arial"/>
          <w:sz w:val="21"/>
          <w:szCs w:val="21"/>
          <w:color w:val="auto"/>
        </w:rPr>
        <w:t>The Applicable Junior Collateral Agent and each Junior Secured Obligations Secured Party agrees that it will not seek relief from the automatic stay or any other stay in any Insolvency or Liquidation Proceeding (including by way of moratorium) with respect to Senior Secured Obligations Collateral without the prior consent of the Applicable Senior Collateral Agent, unless, and solely to the extent that, the Applicable Senior Collateral Agent or Senior Secured Obligations Secured Party shall obtain relief from the automatic stay (or any other stay in any Insolvency or Liquidation Proceeding) with respect to such collateral to commence a lien enforcement action.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0" w:name="page731"/>
    <w:bookmarkEnd w:id="730"/>
    <w:p>
      <w:pPr>
        <w:jc w:val="both"/>
        <w:ind w:firstLine="1304"/>
        <w:spacing w:after="0" w:line="298" w:lineRule="auto"/>
        <w:tabs>
          <w:tab w:leader="none" w:pos="2076" w:val="left"/>
        </w:tabs>
        <w:numPr>
          <w:ilvl w:val="0"/>
          <w:numId w:val="876"/>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it will not, other than as set forth in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object to and will not otherwise contest (or support any other Person contesting): (i) any request by the Applicable Senior Collateral Agent or any Senior Secured Obligations Secured Party for adequate protection;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Notes Secured Party, solely in its capacity as a Senior Secured Obligations Secured Party, may object to adequate protection in the form of cash payments to the extent such payment is sought to be paid from Notes Priority Collateral, any DIP Financing under </w:t>
      </w:r>
      <w:r>
        <w:rPr>
          <w:rFonts w:ascii="Arial" w:cs="Arial" w:eastAsia="Arial" w:hAnsi="Arial"/>
          <w:sz w:val="19"/>
          <w:szCs w:val="19"/>
          <w:u w:val="single" w:color="auto"/>
          <w:color w:val="auto"/>
        </w:rPr>
        <w:t>Section 2.06(b)(i)</w:t>
      </w:r>
      <w:r>
        <w:rPr>
          <w:rFonts w:ascii="Arial" w:cs="Arial" w:eastAsia="Arial" w:hAnsi="Arial"/>
          <w:sz w:val="19"/>
          <w:szCs w:val="19"/>
          <w:color w:val="auto"/>
        </w:rPr>
        <w:t xml:space="preserve"> or the proceeds thereof and (2) any LC Secured Party, solely in its capacity as a Senior Secured Obligations Secured Party, may object to adequate protection in the form of cash payments to the extent such payment is sought to be paid from LC Priority Collateral, any DIP Financing under </w:t>
      </w:r>
      <w:r>
        <w:rPr>
          <w:rFonts w:ascii="Arial" w:cs="Arial" w:eastAsia="Arial" w:hAnsi="Arial"/>
          <w:sz w:val="19"/>
          <w:szCs w:val="19"/>
          <w:u w:val="single" w:color="auto"/>
          <w:color w:val="auto"/>
        </w:rPr>
        <w:t>Section 2.06(b)(ii)</w:t>
      </w:r>
      <w:r>
        <w:rPr>
          <w:rFonts w:ascii="Arial" w:cs="Arial" w:eastAsia="Arial" w:hAnsi="Arial"/>
          <w:sz w:val="19"/>
          <w:szCs w:val="19"/>
          <w:color w:val="auto"/>
        </w:rPr>
        <w:t xml:space="preserve"> or the proceeds thereof or (ii) any objection by the Applicable Senior Collateral Agent or any Senior Secured Obligations Secured Party to any motion, relief, action or proceeding based on the Applicable Senior Collateral Agent or any Senior Secured Obligations Secured Party claiming a lack of adequate protection. Notwithstanding the foregoing, in any Insolvency or Liquidation Proceeding, (x) if the Senior Secured Obligations Secured Parties (or any subset thereof) are granted adequate protection in the form of a replacement lien or additional collateral in connection with any DIP Financing or use of cash collateral under Section 363 or Section 364 of the Bankruptcy Code or any similar law, then the Applicable Junior Collateral Agent may seek or request adequate protection in the form of a replacement Lien on such additional collateral, so long as, with respect to the Senior Secured Obligations Collateral, such Lien is subordinated to the Liens securing the Senior Secured Obligations and such DIP Financing (and all obligations relating thereto), on the same basis as the other Liens securing Junior Secured Obligations on the Senior Secured Obligations Collateral are subordinated to the Liens on Senior Secured Obligations Collateral securing the Senior Secured Obligations under this Agreement; (y) in the event the Applicable Junior Collateral Agent seeks or requests adequate protection and such adequate protection is granted in the form of a replacement lien or additional collateral, then the Applicable Junior Collateral Agent and the Junior Secured Obligations Secured Parties hereby agree that the Senior Secured Obligations Secured Parties shall also be granted a Lien on such additional collateral as security for the Senior Secured Obligations and any such DIP Financing and that any Lien on such additional collateral that constitutes Senior Secured Obligations Collateral securing the Junior Secured Obligations shall be subordinated to the Liens on such collateral securing the Senior Secured Obligations and any such DIP Financing (and all obligations relating thereto) and any other Liens on Senior Secured Obligations Collateral granted to the holders of Senior Secured Obligations as adequate protection on the same basis as the Liens securing Junior Secured Obligations are so subordinated to the Liens securing the Senior Secured Obligations under this Agreement; (z) any adequate protection granted in favor of any Senior Secured Obligations Secured Party in the form of a superpriority or other administrative expense claim and any claim in favor of any Senior Secured Obligations Secured Party arising under Section 507(b) of the Bankruptcy Code (or similar Debtor Relief Laws) (collectively, “</w:t>
      </w:r>
      <w:r>
        <w:rPr>
          <w:rFonts w:ascii="Arial" w:cs="Arial" w:eastAsia="Arial" w:hAnsi="Arial"/>
          <w:sz w:val="19"/>
          <w:szCs w:val="19"/>
          <w:u w:val="single" w:color="auto"/>
          <w:color w:val="auto"/>
        </w:rPr>
        <w:t>Senior 507(b) Claims</w:t>
      </w:r>
      <w:r>
        <w:rPr>
          <w:rFonts w:ascii="Arial" w:cs="Arial" w:eastAsia="Arial" w:hAnsi="Arial"/>
          <w:sz w:val="19"/>
          <w:szCs w:val="19"/>
          <w:color w:val="auto"/>
        </w:rPr>
        <w:t>”) shall be senior to and have priority of payment over any superpriority or other administrative expense claim and any claim arising under Section 507(b) of the Bankruptcy Code (or similar Debtor Relief Laws) in favor of any Junior Secured Obligations Secured Party (collectively, “</w:t>
      </w:r>
      <w:r>
        <w:rPr>
          <w:rFonts w:ascii="Arial" w:cs="Arial" w:eastAsia="Arial" w:hAnsi="Arial"/>
          <w:sz w:val="19"/>
          <w:szCs w:val="19"/>
          <w:u w:val="single" w:color="auto"/>
          <w:color w:val="auto"/>
        </w:rPr>
        <w:t>Junior 507(b) Claims</w:t>
      </w:r>
      <w:r>
        <w:rPr>
          <w:rFonts w:ascii="Arial" w:cs="Arial" w:eastAsia="Arial" w:hAnsi="Arial"/>
          <w:sz w:val="19"/>
          <w:szCs w:val="19"/>
          <w:color w:val="auto"/>
        </w:rPr>
        <w:t>”). The holders of the Junior 507(b) Claims agree that, in connection with any Plan of Reorganization in any Insolvency or Liquidation Proceeding, such Junior 507(b) Claims may be paid in any combination of cash, securities, or other property having a present value equal to the amount of such Junior 507(b) Claims as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1" w:name="page732"/>
    <w:bookmarkEnd w:id="731"/>
    <w:p>
      <w:pPr>
        <w:jc w:val="both"/>
        <w:spacing w:after="0" w:line="266" w:lineRule="auto"/>
        <w:rPr>
          <w:sz w:val="20"/>
          <w:szCs w:val="20"/>
          <w:color w:val="auto"/>
        </w:rPr>
      </w:pPr>
      <w:r>
        <w:rPr>
          <w:rFonts w:ascii="Arial" w:cs="Arial" w:eastAsia="Arial" w:hAnsi="Arial"/>
          <w:sz w:val="22"/>
          <w:szCs w:val="22"/>
          <w:color w:val="auto"/>
        </w:rPr>
        <w:t xml:space="preserve">effective date of such plan. For the avoidance of doubt, as between the Notes Secured Parties and LC Secured Parties, all Senior 507(b) Claims shall be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Senior 507(b) Claims held by the other Class, and all Junior 507(b) Claims shall be </w:t>
      </w:r>
      <w:r>
        <w:rPr>
          <w:rFonts w:ascii="Arial" w:cs="Arial" w:eastAsia="Arial" w:hAnsi="Arial"/>
          <w:sz w:val="22"/>
          <w:szCs w:val="22"/>
          <w:i w:val="1"/>
          <w:iCs w:val="1"/>
          <w:color w:val="auto"/>
        </w:rPr>
        <w:t xml:space="preserve">pari passu </w:t>
      </w:r>
      <w:r>
        <w:rPr>
          <w:rFonts w:ascii="Arial" w:cs="Arial" w:eastAsia="Arial" w:hAnsi="Arial"/>
          <w:sz w:val="22"/>
          <w:szCs w:val="22"/>
          <w:color w:val="auto"/>
        </w:rPr>
        <w:t>with the Junior 507(b) Claims held by the other Class.</w:t>
      </w:r>
    </w:p>
    <w:p>
      <w:pPr>
        <w:spacing w:after="0" w:line="144" w:lineRule="exact"/>
        <w:rPr>
          <w:sz w:val="20"/>
          <w:szCs w:val="20"/>
          <w:color w:val="auto"/>
        </w:rPr>
      </w:pPr>
    </w:p>
    <w:p>
      <w:pPr>
        <w:jc w:val="both"/>
        <w:ind w:firstLine="1304"/>
        <w:spacing w:after="0" w:line="304" w:lineRule="auto"/>
        <w:tabs>
          <w:tab w:leader="none" w:pos="2065" w:val="left"/>
        </w:tabs>
        <w:numPr>
          <w:ilvl w:val="0"/>
          <w:numId w:val="877"/>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 it will not oppose or seek to challenge any claim by the Applicable Senior Collateral Agent or any Senior Secured Obligations Secured Party for allowance of Senior Secured Obligations consisting of post-petition interest, costs, fees, charges, or expenses and (ii) until the Discharge of Senior Secured Obligations has occurred, the Applicable Junior Collateral Agent, on behalf of itself and the Junior Secured Obligations Secured Parties, will not assert or enforce any claim under Section 506(c) of the Bankruptcy Code (or any similar provision of any other Debtor Relief Laws) senior to or on a parity with the Liens on Senior Secured Obligations Collateral securing the Senior Secured Obligations for costs or expenses of preserving or disposing of any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any amounts received by the Applicable Senior Collateral Agent pursuant to such a claim shall in all cases be subject to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128" w:lineRule="exact"/>
        <w:rPr>
          <w:rFonts w:ascii="Arial" w:cs="Arial" w:eastAsia="Arial" w:hAnsi="Arial"/>
          <w:sz w:val="19"/>
          <w:szCs w:val="19"/>
          <w:color w:val="auto"/>
        </w:rPr>
      </w:pPr>
    </w:p>
    <w:p>
      <w:pPr>
        <w:jc w:val="both"/>
        <w:ind w:firstLine="1304"/>
        <w:spacing w:after="0" w:line="299" w:lineRule="auto"/>
        <w:tabs>
          <w:tab w:leader="none" w:pos="2115" w:val="left"/>
        </w:tabs>
        <w:numPr>
          <w:ilvl w:val="0"/>
          <w:numId w:val="877"/>
        </w:numPr>
        <w:rPr>
          <w:rFonts w:ascii="Arial" w:cs="Arial" w:eastAsia="Arial" w:hAnsi="Arial"/>
          <w:sz w:val="19"/>
          <w:szCs w:val="19"/>
          <w:color w:val="auto"/>
        </w:rPr>
      </w:pPr>
      <w:r>
        <w:rPr>
          <w:rFonts w:ascii="Arial" w:cs="Arial" w:eastAsia="Arial" w:hAnsi="Arial"/>
          <w:sz w:val="19"/>
          <w:szCs w:val="19"/>
          <w:color w:val="auto"/>
        </w:rPr>
        <w:t>The LC Collateral Agent, on behalf of the LC Secured Parties, and the Notes Collateral Agent, on behalf of the Notes Secured Parties, acknowledge and intend that the grants of Liens pursuant to the LC Security Documents, on the one hand, and the Notes Security Documents, on the other hand, constitute separate and distinct grants of Liens, and because of, among other things, their differing rights in the Collateral, the LC Obligations are fundamentally different from the Notes Obligations and must be separately classified in any Plan of Reorganization proposed or confirmed (or approved) in an Insolvency or Liquidation Proceeding. To further effectuate the intent of the parties as provided in the immediately preceding sentence, if it is held that the claims of the Notes Secured Parties and the LC Secured Parties in respect of any Collateral constitute claims in the same class (rather than separate classes of senior and junior secured claims), then the Notes Secured Parties and the LC Secured Parties hereby acknowledge and agree that all distributions shall be made as if there were separate classes of Notes Obligations and LC Obligations against the Grantors (with the effect being that, to the extent that the aggregate value of the Notes Priority Collateral or the LC Priority Collateral is sufficient (for this purpose ignoring all claims held by the other Secured Parties for whom such Collateral is Junior Secured Obligations Collateral), the Notes Secured Parties or the LC Secured Parties, respectively, shall be entitled to receive, in addition to amounts distributed to them in respect of principal, pre-petition interest and other claims, all amounts owing in respect of post-petition interest, costs, fees, charges, or expenses that are available from the Senior Secured Obligations Collateral for each of the Notes Secured Parties and the LC Secured Parties, respectively, before any distribution is made in respect of the Junior Claims with respect to such Collateral, with the holder of such Junior Claims hereby acknowledging and agreeing to turn over to the Junior Secured Obligations Secured Parties amounts otherwise received or receivable by them to the extent necessary to effectuate the intent of this sentence, even if such turnover has the effect of reducing the aggregate recoveries). Additionally, to further effectuate the intent of the parties as provided in this subsection, if it is held that the claims of any of the LC Secured Parties, on the one hand, and the Notes Secured Parties, on the other hand, constitute claims in the same class (rather than separate classes of secured claims), then the Notes Secured Parties hereby acknowledge and agree to vote to reject such plan of reorganization or similar dispositive restructuring plan unless LC Secured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2" w:name="page733"/>
    <w:bookmarkEnd w:id="732"/>
    <w:p>
      <w:pPr>
        <w:jc w:val="both"/>
        <w:spacing w:after="0" w:line="304" w:lineRule="auto"/>
        <w:rPr>
          <w:sz w:val="20"/>
          <w:szCs w:val="20"/>
          <w:color w:val="auto"/>
        </w:rPr>
      </w:pPr>
      <w:r>
        <w:rPr>
          <w:rFonts w:ascii="Arial" w:cs="Arial" w:eastAsia="Arial" w:hAnsi="Arial"/>
          <w:sz w:val="19"/>
          <w:szCs w:val="19"/>
          <w:color w:val="auto"/>
        </w:rPr>
        <w:t>greater than half in number and holding greater than two-thirds in amount of the LC Obligations agree to accept such plan or such plan provides for the Discharge of LC Obligations. The Notes Collateral Agent (on behalf of all the Notes Secured Parties) agrees it shall not object to or contest (or support any other party in objection or contesting) a plan of reorganization or other dispositive restructuring plan on the grounds that the LC Obligations and Notes Obligations are classified separately. The Notes Collateral Agent (on behalf of all the Notes Secured Parties) agrees that in any Insolvency or Liquidation Proceeding, neither it nor any other Notes Secured Party shall support or vote to accept any plan of reorganization of the Borrower or any other Grantor unless the plan of reorganization is accepted by the LC Secured Parties in accordance with Section 1126(e) of the Bankruptcy Code or otherwise provides for the Discharge of LC Obligations on the effective date of such plan of reorganization. Except as provided herein, the Notes Secured Parties shall remain entitled to vote their claims in any such Insolvency or Liquidation Proceeding.</w:t>
      </w:r>
    </w:p>
    <w:p>
      <w:pPr>
        <w:spacing w:after="0" w:line="115" w:lineRule="exact"/>
        <w:rPr>
          <w:sz w:val="20"/>
          <w:szCs w:val="20"/>
          <w:color w:val="auto"/>
        </w:rPr>
      </w:pPr>
    </w:p>
    <w:p>
      <w:pPr>
        <w:jc w:val="both"/>
        <w:ind w:firstLine="1304"/>
        <w:spacing w:after="0" w:line="273" w:lineRule="auto"/>
        <w:tabs>
          <w:tab w:leader="none" w:pos="2223" w:val="left"/>
        </w:tabs>
        <w:numPr>
          <w:ilvl w:val="0"/>
          <w:numId w:val="878"/>
        </w:numPr>
        <w:rPr>
          <w:rFonts w:ascii="Arial" w:cs="Arial" w:eastAsia="Arial" w:hAnsi="Arial"/>
          <w:sz w:val="21"/>
          <w:szCs w:val="21"/>
          <w:color w:val="auto"/>
        </w:rPr>
      </w:pPr>
      <w:r>
        <w:rPr>
          <w:rFonts w:ascii="Arial" w:cs="Arial" w:eastAsia="Arial" w:hAnsi="Arial"/>
          <w:sz w:val="21"/>
          <w:szCs w:val="21"/>
          <w:color w:val="auto"/>
        </w:rPr>
        <w:t>If, in any Insolvency or Liquidation Proceeding, debt obligations of the reorganized debtor secured by Liens upon any property of the reorganized debtor are distributed pursuant to a Plan of Reorganization (or any form of Court-sanctioned restructuring permitted under any applicable law), both on account of the Notes Obligations and on account of the LC Obligations, then, to the extent the debt obligations distributed on account of the Notes Obligations and on account of the LC Obligations are secured by Liens upon the Collateral, the provisions of this Agreement will survive the distribution of such debt obligations pursuant to such plan and will apply with like effect to the debt obligations so distributed, to the Liens securing such debt obligations and the distribution of proceeds thereof.</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Notwithstanding anything to the contrary contained herein, if in any Insolvency or Liquidation Proceeding a determination is made that any Lien encumbering any Collateral is not enforceable for any reason, then each of the LC Collateral Agent and the Notes Collateral Agent for themselves and on behalf of their respective Secured Parties agrees that, any distribution or recovery they may receive in respect of any Collateral (including assets that would constitute Collateral but for such determination) shall be segregated and held in trust and forthwith paid over to the LC Collateral Agent or the Notes Collateral Agent, as the case may be, in the same form as received without recourse, representation or warranty (other than a representation of such Collateral Agent that it has not otherwise sold, assigned, transferred or pledged any right, title or interest in and to such distribution or recovery) but with any necessary endorsements or as a court of competent jurisdiction may otherwise direct in order to comply with the priority provisions set forth in Section 2.01</w:t>
      </w:r>
    </w:p>
    <w:p>
      <w:pPr>
        <w:spacing w:after="0" w:line="142" w:lineRule="exact"/>
        <w:rPr>
          <w:sz w:val="20"/>
          <w:szCs w:val="20"/>
          <w:color w:val="auto"/>
        </w:rPr>
      </w:pPr>
    </w:p>
    <w:p>
      <w:pPr>
        <w:jc w:val="both"/>
        <w:ind w:firstLine="1304"/>
        <w:spacing w:after="0" w:line="272" w:lineRule="auto"/>
        <w:tabs>
          <w:tab w:leader="none" w:pos="2215" w:val="left"/>
        </w:tabs>
        <w:numPr>
          <w:ilvl w:val="0"/>
          <w:numId w:val="879"/>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Sections 2.02(a) and 2.02(b), 2.04(a) and 2.06(b), (c) (e) and (f) or otherwise, both before and during an Insolvency or Liquidation Proceeding, any of the Junior Secured Obligations Secured Parties may take any actions and exercise any and all rights that would be available to a holder of unsecured claims, including, without limitation, the commencement of an Insolvency or Liquidation Proceeding against any Grantor in accordance with applicable law (including the Debtor Relief Laws of any applicable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Junior Secured Obligations Secured Parties may not take any of the actions that is inconsistent with the terms of this Agreement, including without limitation, such actions prohibited by Sections 2.02(a) and 2.02(b), Section 2.04(a) or Section 2.06(b), (c), (e) and (f);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in the event that any of the Junior Secured Obligations Secured Parties becomes a judgment lien creditor in respect of any Collateral as a result of its enforcement of its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3" w:name="page734"/>
    <w:bookmarkEnd w:id="733"/>
    <w:p>
      <w:pPr>
        <w:jc w:val="both"/>
        <w:spacing w:after="0" w:line="266" w:lineRule="auto"/>
        <w:rPr>
          <w:sz w:val="20"/>
          <w:szCs w:val="20"/>
          <w:color w:val="auto"/>
        </w:rPr>
      </w:pPr>
      <w:r>
        <w:rPr>
          <w:rFonts w:ascii="Arial" w:cs="Arial" w:eastAsia="Arial" w:hAnsi="Arial"/>
          <w:sz w:val="22"/>
          <w:szCs w:val="22"/>
          <w:color w:val="auto"/>
        </w:rPr>
        <w:t>rights as an unsecured creditor with respect to the Junior Secured Obligations, such judgment lien shall be subject to the terms of this Agreement for all purposes (including in relation to the Senior Secured Obligations) as the other Liens securing the Junior Secured Obligations are subject to this Agreement.</w:t>
      </w:r>
    </w:p>
    <w:p>
      <w:pPr>
        <w:spacing w:after="0" w:line="14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b w:val="1"/>
          <w:bCs w:val="1"/>
          <w:i w:val="1"/>
          <w:iCs w:val="1"/>
          <w:color w:val="auto"/>
        </w:rPr>
        <w:t>Reinstatement</w:t>
      </w:r>
      <w:r>
        <w:rPr>
          <w:rFonts w:ascii="Arial" w:cs="Arial" w:eastAsia="Arial" w:hAnsi="Arial"/>
          <w:sz w:val="22"/>
          <w:szCs w:val="22"/>
          <w:color w:val="auto"/>
        </w:rPr>
        <w:t>. In the event that any of the Senior Secured Obligations shall be paid in full and such payment or any part thereof shall subsequently, for whatever reason (including an order or judgment for disgorgement of a preference under any Debtor Relief Law, or the settlement of any claim in respect thereof), be required to be returned or repaid, the terms and conditions of this Article II shall be fully applicable thereto until all such Senior Secured Obligations shall again have been irrevocably paid in full in cash.</w:t>
      </w:r>
    </w:p>
    <w:p>
      <w:pPr>
        <w:spacing w:after="0" w:line="163"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8"/>
          <w:szCs w:val="18"/>
          <w:b w:val="1"/>
          <w:bCs w:val="1"/>
          <w:i w:val="1"/>
          <w:iCs w:val="1"/>
          <w:color w:val="auto"/>
        </w:rPr>
        <w:t>[Reserved]</w:t>
      </w:r>
      <w:r>
        <w:rPr>
          <w:rFonts w:ascii="Arial" w:cs="Arial" w:eastAsia="Arial" w:hAnsi="Arial"/>
          <w:sz w:val="18"/>
          <w:szCs w:val="18"/>
          <w:color w:val="auto"/>
        </w:rPr>
        <w:t>.</w:t>
      </w:r>
    </w:p>
    <w:p>
      <w:pPr>
        <w:spacing w:after="0" w:line="19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b w:val="1"/>
          <w:bCs w:val="1"/>
          <w:i w:val="1"/>
          <w:iCs w:val="1"/>
          <w:color w:val="auto"/>
        </w:rPr>
        <w:t>Insurance</w:t>
      </w:r>
      <w:r>
        <w:rPr>
          <w:rFonts w:ascii="Arial" w:cs="Arial" w:eastAsia="Arial" w:hAnsi="Arial"/>
          <w:sz w:val="19"/>
          <w:szCs w:val="19"/>
          <w:color w:val="auto"/>
        </w:rPr>
        <w:t>. Unless and until the Notes Obligations have been Discharged, as between the Notes Collateral Agent, on the one hand, and the LC Collateral Agent, on the other hand, only the Notes Collateral Agent will have the right (subject to the rights of the Grantors under the Notes Documents and the LC Documents) to adjust or settle any insurance policy or claim covering or constituting Notes Priority Collateral in the event of any loss thereunder and to approve any award granted in any condemnation or similar proceeding affecting the Notes Priority Collateral. Unless and until the LC Obligations have been Discharged, as between the Notes Collateral Agent, on the one hand, and the LC Collateral Agent, on the other hand, only the LC Collateral Agent will have the right (subject to the rights of the Grantors under the Notes Documents and the LC Documents) to adjust or settle any insurance policy covering or constituting LC Priority Collateral in the event of any loss thereunder and to approve any award granted in any condemnation or similar proceeding solely affecting the LC Priority Collateral. To the extent that an insured loss covers or constitutes Notes Priority Collateral and LC Priority Collateral, then the Notes Collateral Agent and the LC Collateral Agent will work jointly and in good faith to collect, adjust or settle (subject to the rights of the Grantors under the Notes Documents and the LC Obligations Documents) under the relevant insurance policy.</w:t>
      </w:r>
    </w:p>
    <w:p>
      <w:pPr>
        <w:spacing w:after="0" w:line="11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b w:val="1"/>
          <w:bCs w:val="1"/>
          <w:i w:val="1"/>
          <w:iCs w:val="1"/>
          <w:color w:val="auto"/>
        </w:rPr>
        <w:t>Refinancings</w:t>
      </w:r>
      <w:r>
        <w:rPr>
          <w:rFonts w:ascii="Arial" w:cs="Arial" w:eastAsia="Arial" w:hAnsi="Arial"/>
          <w:sz w:val="21"/>
          <w:szCs w:val="21"/>
          <w:color w:val="auto"/>
        </w:rPr>
        <w:t xml:space="preserve">. Each of the Notes Obligations and the LC Obligations and the agreements governing them may be Refinanced, in each case without notice to, or the consent (except to the extent a consent is otherwise required to permit the Refinancing transaction under any Notes Document or any LC Obligations Document, as in effect on the date hereof or as may be amended in accordance with the terms hereof) of, any Notes Secured Party or any LC Secured Party, all without affecting the priorities provided for herein or the other provisions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the holders of any such Refinancing indebtedness (or an authorized agent or trustee on their behalf) bind themselves in writing (to the extent they are not already so bound) to the terms of this Agreement pursuant to a joinder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and such other Refinancing documents or agreements (including amendments or supplements to this Agreement) as each Applicable Senior Collateral Agent, shall reasonably request and in form and substance reasonably acceptable to such Applicable Senior Collateral Agent. In connection with any Refinancing contemplated by this Section 2.10, this Agreement may be amended at the request and sole expense of the Parent, and without the consent (except to the extent a consent is otherwise required to permit such Refinancing transaction under any Notes Document or any LC Obligations Document, and other than the consent of each Applicable Senior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4" w:name="page735"/>
    <w:bookmarkEnd w:id="734"/>
    <w:p>
      <w:pPr>
        <w:jc w:val="both"/>
        <w:spacing w:after="0" w:line="299" w:lineRule="auto"/>
        <w:rPr>
          <w:sz w:val="20"/>
          <w:szCs w:val="20"/>
          <w:color w:val="auto"/>
        </w:rPr>
      </w:pPr>
      <w:r>
        <w:rPr>
          <w:rFonts w:ascii="Arial" w:cs="Arial" w:eastAsia="Arial" w:hAnsi="Arial"/>
          <w:sz w:val="19"/>
          <w:szCs w:val="19"/>
          <w:color w:val="auto"/>
        </w:rPr>
        <w:t>Collateral Agent, whose consent shall still be required to the extent set forth in the proviso of the immediately preceding sentence) of any Representative, (a) to add parties (or any authorized agent or trustee therefor) providing any such Refinancing,</w:t>
      </w:r>
    </w:p>
    <w:p>
      <w:pPr>
        <w:jc w:val="both"/>
        <w:ind w:firstLine="8"/>
        <w:spacing w:after="0" w:line="302" w:lineRule="auto"/>
        <w:tabs>
          <w:tab w:leader="none" w:pos="322" w:val="left"/>
        </w:tabs>
        <w:numPr>
          <w:ilvl w:val="0"/>
          <w:numId w:val="880"/>
        </w:numPr>
        <w:rPr>
          <w:rFonts w:ascii="Arial" w:cs="Arial" w:eastAsia="Arial" w:hAnsi="Arial"/>
          <w:sz w:val="19"/>
          <w:szCs w:val="19"/>
          <w:color w:val="auto"/>
        </w:rPr>
      </w:pPr>
      <w:r>
        <w:rPr>
          <w:rFonts w:ascii="Arial" w:cs="Arial" w:eastAsia="Arial" w:hAnsi="Arial"/>
          <w:sz w:val="19"/>
          <w:szCs w:val="19"/>
          <w:color w:val="auto"/>
        </w:rPr>
        <w:t xml:space="preserve">to confirm that such Refinancing indebtedness in respect of any LC Obligations shall have the same rights and priorities in respect of any LC Priority Collateral as the indebtedness being Refinanced and (c) to confirm that such Refinancing indebtedness in respect of any Notes Obligations shall have the same rights and priorities in respect of any Notes Priority Collateral as the indebtedness being Refinanced, all on the terms provided for herein immediately prior to such Refinancing. Any such additional party and each Applicable Senior Collateral Agent shall be entitled to rely on the determination of officers of the Parent that such modifications do not violate the Notes Documents or the LC Documents if such determination is set forth in an officers’ certificate delivered to such party and each Applicable Senior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such determination will not affect whether or not the Parent and the Grantors have complied with their undertakings in any such document or this Agreement. In connection with the delivery of a joinder as set forth above, the Parent shall deliver an officer’s certificate to each Collateral Agent certifying that the Refinancing, including the incurrence of indebtedness and the incurrence of liens in respect thereof, qualifies as a Refinancing as defined herein.</w:t>
      </w:r>
    </w:p>
    <w:p>
      <w:pPr>
        <w:spacing w:after="0" w:line="117"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8"/>
          <w:szCs w:val="18"/>
          <w:b w:val="1"/>
          <w:bCs w:val="1"/>
          <w:i w:val="1"/>
          <w:iCs w:val="1"/>
          <w:color w:val="auto"/>
        </w:rPr>
        <w:t>Amendments to Security Documents</w:t>
      </w:r>
      <w:r>
        <w:rPr>
          <w:rFonts w:ascii="Arial" w:cs="Arial" w:eastAsia="Arial" w:hAnsi="Arial"/>
          <w:sz w:val="18"/>
          <w:szCs w:val="18"/>
          <w:color w:val="auto"/>
        </w:rPr>
        <w:t>.</w:t>
      </w:r>
    </w:p>
    <w:p>
      <w:pPr>
        <w:spacing w:after="0" w:line="206" w:lineRule="exact"/>
        <w:rPr>
          <w:sz w:val="20"/>
          <w:szCs w:val="20"/>
          <w:color w:val="auto"/>
        </w:rPr>
      </w:pPr>
    </w:p>
    <w:p>
      <w:pPr>
        <w:jc w:val="both"/>
        <w:ind w:firstLine="1304"/>
        <w:spacing w:after="0" w:line="261" w:lineRule="auto"/>
        <w:tabs>
          <w:tab w:leader="none" w:pos="2076" w:val="left"/>
        </w:tabs>
        <w:numPr>
          <w:ilvl w:val="0"/>
          <w:numId w:val="881"/>
        </w:numPr>
        <w:rPr>
          <w:rFonts w:ascii="Arial" w:cs="Arial" w:eastAsia="Arial" w:hAnsi="Arial"/>
          <w:sz w:val="22"/>
          <w:szCs w:val="22"/>
          <w:color w:val="auto"/>
        </w:rPr>
      </w:pPr>
      <w:r>
        <w:rPr>
          <w:rFonts w:ascii="Arial" w:cs="Arial" w:eastAsia="Arial" w:hAnsi="Arial"/>
          <w:sz w:val="22"/>
          <w:szCs w:val="22"/>
          <w:color w:val="auto"/>
        </w:rPr>
        <w:t>Subject to paragraph (c) below, each of the LC Collateral Agent and other LC Secured Parties agrees that, without the prior written consent of the Notes Collateral Agent, no LC Security Document to which such LC Collateral Agent or LC Secured Party is party may be amended, supplemented or otherwise modified or entered into to the extent such amendment, supplement or modification or the terms of any new LC Security Document would be prohibited by or inconsistent with any of the terms of this Agreement.</w:t>
      </w:r>
    </w:p>
    <w:p>
      <w:pPr>
        <w:spacing w:after="0" w:line="149" w:lineRule="exact"/>
        <w:rPr>
          <w:rFonts w:ascii="Arial" w:cs="Arial" w:eastAsia="Arial" w:hAnsi="Arial"/>
          <w:sz w:val="22"/>
          <w:szCs w:val="22"/>
          <w:color w:val="auto"/>
        </w:rPr>
      </w:pPr>
    </w:p>
    <w:p>
      <w:pPr>
        <w:jc w:val="both"/>
        <w:ind w:firstLine="1304"/>
        <w:spacing w:after="0" w:line="311" w:lineRule="auto"/>
        <w:tabs>
          <w:tab w:leader="none" w:pos="2317" w:val="left"/>
        </w:tabs>
        <w:numPr>
          <w:ilvl w:val="0"/>
          <w:numId w:val="881"/>
        </w:numPr>
        <w:rPr>
          <w:rFonts w:ascii="Arial" w:cs="Arial" w:eastAsia="Arial" w:hAnsi="Arial"/>
          <w:sz w:val="19"/>
          <w:szCs w:val="19"/>
          <w:color w:val="auto"/>
        </w:rPr>
      </w:pPr>
      <w:r>
        <w:rPr>
          <w:rFonts w:ascii="Arial" w:cs="Arial" w:eastAsia="Arial" w:hAnsi="Arial"/>
          <w:sz w:val="19"/>
          <w:szCs w:val="19"/>
          <w:color w:val="auto"/>
        </w:rPr>
        <w:t>Subject to paragraph (c) below, each of the Notes Collateral Agent and other Notes Secured Parties agrees that, without the prior written consent of the LC Collateral Agent and each LC Collateral Agent, no Notes Security Document to which the Notes Collateral Agent or Notes Secured Parties are party may be amended, supplemented or otherwise modified or entered into to the extent such amendment, supplement or modification or the terms of any new Notes Security Document would be prohibited by or inconsistent with any of the terms of this Agreement.</w:t>
      </w:r>
    </w:p>
    <w:p>
      <w:pPr>
        <w:spacing w:after="0" w:line="109" w:lineRule="exact"/>
        <w:rPr>
          <w:rFonts w:ascii="Arial" w:cs="Arial" w:eastAsia="Arial" w:hAnsi="Arial"/>
          <w:sz w:val="19"/>
          <w:szCs w:val="19"/>
          <w:color w:val="auto"/>
        </w:rPr>
      </w:pPr>
    </w:p>
    <w:p>
      <w:pPr>
        <w:jc w:val="both"/>
        <w:ind w:firstLine="1304"/>
        <w:spacing w:after="0" w:line="304" w:lineRule="auto"/>
        <w:tabs>
          <w:tab w:leader="none" w:pos="2211" w:val="left"/>
        </w:tabs>
        <w:numPr>
          <w:ilvl w:val="0"/>
          <w:numId w:val="881"/>
        </w:numPr>
        <w:rPr>
          <w:rFonts w:ascii="Arial" w:cs="Arial" w:eastAsia="Arial" w:hAnsi="Arial"/>
          <w:sz w:val="19"/>
          <w:szCs w:val="19"/>
          <w:color w:val="auto"/>
        </w:rPr>
      </w:pPr>
      <w:r>
        <w:rPr>
          <w:rFonts w:ascii="Arial" w:cs="Arial" w:eastAsia="Arial" w:hAnsi="Arial"/>
          <w:sz w:val="19"/>
          <w:szCs w:val="19"/>
          <w:color w:val="auto"/>
        </w:rPr>
        <w:t xml:space="preserve">In the event that any Senior Collateral Agent or Senior Secured Obligations Secured Parties enter into any amendment, waiver or consent in respect of or replace any of the Senior Secured Obligations Collateral Documents for the purpose of adding to, or deleting from, or waiving or consenting to any departures from any provisions of, such Senior Secured Obligations Collateral Document or changing in any manner the rights of such Senior Collateral Agent, such Senior Secured Obligations Secured Parties, the Grantors thereunder (including the release of any Liens in the applicable Senior Secured Obligations Collateral), then such amendment, waiver or consent shall apply automatically to any comparable provision of each Comparable Junior Priority Collateral Document without the consent of any Junior Collateral Agent or any Junior Secured Obligations Secured Party and without any action by any Junior Collateral Agent, any Junior Secured Obligations Secured Party, the Parent or any other Grantor;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such amendment, waiver or consent does not materially adversely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5" w:name="page736"/>
    <w:bookmarkEnd w:id="735"/>
    <w:p>
      <w:pPr>
        <w:jc w:val="both"/>
        <w:spacing w:after="0" w:line="261" w:lineRule="auto"/>
        <w:rPr>
          <w:sz w:val="20"/>
          <w:szCs w:val="20"/>
          <w:color w:val="auto"/>
        </w:rPr>
      </w:pPr>
      <w:r>
        <w:rPr>
          <w:rFonts w:ascii="Arial" w:cs="Arial" w:eastAsia="Arial" w:hAnsi="Arial"/>
          <w:sz w:val="22"/>
          <w:szCs w:val="22"/>
          <w:color w:val="auto"/>
        </w:rPr>
        <w:t>affect the rights of the applicable Junior Secured Obligations Secured Parties or the interests of the applicable Junior Secured Obligations Secured Parties in the applicable Junior Secured Obligations Collateral and not the Senior Collateral Agent or the Senior Secured Obligations Secured Parties, as the case may be, that have a security interest in the affected collateral in a like or similar manner, and (B) written notice of such amendment, waiver or consent shall have been given by the Parent to the Applicable Junior Collateral Agent.</w:t>
      </w:r>
    </w:p>
    <w:p>
      <w:pPr>
        <w:spacing w:after="0" w:line="150" w:lineRule="exact"/>
        <w:rPr>
          <w:sz w:val="20"/>
          <w:szCs w:val="20"/>
          <w:color w:val="auto"/>
        </w:rPr>
      </w:pPr>
    </w:p>
    <w:p>
      <w:pPr>
        <w:jc w:val="both"/>
        <w:ind w:firstLine="1304"/>
        <w:spacing w:after="0" w:line="260" w:lineRule="auto"/>
        <w:tabs>
          <w:tab w:leader="none" w:pos="2385" w:val="left"/>
        </w:tabs>
        <w:numPr>
          <w:ilvl w:val="0"/>
          <w:numId w:val="88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LC Collateral Agent and other LC Secured Parties and the Notes Collateral Agent and other Notes Secured Parties hereby agree that they will not amend or otherwise modify the provisions of the LC Documents or the Notes Documents related to the Refinancing or payment of any Obligations (including ordinary course payments) in a manner that makes them more restrictive to Grantors or otherwise prohibits or restricts a Refinancing or payment permitted under the LC Documents or Notes Documents as in effect on the date hereof.</w:t>
      </w:r>
    </w:p>
    <w:p>
      <w:pPr>
        <w:spacing w:after="0" w:line="16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8"/>
          <w:szCs w:val="18"/>
          <w:b w:val="1"/>
          <w:bCs w:val="1"/>
          <w:i w:val="1"/>
          <w:iCs w:val="1"/>
          <w:color w:val="auto"/>
        </w:rPr>
        <w:t>Possessory Collateral Agent as Gratuitous Bailee for Perfection</w:t>
      </w:r>
      <w:r>
        <w:rPr>
          <w:rFonts w:ascii="Arial" w:cs="Arial" w:eastAsia="Arial" w:hAnsi="Arial"/>
          <w:sz w:val="18"/>
          <w:szCs w:val="18"/>
          <w:color w:val="auto"/>
        </w:rPr>
        <w:t>.</w:t>
      </w:r>
    </w:p>
    <w:p>
      <w:pPr>
        <w:spacing w:after="0" w:line="193" w:lineRule="exact"/>
        <w:rPr>
          <w:sz w:val="20"/>
          <w:szCs w:val="20"/>
          <w:color w:val="auto"/>
        </w:rPr>
      </w:pPr>
    </w:p>
    <w:p>
      <w:pPr>
        <w:jc w:val="both"/>
        <w:ind w:firstLine="1304"/>
        <w:spacing w:after="0" w:line="301" w:lineRule="auto"/>
        <w:tabs>
          <w:tab w:leader="none" w:pos="2265" w:val="left"/>
        </w:tabs>
        <w:numPr>
          <w:ilvl w:val="0"/>
          <w:numId w:val="883"/>
        </w:numPr>
        <w:rPr>
          <w:rFonts w:ascii="Arial" w:cs="Arial" w:eastAsia="Arial" w:hAnsi="Arial"/>
          <w:sz w:val="19"/>
          <w:szCs w:val="19"/>
          <w:color w:val="auto"/>
        </w:rPr>
      </w:pPr>
      <w:r>
        <w:rPr>
          <w:rFonts w:ascii="Arial" w:cs="Arial" w:eastAsia="Arial" w:hAnsi="Arial"/>
          <w:sz w:val="19"/>
          <w:szCs w:val="19"/>
          <w:color w:val="auto"/>
        </w:rPr>
        <w:t>Each Possessory Collateral Agent agrees to hold the Possessory Collateral that is in its possession or control (or in the possession or control of its agents or bailees) as gratuitous bailee for, or, as applicable, on trust for, the benefit of each Secured Party and any assignee solely for the purpose of perfecting the security interest granted in such Possessory Collateral pursuant to the Notes Security Documents or the LC Security Documents, subject to the terms and conditions of this Section 2.12. To the extent any Possessory Collateral is possessed by or is under the control of a Collateral Agent (either directly or through its agents or bailees) other than the Applicable Possessory Collateral Agent, such Collateral Agent shall deliver such Possessory Collateral to (or shall cause such Possessory Collateral to be delivered to) the Applicable Possessory Collateral Agent and shall take all actions reasonably requested in writing by the Applicable Possessory Collateral Agent to cause the Applicable Possessory Collateral Agent to have possession or control of same. Pending such delivery to the Applicable Possessory Collateral Agent, each other Collateral Agent agrees to hold any Possessory Collateral as gratuitous bailee, or, as applicable, on trust for, for the benefit of each other Secured Party and any assignee, solely for the purpose of perfecting the security interest granted in such Possessory Collateral, if any, pursuant to the applicable Notes Security Documents or LC Security Documents, in each case subject to the terms and conditions of this Section 2.12.</w:t>
      </w:r>
    </w:p>
    <w:p>
      <w:pPr>
        <w:spacing w:after="0" w:line="123" w:lineRule="exact"/>
        <w:rPr>
          <w:rFonts w:ascii="Arial" w:cs="Arial" w:eastAsia="Arial" w:hAnsi="Arial"/>
          <w:sz w:val="19"/>
          <w:szCs w:val="19"/>
          <w:color w:val="auto"/>
        </w:rPr>
      </w:pPr>
    </w:p>
    <w:p>
      <w:pPr>
        <w:jc w:val="both"/>
        <w:ind w:firstLine="1304"/>
        <w:spacing w:after="0" w:line="327" w:lineRule="auto"/>
        <w:tabs>
          <w:tab w:leader="none" w:pos="2128" w:val="left"/>
        </w:tabs>
        <w:numPr>
          <w:ilvl w:val="0"/>
          <w:numId w:val="883"/>
        </w:numPr>
        <w:rPr>
          <w:rFonts w:ascii="Arial" w:cs="Arial" w:eastAsia="Arial" w:hAnsi="Arial"/>
          <w:sz w:val="19"/>
          <w:szCs w:val="19"/>
          <w:color w:val="auto"/>
        </w:rPr>
      </w:pPr>
      <w:r>
        <w:rPr>
          <w:rFonts w:ascii="Arial" w:cs="Arial" w:eastAsia="Arial" w:hAnsi="Arial"/>
          <w:sz w:val="19"/>
          <w:szCs w:val="19"/>
          <w:color w:val="auto"/>
        </w:rPr>
        <w:t>The duties or responsibilities of each Possessory Collateral Agent and each other Collateral Agent under this Section 2.12 shall be limited solely to holding the Possessory Collateral as gratuitous bailee, or, as applicable, on trust for, for the benefit of each Secured Party for purposes of perfecting the security interest held by the Secured Parties therein.</w:t>
      </w:r>
    </w:p>
    <w:p>
      <w:pPr>
        <w:spacing w:after="0" w:line="105" w:lineRule="exact"/>
        <w:rPr>
          <w:rFonts w:ascii="Arial" w:cs="Arial" w:eastAsia="Arial" w:hAnsi="Arial"/>
          <w:sz w:val="19"/>
          <w:szCs w:val="19"/>
          <w:color w:val="auto"/>
        </w:rPr>
      </w:pPr>
    </w:p>
    <w:p>
      <w:pPr>
        <w:jc w:val="both"/>
        <w:ind w:firstLine="1304"/>
        <w:spacing w:after="0" w:line="276" w:lineRule="auto"/>
        <w:tabs>
          <w:tab w:leader="none" w:pos="2157" w:val="left"/>
        </w:tabs>
        <w:numPr>
          <w:ilvl w:val="0"/>
          <w:numId w:val="883"/>
        </w:numPr>
        <w:rPr>
          <w:rFonts w:ascii="Arial" w:cs="Arial" w:eastAsia="Arial" w:hAnsi="Arial"/>
          <w:sz w:val="21"/>
          <w:szCs w:val="21"/>
          <w:color w:val="auto"/>
        </w:rPr>
      </w:pPr>
      <w:r>
        <w:rPr>
          <w:rFonts w:ascii="Arial" w:cs="Arial" w:eastAsia="Arial" w:hAnsi="Arial"/>
          <w:sz w:val="21"/>
          <w:szCs w:val="21"/>
          <w:color w:val="auto"/>
        </w:rPr>
        <w:t>Upon the Discharge of all LC Obligations, the LC Collateral Agent shall deliver to the Notes Collateral Agent (at the sole expense of the Grantors), to the extent that it is legally permitted to do so, the remaining Possessory Collateral (if any) held by it, together with any necessary endorsements (or otherwise allow the Notes Collateral Agent to obtain control of such Possessory Collateral) or as a court of competent jurisdiction may otherwise direct. The Grantors shall take such further action as is required to effectuate the transfer contemplated hereby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6" w:name="page737"/>
    <w:bookmarkEnd w:id="736"/>
    <w:p>
      <w:pPr>
        <w:jc w:val="both"/>
        <w:spacing w:after="0" w:line="262" w:lineRule="auto"/>
        <w:rPr>
          <w:sz w:val="20"/>
          <w:szCs w:val="20"/>
          <w:color w:val="auto"/>
        </w:rPr>
      </w:pPr>
      <w:r>
        <w:rPr>
          <w:rFonts w:ascii="Arial" w:cs="Arial" w:eastAsia="Arial" w:hAnsi="Arial"/>
          <w:sz w:val="22"/>
          <w:szCs w:val="22"/>
          <w:color w:val="auto"/>
        </w:rPr>
        <w:t>and shall indemnify the Possessory Collateral Agent for loss or damage suffered by the Possessory Collateral Agent as a result of such transfer except for loss or damage suffered by the Possessory Collateral Agent as a result of its own willful misconduct or gross negligence. No LC Collateral Agent shall be obligated to follow instructions from the Notes Collateral Agent in contravention of this Agreement.</w:t>
      </w:r>
    </w:p>
    <w:p>
      <w:pPr>
        <w:spacing w:after="0" w:line="151" w:lineRule="exact"/>
        <w:rPr>
          <w:sz w:val="20"/>
          <w:szCs w:val="20"/>
          <w:color w:val="auto"/>
        </w:rPr>
      </w:pPr>
    </w:p>
    <w:p>
      <w:pPr>
        <w:jc w:val="both"/>
        <w:ind w:firstLine="1304"/>
        <w:spacing w:after="0" w:line="305" w:lineRule="auto"/>
        <w:tabs>
          <w:tab w:leader="none" w:pos="2439" w:val="left"/>
        </w:tabs>
        <w:numPr>
          <w:ilvl w:val="0"/>
          <w:numId w:val="884"/>
        </w:numPr>
        <w:rPr>
          <w:rFonts w:ascii="Arial" w:cs="Arial" w:eastAsia="Arial" w:hAnsi="Arial"/>
          <w:sz w:val="19"/>
          <w:szCs w:val="19"/>
          <w:color w:val="auto"/>
        </w:rPr>
      </w:pPr>
      <w:r>
        <w:rPr>
          <w:rFonts w:ascii="Arial" w:cs="Arial" w:eastAsia="Arial" w:hAnsi="Arial"/>
          <w:sz w:val="19"/>
          <w:szCs w:val="19"/>
          <w:color w:val="auto"/>
        </w:rPr>
        <w:t>Upon the Discharge of all Notes Obligations, the Notes Collateral Agent shall deliver to the LC Collateral Agent (at the sole expense of the Grantors), to the extent that it is legally permitted to do so, the remaining Possessory Collateral (if any) held by it, together with any necessary endorsements (or otherwise allow the LC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or gross negligence. The Notes Collateral Agent shall not be obligated to follow instructions from any LC Collateral Agent in contravention of this Agreement.</w:t>
      </w:r>
    </w:p>
    <w:p>
      <w:pPr>
        <w:spacing w:after="0" w:line="12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b w:val="1"/>
          <w:bCs w:val="1"/>
          <w:i w:val="1"/>
          <w:iCs w:val="1"/>
          <w:color w:val="auto"/>
        </w:rPr>
        <w:t>Control Agreements</w:t>
      </w:r>
      <w:r>
        <w:rPr>
          <w:rFonts w:ascii="Arial" w:cs="Arial" w:eastAsia="Arial" w:hAnsi="Arial"/>
          <w:sz w:val="21"/>
          <w:szCs w:val="21"/>
          <w:color w:val="auto"/>
        </w:rPr>
        <w:t>. The LC Collateral Agent hereby agrees to act as collateral agent of the Notes Secured Parties under each control agreement solely for the purpose of perfecting the Lien of the Notes Secured Parties in the deposit accounts and securities accounts subject to such control agreements by control. The Notes Collateral Agent, on behalf of the Notes Secured Parties, hereby appoints the LC Collateral Agent to act as its collateral agent under each such control agreement, as applicable. The duties or responsibilities of the LC Collateral Agent under this Section 2.13 shall be limited solely to acting as agent for the benefit of each Notes Secured Party for purposes of perfecting the security interest held by the Secured Parties in the deposit accounts and securities accounts subject to such control agreements by control, in each case prior to the Discharge of all LC Obligations</w:t>
      </w:r>
    </w:p>
    <w:p>
      <w:pPr>
        <w:spacing w:after="0" w:line="138"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b w:val="1"/>
          <w:bCs w:val="1"/>
          <w:i w:val="1"/>
          <w:iCs w:val="1"/>
          <w:color w:val="auto"/>
        </w:rPr>
        <w:t>Rights under Permits and Licenses</w:t>
      </w:r>
      <w:r>
        <w:rPr>
          <w:rFonts w:ascii="Arial" w:cs="Arial" w:eastAsia="Arial" w:hAnsi="Arial"/>
          <w:sz w:val="19"/>
          <w:szCs w:val="19"/>
          <w:color w:val="auto"/>
        </w:rPr>
        <w:t>. The LC Collateral Agent agrees that if the Notes Collateral Agent shall require rights available under any permit or license controlled by the LC Collateral Agent (as certified to the LC Collateral Agent by the Notes Collateral Agent, upon which the LC Collateral Agent may rely) in order to realize on any Notes Priority Collateral, the LC Collateral Agent shall (subject to the terms of the LC Documents, including the LC Collateral Agent’s rights to indemnification thereunder) take all such actions as shall be available to it (at the sole expense of the Grantors), consistent with applicable law and reasonably requested by the Notes Collateral Agent in writing, to make such rights available to the Notes Collateral Agent, subject to the Liens held by the LC Collateral Agent for the benefit of the LC Secured Parties. The Notes Collateral Agent agrees that if the LC Collateral Agent shall require rights available under any permit or license controlled by the Notes Collateral Agent (as certified to the Notes Collateral Agent by the LC Collateral Agent, upon which the Notes Collateral Agent may rely) in order to realize on any LC Priority Collateral, the Notes Collateral Agent shall (subject to the terms of the Notes Documents, including such Notes Collateral Agent’s rights to indemnification thereunder) take all such actions as shall be available to it (at the sole expense of the Grantors), consistent with applicable law and reasonably requested by the LC Collateral Agent in writing, to make such rights available to the LC Collateral Agent, subject to the Liens held by the Notes Collateral Agent for the benefit of the Notes Secured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7" w:name="page738"/>
    <w:bookmarkEnd w:id="737"/>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Existence and Amounts of Liens and Obligations</w:t>
      </w:r>
    </w:p>
    <w:p>
      <w:pPr>
        <w:spacing w:after="0" w:line="199"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9"/>
          <w:szCs w:val="19"/>
          <w:color w:val="auto"/>
        </w:rPr>
        <w:t xml:space="preserve">Whenever a Representative shall be required, in connection with the exercise of its rights or the performance of its obligations hereunder, to determine the existence or amount of any Senior Secured Obligations (or the existence of any commitment to extend credit that would constitute Senior Secured Obligations) or Junior Secured Obligations, or the Collateral subject to any such Lien, it may, acting reasonably, request that such information be furnished to it in writing by the other Representatives and shall be entitled to make such determination on the basis of the information so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Parent. Each Representative may rely conclusively, and shall be fully protected in so relying, on any determination made by it in accordance with the provisions of the preceding sentence (or as otherwise directed by a court of competent jurisdiction) and shall have no liability to the Parent or any of its subsidiaries, any Secured Party or any other Person as a result of such determination.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Grantors</w:t>
      </w:r>
    </w:p>
    <w:p>
      <w:pPr>
        <w:spacing w:after="0" w:line="19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Each Grantor hereby consents to the provisions of this Agreement and the intercreditor arrangements provided for herein and agrees that the obligations of the Grantors under the Notes Security Documents, the LC Security Documents or the Foreign Collateral Documents will in no way be diminished or otherwise affected by such provisions or arrangements.</w:t>
      </w:r>
    </w:p>
    <w:p>
      <w:pPr>
        <w:spacing w:after="0" w:line="9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Notwithstanding any other provision of this Agreement to the contrary, the obligations and liabilities of any Grantor incorporated in Norway shall be limited by such mandatory provisions of sections 8-7 and/or 8-10 of the Norwegian Limited Liability Companies Act of 13 June 1997 regarding restrictions on a Norwegian limited liability company’s ability to grant guarantees, loans, security or other financial assistance.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9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b w:val="1"/>
          <w:bCs w:val="1"/>
          <w:i w:val="1"/>
          <w:iCs w:val="1"/>
          <w:color w:val="auto"/>
        </w:rPr>
        <w:t>Representations and Warranties of Each Party</w:t>
      </w:r>
      <w:r>
        <w:rPr>
          <w:rFonts w:ascii="Arial" w:cs="Arial" w:eastAsia="Arial" w:hAnsi="Arial"/>
          <w:sz w:val="22"/>
          <w:szCs w:val="22"/>
          <w:color w:val="auto"/>
        </w:rPr>
        <w:t>. Each party hereto represents and warrants to the other parties hereto as follows:</w:t>
      </w:r>
    </w:p>
    <w:p>
      <w:pPr>
        <w:spacing w:after="0" w:line="134" w:lineRule="exact"/>
        <w:rPr>
          <w:sz w:val="20"/>
          <w:szCs w:val="20"/>
          <w:color w:val="auto"/>
        </w:rPr>
      </w:pPr>
    </w:p>
    <w:p>
      <w:pPr>
        <w:jc w:val="both"/>
        <w:ind w:firstLine="1304"/>
        <w:spacing w:after="0" w:line="262" w:lineRule="auto"/>
        <w:tabs>
          <w:tab w:leader="none" w:pos="2157" w:val="left"/>
        </w:tabs>
        <w:numPr>
          <w:ilvl w:val="0"/>
          <w:numId w:val="885"/>
        </w:numPr>
        <w:rPr>
          <w:rFonts w:ascii="Arial" w:cs="Arial" w:eastAsia="Arial" w:hAnsi="Arial"/>
          <w:sz w:val="22"/>
          <w:szCs w:val="22"/>
          <w:color w:val="auto"/>
        </w:rPr>
      </w:pPr>
      <w:r>
        <w:rPr>
          <w:rFonts w:ascii="Arial" w:cs="Arial" w:eastAsia="Arial" w:hAnsi="Arial"/>
          <w:sz w:val="22"/>
          <w:szCs w:val="22"/>
          <w:color w:val="auto"/>
        </w:rPr>
        <w:t>Such party is duly organized or incorporated (as the case may be), validly existing and, if applicable, in good standing (or the equivalent status under the laws of any foreign jurisdiction) under the laws of the jurisdiction of its organization or incorporation (as the case may be) and has all requisite power and authority to enter into and perform its obligations under this Agreement.</w:t>
      </w:r>
    </w:p>
    <w:p>
      <w:pPr>
        <w:spacing w:after="0" w:line="164" w:lineRule="exact"/>
        <w:rPr>
          <w:rFonts w:ascii="Arial" w:cs="Arial" w:eastAsia="Arial" w:hAnsi="Arial"/>
          <w:sz w:val="22"/>
          <w:szCs w:val="22"/>
          <w:color w:val="auto"/>
        </w:rPr>
      </w:pPr>
    </w:p>
    <w:p>
      <w:pPr>
        <w:ind w:left="2100" w:hanging="796"/>
        <w:spacing w:after="0"/>
        <w:tabs>
          <w:tab w:leader="none" w:pos="2100" w:val="left"/>
        </w:tabs>
        <w:numPr>
          <w:ilvl w:val="0"/>
          <w:numId w:val="885"/>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such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8" w:name="page739"/>
    <w:bookmarkEnd w:id="738"/>
    <w:p>
      <w:pPr>
        <w:jc w:val="both"/>
        <w:ind w:firstLine="62"/>
        <w:spacing w:after="0" w:line="262" w:lineRule="auto"/>
        <w:tabs>
          <w:tab w:leader="none" w:pos="847" w:val="left"/>
        </w:tabs>
        <w:numPr>
          <w:ilvl w:val="0"/>
          <w:numId w:val="886"/>
        </w:numPr>
        <w:rPr>
          <w:rFonts w:ascii="Arial" w:cs="Arial" w:eastAsia="Arial" w:hAnsi="Arial"/>
          <w:sz w:val="22"/>
          <w:szCs w:val="22"/>
          <w:color w:val="auto"/>
        </w:rPr>
      </w:pPr>
      <w:r>
        <w:rPr>
          <w:rFonts w:ascii="Arial" w:cs="Arial" w:eastAsia="Arial" w:hAnsi="Arial"/>
          <w:sz w:val="22"/>
          <w:szCs w:val="22"/>
          <w:color w:val="auto"/>
        </w:rPr>
        <w:t>The execution, delivery and performance by such party of this Agreement (i) do not require any consent or approval of, registration or filing with or any other action by any governmental authority, (ii) will not violate any applicable law or regulation governing the powers of such party or any order of any governmental authority having jurisdiction over it and (iii) will not violate the charter, by-laws or other organizational documents of such party.</w:t>
      </w:r>
    </w:p>
    <w:p>
      <w:pPr>
        <w:spacing w:after="0" w:line="15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b w:val="1"/>
          <w:bCs w:val="1"/>
          <w:i w:val="1"/>
          <w:iCs w:val="1"/>
          <w:color w:val="auto"/>
        </w:rPr>
        <w:t>Representations and Warranties of Each Representative</w:t>
      </w:r>
      <w:r>
        <w:rPr>
          <w:rFonts w:ascii="Arial" w:cs="Arial" w:eastAsia="Arial" w:hAnsi="Arial"/>
          <w:sz w:val="22"/>
          <w:szCs w:val="22"/>
          <w:color w:val="auto"/>
        </w:rPr>
        <w:t>. Each Collateral Agent and Representative represents and warrants to the other parties hereto that it is authorized under the Notes Indenture or the LC Obligations Credit Agreement, as applicable, to enter into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Collateral Agency for Foreign Collateral</w:t>
      </w:r>
    </w:p>
    <w:p>
      <w:pPr>
        <w:spacing w:after="0" w:line="199"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b w:val="1"/>
          <w:bCs w:val="1"/>
          <w:i w:val="1"/>
          <w:iCs w:val="1"/>
          <w:color w:val="auto"/>
        </w:rPr>
        <w:t>Appointment of Foreign Collateral Agent</w:t>
      </w:r>
      <w:r>
        <w:rPr>
          <w:rFonts w:ascii="Arial" w:cs="Arial" w:eastAsia="Arial" w:hAnsi="Arial"/>
          <w:sz w:val="19"/>
          <w:szCs w:val="19"/>
          <w:color w:val="auto"/>
        </w:rPr>
        <w:t xml:space="preserve">. It is acknowledged that, in certain jurisdictions outside of the United State of America, applicable law prevents both the Notes Collateral Agent and the LC Collateral Agent from obtaining liens on the Collateral. In such circumstances, solely for Foreign Collateral, the parties hereto agree that with effect as of the resignation of the Preceding Foreign Collateral Agent (i) the LC Collateral Agent, who may appoint any sub-agent in its sole discretion and upon written notice to the Notes Collateral Agent to act in such capacity, is hereby appointed as Foreign Collateral Agent and sub-agent for the Collateral Agents in respect of any LC Priority Collateral, (ii) the Notes Collateral Agent, or any sub-agent that it may in its sole discretion and upon written notice to the LC Collateral Agent designate to act in such capacity, is hereby appointed as Foreign Collateral Agent and sub-agent for the Collateral Agents in respect of any Notes Priority Collateral, and (iii) notwithstanding anything to the contrary contained herein, Foreign Collateral Agent is permitted to hold Liens on such Foreign Collateral in trust for the Secured Parties notwithstanding the inability of any other Collateral Agent to hold similar Liens. In recognition of the foregoing, each other Collateral Agent hereby irrevocably appoints the LC Collateral Agent or the Notes Collateral Agent, as applicable, to act as the “collateral agent” under any Foreign Collateral Documents, pursuant to Section 6.01(i) and (ii), and each other Collateral Agent hereby irrevocably appoints and authorizes the LC Collateral Agent or the Notes Collateral Agent, as applicable, to act as the agent of such Secured Party for purposes of acquiring, holding and enforcing any and all Liens on Foreign Collateral, pursuant to </w:t>
      </w:r>
      <w:r>
        <w:rPr>
          <w:rFonts w:ascii="Arial" w:cs="Arial" w:eastAsia="Arial" w:hAnsi="Arial"/>
          <w:sz w:val="19"/>
          <w:szCs w:val="19"/>
          <w:u w:val="single" w:color="auto"/>
          <w:color w:val="auto"/>
        </w:rPr>
        <w:t>Section 6.01(i) and (ii)</w:t>
      </w:r>
      <w:r>
        <w:rPr>
          <w:rFonts w:ascii="Arial" w:cs="Arial" w:eastAsia="Arial" w:hAnsi="Arial"/>
          <w:sz w:val="19"/>
          <w:szCs w:val="19"/>
          <w:color w:val="auto"/>
        </w:rPr>
        <w:t xml:space="preserve">, granted by any of the Grantors to secure any of the Notes Obligations or LC Obligations, together with such powers and discretion as are reasonably incidental thereto (including, without limitation, to enter into additional Foreign Collateral Documents or supplements to existing Foreign Collateral Documents on behalf of the Secured Parties). In this connection, the Foreign Collateral Agent, as “collateral agent” and any co-agents, sub-agents and attorneys-in-fact appointed by the Foreign Collateral Agent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for purposes of holding or enforcing any Lien on the Foreign Collateral (or any portion thereof) granted under the Foreign Collateral Documents, or for exercising any rights and remedies thereunder at the direction of the Foreign Collateral Agent, shall be entitled to the benefits of all provisions of this Agreement, as though such co-agents, sub-agents and attorneys-in-fact were the “collateral agent” under this agreement and the Foreign Collateral Documents as if set forth in full herein with respect thereto. It is understood and agreed that the use of the term “agent” herein or in any other Foreign Collateral Documents (or any other similar term) with reference to the Foreign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9" w:name="page740"/>
    <w:bookmarkEnd w:id="739"/>
    <w:p>
      <w:pPr>
        <w:jc w:val="both"/>
        <w:spacing w:after="0" w:line="266" w:lineRule="auto"/>
        <w:rPr>
          <w:sz w:val="20"/>
          <w:szCs w:val="20"/>
          <w:color w:val="auto"/>
        </w:rPr>
      </w:pPr>
      <w:r>
        <w:rPr>
          <w:rFonts w:ascii="Arial" w:cs="Arial" w:eastAsia="Arial" w:hAnsi="Arial"/>
          <w:sz w:val="22"/>
          <w:szCs w:val="22"/>
          <w:color w:val="auto"/>
        </w:rPr>
        <w:t>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4"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b w:val="1"/>
          <w:bCs w:val="1"/>
          <w:i w:val="1"/>
          <w:iCs w:val="1"/>
          <w:color w:val="auto"/>
        </w:rPr>
        <w:t>Rights as a Secured Party</w:t>
      </w:r>
      <w:r>
        <w:rPr>
          <w:rFonts w:ascii="Arial" w:cs="Arial" w:eastAsia="Arial" w:hAnsi="Arial"/>
          <w:sz w:val="19"/>
          <w:szCs w:val="19"/>
          <w:color w:val="auto"/>
        </w:rPr>
        <w:t>. The Person serving as the Foreign Collateral Agent hereunder shall have the same rights and powers in its capacity as a Secured Party as any other Secured Party and may exercise the same as though it were not the Foreign Collateral Agent and the term “Secured Party” or “Secured Parties” (or, as applicable, Notes Secured Party or LC Secured Party) shall, unless otherwise expressly indicated or unless the context otherwise requires, include the Person serving as the Foreign Collateral Agent hereunder in its individual capacity. Such Person and its affiliates may accept deposits from, lend money to, own securities of, act as the financial advisor or in any other advisory capacity for and generally engage in any kind of business with any Grantor or any Grantor’s Subsidiary or other affiliate thereof as if such Person were not the Foreign Collateral Agent hereunder and without any duty to account therefor to the Secured Parties.</w:t>
      </w:r>
    </w:p>
    <w:p>
      <w:pPr>
        <w:spacing w:after="0" w:line="128"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8"/>
          <w:szCs w:val="18"/>
          <w:b w:val="1"/>
          <w:bCs w:val="1"/>
          <w:i w:val="1"/>
          <w:iCs w:val="1"/>
          <w:color w:val="auto"/>
        </w:rPr>
        <w:t>Exculpatory Provisions</w:t>
      </w:r>
      <w:r>
        <w:rPr>
          <w:rFonts w:ascii="Arial" w:cs="Arial" w:eastAsia="Arial" w:hAnsi="Arial"/>
          <w:sz w:val="18"/>
          <w:szCs w:val="18"/>
          <w:color w:val="auto"/>
        </w:rPr>
        <w:t>.</w:t>
      </w:r>
    </w:p>
    <w:p>
      <w:pPr>
        <w:spacing w:after="0" w:line="193" w:lineRule="exact"/>
        <w:rPr>
          <w:sz w:val="20"/>
          <w:szCs w:val="20"/>
          <w:color w:val="auto"/>
        </w:rPr>
      </w:pPr>
    </w:p>
    <w:p>
      <w:pPr>
        <w:jc w:val="both"/>
        <w:ind w:firstLine="1304"/>
        <w:spacing w:after="0" w:line="327" w:lineRule="auto"/>
        <w:tabs>
          <w:tab w:leader="none" w:pos="2224" w:val="left"/>
        </w:tabs>
        <w:numPr>
          <w:ilvl w:val="0"/>
          <w:numId w:val="887"/>
        </w:numPr>
        <w:rPr>
          <w:rFonts w:ascii="Arial" w:cs="Arial" w:eastAsia="Arial" w:hAnsi="Arial"/>
          <w:sz w:val="19"/>
          <w:szCs w:val="19"/>
          <w:color w:val="auto"/>
        </w:rPr>
      </w:pPr>
      <w:r>
        <w:rPr>
          <w:rFonts w:ascii="Arial" w:cs="Arial" w:eastAsia="Arial" w:hAnsi="Arial"/>
          <w:sz w:val="19"/>
          <w:szCs w:val="19"/>
          <w:color w:val="auto"/>
        </w:rPr>
        <w:t>The Foreign Collateral Agent shall not have any duties or obligations except those expressly set forth herein and in the other Foreign Collateral Documents to which Foreign Collateral Agent is a party, and its duties hereunder and thereunder shall be administrative in nature. Without limiting the generality of the foregoing, the Foreign Collateral Agent:</w:t>
      </w:r>
    </w:p>
    <w:p>
      <w:pPr>
        <w:spacing w:after="0" w:line="92" w:lineRule="exact"/>
        <w:rPr>
          <w:rFonts w:ascii="Arial" w:cs="Arial" w:eastAsia="Arial" w:hAnsi="Arial"/>
          <w:sz w:val="19"/>
          <w:szCs w:val="19"/>
          <w:color w:val="auto"/>
        </w:rPr>
      </w:pPr>
    </w:p>
    <w:p>
      <w:pPr>
        <w:ind w:left="1300" w:firstLine="652"/>
        <w:spacing w:after="0" w:line="301" w:lineRule="auto"/>
        <w:tabs>
          <w:tab w:leader="none" w:pos="2854" w:val="left"/>
        </w:tabs>
        <w:numPr>
          <w:ilvl w:val="1"/>
          <w:numId w:val="887"/>
        </w:numPr>
        <w:rPr>
          <w:rFonts w:ascii="Arial" w:cs="Arial" w:eastAsia="Arial" w:hAnsi="Arial"/>
          <w:sz w:val="21"/>
          <w:szCs w:val="21"/>
          <w:color w:val="auto"/>
        </w:rPr>
      </w:pPr>
      <w:r>
        <w:rPr>
          <w:rFonts w:ascii="Arial" w:cs="Arial" w:eastAsia="Arial" w:hAnsi="Arial"/>
          <w:sz w:val="21"/>
          <w:szCs w:val="21"/>
          <w:color w:val="auto"/>
        </w:rPr>
        <w:t>shall not be subject to any fiduciary or other implied duties, regardless of whether a default or Event of Default under the Notes Documents or LC Documents has occurred and is continuing;</w:t>
      </w:r>
    </w:p>
    <w:p>
      <w:pPr>
        <w:spacing w:after="0" w:line="123" w:lineRule="exact"/>
        <w:rPr>
          <w:rFonts w:ascii="Arial" w:cs="Arial" w:eastAsia="Arial" w:hAnsi="Arial"/>
          <w:sz w:val="21"/>
          <w:szCs w:val="21"/>
          <w:color w:val="auto"/>
        </w:rPr>
      </w:pPr>
    </w:p>
    <w:p>
      <w:pPr>
        <w:jc w:val="both"/>
        <w:ind w:left="1300" w:firstLine="652"/>
        <w:spacing w:after="0" w:line="304" w:lineRule="auto"/>
        <w:tabs>
          <w:tab w:leader="none" w:pos="2954" w:val="left"/>
        </w:tabs>
        <w:numPr>
          <w:ilvl w:val="1"/>
          <w:numId w:val="887"/>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(though it hereby is authorized to take such actions in its Permitted Discretion), except discretionary rights and powers expressly contemplated hereby or by the Foreign Collateral Documents that the Foreign Collateral Agent is required to exercise as directed in writing by the Controlling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Foreign Collateral Agent shall not be required to take any action that, in its good faith, based upon the advice of counsel or upon the written opinion of its counsel, may expose the Foreign Collateral Agent to liability, or for which it is not indemnified to its satisfaction or that is contrary to any Foreign Collateral Document or applicable law, including, for the avoidance of doubt, any action that may be in violation of the automatic stay under any Debtor Relief Law or that may effect a forfeiture, modification or termination of property in violation of any Debtor Relief Law; and</w:t>
      </w:r>
    </w:p>
    <w:p>
      <w:pPr>
        <w:spacing w:after="0" w:line="114" w:lineRule="exact"/>
        <w:rPr>
          <w:rFonts w:ascii="Arial" w:cs="Arial" w:eastAsia="Arial" w:hAnsi="Arial"/>
          <w:sz w:val="19"/>
          <w:szCs w:val="19"/>
          <w:color w:val="auto"/>
        </w:rPr>
      </w:pPr>
    </w:p>
    <w:p>
      <w:pPr>
        <w:jc w:val="both"/>
        <w:ind w:left="1300" w:firstLine="652"/>
        <w:spacing w:after="0" w:line="262" w:lineRule="auto"/>
        <w:tabs>
          <w:tab w:leader="none" w:pos="2839" w:val="left"/>
        </w:tabs>
        <w:numPr>
          <w:ilvl w:val="1"/>
          <w:numId w:val="887"/>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Foreign Collateral Documents, have any duty to disclose, and shall not be liable for the failure to disclose, any information relating to the Grantors or any of their Subsidiaries or affiliates that is communicated to or obtained by the Person serving as the Foreign Collateral Agent or any of its affiliates in any capacity.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0" w:name="page741"/>
    <w:bookmarkEnd w:id="740"/>
    <w:p>
      <w:pPr>
        <w:jc w:val="both"/>
        <w:ind w:firstLine="1304"/>
        <w:spacing w:after="0" w:line="260" w:lineRule="auto"/>
        <w:tabs>
          <w:tab w:leader="none" w:pos="2317" w:val="left"/>
        </w:tabs>
        <w:numPr>
          <w:ilvl w:val="0"/>
          <w:numId w:val="888"/>
        </w:numPr>
        <w:rPr>
          <w:rFonts w:ascii="Arial" w:cs="Arial" w:eastAsia="Arial" w:hAnsi="Arial"/>
          <w:sz w:val="22"/>
          <w:szCs w:val="22"/>
          <w:color w:val="auto"/>
        </w:rPr>
      </w:pPr>
      <w:r>
        <w:rPr>
          <w:rFonts w:ascii="Arial" w:cs="Arial" w:eastAsia="Arial" w:hAnsi="Arial"/>
          <w:sz w:val="22"/>
          <w:szCs w:val="22"/>
          <w:color w:val="auto"/>
        </w:rPr>
        <w:t>The Foreign Collateral Agent shall not be liable for any action taken or not taken by it (i) with the consent or at the request of the Controlling Parties or (ii) in the absence of its own willful misconduct or gross negligence as determined by a court of competent jurisdiction by final nonappealable judgment. The Foreign Collateral Agent shall be deemed not to have knowledge of any default or Event of Default under the Notes Documents or LC Documents unless and until written notice describing such default or Event of Default is given to the Foreign Collateral Agent by the Grantors, LC Collateral Agent, or Notes Collateral Agent.</w:t>
      </w:r>
    </w:p>
    <w:p>
      <w:pPr>
        <w:spacing w:after="0" w:line="151" w:lineRule="exact"/>
        <w:rPr>
          <w:rFonts w:ascii="Arial" w:cs="Arial" w:eastAsia="Arial" w:hAnsi="Arial"/>
          <w:sz w:val="22"/>
          <w:szCs w:val="22"/>
          <w:color w:val="auto"/>
        </w:rPr>
      </w:pPr>
    </w:p>
    <w:p>
      <w:pPr>
        <w:jc w:val="both"/>
        <w:ind w:firstLine="1304"/>
        <w:spacing w:after="0" w:line="308" w:lineRule="auto"/>
        <w:tabs>
          <w:tab w:leader="none" w:pos="2116" w:val="left"/>
        </w:tabs>
        <w:numPr>
          <w:ilvl w:val="0"/>
          <w:numId w:val="888"/>
        </w:numPr>
        <w:rPr>
          <w:rFonts w:ascii="Arial" w:cs="Arial" w:eastAsia="Arial" w:hAnsi="Arial"/>
          <w:sz w:val="19"/>
          <w:szCs w:val="19"/>
          <w:color w:val="auto"/>
        </w:rPr>
      </w:pPr>
      <w:r>
        <w:rPr>
          <w:rFonts w:ascii="Arial" w:cs="Arial" w:eastAsia="Arial" w:hAnsi="Arial"/>
          <w:sz w:val="19"/>
          <w:szCs w:val="19"/>
          <w:color w:val="auto"/>
        </w:rPr>
        <w:t>The Foreign Collateral Agent shall not be responsible for or have any duty to ascertain or inquire into (i) any statement, warranty or representation made in or in connection with this Agreement or any other Foreign Collateral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or (iv) the validity, enforceability, effectiveness or genuineness of this Agreement, any other Foreign Collateral Document or any other agreement, instrument or document.</w:t>
      </w:r>
    </w:p>
    <w:p>
      <w:pPr>
        <w:spacing w:after="0" w:line="127"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b w:val="1"/>
          <w:bCs w:val="1"/>
          <w:i w:val="1"/>
          <w:iCs w:val="1"/>
          <w:color w:val="auto"/>
        </w:rPr>
        <w:t>Reliance by the Foreign Collateral Agent</w:t>
      </w:r>
      <w:r>
        <w:rPr>
          <w:rFonts w:ascii="Arial" w:cs="Arial" w:eastAsia="Arial" w:hAnsi="Arial"/>
          <w:sz w:val="19"/>
          <w:szCs w:val="19"/>
          <w:color w:val="auto"/>
        </w:rPr>
        <w:t>. The Foreign Collateral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Foreign Collateral Agent also may rely upon any statement made to it orally or by telephone and reasonably believed by it to have been made by the proper Person, and shall not incur any liability for relying thereon. The Foreign Collateral Agent may consult with legal counsel, independent accountants and other experts selected by it, and shall not be liable for any action taken or not taken by it in accordance with the written advice of any such counsel, accountants or experts.</w:t>
      </w:r>
    </w:p>
    <w:p>
      <w:pPr>
        <w:spacing w:after="0" w:line="114"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b w:val="1"/>
          <w:bCs w:val="1"/>
          <w:i w:val="1"/>
          <w:iCs w:val="1"/>
          <w:color w:val="auto"/>
        </w:rPr>
        <w:t>Delegation of Duties</w:t>
      </w:r>
      <w:r>
        <w:rPr>
          <w:rFonts w:ascii="Arial" w:cs="Arial" w:eastAsia="Arial" w:hAnsi="Arial"/>
          <w:sz w:val="19"/>
          <w:szCs w:val="19"/>
          <w:color w:val="auto"/>
        </w:rPr>
        <w:t>.</w:t>
      </w:r>
    </w:p>
    <w:p>
      <w:pPr>
        <w:spacing w:after="0" w:line="193" w:lineRule="exact"/>
        <w:rPr>
          <w:sz w:val="20"/>
          <w:szCs w:val="20"/>
          <w:color w:val="auto"/>
        </w:rPr>
      </w:pPr>
    </w:p>
    <w:p>
      <w:pPr>
        <w:jc w:val="both"/>
        <w:ind w:firstLine="1304"/>
        <w:spacing w:after="0" w:line="272" w:lineRule="auto"/>
        <w:tabs>
          <w:tab w:leader="none" w:pos="2211" w:val="left"/>
        </w:tabs>
        <w:numPr>
          <w:ilvl w:val="0"/>
          <w:numId w:val="889"/>
        </w:numPr>
        <w:rPr>
          <w:rFonts w:ascii="Arial" w:cs="Arial" w:eastAsia="Arial" w:hAnsi="Arial"/>
          <w:sz w:val="21"/>
          <w:szCs w:val="21"/>
          <w:color w:val="auto"/>
        </w:rPr>
      </w:pPr>
      <w:r>
        <w:rPr>
          <w:rFonts w:ascii="Arial" w:cs="Arial" w:eastAsia="Arial" w:hAnsi="Arial"/>
          <w:sz w:val="21"/>
          <w:szCs w:val="21"/>
          <w:color w:val="auto"/>
        </w:rPr>
        <w:t>The Foreign Collateral Agent may perform any and all of its duties and exercise its rights and powers hereunder or under any Foreign Collateral Document by or through any one or more sub-agents appointed by the Foreign Collateral Agent. The Foreign Collateral Agent and any such sub-agent may perform any and all of its duties and exercise its rights and powers by or through their respective Related Parties. The exculpatory provisions of this Article VI shall apply to any such sub-agent and to the Related Parties of the Foreign Collateral Agent and any such sub-agent, and shall apply to their respective activities in connection with the Foreign Collateral. The Foreign Collateral Agent shall not be responsible for the negligence or misconduct of any sub-agents except to the extent that a court of competent jurisdiction determines in a final and nonappealable judgment that the Foreign Collateral Agent acted with willful misconduct or gross negligence in the selection of such sub agents.</w:t>
      </w:r>
    </w:p>
    <w:p>
      <w:pPr>
        <w:spacing w:after="0" w:line="155" w:lineRule="exact"/>
        <w:rPr>
          <w:rFonts w:ascii="Arial" w:cs="Arial" w:eastAsia="Arial" w:hAnsi="Arial"/>
          <w:sz w:val="21"/>
          <w:szCs w:val="21"/>
          <w:color w:val="auto"/>
        </w:rPr>
      </w:pPr>
    </w:p>
    <w:p>
      <w:pPr>
        <w:jc w:val="both"/>
        <w:ind w:firstLine="1304"/>
        <w:spacing w:after="0" w:line="262" w:lineRule="auto"/>
        <w:tabs>
          <w:tab w:leader="none" w:pos="2344" w:val="left"/>
        </w:tabs>
        <w:numPr>
          <w:ilvl w:val="0"/>
          <w:numId w:val="889"/>
        </w:numPr>
        <w:rPr>
          <w:rFonts w:ascii="Arial" w:cs="Arial" w:eastAsia="Arial" w:hAnsi="Arial"/>
          <w:sz w:val="22"/>
          <w:szCs w:val="22"/>
          <w:color w:val="auto"/>
        </w:rPr>
      </w:pPr>
      <w:r>
        <w:rPr>
          <w:rFonts w:ascii="Arial" w:cs="Arial" w:eastAsia="Arial" w:hAnsi="Arial"/>
          <w:sz w:val="22"/>
          <w:szCs w:val="22"/>
          <w:color w:val="auto"/>
        </w:rPr>
        <w:t>Should any instrument in writing from any Grantor be required by any sub-agent appointed by the Foreign Collateral Agent to more fully or certainly vest in and confirm to such sub-agent such rights, powers, privileges and duties, such Grantor shall execute, acknowledge and deliver any and all such instruments promptly upon request by the Foreign Collateral Agent. If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1" w:name="page742"/>
    <w:bookmarkEnd w:id="741"/>
    <w:p>
      <w:pPr>
        <w:jc w:val="both"/>
        <w:spacing w:after="0" w:line="276" w:lineRule="auto"/>
        <w:rPr>
          <w:sz w:val="20"/>
          <w:szCs w:val="20"/>
          <w:color w:val="auto"/>
        </w:rPr>
      </w:pPr>
      <w:r>
        <w:rPr>
          <w:rFonts w:ascii="Arial" w:cs="Arial" w:eastAsia="Arial" w:hAnsi="Arial"/>
          <w:sz w:val="21"/>
          <w:szCs w:val="21"/>
          <w:color w:val="auto"/>
        </w:rPr>
        <w:t>any such sub-agent, or successor thereto, shall resign or be removed, all rights, powers, privileges and duties of such sub-agent, to the extent permitted by law, shall automatically vest in and be exercised by the Foreign Collateral Agent until the appointment of a new sub-agent. All references in this Agreement or in any other Foreign Collateral Document to any Lien or Foreign Collateral Document granted or delivered in favour of the Foreign Collateral Agent shall include any Lien or Foreign Collateral Document granted to any sub-agent of the Foreign Collateral Agent</w:t>
      </w:r>
    </w:p>
    <w:p>
      <w:pPr>
        <w:spacing w:after="0" w:line="137"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b w:val="1"/>
          <w:bCs w:val="1"/>
          <w:i w:val="1"/>
          <w:iCs w:val="1"/>
          <w:color w:val="auto"/>
        </w:rPr>
        <w:t>Resignation of Foreign Collateral Agent</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303" w:lineRule="auto"/>
        <w:tabs>
          <w:tab w:leader="none" w:pos="2076" w:val="left"/>
        </w:tabs>
        <w:numPr>
          <w:ilvl w:val="0"/>
          <w:numId w:val="890"/>
        </w:numPr>
        <w:rPr>
          <w:rFonts w:ascii="Arial" w:cs="Arial" w:eastAsia="Arial" w:hAnsi="Arial"/>
          <w:sz w:val="19"/>
          <w:szCs w:val="19"/>
          <w:color w:val="auto"/>
        </w:rPr>
      </w:pPr>
      <w:r>
        <w:rPr>
          <w:rFonts w:ascii="Arial" w:cs="Arial" w:eastAsia="Arial" w:hAnsi="Arial"/>
          <w:sz w:val="19"/>
          <w:szCs w:val="19"/>
          <w:color w:val="auto"/>
        </w:rPr>
        <w:t>The Foreign Collateral Agent may at any time give notice of its resignation to the Representatives and the Grantors. Upon receipt of any such notice of resignation, the Secured Parties, acting through their Collateral Agents, shall have the right (provided no Event of Default has occurred and is continuing under any LC Document or Notes Document at the time of such resignation) to appoint a successor, which shall be as jointly designated by Notes Collateral Agent and LC Collateral Agent. If no such successor shall have been so appointed in accordance with the preceding sentence and shall have accepted such appointment within 30 days after the retiring Foreign Collateral Agent gives notice of its resignation (or such earlier day as shall be agreed by the Representatives)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Foreign Collateral Agent may (but shall not be obligated to), on behalf of the Secured Parties, appoint a successor Foreign Collateral Agent meeting the qualifications set forth above. Whether or not a successor has been appointed, such resignation shall become effective in accordance with such notice on the Resignation Effective Date.</w:t>
      </w:r>
    </w:p>
    <w:p>
      <w:pPr>
        <w:spacing w:after="0" w:line="117" w:lineRule="exact"/>
        <w:rPr>
          <w:rFonts w:ascii="Arial" w:cs="Arial" w:eastAsia="Arial" w:hAnsi="Arial"/>
          <w:sz w:val="19"/>
          <w:szCs w:val="19"/>
          <w:color w:val="auto"/>
        </w:rPr>
      </w:pPr>
    </w:p>
    <w:p>
      <w:pPr>
        <w:jc w:val="both"/>
        <w:ind w:firstLine="1304"/>
        <w:spacing w:after="0" w:line="300" w:lineRule="auto"/>
        <w:tabs>
          <w:tab w:leader="none" w:pos="2371" w:val="left"/>
        </w:tabs>
        <w:numPr>
          <w:ilvl w:val="0"/>
          <w:numId w:val="890"/>
        </w:numPr>
        <w:rPr>
          <w:rFonts w:ascii="Arial" w:cs="Arial" w:eastAsia="Arial" w:hAnsi="Arial"/>
          <w:sz w:val="19"/>
          <w:szCs w:val="19"/>
          <w:color w:val="auto"/>
        </w:rPr>
      </w:pPr>
      <w:r>
        <w:rPr>
          <w:rFonts w:ascii="Arial" w:cs="Arial" w:eastAsia="Arial" w:hAnsi="Arial"/>
          <w:sz w:val="19"/>
          <w:szCs w:val="19"/>
          <w:color w:val="auto"/>
        </w:rPr>
        <w:t>With effect from the Resignation Effective Date, (1) the retiring Foreign Collateral Agent shall be discharged from its duties and obligations hereunder and under the other Foreign Collateral Documents (except that in the case of any collateral security held by the Foreign Collateral Agent on behalf of the Secured Parties under any of the Foreign Collateral Documents, the retiring Foreign Collateral Agent shall continue to hold such collateral security until such time as a successor Foreign Collateral Agent is appointed but in any event, no more than sixty (60) days following the Resignation Effective Date) and (2) except for any indemnity payments owed to the retiring Foreign Collateral Agent, all payments, communications and determinations provided to be made by, to or through the Foreign Collateral Agent shall instead be made by or to each Representative directly, until such time, if any, the relevant Collateral Agents appoint a successor Foreign Collateral Agent as provided for above. Upon the acceptance of a successor’s appointment as Foreign Collateral Agent hereunder, such successor shall succeed to and become vested with all of the rights, powers, privileges and duties of the retiring Foreign Collateral Agent (other than any rights to indemnity payments owed to the retiring Foreign Collateral Agent), and the retiring Foreign Collateral Agent shall be discharged from all of its duties and obligations hereunder or under the other Foreign Collateral Documents. After the retiring Foreign Collateral Agent’s resignation or removal hereunder and under the other Foreign Collateral Documents, the provisions of this Article shall continue in effect for the benefit of such retiring Foreign Collateral Agent, its sub-agents and their respective Related Parties in respect of any actions taken or omitted to be taken by any of them while the retiring Foreign Collateral Agent was acting as Foreign Collateral Agent.</w:t>
      </w:r>
    </w:p>
    <w:p>
      <w:pPr>
        <w:spacing w:after="0" w:line="399"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b w:val="1"/>
          <w:bCs w:val="1"/>
          <w:i w:val="1"/>
          <w:iCs w:val="1"/>
          <w:color w:val="auto"/>
        </w:rPr>
        <w:t>Non-Reliance on Foreign Collateral Agent and Other Secured Parties</w:t>
      </w:r>
      <w:r>
        <w:rPr>
          <w:rFonts w:ascii="Arial" w:cs="Arial" w:eastAsia="Arial" w:hAnsi="Arial"/>
          <w:sz w:val="22"/>
          <w:szCs w:val="22"/>
          <w:color w:val="auto"/>
        </w:rPr>
        <w:t>. Each Collateral Agent acknowledges that it has, independently and without reliance upon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2" w:name="page743"/>
    <w:bookmarkEnd w:id="742"/>
    <w:p>
      <w:pPr>
        <w:jc w:val="both"/>
        <w:spacing w:after="0" w:line="308" w:lineRule="auto"/>
        <w:rPr>
          <w:sz w:val="20"/>
          <w:szCs w:val="20"/>
          <w:color w:val="auto"/>
        </w:rPr>
      </w:pPr>
      <w:r>
        <w:rPr>
          <w:rFonts w:ascii="Arial" w:cs="Arial" w:eastAsia="Arial" w:hAnsi="Arial"/>
          <w:sz w:val="19"/>
          <w:szCs w:val="19"/>
          <w:color w:val="auto"/>
        </w:rPr>
        <w:t>the Foreign Collateral Agent or any of its related parties and based on such documents and information as it has deemed appropriate, made its own credit analysis and decision to enter into this Agreement, the LC Documents, and the Notes Documents, as applicable. Each Collateral Agent also acknowledges that it will, independently and without reliance upon the Foreign Collateral Agent or its related parties and based on such documents and information as it shall from time to time deem appropriate, continue to make its own decisions in taking or not taking action under or based upon this Agreement, any Foreign Collateral Document or any related agreement or any document furnished hereunder or thereunder.</w:t>
      </w:r>
    </w:p>
    <w:p>
      <w:pPr>
        <w:spacing w:after="0" w:line="113"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b w:val="1"/>
          <w:bCs w:val="1"/>
          <w:i w:val="1"/>
          <w:iCs w:val="1"/>
          <w:color w:val="auto"/>
        </w:rPr>
        <w:t>Collateral Matters</w:t>
      </w:r>
      <w:r>
        <w:rPr>
          <w:rFonts w:ascii="Arial" w:cs="Arial" w:eastAsia="Arial" w:hAnsi="Arial"/>
          <w:sz w:val="19"/>
          <w:szCs w:val="19"/>
          <w:color w:val="auto"/>
        </w:rPr>
        <w:t>.</w:t>
      </w:r>
    </w:p>
    <w:p>
      <w:pPr>
        <w:spacing w:after="0" w:line="206" w:lineRule="exact"/>
        <w:rPr>
          <w:sz w:val="20"/>
          <w:szCs w:val="20"/>
          <w:color w:val="auto"/>
        </w:rPr>
      </w:pPr>
    </w:p>
    <w:p>
      <w:pPr>
        <w:jc w:val="both"/>
        <w:ind w:left="1300"/>
        <w:spacing w:after="0" w:line="273" w:lineRule="auto"/>
        <w:rPr>
          <w:sz w:val="20"/>
          <w:szCs w:val="20"/>
          <w:color w:val="auto"/>
        </w:rPr>
      </w:pPr>
      <w:r>
        <w:rPr>
          <w:rFonts w:ascii="Arial" w:cs="Arial" w:eastAsia="Arial" w:hAnsi="Arial"/>
          <w:sz w:val="21"/>
          <w:szCs w:val="21"/>
          <w:color w:val="auto"/>
        </w:rPr>
        <w:t xml:space="preserve">Each of the Collateral Agents irrevocably authorize the Foreign Collateral Agent, at its option and in its Permitted Discretion;to release any Lien or any other claim on any Foreign Collateral granted to or held by the Foreign Collateral Agent, for the benefit of the Secured Parties, under any Foreign Collateral Document (A) upon the Discharge of the Notes Obligations and the Discharge of the LC Obligations, as applicable, in which case such Lien shall only be released with respect to the Obligations so Discharged; (B) that is sold or otherwise disposed of or to be sold or otherwise disposed of as part of or in connection with any sale or other disposition permitted hereunder or under the Foreign Collateral Documents, Notes Documents and LC Documents or (C) if approved, authorized or ratified in writing in accordance with </w:t>
      </w:r>
      <w:r>
        <w:rPr>
          <w:rFonts w:ascii="Arial" w:cs="Arial" w:eastAsia="Arial" w:hAnsi="Arial"/>
          <w:sz w:val="21"/>
          <w:szCs w:val="21"/>
          <w:u w:val="single" w:color="auto"/>
          <w:color w:val="auto"/>
        </w:rPr>
        <w:t>Section 6.08(b)</w:t>
      </w:r>
      <w:r>
        <w:rPr>
          <w:rFonts w:ascii="Arial" w:cs="Arial" w:eastAsia="Arial" w:hAnsi="Arial"/>
          <w:sz w:val="21"/>
          <w:szCs w:val="21"/>
          <w:color w:val="auto"/>
        </w:rPr>
        <w:t>.</w:t>
      </w:r>
    </w:p>
    <w:p>
      <w:pPr>
        <w:spacing w:after="0" w:line="138" w:lineRule="exact"/>
        <w:rPr>
          <w:sz w:val="20"/>
          <w:szCs w:val="20"/>
          <w:color w:val="auto"/>
        </w:rPr>
      </w:pPr>
    </w:p>
    <w:p>
      <w:pPr>
        <w:jc w:val="both"/>
        <w:ind w:firstLine="1304"/>
        <w:spacing w:after="0" w:line="273" w:lineRule="auto"/>
        <w:tabs>
          <w:tab w:leader="none" w:pos="2103" w:val="left"/>
        </w:tabs>
        <w:numPr>
          <w:ilvl w:val="0"/>
          <w:numId w:val="891"/>
        </w:numPr>
        <w:rPr>
          <w:rFonts w:ascii="Arial" w:cs="Arial" w:eastAsia="Arial" w:hAnsi="Arial"/>
          <w:sz w:val="21"/>
          <w:szCs w:val="21"/>
          <w:color w:val="auto"/>
        </w:rPr>
      </w:pPr>
      <w:r>
        <w:rPr>
          <w:rFonts w:ascii="Arial" w:cs="Arial" w:eastAsia="Arial" w:hAnsi="Arial"/>
          <w:sz w:val="21"/>
          <w:szCs w:val="21"/>
          <w:color w:val="auto"/>
        </w:rPr>
        <w:t xml:space="preserve">Upon request by the Foreign Collateral Agent at any time, the Controlling Parties will confirm in writing the Foreign Collateral Agent’s authority to release or subordinate its interest in particular types or items of property or take any other action necessary to administer the Foreign Collateral. In each case, as specified in this </w:t>
      </w:r>
      <w:r>
        <w:rPr>
          <w:rFonts w:ascii="Arial" w:cs="Arial" w:eastAsia="Arial" w:hAnsi="Arial"/>
          <w:sz w:val="21"/>
          <w:szCs w:val="21"/>
          <w:u w:val="single" w:color="auto"/>
          <w:color w:val="auto"/>
        </w:rPr>
        <w:t>Section 6.08</w:t>
      </w:r>
      <w:r>
        <w:rPr>
          <w:rFonts w:ascii="Arial" w:cs="Arial" w:eastAsia="Arial" w:hAnsi="Arial"/>
          <w:sz w:val="21"/>
          <w:szCs w:val="21"/>
          <w:color w:val="auto"/>
        </w:rPr>
        <w:t>, the Foreign Collateral Agent will, at the Grantors’ joint and several expense, execute and deliver to the applicable Grantor such documents as such Grantor may reasonably request to evidence the release of such item of Foreign Collateral from the assignment and security interest granted under the Foreign Collateral Documents or to subordinate its interest in such item, or to release such Grantor from its obligations under the Foreign Collateral Documents, in each case in accordance with the terms hereof and the terms of the Foreign Collateral Documents.</w:t>
      </w:r>
    </w:p>
    <w:p>
      <w:pPr>
        <w:spacing w:after="0" w:line="138" w:lineRule="exact"/>
        <w:rPr>
          <w:rFonts w:ascii="Arial" w:cs="Arial" w:eastAsia="Arial" w:hAnsi="Arial"/>
          <w:sz w:val="21"/>
          <w:szCs w:val="21"/>
          <w:color w:val="auto"/>
        </w:rPr>
      </w:pPr>
    </w:p>
    <w:p>
      <w:pPr>
        <w:jc w:val="both"/>
        <w:ind w:firstLine="1304"/>
        <w:spacing w:after="0" w:line="261" w:lineRule="auto"/>
        <w:tabs>
          <w:tab w:leader="none" w:pos="2155" w:val="left"/>
        </w:tabs>
        <w:numPr>
          <w:ilvl w:val="0"/>
          <w:numId w:val="891"/>
        </w:numPr>
        <w:rPr>
          <w:rFonts w:ascii="Arial" w:cs="Arial" w:eastAsia="Arial" w:hAnsi="Arial"/>
          <w:sz w:val="22"/>
          <w:szCs w:val="22"/>
          <w:color w:val="auto"/>
        </w:rPr>
      </w:pPr>
      <w:r>
        <w:rPr>
          <w:rFonts w:ascii="Arial" w:cs="Arial" w:eastAsia="Arial" w:hAnsi="Arial"/>
          <w:sz w:val="22"/>
          <w:szCs w:val="22"/>
          <w:color w:val="auto"/>
        </w:rPr>
        <w:t>The Foreign Collateral Agent shall not be responsible for or have a duty to ascertain or inquire into any representation or warranty regarding the existence, value or collectability of the Foreign Collateral, the existence, priority or perfection of the Foreign Collateral Agent’s Lien thereon, or any certificate prepared by any Grantor in connection therewith, nor shall the Foreign Collateral Agent be responsible or liable to the Secured Parties for any failure to monitor or maintain any portion of the Foreign Collateral.</w:t>
      </w:r>
    </w:p>
    <w:p>
      <w:pPr>
        <w:spacing w:after="0" w:line="163"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b w:val="1"/>
          <w:bCs w:val="1"/>
          <w:i w:val="1"/>
          <w:iCs w:val="1"/>
          <w:color w:val="auto"/>
        </w:rPr>
        <w:t>Discretionary Rights</w:t>
      </w:r>
      <w:r>
        <w:rPr>
          <w:rFonts w:ascii="Arial" w:cs="Arial" w:eastAsia="Arial" w:hAnsi="Arial"/>
          <w:sz w:val="19"/>
          <w:szCs w:val="19"/>
          <w:color w:val="auto"/>
        </w:rPr>
        <w:t>. The Foreign Collateral Agent may:</w:t>
      </w:r>
    </w:p>
    <w:p>
      <w:pPr>
        <w:spacing w:after="0" w:line="193" w:lineRule="exact"/>
        <w:rPr>
          <w:sz w:val="20"/>
          <w:szCs w:val="20"/>
          <w:color w:val="auto"/>
        </w:rPr>
      </w:pPr>
    </w:p>
    <w:p>
      <w:pPr>
        <w:jc w:val="both"/>
        <w:ind w:firstLine="1304"/>
        <w:spacing w:after="0" w:line="327" w:lineRule="auto"/>
        <w:tabs>
          <w:tab w:leader="none" w:pos="2103" w:val="left"/>
        </w:tabs>
        <w:numPr>
          <w:ilvl w:val="0"/>
          <w:numId w:val="892"/>
        </w:numPr>
        <w:rPr>
          <w:rFonts w:ascii="Arial" w:cs="Arial" w:eastAsia="Arial" w:hAnsi="Arial"/>
          <w:sz w:val="19"/>
          <w:szCs w:val="19"/>
          <w:color w:val="auto"/>
        </w:rPr>
      </w:pPr>
      <w:r>
        <w:rPr>
          <w:rFonts w:ascii="Arial" w:cs="Arial" w:eastAsia="Arial" w:hAnsi="Arial"/>
          <w:sz w:val="19"/>
          <w:szCs w:val="19"/>
          <w:color w:val="auto"/>
        </w:rPr>
        <w:t>assume (unless it has received actual notice to the contrary from the Collateral Agents) that (i) no default or Event of Default has occurred and no Grantor is in breach of or default under its obligations under any of the Foreign Collateral Documents, Notes Documents, or LC Documents, and (ii) any right, power, authority or discretion vested by any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3" w:name="page744"/>
    <w:bookmarkEnd w:id="743"/>
    <w:p>
      <w:pPr>
        <w:spacing w:after="0"/>
        <w:rPr>
          <w:sz w:val="20"/>
          <w:szCs w:val="20"/>
          <w:color w:val="auto"/>
        </w:rPr>
      </w:pPr>
      <w:r>
        <w:rPr>
          <w:rFonts w:ascii="Arial" w:cs="Arial" w:eastAsia="Arial" w:hAnsi="Arial"/>
          <w:sz w:val="22"/>
          <w:szCs w:val="22"/>
          <w:color w:val="auto"/>
        </w:rPr>
        <w:t>Foreign Collateral Documents, Notes Documents, or LC Documents in any person has not been exercised;</w:t>
      </w:r>
    </w:p>
    <w:p>
      <w:pPr>
        <w:spacing w:after="0" w:line="193" w:lineRule="exact"/>
        <w:rPr>
          <w:sz w:val="20"/>
          <w:szCs w:val="20"/>
          <w:color w:val="auto"/>
        </w:rPr>
      </w:pPr>
    </w:p>
    <w:p>
      <w:pPr>
        <w:jc w:val="both"/>
        <w:ind w:firstLine="1304"/>
        <w:spacing w:after="0" w:line="266" w:lineRule="auto"/>
        <w:tabs>
          <w:tab w:leader="none" w:pos="2115" w:val="left"/>
        </w:tabs>
        <w:numPr>
          <w:ilvl w:val="0"/>
          <w:numId w:val="893"/>
        </w:numPr>
        <w:rPr>
          <w:rFonts w:ascii="Arial" w:cs="Arial" w:eastAsia="Arial" w:hAnsi="Arial"/>
          <w:sz w:val="22"/>
          <w:szCs w:val="22"/>
          <w:color w:val="auto"/>
        </w:rPr>
      </w:pPr>
      <w:r>
        <w:rPr>
          <w:rFonts w:ascii="Arial" w:cs="Arial" w:eastAsia="Arial" w:hAnsi="Arial"/>
          <w:sz w:val="22"/>
          <w:szCs w:val="22"/>
          <w:color w:val="auto"/>
        </w:rPr>
        <w:t>if it receives any instructions or directions to take any action in relation to the Foreign Collateral, assume that all applicable conditions under this Agreement, LC Documents and Notes Documents for taking that action have been satisfied;</w:t>
      </w:r>
    </w:p>
    <w:p>
      <w:pPr>
        <w:spacing w:after="0" w:line="157" w:lineRule="exact"/>
        <w:rPr>
          <w:rFonts w:ascii="Arial" w:cs="Arial" w:eastAsia="Arial" w:hAnsi="Arial"/>
          <w:sz w:val="22"/>
          <w:szCs w:val="22"/>
          <w:color w:val="auto"/>
        </w:rPr>
      </w:pPr>
    </w:p>
    <w:p>
      <w:pPr>
        <w:jc w:val="both"/>
        <w:ind w:firstLine="1304"/>
        <w:spacing w:after="0" w:line="266" w:lineRule="auto"/>
        <w:tabs>
          <w:tab w:leader="none" w:pos="2211" w:val="left"/>
        </w:tabs>
        <w:numPr>
          <w:ilvl w:val="0"/>
          <w:numId w:val="893"/>
        </w:numPr>
        <w:rPr>
          <w:rFonts w:ascii="Arial" w:cs="Arial" w:eastAsia="Arial" w:hAnsi="Arial"/>
          <w:sz w:val="22"/>
          <w:szCs w:val="22"/>
          <w:color w:val="auto"/>
        </w:rPr>
      </w:pPr>
      <w:r>
        <w:rPr>
          <w:rFonts w:ascii="Arial" w:cs="Arial" w:eastAsia="Arial" w:hAnsi="Arial"/>
          <w:sz w:val="22"/>
          <w:szCs w:val="22"/>
          <w:color w:val="auto"/>
        </w:rPr>
        <w:t>engage and pay for the advice or services of accountants, tax advisers, surveyors or other professional advisers or experts and a single legal counsel in each applicable jurisdiction (in addition to the Foreign Collateral Agent’s general outside counsel);</w:t>
      </w:r>
    </w:p>
    <w:p>
      <w:pPr>
        <w:spacing w:after="0" w:line="144" w:lineRule="exact"/>
        <w:rPr>
          <w:rFonts w:ascii="Arial" w:cs="Arial" w:eastAsia="Arial" w:hAnsi="Arial"/>
          <w:sz w:val="22"/>
          <w:szCs w:val="22"/>
          <w:color w:val="auto"/>
        </w:rPr>
      </w:pPr>
    </w:p>
    <w:p>
      <w:pPr>
        <w:jc w:val="both"/>
        <w:ind w:firstLine="1304"/>
        <w:spacing w:after="0" w:line="308" w:lineRule="auto"/>
        <w:tabs>
          <w:tab w:leader="none" w:pos="2169" w:val="left"/>
        </w:tabs>
        <w:numPr>
          <w:ilvl w:val="0"/>
          <w:numId w:val="893"/>
        </w:numPr>
        <w:rPr>
          <w:rFonts w:ascii="Arial" w:cs="Arial" w:eastAsia="Arial" w:hAnsi="Arial"/>
          <w:sz w:val="19"/>
          <w:szCs w:val="19"/>
          <w:color w:val="auto"/>
        </w:rPr>
      </w:pPr>
      <w:r>
        <w:rPr>
          <w:rFonts w:ascii="Arial" w:cs="Arial" w:eastAsia="Arial" w:hAnsi="Arial"/>
          <w:sz w:val="19"/>
          <w:szCs w:val="19"/>
          <w:color w:val="auto"/>
        </w:rPr>
        <w:t>without prejudice for the generality of paragraph (c) above, at any time engage and pay for the services of a single additional counsel in each applicable jurisdiction to act as independent counsel to the Foreign Collateral Agent (in addition to the Foreign Collateral Agent’s general outside counsel) (and so separate from any lawyers instructed by the other Secured Parties) if the Foreign Collateral Agent in its reasonable opinion deems this to be desirable and the Collateral Agent shall not be liable for any damages, costs or losses to any person, any diminution in value or any liability whatsoever arising as a result of its so relying on the advice or services of any professional engaged under this Section 6.09; and</w:t>
      </w:r>
    </w:p>
    <w:p>
      <w:pPr>
        <w:spacing w:after="0" w:line="113" w:lineRule="exact"/>
        <w:rPr>
          <w:rFonts w:ascii="Arial" w:cs="Arial" w:eastAsia="Arial" w:hAnsi="Arial"/>
          <w:sz w:val="19"/>
          <w:szCs w:val="19"/>
          <w:color w:val="auto"/>
        </w:rPr>
      </w:pPr>
    </w:p>
    <w:p>
      <w:pPr>
        <w:jc w:val="both"/>
        <w:ind w:firstLine="1304"/>
        <w:spacing w:after="0" w:line="305" w:lineRule="auto"/>
        <w:tabs>
          <w:tab w:leader="none" w:pos="2400" w:val="left"/>
        </w:tabs>
        <w:numPr>
          <w:ilvl w:val="0"/>
          <w:numId w:val="893"/>
        </w:numPr>
        <w:rPr>
          <w:rFonts w:ascii="Arial" w:cs="Arial" w:eastAsia="Arial" w:hAnsi="Arial"/>
          <w:sz w:val="19"/>
          <w:szCs w:val="19"/>
          <w:color w:val="auto"/>
        </w:rPr>
      </w:pPr>
      <w:r>
        <w:rPr>
          <w:rFonts w:ascii="Arial" w:cs="Arial" w:eastAsia="Arial" w:hAnsi="Arial"/>
          <w:sz w:val="19"/>
          <w:szCs w:val="19"/>
          <w:color w:val="auto"/>
        </w:rPr>
        <w:t>refrain from acting in accordance with the instructions of any Secured Party or Controlling Party (including bringing any legal action or proceeding arising out of or in connection with the Foreign Collateral Documents) until it has received any indemnification and/or security that it may in its reasonable discretion require which may be greater in extent than that contained for the benefit of any Representative in the Notes Documents or LC Documents. Notwithstanding any provision of any Notes Documents or LC Documents to the contrary, the Foreign Collateral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28"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b w:val="1"/>
          <w:bCs w:val="1"/>
          <w:i w:val="1"/>
          <w:iCs w:val="1"/>
          <w:color w:val="auto"/>
        </w:rPr>
        <w:t>Indemnification of Foreign Collateral Agent</w:t>
      </w:r>
      <w:r>
        <w:rPr>
          <w:rFonts w:ascii="Arial" w:cs="Arial" w:eastAsia="Arial" w:hAnsi="Arial"/>
          <w:sz w:val="19"/>
          <w:szCs w:val="19"/>
          <w:color w:val="auto"/>
        </w:rPr>
        <w:t>.</w:t>
      </w:r>
    </w:p>
    <w:p>
      <w:pPr>
        <w:spacing w:after="0" w:line="193" w:lineRule="exact"/>
        <w:rPr>
          <w:sz w:val="20"/>
          <w:szCs w:val="20"/>
          <w:color w:val="auto"/>
        </w:rPr>
      </w:pPr>
    </w:p>
    <w:p>
      <w:pPr>
        <w:jc w:val="both"/>
        <w:ind w:firstLine="1304"/>
        <w:spacing w:after="0" w:line="302" w:lineRule="auto"/>
        <w:tabs>
          <w:tab w:leader="none" w:pos="2103" w:val="left"/>
        </w:tabs>
        <w:numPr>
          <w:ilvl w:val="0"/>
          <w:numId w:val="894"/>
        </w:numPr>
        <w:rPr>
          <w:rFonts w:ascii="Arial" w:cs="Arial" w:eastAsia="Arial" w:hAnsi="Arial"/>
          <w:sz w:val="19"/>
          <w:szCs w:val="19"/>
          <w:color w:val="auto"/>
        </w:rPr>
      </w:pPr>
      <w:r>
        <w:rPr>
          <w:rFonts w:ascii="Arial" w:cs="Arial" w:eastAsia="Arial" w:hAnsi="Arial"/>
          <w:sz w:val="19"/>
          <w:szCs w:val="19"/>
          <w:color w:val="auto"/>
        </w:rPr>
        <w:t>The Secured Parties (other than the LC Australian Collateral Agent and the Notes Collateral Agent) shall jointly and severally indemnify the Foreign Collateral Agent within three Business Days of demand, and keep the Foreign Collateral Agent indemnified against any demands, damages, expenses, costs, losses or liabilities made against or incurred by it in acting as Foreign Collateral Agent on behalf of the Secured Parties under this Agreement, the Foreign Collateral Documents, the LC Documents, or the Notes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indemnification obligations arising solely due to the instructions of a Controlling Party shall be borne solely by the Class represented by such Controlling Party), unless the Foreign Collateral Agent (i) has been reimbursed by a Grantor pursuant to any of the Foreign Collateral Documents or (ii) such liabilities, losses, demands, damages, expenses or costs are incurred by or made against the Foreign Collateral Agent as a result of willful misconduct or gross negligence as determined by a court of competent jurisdiction by a final nonappealable judgment. The Grantors hereby jointly and severally indemnify the Secured Parties against any payment made by them under this Section 6.10(a) and agree that any payments made by or costs attributable to any Notes Secured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4" w:name="page745"/>
    <w:bookmarkEnd w:id="744"/>
    <w:p>
      <w:pPr>
        <w:spacing w:after="0" w:line="358" w:lineRule="auto"/>
        <w:rPr>
          <w:sz w:val="20"/>
          <w:szCs w:val="20"/>
          <w:color w:val="auto"/>
        </w:rPr>
      </w:pPr>
      <w:r>
        <w:rPr>
          <w:rFonts w:ascii="Arial" w:cs="Arial" w:eastAsia="Arial" w:hAnsi="Arial"/>
          <w:sz w:val="19"/>
          <w:szCs w:val="19"/>
          <w:color w:val="auto"/>
        </w:rPr>
        <w:t>Party on account of the Foreign Collateral Agent shall be added to the Notes Obligations and any payments made by or costs attributable to any LC Secured Party on account of the Foreign Collateral Agent shall be added to the LC Obligations.</w:t>
      </w:r>
    </w:p>
    <w:p>
      <w:pPr>
        <w:spacing w:after="0" w:line="64" w:lineRule="exact"/>
        <w:rPr>
          <w:sz w:val="20"/>
          <w:szCs w:val="20"/>
          <w:color w:val="auto"/>
        </w:rPr>
      </w:pPr>
    </w:p>
    <w:p>
      <w:pPr>
        <w:jc w:val="both"/>
        <w:ind w:firstLine="1304"/>
        <w:spacing w:after="0" w:line="302" w:lineRule="auto"/>
        <w:tabs>
          <w:tab w:leader="none" w:pos="2182" w:val="left"/>
        </w:tabs>
        <w:numPr>
          <w:ilvl w:val="0"/>
          <w:numId w:val="895"/>
        </w:numPr>
        <w:rPr>
          <w:rFonts w:ascii="Arial" w:cs="Arial" w:eastAsia="Arial" w:hAnsi="Arial"/>
          <w:sz w:val="19"/>
          <w:szCs w:val="19"/>
          <w:color w:val="auto"/>
        </w:rPr>
      </w:pPr>
      <w:r>
        <w:rPr>
          <w:rFonts w:ascii="Arial" w:cs="Arial" w:eastAsia="Arial" w:hAnsi="Arial"/>
          <w:sz w:val="19"/>
          <w:szCs w:val="19"/>
          <w:color w:val="auto"/>
        </w:rPr>
        <w:t>The Grantors covenant and agree that they shall defend and be jointly and severally liable to reimburse and indemnify the Foreign Collateral Agent (and its Affiliates, officers, directors, employees, attorneys and agents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Agent Related Persons</w:t>
      </w:r>
      <w:r>
        <w:rPr>
          <w:rFonts w:ascii="Arial" w:cs="Arial" w:eastAsia="Arial" w:hAnsi="Arial"/>
          <w:sz w:val="19"/>
          <w:szCs w:val="19"/>
          <w:color w:val="auto"/>
        </w:rPr>
        <w:t>”)) for any and all reasonable expenses and other charges actually incurred by the Foreign Collateral Agent on behalf of the Secured Parties in connection with the execution, delivery, administration and enforcement of this Agreement and the Foreign Collateral Documents (or any of them) and from and against any and all liabilities, obligations, losses, damages, penalties, actions, judgments, suits, costs, actual reasonable expenses or disbursements of any kind and nature whatsoever that may be imposed on, incurred by or asserted against the Foreign Collateral Agent, in any way relating to or arising out of this Agreement, any Foreign Collateral Document, or any other document delivered in connection herewith or therewith or the transactions contemplated hereby or thereby, or the enforcement of any of the terms hereof or thereof, in each case, except to the extent caused by the Foreign Collateral Agent’s or the Foreign Collateral Agent Related Person’s willful misconduct or gross negligence as determined by a court of competent jurisdiction by a final nonappealable judgment.</w:t>
      </w:r>
    </w:p>
    <w:p>
      <w:pPr>
        <w:spacing w:after="0" w:line="134" w:lineRule="exact"/>
        <w:rPr>
          <w:rFonts w:ascii="Arial" w:cs="Arial" w:eastAsia="Arial" w:hAnsi="Arial"/>
          <w:sz w:val="19"/>
          <w:szCs w:val="19"/>
          <w:color w:val="auto"/>
        </w:rPr>
      </w:pPr>
    </w:p>
    <w:p>
      <w:pPr>
        <w:jc w:val="both"/>
        <w:ind w:firstLine="1304"/>
        <w:spacing w:after="0" w:line="266" w:lineRule="auto"/>
        <w:tabs>
          <w:tab w:leader="none" w:pos="2413" w:val="left"/>
        </w:tabs>
        <w:numPr>
          <w:ilvl w:val="0"/>
          <w:numId w:val="895"/>
        </w:numPr>
        <w:rPr>
          <w:rFonts w:ascii="Arial" w:cs="Arial" w:eastAsia="Arial" w:hAnsi="Arial"/>
          <w:sz w:val="22"/>
          <w:szCs w:val="22"/>
          <w:color w:val="auto"/>
        </w:rPr>
      </w:pPr>
      <w:r>
        <w:rPr>
          <w:rFonts w:ascii="Arial" w:cs="Arial" w:eastAsia="Arial" w:hAnsi="Arial"/>
          <w:sz w:val="22"/>
          <w:szCs w:val="22"/>
          <w:color w:val="auto"/>
        </w:rPr>
        <w:t>The obligations under this Section 6.10 shall survive the Discharge of the Notes Obligations, the Discharge of the LC Obligations, the resignation of any Foreign Collateral Agent, and termination of this Agreement and all of the Foreign Collateral Documents.</w:t>
      </w:r>
    </w:p>
    <w:p>
      <w:pPr>
        <w:spacing w:after="0" w:line="144" w:lineRule="exact"/>
        <w:rPr>
          <w:rFonts w:ascii="Arial" w:cs="Arial" w:eastAsia="Arial" w:hAnsi="Arial"/>
          <w:sz w:val="22"/>
          <w:szCs w:val="22"/>
          <w:color w:val="auto"/>
        </w:rPr>
      </w:pPr>
    </w:p>
    <w:p>
      <w:pPr>
        <w:jc w:val="both"/>
        <w:ind w:firstLine="1304"/>
        <w:spacing w:after="0" w:line="266" w:lineRule="auto"/>
        <w:tabs>
          <w:tab w:leader="none" w:pos="2115" w:val="left"/>
        </w:tabs>
        <w:numPr>
          <w:ilvl w:val="0"/>
          <w:numId w:val="895"/>
        </w:numPr>
        <w:rPr>
          <w:rFonts w:ascii="Arial" w:cs="Arial" w:eastAsia="Arial" w:hAnsi="Arial"/>
          <w:sz w:val="22"/>
          <w:szCs w:val="22"/>
          <w:color w:val="auto"/>
        </w:rPr>
      </w:pPr>
      <w:r>
        <w:rPr>
          <w:rFonts w:ascii="Arial" w:cs="Arial" w:eastAsia="Arial" w:hAnsi="Arial"/>
          <w:sz w:val="22"/>
          <w:szCs w:val="22"/>
          <w:color w:val="auto"/>
        </w:rPr>
        <w:t>Notwithstanding anything else in this Section 6.10, the Grantors shall have no obligation to indemnify or reimburse any Person for any Taxes unless such Taxes would be subject to indemnification or reimbursement under the LC Credit Agreement or Notes Indenture.</w:t>
      </w:r>
    </w:p>
    <w:p>
      <w:pPr>
        <w:spacing w:after="0" w:line="144"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b w:val="1"/>
          <w:bCs w:val="1"/>
          <w:i w:val="1"/>
          <w:iCs w:val="1"/>
          <w:color w:val="auto"/>
        </w:rPr>
        <w:t>Treatment of Proceeds of Foreign Collateral</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62" w:lineRule="auto"/>
        <w:tabs>
          <w:tab w:leader="none" w:pos="2251" w:val="left"/>
        </w:tabs>
        <w:numPr>
          <w:ilvl w:val="0"/>
          <w:numId w:val="896"/>
        </w:numPr>
        <w:rPr>
          <w:rFonts w:ascii="Arial" w:cs="Arial" w:eastAsia="Arial" w:hAnsi="Arial"/>
          <w:sz w:val="22"/>
          <w:szCs w:val="22"/>
          <w:color w:val="auto"/>
        </w:rPr>
      </w:pPr>
      <w:r>
        <w:rPr>
          <w:rFonts w:ascii="Arial" w:cs="Arial" w:eastAsia="Arial" w:hAnsi="Arial"/>
          <w:sz w:val="22"/>
          <w:szCs w:val="22"/>
          <w:color w:val="auto"/>
        </w:rPr>
        <w:t>All amounts from time to time received or recovered by the Foreign Collateral Agent pursuant to the terms of any Foreign Collateral Document or in connection with the realization or enforcement of all or any part of the Foreign Collateral (the “</w:t>
      </w:r>
      <w:r>
        <w:rPr>
          <w:rFonts w:ascii="Arial" w:cs="Arial" w:eastAsia="Arial" w:hAnsi="Arial"/>
          <w:sz w:val="22"/>
          <w:szCs w:val="22"/>
          <w:u w:val="single" w:color="auto"/>
          <w:color w:val="auto"/>
        </w:rPr>
        <w:t>Foreign Recoveries</w:t>
      </w:r>
      <w:r>
        <w:rPr>
          <w:rFonts w:ascii="Arial" w:cs="Arial" w:eastAsia="Arial" w:hAnsi="Arial"/>
          <w:sz w:val="22"/>
          <w:szCs w:val="22"/>
          <w:color w:val="auto"/>
        </w:rPr>
        <w:t>”) shall be held by the Foreign Collateral Agent in trust and applied, to the extent permitted by applicable law, in the following order:</w:t>
      </w:r>
    </w:p>
    <w:p>
      <w:pPr>
        <w:spacing w:after="0" w:line="151" w:lineRule="exact"/>
        <w:rPr>
          <w:sz w:val="20"/>
          <w:szCs w:val="20"/>
          <w:color w:val="auto"/>
        </w:rPr>
      </w:pPr>
    </w:p>
    <w:p>
      <w:pPr>
        <w:jc w:val="both"/>
        <w:ind w:left="1300"/>
        <w:spacing w:after="0" w:line="258"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in discharging any sums owing to the Foreign Collateral Agent (in its capacity as such), including (i) amounts owing to Foreign Collateral Agent to indemnify Foreign Collateral Agent for claims against it or claims that, in the reasonable discretion of Foreign Collateral Agent, may be asserted against Foreign Collateral Agent and are subject to the indemnification provisions of this Agreement and (ii) any deductions and withholdings (on account of taxes or otherwise) which Foreign Collateral Agent is or may be required by any applicable law to make from any distribution or payment made by it under this Agreement and to pay all taxes which may be assessed against it in respect of any of the Foreign Collateral Documents, or as a consequence of performing its duties, or by virtue of its capacity as Foreign Collateral Agent (other than in connection with its remuneration for performing 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5" w:name="page746"/>
    <w:bookmarkEnd w:id="745"/>
    <w:p>
      <w:pPr>
        <w:jc w:val="both"/>
        <w:ind w:left="1300"/>
        <w:spacing w:after="0" w:line="311" w:lineRule="auto"/>
        <w:rPr>
          <w:sz w:val="20"/>
          <w:szCs w:val="20"/>
          <w:color w:val="auto"/>
        </w:rPr>
      </w:pPr>
      <w:r>
        <w:rPr>
          <w:rFonts w:ascii="Arial" w:cs="Arial" w:eastAsia="Arial" w:hAnsi="Arial"/>
          <w:sz w:val="19"/>
          <w:szCs w:val="19"/>
          <w:color w:val="auto"/>
        </w:rPr>
        <w:t xml:space="preserve">duties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Foreign Collateral or proceeds thereof that is LC Priority Collateral may only be applied or retained by Foreign Collateral Agent to secure indemnification obligations or other amounts owing (or potentially owing) by the LC Secured Parties and Foreign Collateral or proceeds thereof that is Notes Priority Collateral may only be applied or retained by Foreign Collateral Agent to secure indemnification obligations or other amounts owing (or potentially owing) by the Notes Secured Parties;</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Representatives to be applied in accordance with Section 2.01(a) hereof.</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For the avoidance of doubt, following acceleration of any of the Notes Obligations or the LC Obligations, Foreign Collateral Agent may, in its Permitted Discretion, hold any amount of the Foreign Recoveries (subject to the proviso set forth in subclause “first” above) in a non-interest bearing account(s) in the name of the Foreign Collateral Agent with such financial institution as it may select (including itself) and for so long as the Foreign Collateral Agent shall think appropriate in its Permitted Discretion for later application as set forth herein in respect of any sum owing to the Foreign Collateral Agent that the Foreign Collateral Agent reasonably considers might become due or owing at any time in the future.</w:t>
      </w:r>
    </w:p>
    <w:p>
      <w:pPr>
        <w:spacing w:after="0" w:line="11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b w:val="1"/>
          <w:bCs w:val="1"/>
          <w:i w:val="1"/>
          <w:iCs w:val="1"/>
          <w:color w:val="auto"/>
        </w:rPr>
        <w:t>Currency Conversion</w:t>
      </w:r>
      <w:r>
        <w:rPr>
          <w:rFonts w:ascii="Arial" w:cs="Arial" w:eastAsia="Arial" w:hAnsi="Arial"/>
          <w:sz w:val="22"/>
          <w:szCs w:val="22"/>
          <w:color w:val="auto"/>
        </w:rPr>
        <w:t>. The Foreign Collateral Agent is under no obligation to make the payments to the Secured Parties above in the same currency as that in which the obligations and liabilities owing to the Secured Parties are denominated. To the extent any payment from Foreign Collateral Agent to a Representative causes a currency conversion, the provisions of the Notes Documents or the LC Documents (as applicable, based on the Representative receiving payment) relating to currency conversions shall apply.</w:t>
      </w:r>
    </w:p>
    <w:p>
      <w:pPr>
        <w:spacing w:after="0" w:line="15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8"/>
          <w:szCs w:val="18"/>
          <w:b w:val="1"/>
          <w:bCs w:val="1"/>
          <w:i w:val="1"/>
          <w:iCs w:val="1"/>
          <w:color w:val="auto"/>
        </w:rPr>
        <w:t>Swiss Collateral</w:t>
      </w:r>
      <w:r>
        <w:rPr>
          <w:rFonts w:ascii="Arial" w:cs="Arial" w:eastAsia="Arial" w:hAnsi="Arial"/>
          <w:sz w:val="18"/>
          <w:szCs w:val="18"/>
          <w:color w:val="auto"/>
        </w:rPr>
        <w:t>.</w:t>
      </w:r>
    </w:p>
    <w:p>
      <w:pPr>
        <w:spacing w:after="0" w:line="206" w:lineRule="exact"/>
        <w:rPr>
          <w:sz w:val="20"/>
          <w:szCs w:val="20"/>
          <w:color w:val="auto"/>
        </w:rPr>
      </w:pPr>
    </w:p>
    <w:p>
      <w:pPr>
        <w:ind w:firstLine="1304"/>
        <w:spacing w:after="0" w:line="276" w:lineRule="auto"/>
        <w:tabs>
          <w:tab w:leader="none" w:pos="2143" w:val="left"/>
        </w:tabs>
        <w:numPr>
          <w:ilvl w:val="0"/>
          <w:numId w:val="897"/>
        </w:numPr>
        <w:rPr>
          <w:rFonts w:ascii="Arial" w:cs="Arial" w:eastAsia="Arial" w:hAnsi="Arial"/>
          <w:sz w:val="22"/>
          <w:szCs w:val="22"/>
          <w:color w:val="auto"/>
        </w:rPr>
      </w:pPr>
      <w:r>
        <w:rPr>
          <w:rFonts w:ascii="Arial" w:cs="Arial" w:eastAsia="Arial" w:hAnsi="Arial"/>
          <w:sz w:val="22"/>
          <w:szCs w:val="22"/>
          <w:color w:val="auto"/>
        </w:rPr>
        <w:t>In relation to Foreign Collateral which is subject to a security document governed by Swiss law, the LC Collateral Agent in its capacity as Foreign Collateral Agent shall:</w:t>
      </w:r>
    </w:p>
    <w:p>
      <w:pPr>
        <w:spacing w:after="0" w:line="133" w:lineRule="exact"/>
        <w:rPr>
          <w:rFonts w:ascii="Arial" w:cs="Arial" w:eastAsia="Arial" w:hAnsi="Arial"/>
          <w:sz w:val="22"/>
          <w:szCs w:val="22"/>
          <w:color w:val="auto"/>
        </w:rPr>
      </w:pPr>
    </w:p>
    <w:p>
      <w:pPr>
        <w:ind w:left="1300" w:firstLine="652"/>
        <w:spacing w:after="0" w:line="358" w:lineRule="auto"/>
        <w:tabs>
          <w:tab w:leader="none" w:pos="2854" w:val="left"/>
        </w:tabs>
        <w:numPr>
          <w:ilvl w:val="1"/>
          <w:numId w:val="897"/>
        </w:numPr>
        <w:rPr>
          <w:rFonts w:ascii="Arial" w:cs="Arial" w:eastAsia="Arial" w:hAnsi="Arial"/>
          <w:sz w:val="19"/>
          <w:szCs w:val="19"/>
          <w:color w:val="auto"/>
        </w:rPr>
      </w:pPr>
      <w:r>
        <w:rPr>
          <w:rFonts w:ascii="Arial" w:cs="Arial" w:eastAsia="Arial" w:hAnsi="Arial"/>
          <w:sz w:val="19"/>
          <w:szCs w:val="19"/>
          <w:color w:val="auto"/>
        </w:rPr>
        <w:t>hold and administer any non-accessory Collateral (</w:t>
      </w:r>
      <w:r>
        <w:rPr>
          <w:rFonts w:ascii="Arial" w:cs="Arial" w:eastAsia="Arial" w:hAnsi="Arial"/>
          <w:sz w:val="19"/>
          <w:szCs w:val="19"/>
          <w:i w:val="1"/>
          <w:iCs w:val="1"/>
          <w:color w:val="auto"/>
        </w:rPr>
        <w:t>nicht-akzessorische Sicherheit</w:t>
      </w:r>
      <w:r>
        <w:rPr>
          <w:rFonts w:ascii="Arial" w:cs="Arial" w:eastAsia="Arial" w:hAnsi="Arial"/>
          <w:sz w:val="19"/>
          <w:szCs w:val="19"/>
          <w:color w:val="auto"/>
        </w:rPr>
        <w:t>) governed by Swiss law as fiduciary (</w:t>
      </w:r>
      <w:r>
        <w:rPr>
          <w:rFonts w:ascii="Arial" w:cs="Arial" w:eastAsia="Arial" w:hAnsi="Arial"/>
          <w:sz w:val="19"/>
          <w:szCs w:val="19"/>
          <w:i w:val="1"/>
          <w:iCs w:val="1"/>
          <w:color w:val="auto"/>
        </w:rPr>
        <w:t>treuhänderisch</w:t>
      </w:r>
      <w:r>
        <w:rPr>
          <w:rFonts w:ascii="Arial" w:cs="Arial" w:eastAsia="Arial" w:hAnsi="Arial"/>
          <w:sz w:val="19"/>
          <w:szCs w:val="19"/>
          <w:color w:val="auto"/>
        </w:rPr>
        <w:t>) in its own name but for the benefit of the Secured Parties; and</w:t>
      </w:r>
    </w:p>
    <w:p>
      <w:pPr>
        <w:spacing w:after="0" w:line="63" w:lineRule="exact"/>
        <w:rPr>
          <w:rFonts w:ascii="Arial" w:cs="Arial" w:eastAsia="Arial" w:hAnsi="Arial"/>
          <w:sz w:val="19"/>
          <w:szCs w:val="19"/>
          <w:color w:val="auto"/>
        </w:rPr>
      </w:pPr>
    </w:p>
    <w:p>
      <w:pPr>
        <w:ind w:left="1300" w:firstLine="652"/>
        <w:spacing w:after="0" w:line="358" w:lineRule="auto"/>
        <w:tabs>
          <w:tab w:leader="none" w:pos="2752" w:val="left"/>
        </w:tabs>
        <w:numPr>
          <w:ilvl w:val="1"/>
          <w:numId w:val="897"/>
        </w:numPr>
        <w:rPr>
          <w:rFonts w:ascii="Arial" w:cs="Arial" w:eastAsia="Arial" w:hAnsi="Arial"/>
          <w:sz w:val="19"/>
          <w:szCs w:val="19"/>
          <w:color w:val="auto"/>
        </w:rPr>
      </w:pPr>
      <w:r>
        <w:rPr>
          <w:rFonts w:ascii="Arial" w:cs="Arial" w:eastAsia="Arial" w:hAnsi="Arial"/>
          <w:sz w:val="19"/>
          <w:szCs w:val="19"/>
          <w:color w:val="auto"/>
        </w:rPr>
        <w:t>hold and administer any accessory Collateral (</w:t>
      </w:r>
      <w:r>
        <w:rPr>
          <w:rFonts w:ascii="Arial" w:cs="Arial" w:eastAsia="Arial" w:hAnsi="Arial"/>
          <w:sz w:val="19"/>
          <w:szCs w:val="19"/>
          <w:i w:val="1"/>
          <w:iCs w:val="1"/>
          <w:color w:val="auto"/>
        </w:rPr>
        <w:t>akzessorische Sicherheit</w:t>
      </w:r>
      <w:r>
        <w:rPr>
          <w:rFonts w:ascii="Arial" w:cs="Arial" w:eastAsia="Arial" w:hAnsi="Arial"/>
          <w:sz w:val="19"/>
          <w:szCs w:val="19"/>
          <w:color w:val="auto"/>
        </w:rPr>
        <w:t>) governed by Swiss law as direct representative (</w:t>
      </w:r>
      <w:r>
        <w:rPr>
          <w:rFonts w:ascii="Arial" w:cs="Arial" w:eastAsia="Arial" w:hAnsi="Arial"/>
          <w:sz w:val="19"/>
          <w:szCs w:val="19"/>
          <w:i w:val="1"/>
          <w:iCs w:val="1"/>
          <w:color w:val="auto"/>
        </w:rPr>
        <w:t>direkter Stellvertreter</w:t>
      </w:r>
      <w:r>
        <w:rPr>
          <w:rFonts w:ascii="Arial" w:cs="Arial" w:eastAsia="Arial" w:hAnsi="Arial"/>
          <w:sz w:val="19"/>
          <w:szCs w:val="19"/>
          <w:color w:val="auto"/>
        </w:rPr>
        <w:t>) in the name and on behalf of the Secured Parties.</w:t>
      </w:r>
    </w:p>
    <w:p>
      <w:pPr>
        <w:spacing w:after="0" w:line="77" w:lineRule="exact"/>
        <w:rPr>
          <w:rFonts w:ascii="Arial" w:cs="Arial" w:eastAsia="Arial" w:hAnsi="Arial"/>
          <w:sz w:val="19"/>
          <w:szCs w:val="19"/>
          <w:color w:val="auto"/>
        </w:rPr>
      </w:pPr>
    </w:p>
    <w:p>
      <w:pPr>
        <w:ind w:left="2100" w:hanging="796"/>
        <w:spacing w:after="0"/>
        <w:tabs>
          <w:tab w:leader="none" w:pos="2100" w:val="left"/>
        </w:tabs>
        <w:numPr>
          <w:ilvl w:val="0"/>
          <w:numId w:val="897"/>
        </w:numPr>
        <w:rPr>
          <w:rFonts w:ascii="Arial" w:cs="Arial" w:eastAsia="Arial" w:hAnsi="Arial"/>
          <w:sz w:val="22"/>
          <w:szCs w:val="22"/>
          <w:color w:val="auto"/>
        </w:rPr>
      </w:pPr>
      <w:r>
        <w:rPr>
          <w:rFonts w:ascii="Arial" w:cs="Arial" w:eastAsia="Arial" w:hAnsi="Arial"/>
          <w:sz w:val="22"/>
          <w:szCs w:val="22"/>
          <w:color w:val="auto"/>
        </w:rPr>
        <w:t>The LC Collateral Agent in its capacity as Foreign Collateral Agent shall be empowered to:</w:t>
      </w:r>
    </w:p>
    <w:p>
      <w:pPr>
        <w:spacing w:after="0" w:line="192" w:lineRule="exact"/>
        <w:rPr>
          <w:rFonts w:ascii="Arial" w:cs="Arial" w:eastAsia="Arial" w:hAnsi="Arial"/>
          <w:sz w:val="22"/>
          <w:szCs w:val="22"/>
          <w:color w:val="auto"/>
        </w:rPr>
      </w:pPr>
    </w:p>
    <w:p>
      <w:pPr>
        <w:jc w:val="both"/>
        <w:ind w:left="1300" w:firstLine="652"/>
        <w:spacing w:after="0" w:line="266" w:lineRule="auto"/>
        <w:tabs>
          <w:tab w:leader="none" w:pos="2705" w:val="left"/>
        </w:tabs>
        <w:numPr>
          <w:ilvl w:val="1"/>
          <w:numId w:val="897"/>
        </w:numPr>
        <w:rPr>
          <w:rFonts w:ascii="Arial" w:cs="Arial" w:eastAsia="Arial" w:hAnsi="Arial"/>
          <w:sz w:val="22"/>
          <w:szCs w:val="22"/>
          <w:color w:val="auto"/>
        </w:rPr>
      </w:pPr>
      <w:r>
        <w:rPr>
          <w:rFonts w:ascii="Arial" w:cs="Arial" w:eastAsia="Arial" w:hAnsi="Arial"/>
          <w:sz w:val="22"/>
          <w:szCs w:val="22"/>
          <w:color w:val="auto"/>
        </w:rPr>
        <w:t>exercise such rights, remedies, powers and discretions as are specifically delegated to or conferred upon the Foreign Collateral Agent under the relevant security documents governed by Swiss law together with such powers and discretions as are reasonably incidental thereto;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6" w:name="page747"/>
    <w:bookmarkEnd w:id="746"/>
    <w:p>
      <w:pPr>
        <w:ind w:left="1300" w:firstLine="652"/>
        <w:spacing w:after="0" w:line="276" w:lineRule="auto"/>
        <w:tabs>
          <w:tab w:leader="none" w:pos="2900" w:val="left"/>
        </w:tabs>
        <w:numPr>
          <w:ilvl w:val="0"/>
          <w:numId w:val="898"/>
        </w:numPr>
        <w:rPr>
          <w:rFonts w:ascii="Arial" w:cs="Arial" w:eastAsia="Arial" w:hAnsi="Arial"/>
          <w:sz w:val="22"/>
          <w:szCs w:val="22"/>
          <w:color w:val="auto"/>
        </w:rPr>
      </w:pPr>
      <w:r>
        <w:rPr>
          <w:rFonts w:ascii="Arial" w:cs="Arial" w:eastAsia="Arial" w:hAnsi="Arial"/>
          <w:sz w:val="22"/>
          <w:szCs w:val="22"/>
          <w:color w:val="auto"/>
        </w:rPr>
        <w:t>take such action on its behalf as may from time to time be authorized under or in accordance with the relevant Foreign Collateral Documents governed by Swiss law; and</w:t>
      </w:r>
    </w:p>
    <w:p>
      <w:pPr>
        <w:spacing w:after="0" w:line="133" w:lineRule="exact"/>
        <w:rPr>
          <w:rFonts w:ascii="Arial" w:cs="Arial" w:eastAsia="Arial" w:hAnsi="Arial"/>
          <w:sz w:val="22"/>
          <w:szCs w:val="22"/>
          <w:color w:val="auto"/>
        </w:rPr>
      </w:pPr>
    </w:p>
    <w:p>
      <w:pPr>
        <w:jc w:val="both"/>
        <w:ind w:left="1300" w:firstLine="652"/>
        <w:spacing w:after="0" w:line="259" w:lineRule="auto"/>
        <w:tabs>
          <w:tab w:leader="none" w:pos="2906" w:val="left"/>
        </w:tabs>
        <w:numPr>
          <w:ilvl w:val="0"/>
          <w:numId w:val="898"/>
        </w:numPr>
        <w:rPr>
          <w:rFonts w:ascii="Arial" w:cs="Arial" w:eastAsia="Arial" w:hAnsi="Arial"/>
          <w:sz w:val="22"/>
          <w:szCs w:val="22"/>
          <w:color w:val="auto"/>
        </w:rPr>
      </w:pPr>
      <w:r>
        <w:rPr>
          <w:rFonts w:ascii="Arial" w:cs="Arial" w:eastAsia="Arial" w:hAnsi="Arial"/>
          <w:sz w:val="22"/>
          <w:szCs w:val="22"/>
          <w:color w:val="auto"/>
        </w:rPr>
        <w:t>accept, enter into and execute,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pledge or other creation of any accessory security right granted in favor of any Secured Party under Swiss law in connection with the Notes Documents and/or the LC Documents and to agree to and execute in its name and on its behalf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amendments, confirmations and/or alterations to any security document governed by Swiss law which creates a pledge or any other accessory security right (</w:t>
      </w:r>
      <w:r>
        <w:rPr>
          <w:rFonts w:ascii="Arial" w:cs="Arial" w:eastAsia="Arial" w:hAnsi="Arial"/>
          <w:sz w:val="22"/>
          <w:szCs w:val="22"/>
          <w:i w:val="1"/>
          <w:iCs w:val="1"/>
          <w:color w:val="auto"/>
        </w:rPr>
        <w:t>akzessorische</w:t>
      </w:r>
      <w:r>
        <w:rPr>
          <w:rFonts w:ascii="Arial" w:cs="Arial" w:eastAsia="Arial" w:hAnsi="Arial"/>
          <w:sz w:val="22"/>
          <w:szCs w:val="22"/>
          <w:color w:val="auto"/>
        </w:rPr>
        <w:t xml:space="preserve"> </w:t>
      </w:r>
      <w:r>
        <w:rPr>
          <w:rFonts w:ascii="Arial" w:cs="Arial" w:eastAsia="Arial" w:hAnsi="Arial"/>
          <w:sz w:val="22"/>
          <w:szCs w:val="22"/>
          <w:i w:val="1"/>
          <w:iCs w:val="1"/>
          <w:color w:val="auto"/>
        </w:rPr>
        <w:t>Sicherheit</w:t>
      </w:r>
      <w:r>
        <w:rPr>
          <w:rFonts w:ascii="Arial" w:cs="Arial" w:eastAsia="Arial" w:hAnsi="Arial"/>
          <w:sz w:val="22"/>
          <w:szCs w:val="22"/>
          <w:color w:val="auto"/>
        </w:rPr>
        <w:t>) including the release or confirmation of release of such Collateral, all subject to the provisions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168"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8"/>
          <w:szCs w:val="18"/>
          <w:b w:val="1"/>
          <w:bCs w:val="1"/>
          <w:i w:val="1"/>
          <w:iCs w:val="1"/>
          <w:color w:val="auto"/>
        </w:rPr>
        <w:t>Scottish Collateral</w:t>
      </w:r>
      <w:r>
        <w:rPr>
          <w:rFonts w:ascii="Arial" w:cs="Arial" w:eastAsia="Arial" w:hAnsi="Arial"/>
          <w:sz w:val="18"/>
          <w:szCs w:val="18"/>
          <w:color w:val="auto"/>
        </w:rPr>
        <w:t>.</w:t>
      </w:r>
    </w:p>
    <w:p>
      <w:pPr>
        <w:spacing w:after="0" w:line="193" w:lineRule="exact"/>
        <w:rPr>
          <w:sz w:val="20"/>
          <w:szCs w:val="20"/>
          <w:color w:val="auto"/>
        </w:rPr>
      </w:pPr>
    </w:p>
    <w:p>
      <w:pPr>
        <w:jc w:val="both"/>
        <w:ind w:firstLine="1304"/>
        <w:spacing w:after="0" w:line="271" w:lineRule="auto"/>
        <w:tabs>
          <w:tab w:leader="none" w:pos="2400" w:val="left"/>
        </w:tabs>
        <w:numPr>
          <w:ilvl w:val="0"/>
          <w:numId w:val="899"/>
        </w:numPr>
        <w:rPr>
          <w:rFonts w:ascii="Arial" w:cs="Arial" w:eastAsia="Arial" w:hAnsi="Arial"/>
          <w:sz w:val="21"/>
          <w:szCs w:val="21"/>
          <w:color w:val="auto"/>
        </w:rPr>
      </w:pPr>
      <w:r>
        <w:rPr>
          <w:rFonts w:ascii="Arial" w:cs="Arial" w:eastAsia="Arial" w:hAnsi="Arial"/>
          <w:sz w:val="21"/>
          <w:szCs w:val="21"/>
          <w:color w:val="auto"/>
        </w:rPr>
        <w:t xml:space="preserve">The Foreign Collateral Agent declares that it holds on trust for the Secured Parties, on the terms contained in this </w:t>
      </w:r>
      <w:r>
        <w:rPr>
          <w:rFonts w:ascii="Arial" w:cs="Arial" w:eastAsia="Arial" w:hAnsi="Arial"/>
          <w:sz w:val="21"/>
          <w:szCs w:val="21"/>
          <w:u w:val="single" w:color="auto"/>
          <w:color w:val="auto"/>
        </w:rPr>
        <w:t>Article VI</w:t>
      </w:r>
      <w:r>
        <w:rPr>
          <w:rFonts w:ascii="Arial" w:cs="Arial" w:eastAsia="Arial" w:hAnsi="Arial"/>
          <w:sz w:val="21"/>
          <w:szCs w:val="21"/>
          <w:color w:val="auto"/>
        </w:rPr>
        <w:t>: (i) the Foreign Collateral expressed to be subject to the Liens created in favor of the Foreign Collateral Agent as trustee for the Secured Parties by or pursuant to each Foreign Collateral Document which is governed by or subject to the laws of Scotland, and all proceeds of that Foreign Collateral; (ii) all obligations expressed to be undertaken by any Grantor to pay amounts in respect of the Obligations to the Foreign Collateral Agent as trustee for the Secured Parties and secured by any Foreign Collateral Document which is governed by or subject to the laws of Scotland together with all representations and warranties expressed to be given by any Grantor or any other person in favour of the Foreign Collateral Agent as trustee for the Secured Parties; and (iii) any other amounts or property, whether rights, entitlements, choses in action or otherwise, actual or contingent, which the Foreign Collateral Agent is required by the terms of the Notes Documents or the LC Documents to hold as trustee on trust for the Secured Parties.</w:t>
      </w:r>
    </w:p>
    <w:p>
      <w:pPr>
        <w:spacing w:after="0" w:line="148" w:lineRule="exact"/>
        <w:rPr>
          <w:rFonts w:ascii="Arial" w:cs="Arial" w:eastAsia="Arial" w:hAnsi="Arial"/>
          <w:sz w:val="21"/>
          <w:szCs w:val="21"/>
          <w:color w:val="auto"/>
        </w:rPr>
      </w:pPr>
    </w:p>
    <w:p>
      <w:pPr>
        <w:jc w:val="both"/>
        <w:ind w:firstLine="1304"/>
        <w:spacing w:after="0" w:line="273" w:lineRule="auto"/>
        <w:tabs>
          <w:tab w:leader="none" w:pos="2466" w:val="left"/>
        </w:tabs>
        <w:numPr>
          <w:ilvl w:val="0"/>
          <w:numId w:val="899"/>
        </w:numPr>
        <w:rPr>
          <w:rFonts w:ascii="Arial" w:cs="Arial" w:eastAsia="Arial" w:hAnsi="Arial"/>
          <w:sz w:val="21"/>
          <w:szCs w:val="21"/>
          <w:color w:val="auto"/>
        </w:rPr>
      </w:pPr>
      <w:r>
        <w:rPr>
          <w:rFonts w:ascii="Arial" w:cs="Arial" w:eastAsia="Arial" w:hAnsi="Arial"/>
          <w:sz w:val="21"/>
          <w:szCs w:val="21"/>
          <w:color w:val="auto"/>
        </w:rPr>
        <w:t xml:space="preserve">Without prejudice to the other provisions of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each other Collateral Agent hereby irrevocably authorizes the Foreign Collateral Agent to perform the duties, obligations and responsibilities and to exercise the rights, powers, authorities and discretions specifically given to the Foreign Collateral Agent as trustee for the Secured Parties under or in connection with the Notes Documents and the LC Documents together with any other incidental rights, powers, authorities and discretions. For the avoidance of doubt, the Foreign Collateral Agent in its capacity as trustee for the Secured Parties shall have the same rights, powers, immunities, indemnities and exclusions from liability as are prescribed in favor of the Foreign Collateral Agent in this Agreement, which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56"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6.15</w:t>
      </w:r>
      <w:r>
        <w:rPr>
          <w:sz w:val="20"/>
          <w:szCs w:val="20"/>
          <w:color w:val="auto"/>
        </w:rPr>
        <w:tab/>
      </w:r>
      <w:r>
        <w:rPr>
          <w:rFonts w:ascii="Arial" w:cs="Arial" w:eastAsia="Arial" w:hAnsi="Arial"/>
          <w:sz w:val="19"/>
          <w:szCs w:val="19"/>
          <w:b w:val="1"/>
          <w:bCs w:val="1"/>
          <w:i w:val="1"/>
          <w:iCs w:val="1"/>
          <w:color w:val="auto"/>
        </w:rPr>
        <w:t>Benefits of Foreign Collateral Agent</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provisions of this Article VI granting rights, privileges, immunities and indemnities to the LC Collateral Agent or Notes Collateral Agent, as applicable, when acting as Foreign Collateral Agent, are intended to be in addition to, and shall not impair, the rights, privileges, immunities and indemnities granted to the LC Collateral Agent and Notes Collateral Agent, as applicable, under the LC Documents and Notes Documents, as the case may be.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7" w:name="page748"/>
    <w:bookmarkEnd w:id="747"/>
    <w:p>
      <w:pPr>
        <w:jc w:val="center"/>
        <w:spacing w:after="0"/>
        <w:rPr>
          <w:sz w:val="20"/>
          <w:szCs w:val="20"/>
          <w:color w:val="auto"/>
        </w:rPr>
      </w:pPr>
      <w:r>
        <w:rPr>
          <w:rFonts w:ascii="Arial" w:cs="Arial" w:eastAsia="Arial" w:hAnsi="Arial"/>
          <w:sz w:val="22"/>
          <w:szCs w:val="22"/>
          <w:color w:val="auto"/>
        </w:rPr>
        <w:t>ARTICLE VII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b w:val="1"/>
          <w:bCs w:val="1"/>
          <w:i w:val="1"/>
          <w:iCs w:val="1"/>
          <w:color w:val="auto"/>
        </w:rPr>
        <w:t>Legends</w:t>
      </w:r>
      <w:r>
        <w:rPr>
          <w:rFonts w:ascii="Arial" w:cs="Arial" w:eastAsia="Arial" w:hAnsi="Arial"/>
          <w:sz w:val="21"/>
          <w:szCs w:val="21"/>
          <w:i w:val="1"/>
          <w:iCs w:val="1"/>
          <w:color w:val="auto"/>
        </w:rPr>
        <w:t>.</w:t>
      </w:r>
      <w:r>
        <w:rPr>
          <w:rFonts w:ascii="Arial" w:cs="Arial" w:eastAsia="Arial" w:hAnsi="Arial"/>
          <w:sz w:val="21"/>
          <w:szCs w:val="21"/>
          <w:color w:val="auto"/>
        </w:rPr>
        <w:t xml:space="preserve"> Each Security Document shall (and, to the extent already in existence, shall be amended to) include a legend, substantially similar to the form provided below, describing this Agreement (except in the case of any foreign jurisdiction, where such legend is not customary or where otherwise prohibited by applicable law):</w:t>
      </w:r>
    </w:p>
    <w:p>
      <w:pPr>
        <w:spacing w:after="0" w:line="136" w:lineRule="exact"/>
        <w:rPr>
          <w:sz w:val="20"/>
          <w:szCs w:val="20"/>
          <w:color w:val="auto"/>
        </w:rPr>
      </w:pPr>
    </w:p>
    <w:p>
      <w:pPr>
        <w:jc w:val="both"/>
        <w:ind w:left="1300"/>
        <w:spacing w:after="0" w:line="299" w:lineRule="auto"/>
        <w:rPr>
          <w:sz w:val="20"/>
          <w:szCs w:val="20"/>
          <w:color w:val="auto"/>
        </w:rPr>
      </w:pPr>
      <w:r>
        <w:rPr>
          <w:rFonts w:ascii="Arial" w:cs="Arial" w:eastAsia="Arial" w:hAnsi="Arial"/>
          <w:sz w:val="19"/>
          <w:szCs w:val="19"/>
          <w:b w:val="1"/>
          <w:bCs w:val="1"/>
          <w:color w:val="auto"/>
        </w:rPr>
        <w:t>Reference is made to the Intercreditor Agreement (the “Intercreditor Agreement”), dated as of August 28, 2020, among BTA Institutional Services Australia Limited (ABN 48 002 916 396), in its capacity as trustee of the LC Australian Security Trust referred to herein (when joined to such agreement, in such capacity, together with its successors in substantially the same capacity as may from time to time be appointed, the “LC Australian Collateral Agent”), Deutsche Bank Trust Company Americas (“DBTCA”), as administrative agent and collateral 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“LC Collateral Agent”), Wilmington Trust, National Association (“Wilmington Trust”), as collateral agent for the Notes Secured Parties referred to herein (in such capacity, together with its successors and co-agents and, as applicable, sub-agents, in substantially the same capacity as may from time to time be appointed, the “Notes Collateral Agent”), Weatherford International plc (“Parent”) and the other Subsidiaries of the Parent from time to time party thereto. Each [Notes Secured Party] [LC Secured Party], through its Collateral Agent, by obtaining the benefits of this Agreement, (a) consents to the subordination of Liens provided for in the Intercreditor Agreement, (b) agrees that it will be bound by, and will take no actions contrary to, the provisions of the Intercreditor Agreement and (c) authorizes and instructs the [Notes Collateral Agent] [LC Collateral Agent] to enter into the Intercreditor Agreement as [Notes Collateral Agent ] [LC Collateral Agent] on behalf of such Secured Party. The foregoing provisions are intended as an inducement to the [Notes Secured Parties] [LC Secured Parties] to extend credit to [LC Borrowers] [Notes Issuer] or to acquire any notes or other evidence of any debt obligation owing from the [LC Borrowers] [Notes Issuer] and such [Notes Secured Parties] [LC Secured Parties] are intended third party beneficiaries of such provisions and the provisions of the Intercreditor Agreement.</w:t>
      </w:r>
    </w:p>
    <w:p>
      <w:pPr>
        <w:spacing w:after="0" w:line="397" w:lineRule="exact"/>
        <w:rPr>
          <w:sz w:val="20"/>
          <w:szCs w:val="20"/>
          <w:color w:val="auto"/>
        </w:rPr>
      </w:pPr>
    </w:p>
    <w:p>
      <w:pPr>
        <w:jc w:val="both"/>
        <w:ind w:left="1300"/>
        <w:spacing w:after="0" w:line="262" w:lineRule="auto"/>
        <w:rPr>
          <w:sz w:val="20"/>
          <w:szCs w:val="20"/>
          <w:color w:val="auto"/>
        </w:rPr>
      </w:pPr>
      <w:r>
        <w:rPr>
          <w:rFonts w:ascii="Arial" w:cs="Arial" w:eastAsia="Arial" w:hAnsi="Arial"/>
          <w:sz w:val="22"/>
          <w:szCs w:val="22"/>
          <w:b w:val="1"/>
          <w:bCs w:val="1"/>
          <w:color w:val="auto"/>
        </w:rPr>
        <w:t>Notwithstanding any other provision contained herein, this Agreement, the Liens created hereby and the rights, remedies, duties and obligations provided for herein are subject in all respects to the provisions of the Intercreditor Agreement and, to the extent provided therein, the applicable Notes Security Documents and LC Security Documents (as defined in the ntercreditor Agreement). In the event of any conflict or inconsistency between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8" w:name="page749"/>
    <w:bookmarkEnd w:id="748"/>
    <w:p>
      <w:pPr>
        <w:ind w:left="1300"/>
        <w:spacing w:after="0" w:line="282" w:lineRule="auto"/>
        <w:rPr>
          <w:sz w:val="20"/>
          <w:szCs w:val="20"/>
          <w:color w:val="auto"/>
        </w:rPr>
      </w:pPr>
      <w:r>
        <w:rPr>
          <w:rFonts w:ascii="Arial" w:cs="Arial" w:eastAsia="Arial" w:hAnsi="Arial"/>
          <w:sz w:val="22"/>
          <w:szCs w:val="22"/>
          <w:b w:val="1"/>
          <w:bCs w:val="1"/>
          <w:color w:val="auto"/>
        </w:rPr>
        <w:t>provisions of this Agreement and the Intercreditor Agreement, the provisions of the Intercreditor Agreement shall control.</w:t>
      </w:r>
    </w:p>
    <w:p>
      <w:pPr>
        <w:spacing w:after="0" w:line="127" w:lineRule="exact"/>
        <w:rPr>
          <w:sz w:val="20"/>
          <w:szCs w:val="20"/>
          <w:color w:val="auto"/>
        </w:rPr>
      </w:pPr>
    </w:p>
    <w:p>
      <w:pPr>
        <w:ind w:firstLine="1296"/>
        <w:spacing w:after="0" w:line="358"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b w:val="1"/>
          <w:bCs w:val="1"/>
          <w:i w:val="1"/>
          <w:iCs w:val="1"/>
          <w:color w:val="auto"/>
        </w:rPr>
        <w:t>Notices</w:t>
      </w:r>
      <w:r>
        <w:rPr>
          <w:rFonts w:ascii="Arial" w:cs="Arial" w:eastAsia="Arial" w:hAnsi="Arial"/>
          <w:sz w:val="19"/>
          <w:szCs w:val="19"/>
          <w:color w:val="auto"/>
        </w:rPr>
        <w:t>. All notices and other communications provided for herein shall be in writing and shall be delivered by hand or overnight courier service, mailed by certified or registered mail or sent by telecopy, as follows:</w:t>
      </w:r>
    </w:p>
    <w:p>
      <w:pPr>
        <w:spacing w:after="0" w:line="77" w:lineRule="exact"/>
        <w:rPr>
          <w:sz w:val="20"/>
          <w:szCs w:val="20"/>
          <w:color w:val="auto"/>
        </w:rPr>
      </w:pPr>
    </w:p>
    <w:p>
      <w:pPr>
        <w:ind w:left="2080" w:hanging="776"/>
        <w:spacing w:after="0"/>
        <w:tabs>
          <w:tab w:leader="none" w:pos="2080" w:val="left"/>
        </w:tabs>
        <w:numPr>
          <w:ilvl w:val="0"/>
          <w:numId w:val="900"/>
        </w:numPr>
        <w:rPr>
          <w:rFonts w:ascii="Arial" w:cs="Arial" w:eastAsia="Arial" w:hAnsi="Arial"/>
          <w:sz w:val="22"/>
          <w:szCs w:val="22"/>
          <w:color w:val="auto"/>
        </w:rPr>
      </w:pPr>
      <w:r>
        <w:rPr>
          <w:rFonts w:ascii="Arial" w:cs="Arial" w:eastAsia="Arial" w:hAnsi="Arial"/>
          <w:sz w:val="22"/>
          <w:szCs w:val="22"/>
          <w:color w:val="auto"/>
        </w:rPr>
        <w:t>if to the Notes Collateral Agent, to it at:</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Global Capital Markets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50 South Sixth Street, Suite 1290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Minneapolis, Minnesota 55402</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Weatherford International Notes Administrator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612-217-5651</w:t>
      </w:r>
    </w:p>
    <w:p>
      <w:pPr>
        <w:spacing w:after="0" w:line="283" w:lineRule="exact"/>
        <w:rPr>
          <w:sz w:val="20"/>
          <w:szCs w:val="20"/>
          <w:color w:val="auto"/>
        </w:rPr>
      </w:pPr>
    </w:p>
    <w:p>
      <w:pPr>
        <w:ind w:left="2140" w:hanging="836"/>
        <w:spacing w:after="0"/>
        <w:tabs>
          <w:tab w:leader="none" w:pos="2140" w:val="left"/>
        </w:tabs>
        <w:numPr>
          <w:ilvl w:val="0"/>
          <w:numId w:val="901"/>
        </w:numPr>
        <w:rPr>
          <w:rFonts w:ascii="Arial" w:cs="Arial" w:eastAsia="Arial" w:hAnsi="Arial"/>
          <w:sz w:val="22"/>
          <w:szCs w:val="22"/>
          <w:color w:val="auto"/>
        </w:rPr>
      </w:pPr>
      <w:r>
        <w:rPr>
          <w:rFonts w:ascii="Arial" w:cs="Arial" w:eastAsia="Arial" w:hAnsi="Arial"/>
          <w:sz w:val="22"/>
          <w:szCs w:val="22"/>
          <w:color w:val="auto"/>
        </w:rPr>
        <w:t>if to the LC Collateral Agent, to it at:</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and Agency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24th Floor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NYC60 - 2410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10005</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Project Finance Agency Services, Weatherford, SF0580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(646) 961-3317</w:t>
      </w:r>
    </w:p>
    <w:p>
      <w:pPr>
        <w:spacing w:after="0" w:line="202" w:lineRule="exact"/>
        <w:rPr>
          <w:sz w:val="20"/>
          <w:szCs w:val="20"/>
          <w:color w:val="auto"/>
        </w:rPr>
      </w:pPr>
    </w:p>
    <w:p>
      <w:pPr>
        <w:ind w:left="2080" w:hanging="776"/>
        <w:spacing w:after="0"/>
        <w:tabs>
          <w:tab w:leader="none" w:pos="2080" w:val="left"/>
        </w:tabs>
        <w:numPr>
          <w:ilvl w:val="0"/>
          <w:numId w:val="902"/>
        </w:numPr>
        <w:rPr>
          <w:rFonts w:ascii="Arial" w:cs="Arial" w:eastAsia="Arial" w:hAnsi="Arial"/>
          <w:sz w:val="22"/>
          <w:szCs w:val="22"/>
          <w:color w:val="auto"/>
        </w:rPr>
      </w:pPr>
      <w:r>
        <w:rPr>
          <w:rFonts w:ascii="Arial" w:cs="Arial" w:eastAsia="Arial" w:hAnsi="Arial"/>
          <w:sz w:val="22"/>
          <w:szCs w:val="22"/>
          <w:color w:val="auto"/>
        </w:rPr>
        <w:t>if to the LC Australian Collateral Agent, to it at:</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BTA Institutional Services Australia Limited</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Level 2, 1 Bligh Street</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Sydney NSW 2000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Australia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Global Client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+61 2 9260 6009</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BNYM_CT_Aus_RMG@bnymellon.com</w:t>
      </w:r>
    </w:p>
    <w:p>
      <w:pPr>
        <w:spacing w:after="0" w:line="188" w:lineRule="exact"/>
        <w:rPr>
          <w:sz w:val="20"/>
          <w:szCs w:val="20"/>
          <w:color w:val="auto"/>
        </w:rPr>
      </w:pPr>
    </w:p>
    <w:p>
      <w:pPr>
        <w:ind w:left="2100" w:hanging="796"/>
        <w:spacing w:after="0"/>
        <w:tabs>
          <w:tab w:leader="none" w:pos="2100" w:val="left"/>
        </w:tabs>
        <w:numPr>
          <w:ilvl w:val="0"/>
          <w:numId w:val="903"/>
        </w:numPr>
        <w:rPr>
          <w:rFonts w:ascii="Arial" w:cs="Arial" w:eastAsia="Arial" w:hAnsi="Arial"/>
          <w:sz w:val="22"/>
          <w:szCs w:val="22"/>
          <w:color w:val="auto"/>
        </w:rPr>
      </w:pPr>
      <w:r>
        <w:rPr>
          <w:rFonts w:ascii="Arial" w:cs="Arial" w:eastAsia="Arial" w:hAnsi="Arial"/>
          <w:sz w:val="22"/>
          <w:szCs w:val="22"/>
          <w:color w:val="auto"/>
        </w:rPr>
        <w:t>if to the Grantors, to them at:</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836-4000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LegalWeatherford@weatherford.com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9" w:name="page750"/>
    <w:bookmarkEnd w:id="749"/>
    <w:p>
      <w:pPr>
        <w:ind w:left="1960"/>
        <w:spacing w:after="0"/>
        <w:rPr>
          <w:sz w:val="20"/>
          <w:szCs w:val="20"/>
          <w:color w:val="auto"/>
        </w:rPr>
      </w:pPr>
      <w:r>
        <w:rPr>
          <w:rFonts w:ascii="Arial" w:cs="Arial" w:eastAsia="Arial" w:hAnsi="Arial"/>
          <w:sz w:val="22"/>
          <w:szCs w:val="22"/>
          <w:color w:val="auto"/>
        </w:rPr>
        <w:t>with a copy to:</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836-7460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Mark.Rothleitner@weatherford.com; Josh.Silverman@weatherford.com</w:t>
      </w:r>
    </w:p>
    <w:p>
      <w:pPr>
        <w:spacing w:after="0" w:line="20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Any party hereto may change its address or telecopy number for notices and other communications hereunder by notice to the other parties hereto (and for this purpose a notice to the Parent shall be deemed to be a notice to each Grantor).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five Business Days after dispatch by certified or registered mail if mailed, in each case delivered, sent or mailed (properly addressed) to such party as provided in this Section 7.02 or in accordance with the latest unrevoked direction from such party given in accordance with this Section 7.02. As agreed to in writing among the Parent, the Notes Collateral Agent, the LC Collateral Agent, notices and other communications may also be delivered by e-mail to the e-mail address of a representative of the applicable Person provided from time to time by such Person.</w:t>
      </w:r>
    </w:p>
    <w:p>
      <w:pPr>
        <w:spacing w:after="0" w:line="11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8"/>
          <w:szCs w:val="18"/>
          <w:b w:val="1"/>
          <w:bCs w:val="1"/>
          <w:i w:val="1"/>
          <w:iCs w:val="1"/>
          <w:color w:val="auto"/>
        </w:rPr>
        <w:t>Waivers; Amendment</w:t>
      </w:r>
      <w:r>
        <w:rPr>
          <w:rFonts w:ascii="Arial" w:cs="Arial" w:eastAsia="Arial" w:hAnsi="Arial"/>
          <w:sz w:val="18"/>
          <w:szCs w:val="18"/>
          <w:color w:val="auto"/>
        </w:rPr>
        <w:t>.</w:t>
      </w:r>
    </w:p>
    <w:p>
      <w:pPr>
        <w:spacing w:after="0" w:line="193" w:lineRule="exact"/>
        <w:rPr>
          <w:sz w:val="20"/>
          <w:szCs w:val="20"/>
          <w:color w:val="auto"/>
        </w:rPr>
      </w:pPr>
    </w:p>
    <w:p>
      <w:pPr>
        <w:jc w:val="both"/>
        <w:ind w:firstLine="1304"/>
        <w:spacing w:after="0" w:line="305" w:lineRule="auto"/>
        <w:tabs>
          <w:tab w:leader="none" w:pos="2305" w:val="left"/>
        </w:tabs>
        <w:numPr>
          <w:ilvl w:val="0"/>
          <w:numId w:val="904"/>
        </w:numPr>
        <w:rPr>
          <w:rFonts w:ascii="Arial" w:cs="Arial" w:eastAsia="Arial" w:hAnsi="Arial"/>
          <w:sz w:val="19"/>
          <w:szCs w:val="19"/>
          <w:color w:val="auto"/>
        </w:rPr>
      </w:pPr>
      <w:r>
        <w:rPr>
          <w:rFonts w:ascii="Arial" w:cs="Arial" w:eastAsia="Arial" w:hAnsi="Arial"/>
          <w:sz w:val="19"/>
          <w:szCs w:val="19"/>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7.03,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27" w:lineRule="exact"/>
        <w:rPr>
          <w:rFonts w:ascii="Arial" w:cs="Arial" w:eastAsia="Arial" w:hAnsi="Arial"/>
          <w:sz w:val="19"/>
          <w:szCs w:val="19"/>
          <w:color w:val="auto"/>
        </w:rPr>
      </w:pPr>
    </w:p>
    <w:p>
      <w:pPr>
        <w:jc w:val="both"/>
        <w:ind w:firstLine="1304"/>
        <w:spacing w:after="0" w:line="262" w:lineRule="auto"/>
        <w:tabs>
          <w:tab w:leader="none" w:pos="2209" w:val="left"/>
        </w:tabs>
        <w:numPr>
          <w:ilvl w:val="0"/>
          <w:numId w:val="904"/>
        </w:numPr>
        <w:rPr>
          <w:rFonts w:ascii="Arial" w:cs="Arial" w:eastAsia="Arial" w:hAnsi="Arial"/>
          <w:sz w:val="22"/>
          <w:szCs w:val="22"/>
          <w:color w:val="auto"/>
        </w:rPr>
      </w:pPr>
      <w:r>
        <w:rPr>
          <w:rFonts w:ascii="Arial" w:cs="Arial" w:eastAsia="Arial" w:hAnsi="Arial"/>
          <w:sz w:val="22"/>
          <w:szCs w:val="22"/>
          <w:color w:val="auto"/>
        </w:rPr>
        <w:t>Subject to Sections 2.03, 2.10, 2.11, Article 6 and 7.15 hereof, and except as set forth in Section 7.18, neither this Agreement nor any provision hereof may be terminated, waived, amended or modified except pursuant to an agreement or agreements in writing entered into by each Representative, each Collateral Agent and the Parent (for and on behalf of each of the other Grantors).</w:t>
      </w:r>
    </w:p>
    <w:p>
      <w:pPr>
        <w:spacing w:after="0" w:line="151" w:lineRule="exact"/>
        <w:rPr>
          <w:sz w:val="20"/>
          <w:szCs w:val="20"/>
          <w:color w:val="auto"/>
        </w:rPr>
      </w:pPr>
    </w:p>
    <w:p>
      <w:pPr>
        <w:ind w:firstLine="1296"/>
        <w:spacing w:after="0" w:line="301"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b w:val="1"/>
          <w:bCs w:val="1"/>
          <w:i w:val="1"/>
          <w:iCs w:val="1"/>
          <w:color w:val="auto"/>
        </w:rPr>
        <w:t>Parties in Interest</w:t>
      </w:r>
      <w:r>
        <w:rPr>
          <w:rFonts w:ascii="Arial" w:cs="Arial" w:eastAsia="Arial" w:hAnsi="Arial"/>
          <w:sz w:val="21"/>
          <w:szCs w:val="21"/>
          <w:color w:val="auto"/>
        </w:rPr>
        <w:t>. This Agreement shall be binding upon and inure to the benefit of the parties hereto and their respective successors and assigns, all of whom are intended to be bound by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0" w:name="page751"/>
    <w:bookmarkEnd w:id="750"/>
    <w:p>
      <w:pPr>
        <w:jc w:val="both"/>
        <w:ind w:firstLine="1296"/>
        <w:spacing w:after="0" w:line="26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b w:val="1"/>
          <w:bCs w:val="1"/>
          <w:i w:val="1"/>
          <w:iCs w:val="1"/>
          <w:color w:val="auto"/>
        </w:rPr>
        <w:t>Survival of Agreement</w:t>
      </w:r>
      <w:r>
        <w:rPr>
          <w:rFonts w:ascii="Arial" w:cs="Arial" w:eastAsia="Arial" w:hAnsi="Arial"/>
          <w:sz w:val="22"/>
          <w:szCs w:val="22"/>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4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64"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b w:val="1"/>
          <w:bCs w:val="1"/>
          <w:i w:val="1"/>
          <w:iCs w:val="1"/>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41"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b w:val="1"/>
          <w:bCs w:val="1"/>
          <w:i w:val="1"/>
          <w:iCs w:val="1"/>
          <w:color w:val="auto"/>
        </w:rPr>
        <w:t>Governing Law; Jurisdiction; Consent to Service of Process</w:t>
      </w:r>
      <w:r>
        <w:rPr>
          <w:rFonts w:ascii="Arial" w:cs="Arial" w:eastAsia="Arial" w:hAnsi="Arial"/>
          <w:sz w:val="18"/>
          <w:szCs w:val="18"/>
          <w:color w:val="auto"/>
        </w:rPr>
        <w:t>.</w:t>
      </w:r>
    </w:p>
    <w:p>
      <w:pPr>
        <w:spacing w:after="0" w:line="193" w:lineRule="exact"/>
        <w:rPr>
          <w:sz w:val="20"/>
          <w:szCs w:val="20"/>
          <w:color w:val="auto"/>
        </w:rPr>
      </w:pPr>
    </w:p>
    <w:p>
      <w:pPr>
        <w:jc w:val="both"/>
        <w:ind w:firstLine="1304"/>
        <w:spacing w:after="0" w:line="271" w:lineRule="exact"/>
        <w:tabs>
          <w:tab w:leader="none" w:pos="2170" w:val="left"/>
        </w:tabs>
        <w:numPr>
          <w:ilvl w:val="0"/>
          <w:numId w:val="905"/>
        </w:numPr>
        <w:rPr>
          <w:rFonts w:ascii="Arial" w:cs="Arial" w:eastAsia="Arial" w:hAnsi="Arial"/>
          <w:sz w:val="22"/>
          <w:szCs w:val="22"/>
          <w:color w:val="auto"/>
        </w:rPr>
      </w:pPr>
      <w:r>
        <w:rPr>
          <w:rFonts w:ascii="Arial" w:cs="Arial" w:eastAsia="Arial" w:hAnsi="Arial"/>
          <w:sz w:val="22"/>
          <w:szCs w:val="22"/>
          <w:color w:val="auto"/>
        </w:rPr>
        <w:t>This Agreement and any claim, controversy or dispute arising under or related to such Agreement shall be governed by, and construed in accordance with, the law of the State of New York, without giving effect to conflict of law provisions, other than 5-1401 and 5</w:t>
      </w:r>
      <w:r>
        <w:rPr>
          <w:rFonts w:ascii="MS PGothic" w:cs="MS PGothic" w:eastAsia="MS PGothic" w:hAnsi="MS PGothic"/>
          <w:sz w:val="22"/>
          <w:szCs w:val="22"/>
          <w:color w:val="auto"/>
        </w:rPr>
        <w:t>‑</w:t>
      </w:r>
      <w:r>
        <w:rPr>
          <w:rFonts w:ascii="Arial" w:cs="Arial" w:eastAsia="Arial" w:hAnsi="Arial"/>
          <w:sz w:val="22"/>
          <w:szCs w:val="22"/>
          <w:color w:val="auto"/>
        </w:rPr>
        <w:t>1402 of the New York General Obligations Law.</w:t>
      </w:r>
    </w:p>
    <w:p>
      <w:pPr>
        <w:spacing w:after="0" w:line="186" w:lineRule="exact"/>
        <w:rPr>
          <w:rFonts w:ascii="Arial" w:cs="Arial" w:eastAsia="Arial" w:hAnsi="Arial"/>
          <w:sz w:val="22"/>
          <w:szCs w:val="22"/>
          <w:color w:val="auto"/>
        </w:rPr>
      </w:pPr>
    </w:p>
    <w:p>
      <w:pPr>
        <w:jc w:val="both"/>
        <w:ind w:firstLine="1304"/>
        <w:spacing w:after="0" w:line="304" w:lineRule="auto"/>
        <w:tabs>
          <w:tab w:leader="none" w:pos="2331" w:val="left"/>
        </w:tabs>
        <w:numPr>
          <w:ilvl w:val="0"/>
          <w:numId w:val="905"/>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in the courts of any jurisdiction.</w:t>
      </w:r>
    </w:p>
    <w:p>
      <w:pPr>
        <w:spacing w:after="0" w:line="114" w:lineRule="exact"/>
        <w:rPr>
          <w:rFonts w:ascii="Arial" w:cs="Arial" w:eastAsia="Arial" w:hAnsi="Arial"/>
          <w:sz w:val="19"/>
          <w:szCs w:val="19"/>
          <w:color w:val="auto"/>
        </w:rPr>
      </w:pPr>
    </w:p>
    <w:p>
      <w:pPr>
        <w:jc w:val="both"/>
        <w:ind w:firstLine="1304"/>
        <w:spacing w:after="0" w:line="261" w:lineRule="auto"/>
        <w:tabs>
          <w:tab w:leader="none" w:pos="2130" w:val="left"/>
        </w:tabs>
        <w:numPr>
          <w:ilvl w:val="0"/>
          <w:numId w:val="905"/>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7.08. Each of the parties hereto hereby irrevocably waives, to the fullest extent permitted by law, the defense of an inconvenient forum to the maintenance of such action or proceeding in any such court.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1" w:name="page752"/>
    <w:bookmarkEnd w:id="751"/>
    <w:p>
      <w:pPr>
        <w:jc w:val="both"/>
        <w:ind w:firstLine="1304"/>
        <w:spacing w:after="0" w:line="266" w:lineRule="auto"/>
        <w:tabs>
          <w:tab w:leader="none" w:pos="2317" w:val="left"/>
        </w:tabs>
        <w:numPr>
          <w:ilvl w:val="0"/>
          <w:numId w:val="906"/>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7.02. Nothing in this Agreement will affect the right of any party to this Agreement to serve process in any other manner permitted by law.</w:t>
      </w:r>
    </w:p>
    <w:p>
      <w:pPr>
        <w:spacing w:after="0" w:line="14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b w:val="1"/>
          <w:bCs w:val="1"/>
          <w:i w:val="1"/>
          <w:iCs w:val="1"/>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b w:val="1"/>
          <w:bCs w:val="1"/>
          <w:i w:val="1"/>
          <w:iCs w:val="1"/>
          <w:color w:val="auto"/>
        </w:rPr>
        <w:t>Headings</w:t>
      </w:r>
      <w:r>
        <w:rPr>
          <w:rFonts w:ascii="Arial" w:cs="Arial" w:eastAsia="Arial" w:hAnsi="Arial"/>
          <w:sz w:val="22"/>
          <w:szCs w:val="22"/>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4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b w:val="1"/>
          <w:bCs w:val="1"/>
          <w:i w:val="1"/>
          <w:iCs w:val="1"/>
          <w:color w:val="auto"/>
        </w:rPr>
        <w:t>Conflicts</w:t>
      </w:r>
      <w:r>
        <w:rPr>
          <w:rFonts w:ascii="Arial" w:cs="Arial" w:eastAsia="Arial" w:hAnsi="Arial"/>
          <w:sz w:val="22"/>
          <w:szCs w:val="22"/>
          <w:color w:val="auto"/>
        </w:rPr>
        <w:t>. In the event of any conflict or inconsistency between the provisions of this Agreement and the provisions of any of the Notes Documents and/or any of the LC Documents, the provisions of this Agreement shall control, except with respect to provisions governing the rights, privileges, immunities and indemnities of the Collateral Agents and Representatives, in their capacities as such, in which case the applicable Notes Documents or LC Documents shall control.</w:t>
      </w:r>
    </w:p>
    <w:p>
      <w:pPr>
        <w:spacing w:after="0" w:line="15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b w:val="1"/>
          <w:bCs w:val="1"/>
          <w:i w:val="1"/>
          <w:iCs w:val="1"/>
          <w:color w:val="auto"/>
        </w:rPr>
        <w:t>Provisions Solely to Define Relative Rights</w:t>
      </w:r>
      <w:r>
        <w:rPr>
          <w:rFonts w:ascii="Arial" w:cs="Arial" w:eastAsia="Arial" w:hAnsi="Arial"/>
          <w:sz w:val="19"/>
          <w:szCs w:val="19"/>
          <w:color w:val="auto"/>
        </w:rPr>
        <w:t>. The provisions of this Agreement are and are intended solely for the purpose of defining the relative rights of the Notes Secured Parties and the LC Secured Parties in relation to one another. None of the Grantors shall have any rights or obligations hereunder, except as expressly provided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(other than Sections 2.05, 2.06, 2.10, 2.11, Article V and Article VI) is intended to or will amend, waive or otherwise modify the provisions of the Notes Documents or any LC Documents), and none of the Grantors may rely on the terms hereof. Nothing in this Agreement is intended to or shall impair or relieve the obligations of the Grantors, which are absolute and unconditional, to pay the Obligations as and when the same shall become due and payable in accordance with their terms. Notwithstanding anything to the contrary herein or in any Notes Document or any LC Obligations Document, the Grantors shall not be required to act or refrain from acting (a) pursuant to this Agreement or any LC Obligations Document with respect to any Notes Priority Collateral in any manner that would cause a default under any Notes Document, or (b) pursuant to this Agreement or any Notes Document with respect to any LC Priority Collateral in any manner that would cause a default under any LC Obligations Document. For the avoidance of doubt, the provisions of this agreement shall apply to the Notes Secured Parties solely in their capacity as Notes Secured Parties and not in any other capacity.</w:t>
      </w:r>
    </w:p>
    <w:p>
      <w:pPr>
        <w:spacing w:after="0" w:line="13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b w:val="1"/>
          <w:bCs w:val="1"/>
          <w:i w:val="1"/>
          <w:iCs w:val="1"/>
          <w:color w:val="auto"/>
        </w:rPr>
        <w:t>Agent Capacities</w:t>
      </w:r>
      <w:r>
        <w:rPr>
          <w:rFonts w:ascii="Arial" w:cs="Arial" w:eastAsia="Arial" w:hAnsi="Arial"/>
          <w:sz w:val="22"/>
          <w:szCs w:val="22"/>
          <w:color w:val="auto"/>
        </w:rPr>
        <w:t>. Except as expressly set forth herein, neither the Notes Collateral Agent, nor the LC Collateral Agent (including the LC Australian Collateral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2" w:name="page753"/>
    <w:bookmarkEnd w:id="752"/>
    <w:p>
      <w:pPr>
        <w:jc w:val="both"/>
        <w:spacing w:after="0" w:line="258" w:lineRule="auto"/>
        <w:rPr>
          <w:sz w:val="20"/>
          <w:szCs w:val="20"/>
          <w:color w:val="auto"/>
        </w:rPr>
      </w:pPr>
      <w:r>
        <w:rPr>
          <w:rFonts w:ascii="Arial" w:cs="Arial" w:eastAsia="Arial" w:hAnsi="Arial"/>
          <w:sz w:val="22"/>
          <w:szCs w:val="22"/>
          <w:color w:val="auto"/>
        </w:rPr>
        <w:t>Agent), shall have (i) any duties or obligations in respect of any of the Collateral, all of such duties and obligations, if any, being subject to and governed by the Notes Documents and the LC Documents, as the case may be, or (ii) any liability or responsibility for the actions or omissions of any other Secured Party or for any other Secured Party’s compliance with (or failure to comply with) the terms of this Agreement. Neither the Notes Collateral Agent, nor the LC Collateral Agent (including the LC Australian Collateral Agent) shall have individual liability to any Person if it shall mistakenly pay over or distribute to any Secured Party (or Grantor) any amounts in violation of the terms of this Agreement, so long as such Person is acting in good faith and without willful misconduct. Furthermore, and notwithstanding anything to the contrary contained herein, the LC Australian Collateral Agent shall act or refrain from acting with respect to the LC Australian Collateral only at the direction of the LC Administrative Agent.</w:t>
      </w:r>
    </w:p>
    <w:p>
      <w:pPr>
        <w:spacing w:after="0" w:line="158"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b w:val="1"/>
          <w:bCs w:val="1"/>
          <w:i w:val="1"/>
          <w:iCs w:val="1"/>
          <w:color w:val="auto"/>
        </w:rPr>
        <w:t>Supplements</w:t>
      </w:r>
      <w:r>
        <w:rPr>
          <w:rFonts w:ascii="Arial" w:cs="Arial" w:eastAsia="Arial" w:hAnsi="Arial"/>
          <w:sz w:val="22"/>
          <w:szCs w:val="22"/>
          <w:color w:val="auto"/>
        </w:rPr>
        <w:t>. Upon the execution by any Subsidiary of Parent of a supplement hereto in form and substance satisfactory to the Collateral Agents, such subsidiary shall be a party to this Agreement and shall be bound by the provisions hereof to the same extent as each Grantor are so bound. The Parent shall cause any Subsidiary that becomes a Grantor to execute and deliver such supplement.</w:t>
      </w:r>
    </w:p>
    <w:p>
      <w:pPr>
        <w:spacing w:after="0" w:line="164"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7.15</w:t>
      </w:r>
      <w:r>
        <w:rPr>
          <w:sz w:val="20"/>
          <w:szCs w:val="20"/>
          <w:color w:val="auto"/>
        </w:rPr>
        <w:tab/>
      </w:r>
      <w:r>
        <w:rPr>
          <w:rFonts w:ascii="Arial" w:cs="Arial" w:eastAsia="Arial" w:hAnsi="Arial"/>
          <w:sz w:val="18"/>
          <w:szCs w:val="18"/>
          <w:b w:val="1"/>
          <w:bCs w:val="1"/>
          <w:i w:val="1"/>
          <w:iCs w:val="1"/>
          <w:color w:val="auto"/>
        </w:rPr>
        <w:t>Collateral Agent Rights, Protections and Immunities</w:t>
      </w:r>
      <w:r>
        <w:rPr>
          <w:rFonts w:ascii="Arial" w:cs="Arial" w:eastAsia="Arial" w:hAnsi="Arial"/>
          <w:sz w:val="18"/>
          <w:szCs w:val="18"/>
          <w:color w:val="auto"/>
        </w:rPr>
        <w:t>.</w:t>
      </w:r>
    </w:p>
    <w:p>
      <w:pPr>
        <w:spacing w:after="0" w:line="19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 xml:space="preserve">In acting under or by virtue of this Agreement, the LC Collateral Agent and the LC Australian Collateral Agent shall have the rights, protections, immunities and indemnities granted to the “Administrative Agent” and its respective sub-agents under the LC Credit Agreement, all of which are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 acting under or by virtue of this Agreement, the Notes Collateral Agent shall have the rights, protections, immunities and indemnities granted to the “Collateral Agent” under the Notes Indenture, all of which are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In acting under or by virtue of this Agreement, the LC Australian Collateral Agent shall have the rights, protections and immunities granted to the “LC Australian Collateral Agent” under the LC Australian Security Trust Deed.</w:t>
      </w:r>
    </w:p>
    <w:p>
      <w:pPr>
        <w:spacing w:after="0" w:line="116"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7.16</w:t>
      </w:r>
      <w:r>
        <w:rPr>
          <w:sz w:val="20"/>
          <w:szCs w:val="20"/>
          <w:color w:val="auto"/>
        </w:rPr>
        <w:tab/>
      </w:r>
      <w:r>
        <w:rPr>
          <w:rFonts w:ascii="Arial" w:cs="Arial" w:eastAsia="Arial" w:hAnsi="Arial"/>
          <w:sz w:val="19"/>
          <w:szCs w:val="19"/>
          <w:b w:val="1"/>
          <w:bCs w:val="1"/>
          <w:i w:val="1"/>
          <w:iCs w:val="1"/>
          <w:color w:val="auto"/>
        </w:rPr>
        <w:t>Other Junior Intercreditor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In addition, in the event that the Parent or any Subsidiary incurs any obligations secured by a lien on any Collateral that is junior to the LC Obligations or the Notes Obligations, then the Notes Collateral Agent and the LC Collateral Agent shall enter into an intercreditor agreement (at the sole cost and expense of the Grantors) with the agent or trustee for the secured parties with respect to such secured obligation to reflect the relative lien priorities of such parties with respect to the Collateral and governing the relative rights, benefits and privileges as among such parties in respect of the Collateral, including as to application of proceeds of the Collateral, voting rights, control of the Collateral and waivers with respect to the Collateral, in each case so long as such secured obligations are permitted under, and the terms of such intercreditor agreement do not violate or conflict with, the provisions of this Agreement or the other Notes Documents or LC Documents, as the case may be. Each party hereto agrees that the Notes Secured Parties (as among themselves) and the LC Secured Parties (as among themselves) may each enter into intercreditor agreements (or similar arrangements) with the Applicable Senior Collateral Agent governing the rights, benefits and privileges as among the Notes Secured Parties or the LC Secured Parties, as the case may be, in respect of the Collateral, this Agreement and the applicable Senior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3" w:name="page754"/>
    <w:bookmarkEnd w:id="753"/>
    <w:p>
      <w:pPr>
        <w:jc w:val="both"/>
        <w:spacing w:after="0" w:line="272" w:lineRule="auto"/>
        <w:rPr>
          <w:sz w:val="20"/>
          <w:szCs w:val="20"/>
          <w:color w:val="auto"/>
        </w:rPr>
      </w:pPr>
      <w:r>
        <w:rPr>
          <w:rFonts w:ascii="Arial" w:cs="Arial" w:eastAsia="Arial" w:hAnsi="Arial"/>
          <w:sz w:val="21"/>
          <w:szCs w:val="21"/>
          <w:color w:val="auto"/>
        </w:rPr>
        <w:t>Secured Obligations Collateral Documents, as the case may be, including as to the application of proceeds of the Collateral, voting rights, control of the Collateral and waivers with respect to the Collateral, in each case so long as the terms thereof do not violate or conflict with the provisions of this Agreement or the other applicable Senior Secured Obligations Collateral Documents, as the case may be. If any such intercreditor agreement (or similar arrangement) is entered into, the provisions thereof shall not be (or be construed to be) an amendment, modification or other change to this Agreement or any other Notes Document or LC Document, and the provisions of this Agreement and the other Notes Documents and LC Documents shall remain in full force and effect in accordance with the terms hereof and thereof (as such provisions may be amended, modified or otherwise supplemented from time to time in accordance with the terms thereof, including to give effect to any intercreditor agreement (or similar arrangement)).</w:t>
      </w:r>
    </w:p>
    <w:p>
      <w:pPr>
        <w:spacing w:after="0" w:line="142"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7.17</w:t>
      </w:r>
      <w:r>
        <w:rPr>
          <w:sz w:val="20"/>
          <w:szCs w:val="20"/>
          <w:color w:val="auto"/>
        </w:rPr>
        <w:tab/>
      </w:r>
      <w:r>
        <w:rPr>
          <w:rFonts w:ascii="Arial" w:cs="Arial" w:eastAsia="Arial" w:hAnsi="Arial"/>
          <w:sz w:val="19"/>
          <w:szCs w:val="19"/>
          <w:b w:val="1"/>
          <w:bCs w:val="1"/>
          <w:i w:val="1"/>
          <w:iCs w:val="1"/>
          <w:color w:val="auto"/>
        </w:rPr>
        <w:t>Additional Grantors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Promptly upon request by any Collateral Agent, any Person that becomes a Grantor after the date hereof will provide to the Collateral Agents a fully signed acknowledgement,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consenting to the provisions of this Agreement and the intercreditor arrangements provided for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failure on the part of any Collateral Agent to request or obtain such acknowledgement will in any way diminish or impair any of the rights of the Secured Parties hereunder.</w:t>
      </w:r>
    </w:p>
    <w:p>
      <w:pPr>
        <w:spacing w:after="0" w:line="15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7.18</w:t>
      </w:r>
      <w:r>
        <w:rPr>
          <w:sz w:val="20"/>
          <w:szCs w:val="20"/>
          <w:color w:val="auto"/>
        </w:rPr>
        <w:tab/>
      </w:r>
      <w:r>
        <w:rPr>
          <w:rFonts w:ascii="Arial" w:cs="Arial" w:eastAsia="Arial" w:hAnsi="Arial"/>
          <w:sz w:val="19"/>
          <w:szCs w:val="19"/>
          <w:b w:val="1"/>
          <w:bCs w:val="1"/>
          <w:i w:val="1"/>
          <w:iCs w:val="1"/>
          <w:color w:val="auto"/>
        </w:rPr>
        <w:t>Joinder of LC Australian Collateral Agent</w:t>
      </w:r>
      <w:r>
        <w:rPr>
          <w:rFonts w:ascii="Arial" w:cs="Arial" w:eastAsia="Arial" w:hAnsi="Arial"/>
          <w:sz w:val="19"/>
          <w:szCs w:val="19"/>
          <w:color w:val="auto"/>
        </w:rPr>
        <w:t>.</w:t>
      </w:r>
    </w:p>
    <w:p>
      <w:pPr>
        <w:spacing w:after="0" w:line="19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Substantially concurrently with its entry into the LC Australian Security Trust Deed, BTA Institutional Services Australia Limited shall, without requiring the consent of any other party hereto, join to this Agreement by executing and delivering a joinder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58"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7.19</w:t>
      </w:r>
      <w:r>
        <w:rPr>
          <w:sz w:val="20"/>
          <w:szCs w:val="20"/>
          <w:color w:val="auto"/>
        </w:rPr>
        <w:tab/>
      </w:r>
      <w:r>
        <w:rPr>
          <w:rFonts w:ascii="Arial" w:cs="Arial" w:eastAsia="Arial" w:hAnsi="Arial"/>
          <w:sz w:val="18"/>
          <w:szCs w:val="18"/>
          <w:b w:val="1"/>
          <w:bCs w:val="1"/>
          <w:i w:val="1"/>
          <w:iCs w:val="1"/>
          <w:u w:val="single" w:color="auto"/>
          <w:color w:val="auto"/>
        </w:rPr>
        <w:t>Purchase Right</w:t>
      </w:r>
      <w:r>
        <w:rPr>
          <w:rFonts w:ascii="Arial" w:cs="Arial" w:eastAsia="Arial" w:hAnsi="Arial"/>
          <w:sz w:val="18"/>
          <w:szCs w:val="18"/>
          <w:b w:val="1"/>
          <w:bCs w:val="1"/>
          <w:i w:val="1"/>
          <w:iCs w:val="1"/>
          <w:color w:val="auto"/>
        </w:rPr>
        <w:t>.</w:t>
      </w:r>
    </w:p>
    <w:p>
      <w:pPr>
        <w:spacing w:after="0" w:line="193" w:lineRule="exact"/>
        <w:rPr>
          <w:sz w:val="20"/>
          <w:szCs w:val="20"/>
          <w:color w:val="auto"/>
        </w:rPr>
      </w:pPr>
    </w:p>
    <w:p>
      <w:pPr>
        <w:jc w:val="both"/>
        <w:ind w:firstLine="1304"/>
        <w:spacing w:after="0" w:line="296" w:lineRule="auto"/>
        <w:tabs>
          <w:tab w:leader="none" w:pos="2224" w:val="left"/>
        </w:tabs>
        <w:numPr>
          <w:ilvl w:val="1"/>
          <w:numId w:val="907"/>
        </w:numPr>
        <w:rPr>
          <w:rFonts w:ascii="Arial" w:cs="Arial" w:eastAsia="Arial" w:hAnsi="Arial"/>
          <w:sz w:val="19"/>
          <w:szCs w:val="19"/>
          <w:color w:val="auto"/>
        </w:rPr>
      </w:pPr>
      <w:r>
        <w:rPr>
          <w:rFonts w:ascii="Arial" w:cs="Arial" w:eastAsia="Arial" w:hAnsi="Arial"/>
          <w:sz w:val="19"/>
          <w:szCs w:val="19"/>
          <w:color w:val="auto"/>
        </w:rPr>
        <w:t>Without prejudice to the enforcement of the LC Secured Parties’ rights and remedies, the LC Secured Parties agree that following the occurrence of (i) the occurrence of an Event of Default and acceleration of the LC Obligations in accordance with the terms of the LC Documents, (ii) any enforcement action by any LC Secured Party with respect to any material portion of the Collateral, (iii) any Insolvency or Liquidation Proceeding, or (iv) any bankruptcy or payment default under the Notes Indenture (each such event, a “</w:t>
      </w:r>
      <w:r>
        <w:rPr>
          <w:rFonts w:ascii="Arial" w:cs="Arial" w:eastAsia="Arial" w:hAnsi="Arial"/>
          <w:sz w:val="19"/>
          <w:szCs w:val="19"/>
          <w:u w:val="single" w:color="auto"/>
          <w:color w:val="auto"/>
        </w:rPr>
        <w:t>Purchase Option Event</w:t>
      </w:r>
      <w:r>
        <w:rPr>
          <w:rFonts w:ascii="Arial" w:cs="Arial" w:eastAsia="Arial" w:hAnsi="Arial"/>
          <w:sz w:val="19"/>
          <w:szCs w:val="19"/>
          <w:color w:val="auto"/>
        </w:rPr>
        <w:t xml:space="preserve">”), then some or all of the Notes Secured Parties shall have the right to elect to purchase all but not less than all of the outstanding LC Obligations, at par, without regard to any prepayment penalty or premium and without warranty, representation or recourse, for the Purchase Price (defined below); provided, with respect to any LC Obligations constituting Bank Product Obligations, at the time of any such purchase pursuant to this Section 7.19, the Bank Product Obligations shall have been terminated in accordance with their terms. The participating Notes Secured Parties shall irrevocably exercise each such purchase right by delivery of written notice of their intent to purchase the LC Obligations to the LC Collateral Agent at any time following the Purchase Option Event;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unless the LC Collateral Agent otherwise consents, such written notice must be received by the LC Collateral Agent no later than the earlier to occur of</w:t>
      </w:r>
    </w:p>
    <w:p>
      <w:pPr>
        <w:spacing w:after="0" w:line="10" w:lineRule="exact"/>
        <w:rPr>
          <w:rFonts w:ascii="Arial" w:cs="Arial" w:eastAsia="Arial" w:hAnsi="Arial"/>
          <w:sz w:val="19"/>
          <w:szCs w:val="19"/>
          <w:color w:val="auto"/>
        </w:rPr>
      </w:pPr>
    </w:p>
    <w:p>
      <w:pPr>
        <w:ind w:left="360" w:hanging="352"/>
        <w:spacing w:after="0"/>
        <w:tabs>
          <w:tab w:leader="none" w:pos="360" w:val="left"/>
        </w:tabs>
        <w:numPr>
          <w:ilvl w:val="0"/>
          <w:numId w:val="908"/>
        </w:numPr>
        <w:rPr>
          <w:rFonts w:ascii="Arial" w:cs="Arial" w:eastAsia="Arial" w:hAnsi="Arial"/>
          <w:sz w:val="21"/>
          <w:szCs w:val="21"/>
          <w:color w:val="auto"/>
        </w:rPr>
      </w:pPr>
      <w:r>
        <w:rPr>
          <w:rFonts w:ascii="Arial" w:cs="Arial" w:eastAsia="Arial" w:hAnsi="Arial"/>
          <w:sz w:val="21"/>
          <w:szCs w:val="21"/>
          <w:color w:val="auto"/>
        </w:rPr>
        <w:t>10 Business Days after the LC Collateral Agent delivers to the Notes Trustee written notice of the occurrence of 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4" w:name="page755"/>
    <w:bookmarkEnd w:id="754"/>
    <w:p>
      <w:pPr>
        <w:jc w:val="both"/>
        <w:spacing w:after="0" w:line="304" w:lineRule="auto"/>
        <w:rPr>
          <w:sz w:val="20"/>
          <w:szCs w:val="20"/>
          <w:color w:val="auto"/>
        </w:rPr>
      </w:pPr>
      <w:r>
        <w:rPr>
          <w:rFonts w:ascii="Arial" w:cs="Arial" w:eastAsia="Arial" w:hAnsi="Arial"/>
          <w:sz w:val="19"/>
          <w:szCs w:val="19"/>
          <w:color w:val="auto"/>
        </w:rPr>
        <w:t xml:space="preserve">Purchase Option Event described in clause (i), (ii) or (iii) above, or (B) if any bankruptcy or payment default under the Notes Indenture has occurred and is continuing, 10 Business Days after LC Collateral Agent delivers written notice to the Notes Trustee that the LC Facility Secured Parties desire to sell or assign the LC Obligations and are actively seeking to identify one or more Persons to purchase and acquire its LC Obligations from such LC Facility Secured Parties. The parties shall close such purchase and sale within 20 Business Days (or such shorter time as reasonably specified by the participating Notes Secured Parties in such notice) after such delivery of such notice. To the extent that more than one Notes Secured Party elects to purchase the LC Obligations in accordance with this </w:t>
      </w:r>
      <w:r>
        <w:rPr>
          <w:rFonts w:ascii="Arial" w:cs="Arial" w:eastAsia="Arial" w:hAnsi="Arial"/>
          <w:sz w:val="19"/>
          <w:szCs w:val="19"/>
          <w:u w:val="single" w:color="auto"/>
          <w:color w:val="auto"/>
        </w:rPr>
        <w:t>Section 7.19</w:t>
      </w:r>
      <w:r>
        <w:rPr>
          <w:rFonts w:ascii="Arial" w:cs="Arial" w:eastAsia="Arial" w:hAnsi="Arial"/>
          <w:sz w:val="19"/>
          <w:szCs w:val="19"/>
          <w:color w:val="auto"/>
        </w:rPr>
        <w:t xml:space="preserve">, unless otherwise agreed upon by such Notes Secured Parties electing to purchase the LC Obligations, such Notes Secured Parties shall purchase all of the LC Obligations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7.19</w:t>
      </w:r>
      <w:r>
        <w:rPr>
          <w:rFonts w:ascii="Arial" w:cs="Arial" w:eastAsia="Arial" w:hAnsi="Arial"/>
          <w:sz w:val="19"/>
          <w:szCs w:val="19"/>
          <w:color w:val="auto"/>
        </w:rPr>
        <w:t xml:space="preserve"> on a ratable basis based on their outstanding Notes Obligations.</w:t>
      </w:r>
    </w:p>
    <w:p>
      <w:pPr>
        <w:spacing w:after="0" w:line="115" w:lineRule="exact"/>
        <w:rPr>
          <w:sz w:val="20"/>
          <w:szCs w:val="20"/>
          <w:color w:val="auto"/>
        </w:rPr>
      </w:pPr>
    </w:p>
    <w:p>
      <w:pPr>
        <w:ind w:left="2100" w:hanging="796"/>
        <w:spacing w:after="0"/>
        <w:tabs>
          <w:tab w:leader="none" w:pos="2100" w:val="left"/>
        </w:tabs>
        <w:numPr>
          <w:ilvl w:val="1"/>
          <w:numId w:val="909"/>
        </w:numPr>
        <w:rPr>
          <w:rFonts w:ascii="Arial" w:cs="Arial" w:eastAsia="Arial" w:hAnsi="Arial"/>
          <w:sz w:val="19"/>
          <w:szCs w:val="19"/>
          <w:color w:val="auto"/>
        </w:rPr>
      </w:pPr>
      <w:r>
        <w:rPr>
          <w:rFonts w:ascii="Arial" w:cs="Arial" w:eastAsia="Arial" w:hAnsi="Arial"/>
          <w:sz w:val="19"/>
          <w:szCs w:val="19"/>
          <w:color w:val="auto"/>
        </w:rPr>
        <w:t>On the date of such purchase and sale (the “</w:t>
      </w:r>
      <w:r>
        <w:rPr>
          <w:rFonts w:ascii="Arial" w:cs="Arial" w:eastAsia="Arial" w:hAnsi="Arial"/>
          <w:sz w:val="19"/>
          <w:szCs w:val="19"/>
          <w:u w:val="single" w:color="auto"/>
          <w:color w:val="auto"/>
        </w:rPr>
        <w:t>Purchase Date</w:t>
      </w:r>
      <w:r>
        <w:rPr>
          <w:rFonts w:ascii="Arial" w:cs="Arial" w:eastAsia="Arial" w:hAnsi="Arial"/>
          <w:sz w:val="19"/>
          <w:szCs w:val="19"/>
          <w:color w:val="auto"/>
        </w:rPr>
        <w:t>”), the participating Notes Secured Parties shall</w:t>
      </w:r>
    </w:p>
    <w:p>
      <w:pPr>
        <w:spacing w:after="0" w:line="55" w:lineRule="exact"/>
        <w:rPr>
          <w:rFonts w:ascii="Arial" w:cs="Arial" w:eastAsia="Arial" w:hAnsi="Arial"/>
          <w:sz w:val="19"/>
          <w:szCs w:val="19"/>
          <w:color w:val="auto"/>
        </w:rPr>
      </w:pPr>
    </w:p>
    <w:p>
      <w:pPr>
        <w:jc w:val="both"/>
        <w:ind w:firstLine="8"/>
        <w:spacing w:after="0" w:line="271" w:lineRule="auto"/>
        <w:tabs>
          <w:tab w:leader="none" w:pos="265" w:val="left"/>
        </w:tabs>
        <w:numPr>
          <w:ilvl w:val="0"/>
          <w:numId w:val="910"/>
        </w:numPr>
        <w:rPr>
          <w:rFonts w:ascii="Arial" w:cs="Arial" w:eastAsia="Arial" w:hAnsi="Arial"/>
          <w:sz w:val="21"/>
          <w:szCs w:val="21"/>
          <w:color w:val="auto"/>
        </w:rPr>
      </w:pPr>
      <w:r>
        <w:rPr>
          <w:rFonts w:ascii="Arial" w:cs="Arial" w:eastAsia="Arial" w:hAnsi="Arial"/>
          <w:sz w:val="21"/>
          <w:szCs w:val="21"/>
          <w:color w:val="auto"/>
        </w:rPr>
        <w:t>pay to LC Collateral Agent (on behalf of all LC Facility Secured Parties) as the purchase price therefor, the full amount of all the LC Obligations (other than LC Obligations cash collateralized in accordance with clause (b)(ii) below) then outstanding and unpaid, and (ii) furnish cash collateral to the LC Collateral Agent in such amounts as the LC Collateral Agent determines is reasonably necessary to secure the LC Secured Parties in connection with any issued and outstanding Letters of Credit (as defined in the LC Credit Agreement) (but not in any event in an amount greater than (I) 105% of the face amount of letters of credit denominated in a currency other than U.S. dollars and (II) 103% of the face amount with respect to letters of credit denominated in U.S. dollars. Such purchase price and cash collateral (collectively, the “</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be remitted by wire transfer in federal funds to such bank account of the LC Collateral Agent as the LC Collateral Agent may designate in writing to the participating Notes Secured Parties for such purpose. Interest shall be calculated to but exclude the Business Day on which such purchase and sale shall occur.</w:t>
      </w:r>
    </w:p>
    <w:p>
      <w:pPr>
        <w:spacing w:after="0" w:line="157" w:lineRule="exact"/>
        <w:rPr>
          <w:rFonts w:ascii="Arial" w:cs="Arial" w:eastAsia="Arial" w:hAnsi="Arial"/>
          <w:sz w:val="21"/>
          <w:szCs w:val="21"/>
          <w:color w:val="auto"/>
        </w:rPr>
      </w:pPr>
    </w:p>
    <w:p>
      <w:pPr>
        <w:jc w:val="both"/>
        <w:ind w:firstLine="1304"/>
        <w:spacing w:after="0" w:line="311" w:lineRule="auto"/>
        <w:tabs>
          <w:tab w:leader="none" w:pos="2089" w:val="left"/>
        </w:tabs>
        <w:numPr>
          <w:ilvl w:val="1"/>
          <w:numId w:val="910"/>
        </w:numPr>
        <w:rPr>
          <w:rFonts w:ascii="Arial" w:cs="Arial" w:eastAsia="Arial" w:hAnsi="Arial"/>
          <w:sz w:val="19"/>
          <w:szCs w:val="19"/>
          <w:color w:val="auto"/>
        </w:rPr>
      </w:pPr>
      <w:r>
        <w:rPr>
          <w:rFonts w:ascii="Arial" w:cs="Arial" w:eastAsia="Arial" w:hAnsi="Arial"/>
          <w:sz w:val="19"/>
          <w:szCs w:val="19"/>
          <w:color w:val="auto"/>
        </w:rPr>
        <w:t>Such purchase shall be expressly made without representation or warranty of any kind by the LC Secured Parties as to the LC Obligations or LC Documents so purchased or otherwise and without recourse to any LC Secured Party; except that each LC Secured Party shall represent and warrant: (i) the amount of the LC Obligations being purchased from such LC Secured Party, (ii) that such LC Secured Party owns the LC Obligations free and clear of any Liens, and (iii) that such LC Secured Party has the right to assign such LC Obligations and the assignment is duly authorized.</w:t>
      </w:r>
    </w:p>
    <w:p>
      <w:pPr>
        <w:spacing w:after="0" w:line="109" w:lineRule="exact"/>
        <w:rPr>
          <w:rFonts w:ascii="Arial" w:cs="Arial" w:eastAsia="Arial" w:hAnsi="Arial"/>
          <w:sz w:val="19"/>
          <w:szCs w:val="19"/>
          <w:color w:val="auto"/>
        </w:rPr>
      </w:pPr>
    </w:p>
    <w:p>
      <w:pPr>
        <w:jc w:val="both"/>
        <w:ind w:firstLine="1304"/>
        <w:spacing w:after="0" w:line="317" w:lineRule="auto"/>
        <w:tabs>
          <w:tab w:leader="none" w:pos="2088" w:val="left"/>
        </w:tabs>
        <w:numPr>
          <w:ilvl w:val="1"/>
          <w:numId w:val="910"/>
        </w:numPr>
        <w:rPr>
          <w:rFonts w:ascii="Arial" w:cs="Arial" w:eastAsia="Arial" w:hAnsi="Arial"/>
          <w:sz w:val="19"/>
          <w:szCs w:val="19"/>
          <w:color w:val="auto"/>
        </w:rPr>
      </w:pPr>
      <w:r>
        <w:rPr>
          <w:rFonts w:ascii="Arial" w:cs="Arial" w:eastAsia="Arial" w:hAnsi="Arial"/>
          <w:sz w:val="19"/>
          <w:szCs w:val="19"/>
          <w:color w:val="auto"/>
        </w:rPr>
        <w:t xml:space="preserve">In the event that the participating Notes Secured Parties exercise and consummate the purchase option set forth in this </w:t>
      </w:r>
      <w:r>
        <w:rPr>
          <w:rFonts w:ascii="Arial" w:cs="Arial" w:eastAsia="Arial" w:hAnsi="Arial"/>
          <w:sz w:val="19"/>
          <w:szCs w:val="19"/>
          <w:u w:val="single" w:color="auto"/>
          <w:color w:val="auto"/>
        </w:rPr>
        <w:t>Section 7.19</w:t>
      </w:r>
      <w:r>
        <w:rPr>
          <w:rFonts w:ascii="Arial" w:cs="Arial" w:eastAsia="Arial" w:hAnsi="Arial"/>
          <w:sz w:val="19"/>
          <w:szCs w:val="19"/>
          <w:color w:val="auto"/>
        </w:rPr>
        <w:t>, (i) LC Collateral Agent and any other agent under the LC Documents shall have the right, but not the obligation, to immediately resign under the LC Documents, and (ii) the participating Notes Secured Parties shall have the right, but not the obligation, to require LC Collateral Agent and such other agent to immediately resign under the LC Documents.</w:t>
      </w:r>
    </w:p>
    <w:p>
      <w:pPr>
        <w:spacing w:after="0" w:line="101" w:lineRule="exact"/>
        <w:rPr>
          <w:rFonts w:ascii="Arial" w:cs="Arial" w:eastAsia="Arial" w:hAnsi="Arial"/>
          <w:sz w:val="19"/>
          <w:szCs w:val="19"/>
          <w:color w:val="auto"/>
        </w:rPr>
      </w:pPr>
    </w:p>
    <w:p>
      <w:pPr>
        <w:jc w:val="both"/>
        <w:ind w:firstLine="1304"/>
        <w:spacing w:after="0" w:line="262" w:lineRule="auto"/>
        <w:tabs>
          <w:tab w:leader="none" w:pos="2089" w:val="left"/>
        </w:tabs>
        <w:numPr>
          <w:ilvl w:val="1"/>
          <w:numId w:val="910"/>
        </w:numPr>
        <w:rPr>
          <w:rFonts w:ascii="Arial" w:cs="Arial" w:eastAsia="Arial" w:hAnsi="Arial"/>
          <w:sz w:val="22"/>
          <w:szCs w:val="22"/>
          <w:color w:val="auto"/>
        </w:rPr>
      </w:pPr>
      <w:r>
        <w:rPr>
          <w:rFonts w:ascii="Arial" w:cs="Arial" w:eastAsia="Arial" w:hAnsi="Arial"/>
          <w:sz w:val="22"/>
          <w:szCs w:val="22"/>
          <w:color w:val="auto"/>
        </w:rPr>
        <w:t xml:space="preserve">With respect to any cash collateral held under </w:t>
      </w:r>
      <w:r>
        <w:rPr>
          <w:rFonts w:ascii="Arial" w:cs="Arial" w:eastAsia="Arial" w:hAnsi="Arial"/>
          <w:sz w:val="22"/>
          <w:szCs w:val="22"/>
          <w:u w:val="single" w:color="auto"/>
          <w:color w:val="auto"/>
        </w:rPr>
        <w:t>Section 7.4(b)(ii)</w:t>
      </w:r>
      <w:r>
        <w:rPr>
          <w:rFonts w:ascii="Arial" w:cs="Arial" w:eastAsia="Arial" w:hAnsi="Arial"/>
          <w:sz w:val="22"/>
          <w:szCs w:val="22"/>
          <w:color w:val="auto"/>
        </w:rPr>
        <w:t xml:space="preserve"> above, after giving effect to any payment made and applied to amounts coming due with respect to any letters of credit (or termination thereof without a drawing thereon), the amount of any cash collateral then on deposit with the LC Collateral Agent with respect to such obligations which exceeds the sum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5" w:name="page756"/>
    <w:bookmarkEnd w:id="755"/>
    <w:p>
      <w:pPr>
        <w:jc w:val="both"/>
        <w:spacing w:after="0" w:line="266" w:lineRule="auto"/>
        <w:rPr>
          <w:sz w:val="20"/>
          <w:szCs w:val="20"/>
          <w:color w:val="auto"/>
        </w:rPr>
      </w:pPr>
      <w:r>
        <w:rPr>
          <w:rFonts w:ascii="Arial" w:cs="Arial" w:eastAsia="Arial" w:hAnsi="Arial"/>
          <w:sz w:val="22"/>
          <w:szCs w:val="22"/>
          <w:color w:val="auto"/>
        </w:rPr>
        <w:t>of (x) 105% of the face amount of letters of credit denominated in a currency other than U.S. dollars and (y) 103% of the face amount with respect to letters of credit denominated in U.S. dollars, shall promptly be returned to the Notes Collateral Agent (for the benefit of the applicable Notes Secured Parties).</w:t>
      </w:r>
    </w:p>
    <w:p>
      <w:pPr>
        <w:spacing w:after="0" w:line="144" w:lineRule="exact"/>
        <w:rPr>
          <w:sz w:val="20"/>
          <w:szCs w:val="20"/>
          <w:color w:val="auto"/>
        </w:rPr>
      </w:pPr>
    </w:p>
    <w:p>
      <w:pPr>
        <w:jc w:val="both"/>
        <w:ind w:firstLine="1304"/>
        <w:spacing w:after="0" w:line="260" w:lineRule="auto"/>
        <w:tabs>
          <w:tab w:leader="none" w:pos="2065" w:val="left"/>
        </w:tabs>
        <w:numPr>
          <w:ilvl w:val="0"/>
          <w:numId w:val="911"/>
        </w:numPr>
        <w:rPr>
          <w:rFonts w:ascii="Arial" w:cs="Arial" w:eastAsia="Arial" w:hAnsi="Arial"/>
          <w:sz w:val="22"/>
          <w:szCs w:val="22"/>
          <w:color w:val="auto"/>
        </w:rPr>
      </w:pPr>
      <w:r>
        <w:rPr>
          <w:rFonts w:ascii="Arial" w:cs="Arial" w:eastAsia="Arial" w:hAnsi="Arial"/>
          <w:sz w:val="22"/>
          <w:szCs w:val="22"/>
          <w:color w:val="auto"/>
        </w:rPr>
        <w:t xml:space="preserve">For the avoidance of doubt, notwithstanding anything to the contrary herein, (i) any obligations to pay the purchase price or furnish cash collateral in connection with the exercise of the purchase option set forth herein shall be obligations of the participating Notes Secured Parties (and not the Notes Trustee or the Notes Collateral Agent) and (ii) the Notes Trustee and the Notes Collateral Agent shall have no obligations under this </w:t>
      </w:r>
      <w:r>
        <w:rPr>
          <w:rFonts w:ascii="Arial" w:cs="Arial" w:eastAsia="Arial" w:hAnsi="Arial"/>
          <w:sz w:val="22"/>
          <w:szCs w:val="22"/>
          <w:u w:val="single" w:color="auto"/>
          <w:color w:val="auto"/>
        </w:rPr>
        <w:t>Section 7.19</w:t>
      </w:r>
      <w:r>
        <w:rPr>
          <w:rFonts w:ascii="Arial" w:cs="Arial" w:eastAsia="Arial" w:hAnsi="Arial"/>
          <w:sz w:val="22"/>
          <w:szCs w:val="22"/>
          <w:color w:val="auto"/>
        </w:rPr>
        <w:t xml:space="preserve"> except to the extent they are required to act in an administrative agent capacity for the applicable Notes Secured Parties in accordance with the applicable Notes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 signatures follow</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6" w:name="page757"/>
    <w:bookmarkEnd w:id="756"/>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Notes Collateral Agent</w:t>
      </w:r>
    </w:p>
    <w:p>
      <w:pPr>
        <w:spacing w:after="0" w:line="200" w:lineRule="exact"/>
        <w:rPr>
          <w:sz w:val="20"/>
          <w:szCs w:val="20"/>
          <w:color w:val="auto"/>
        </w:rPr>
      </w:pPr>
    </w:p>
    <w:p>
      <w:pPr>
        <w:spacing w:after="0" w:line="34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____________________________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DEUTSCHE BANK TRUST COMPANY AMERICAS, as LC Collateral Agent</w:t>
      </w:r>
    </w:p>
    <w:p>
      <w:pPr>
        <w:spacing w:after="0" w:line="200" w:lineRule="exact"/>
        <w:rPr>
          <w:sz w:val="20"/>
          <w:szCs w:val="20"/>
          <w:color w:val="auto"/>
        </w:rPr>
      </w:pPr>
    </w:p>
    <w:p>
      <w:pPr>
        <w:spacing w:after="0" w:line="36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____________________________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3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____________________________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57" w:name="page758"/>
    <w:bookmarkEnd w:id="757"/>
    <w:p>
      <w:pPr>
        <w:jc w:val="center"/>
        <w:spacing w:after="0"/>
        <w:rPr>
          <w:sz w:val="20"/>
          <w:szCs w:val="20"/>
          <w:color w:val="auto"/>
        </w:rPr>
      </w:pPr>
      <w:r>
        <w:rPr>
          <w:rFonts w:ascii="Arial" w:cs="Arial" w:eastAsia="Arial" w:hAnsi="Arial"/>
          <w:sz w:val="22"/>
          <w:szCs w:val="22"/>
          <w:b w:val="1"/>
          <w:bCs w:val="1"/>
          <w:color w:val="auto"/>
        </w:rPr>
        <w:t>AUSTRALIA INITIAL GUARANTOR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WEATHERFORD AUSTRALIA PTY LIMITED ACN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-119380</wp:posOffset>
            </wp:positionV>
            <wp:extent cx="17145" cy="55753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7145" cy="5575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008 947 395 </w:t>
      </w:r>
      <w:r>
        <w:rPr>
          <w:rFonts w:ascii="Arial" w:cs="Arial" w:eastAsia="Arial" w:hAnsi="Arial"/>
          <w:sz w:val="18"/>
          <w:szCs w:val="18"/>
          <w:color w:val="auto"/>
        </w:rPr>
        <w:t>in accordance with section 127 of the Corporations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2001 (Cth):</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800" w:type="dxa"/>
            <w:vAlign w:val="bottom"/>
          </w:tcPr>
          <w:p>
            <w:pPr>
              <w:spacing w:after="0"/>
              <w:rPr>
                <w:sz w:val="22"/>
                <w:szCs w:val="22"/>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w:t>
            </w:r>
          </w:p>
        </w:tc>
      </w:tr>
      <w:tr>
        <w:trPr>
          <w:trHeight w:val="425"/>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Bruno Teixeira Bezarra</w:t>
            </w:r>
          </w:p>
        </w:tc>
        <w:tc>
          <w:tcPr>
            <w:tcW w:w="5140" w:type="dxa"/>
            <w:vAlign w:val="bottom"/>
          </w:tcPr>
          <w:p>
            <w:pPr>
              <w:spacing w:after="0"/>
              <w:rPr>
                <w:sz w:val="20"/>
                <w:szCs w:val="20"/>
                <w:color w:val="auto"/>
              </w:rPr>
            </w:pPr>
            <w:r>
              <w:rPr>
                <w:rFonts w:ascii="Arial" w:cs="Arial" w:eastAsia="Arial" w:hAnsi="Arial"/>
                <w:sz w:val="18"/>
                <w:szCs w:val="18"/>
                <w:b w:val="1"/>
                <w:bCs w:val="1"/>
                <w:color w:val="auto"/>
              </w:rPr>
              <w:t>Robert Antonio De Gasperis</w:t>
            </w:r>
          </w:p>
        </w:tc>
      </w:tr>
      <w:tr>
        <w:trPr>
          <w:trHeight w:val="230"/>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director</w:t>
            </w:r>
          </w:p>
        </w:tc>
        <w:tc>
          <w:tcPr>
            <w:tcW w:w="800" w:type="dxa"/>
            <w:vAlign w:val="bottom"/>
          </w:tcPr>
          <w:p>
            <w:pPr>
              <w:spacing w:after="0"/>
              <w:rPr>
                <w:sz w:val="20"/>
                <w:szCs w:val="20"/>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8" w:name="page759"/>
    <w:bookmarkEnd w:id="758"/>
    <w:p>
      <w:pPr>
        <w:ind w:left="2700"/>
        <w:spacing w:after="0"/>
        <w:rPr>
          <w:sz w:val="20"/>
          <w:szCs w:val="20"/>
          <w:color w:val="auto"/>
        </w:rPr>
      </w:pPr>
      <w:r>
        <w:rPr>
          <w:rFonts w:ascii="Arial" w:cs="Arial" w:eastAsia="Arial" w:hAnsi="Arial"/>
          <w:sz w:val="22"/>
          <w:szCs w:val="22"/>
          <w:b w:val="1"/>
          <w:bCs w:val="1"/>
          <w:color w:val="auto"/>
        </w:rPr>
        <w:t>BERMUDA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INTERNATIONAL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HOLDING (BERMUDA)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PANGAEA HOLDINGS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SABRE DRILLING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KEY INTERNATIONAL DRILLING COMPANY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BERMUDA HOLDINGS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SERVICES,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WOFS ASSURANCE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HOLDINGS (BERMUDA)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600"/>
          </w:cols>
          <w:pgMar w:left="1440" w:top="126" w:right="859" w:bottom="0" w:gutter="0" w:footer="0" w:header="0"/>
        </w:sectPr>
      </w:pPr>
    </w:p>
    <w:p>
      <w:pPr>
        <w:spacing w:after="0" w:line="393" w:lineRule="exact"/>
        <w:rPr>
          <w:sz w:val="20"/>
          <w:szCs w:val="20"/>
          <w:color w:val="auto"/>
        </w:rPr>
      </w:pPr>
    </w:p>
    <w:p>
      <w:pPr>
        <w:ind w:left="2580"/>
        <w:spacing w:after="0"/>
        <w:rPr>
          <w:sz w:val="20"/>
          <w:szCs w:val="20"/>
          <w:color w:val="auto"/>
        </w:rPr>
      </w:pPr>
      <w:r>
        <w:rPr>
          <w:rFonts w:ascii="Arial" w:cs="Arial" w:eastAsia="Arial" w:hAnsi="Arial"/>
          <w:sz w:val="19"/>
          <w:szCs w:val="19"/>
          <w:i w:val="1"/>
          <w:iCs w:val="1"/>
          <w:color w:val="auto"/>
        </w:rPr>
        <w:t>[Signature Page to Intercreditor Agreement]</w:t>
      </w:r>
    </w:p>
    <w:p>
      <w:pPr>
        <w:sectPr>
          <w:pgSz w:w="11900" w:h="16838" w:orient="portrait"/>
          <w:cols w:equalWidth="0" w:num="1">
            <w:col w:w="9600"/>
          </w:cols>
          <w:pgMar w:left="1440" w:top="126" w:right="859" w:bottom="0" w:gutter="0" w:footer="0" w:header="0"/>
          <w:type w:val="continuous"/>
        </w:sectPr>
      </w:pPr>
    </w:p>
    <w:bookmarkStart w:id="759" w:name="page760"/>
    <w:bookmarkEnd w:id="7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0" w:name="page761"/>
    <w:bookmarkEnd w:id="760"/>
    <w:p>
      <w:pPr>
        <w:ind w:left="1880"/>
        <w:spacing w:after="0"/>
        <w:rPr>
          <w:sz w:val="20"/>
          <w:szCs w:val="20"/>
          <w:color w:val="auto"/>
        </w:rPr>
      </w:pPr>
      <w:r>
        <w:rPr>
          <w:rFonts w:ascii="Arial" w:cs="Arial" w:eastAsia="Arial" w:hAnsi="Arial"/>
          <w:sz w:val="22"/>
          <w:szCs w:val="22"/>
          <w:b w:val="1"/>
          <w:bCs w:val="1"/>
          <w:color w:val="auto"/>
        </w:rPr>
        <w:t>BRITISH VIRGIN ISLANDS INITIAL GUARANTORS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DRILLING INTERNATIONAL HOLDINGS (BVI)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DRILLING INTERNATIONAL (BVI)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COLOMBIA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HOLDINGS (BVI)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OIL TOOL MIDDLE EAST LIMITED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580"/>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126" w:right="459" w:bottom="1440" w:gutter="0" w:footer="0" w:header="0"/>
        </w:sectPr>
      </w:pPr>
    </w:p>
    <w:bookmarkStart w:id="761" w:name="page762"/>
    <w:bookmarkEnd w:id="761"/>
    <w:p>
      <w:pPr>
        <w:jc w:val="center"/>
        <w:spacing w:after="0"/>
        <w:rPr>
          <w:sz w:val="20"/>
          <w:szCs w:val="20"/>
          <w:color w:val="auto"/>
        </w:rPr>
      </w:pPr>
      <w:r>
        <w:rPr>
          <w:rFonts w:ascii="Arial" w:cs="Arial" w:eastAsia="Arial" w:hAnsi="Arial"/>
          <w:sz w:val="22"/>
          <w:szCs w:val="22"/>
          <w:b w:val="1"/>
          <w:bCs w:val="1"/>
          <w:color w:val="auto"/>
        </w:rPr>
        <w:t>CANADA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CANADA LTD.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(NOVA SCOTIA) ULC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ENERGY SERVICES ULC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ENERGY INTERNATIONAL LTD.</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PRECISION ENERGY SERVICES COLOMBIA LTD.</w:t>
      </w: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62" w:name="page763"/>
    <w:bookmarkEnd w:id="762"/>
    <w:p>
      <w:pPr>
        <w:jc w:val="center"/>
        <w:spacing w:after="0"/>
        <w:rPr>
          <w:sz w:val="20"/>
          <w:szCs w:val="20"/>
          <w:color w:val="auto"/>
        </w:rPr>
      </w:pPr>
      <w:r>
        <w:rPr>
          <w:rFonts w:ascii="Arial" w:cs="Arial" w:eastAsia="Arial" w:hAnsi="Arial"/>
          <w:sz w:val="22"/>
          <w:szCs w:val="22"/>
          <w:b w:val="1"/>
          <w:bCs w:val="1"/>
          <w:color w:val="auto"/>
        </w:rPr>
        <w:t>ENGLAND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EURASIA LIMITED</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U.K. LIMITED</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63" w:name="page764"/>
    <w:bookmarkEnd w:id="763"/>
    <w:p>
      <w:pPr>
        <w:jc w:val="center"/>
        <w:spacing w:after="0"/>
        <w:rPr>
          <w:sz w:val="20"/>
          <w:szCs w:val="20"/>
          <w:color w:val="auto"/>
        </w:rPr>
      </w:pPr>
      <w:r>
        <w:rPr>
          <w:rFonts w:ascii="Arial" w:cs="Arial" w:eastAsia="Arial" w:hAnsi="Arial"/>
          <w:sz w:val="22"/>
          <w:szCs w:val="22"/>
          <w:b w:val="1"/>
          <w:bCs w:val="1"/>
          <w:color w:val="auto"/>
        </w:rPr>
        <w:t>GERMANY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OIL TOOL GMBH</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64" w:name="page765"/>
    <w:bookmarkEnd w:id="764"/>
    <w:p>
      <w:pPr>
        <w:jc w:val="center"/>
        <w:spacing w:after="0"/>
        <w:rPr>
          <w:sz w:val="20"/>
          <w:szCs w:val="20"/>
          <w:color w:val="auto"/>
        </w:rPr>
      </w:pPr>
      <w:r>
        <w:rPr>
          <w:rFonts w:ascii="Arial" w:cs="Arial" w:eastAsia="Arial" w:hAnsi="Arial"/>
          <w:sz w:val="22"/>
          <w:szCs w:val="22"/>
          <w:b w:val="1"/>
          <w:bCs w:val="1"/>
          <w:color w:val="auto"/>
        </w:rPr>
        <w:t>IRELAND INITIAL GUARANTORS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w:t>
      </w:r>
      <w:r>
        <w:rPr>
          <w:rFonts w:ascii="Arial" w:cs="Arial" w:eastAsia="Arial" w:hAnsi="Arial"/>
          <w:sz w:val="22"/>
          <w:szCs w:val="22"/>
          <w:b w:val="1"/>
          <w:bCs w:val="1"/>
          <w:color w:val="auto"/>
        </w:rPr>
        <w:t xml:space="preserve"> COMMON SEAL</w:t>
      </w:r>
    </w:p>
    <w:p>
      <w:pPr>
        <w:spacing w:after="0" w:line="293" w:lineRule="exact"/>
        <w:rPr>
          <w:sz w:val="20"/>
          <w:szCs w:val="20"/>
          <w:color w:val="auto"/>
        </w:rPr>
      </w:pPr>
    </w:p>
    <w:p>
      <w:pPr>
        <w:ind w:right="4740"/>
        <w:spacing w:after="0" w:line="509" w:lineRule="auto"/>
        <w:rPr>
          <w:sz w:val="20"/>
          <w:szCs w:val="20"/>
          <w:color w:val="auto"/>
        </w:rPr>
      </w:pPr>
      <w:r>
        <w:rPr>
          <w:rFonts w:ascii="Arial" w:cs="Arial" w:eastAsia="Arial" w:hAnsi="Arial"/>
          <w:sz w:val="22"/>
          <w:szCs w:val="22"/>
          <w:color w:val="auto"/>
        </w:rPr>
        <w:t>of WEATHERFORD INTERNATIONAL PUBLIC LIMITED COMPANY and this Deed was delivered:</w:t>
      </w:r>
    </w:p>
    <w:p>
      <w:pPr>
        <w:spacing w:after="0" w:line="1"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w:t>
      </w:r>
      <w:r>
        <w:rPr>
          <w:rFonts w:ascii="Arial" w:cs="Arial" w:eastAsia="Arial" w:hAnsi="Arial"/>
          <w:sz w:val="22"/>
          <w:szCs w:val="22"/>
          <w:b w:val="1"/>
          <w:bCs w:val="1"/>
          <w:color w:val="auto"/>
        </w:rPr>
        <w:t xml:space="preserve"> COMMON SEAL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of WEATHERFORD IRISH HOLDINGS LIMITED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and this Deed was delivered:</w:t>
      </w:r>
    </w:p>
    <w:p>
      <w:pPr>
        <w:spacing w:after="0" w:line="281"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80"/>
        <w:spacing w:after="0"/>
        <w:rPr>
          <w:sz w:val="20"/>
          <w:szCs w:val="20"/>
          <w:color w:val="auto"/>
        </w:rPr>
      </w:pPr>
      <w:r>
        <w:rPr>
          <w:rFonts w:ascii="Arial" w:cs="Arial" w:eastAsia="Arial" w:hAnsi="Arial"/>
          <w:sz w:val="19"/>
          <w:szCs w:val="19"/>
          <w:b w:val="1"/>
          <w:bCs w:val="1"/>
          <w:color w:val="auto"/>
        </w:rPr>
        <w:t>_________________________________</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5" w:name="page766"/>
    <w:bookmarkEnd w:id="765"/>
    <w:p>
      <w:pPr>
        <w:ind w:left="2460"/>
        <w:spacing w:after="0"/>
        <w:rPr>
          <w:sz w:val="20"/>
          <w:szCs w:val="20"/>
          <w:color w:val="auto"/>
        </w:rPr>
      </w:pPr>
      <w:r>
        <w:rPr>
          <w:rFonts w:ascii="Arial" w:cs="Arial" w:eastAsia="Arial" w:hAnsi="Arial"/>
          <w:sz w:val="22"/>
          <w:szCs w:val="22"/>
          <w:b w:val="1"/>
          <w:bCs w:val="1"/>
          <w:color w:val="auto"/>
        </w:rPr>
        <w:t>LUXEMBOURG INITIAL GUARANTORS</w:t>
      </w:r>
    </w:p>
    <w:p>
      <w:pPr>
        <w:spacing w:after="0" w:line="287" w:lineRule="exact"/>
        <w:rPr>
          <w:sz w:val="20"/>
          <w:szCs w:val="20"/>
          <w:color w:val="auto"/>
        </w:rPr>
      </w:pPr>
    </w:p>
    <w:p>
      <w:pPr>
        <w:ind w:left="4420"/>
        <w:spacing w:after="0" w:line="258" w:lineRule="auto"/>
        <w:rPr>
          <w:sz w:val="20"/>
          <w:szCs w:val="20"/>
          <w:color w:val="auto"/>
        </w:rPr>
      </w:pPr>
      <w:r>
        <w:rPr>
          <w:rFonts w:ascii="Arial" w:cs="Arial" w:eastAsia="Arial" w:hAnsi="Arial"/>
          <w:sz w:val="18"/>
          <w:szCs w:val="18"/>
          <w:color w:val="auto"/>
        </w:rPr>
        <w:t>WEATHERFORD INTERNATIONAL (LUXEMBOURG) HOLDINGS S.À R.L.</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R.C.S. Luxembourg B146.622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WEATHERFORD EUROPEAN HOLDINGS (LUXEMBOURG) S.À R.L.</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R.C.S. Luxembourg B150.992</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580"/>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126" w:right="499" w:bottom="1440" w:gutter="0" w:footer="0" w:header="0"/>
        </w:sectPr>
      </w:pPr>
    </w:p>
    <w:bookmarkStart w:id="766" w:name="page767"/>
    <w:bookmarkEnd w:id="766"/>
    <w:p>
      <w:pPr>
        <w:jc w:val="center"/>
        <w:spacing w:after="0"/>
        <w:rPr>
          <w:sz w:val="20"/>
          <w:szCs w:val="20"/>
          <w:color w:val="auto"/>
        </w:rPr>
      </w:pPr>
      <w:r>
        <w:rPr>
          <w:rFonts w:ascii="Arial" w:cs="Arial" w:eastAsia="Arial" w:hAnsi="Arial"/>
          <w:sz w:val="22"/>
          <w:szCs w:val="22"/>
          <w:b w:val="1"/>
          <w:bCs w:val="1"/>
          <w:color w:val="auto"/>
        </w:rPr>
        <w:t>NETHERLANDS INITIAL GUARANTOR</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NETHERLANDS B.V.</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67" w:name="page768"/>
    <w:bookmarkEnd w:id="767"/>
    <w:p>
      <w:pPr>
        <w:jc w:val="center"/>
        <w:spacing w:after="0"/>
        <w:rPr>
          <w:sz w:val="20"/>
          <w:szCs w:val="20"/>
          <w:color w:val="auto"/>
        </w:rPr>
      </w:pPr>
      <w:r>
        <w:rPr>
          <w:rFonts w:ascii="Arial" w:cs="Arial" w:eastAsia="Arial" w:hAnsi="Arial"/>
          <w:sz w:val="22"/>
          <w:szCs w:val="22"/>
          <w:b w:val="1"/>
          <w:bCs w:val="1"/>
          <w:color w:val="auto"/>
        </w:rPr>
        <w:t>NORWAY INITIAL GUARANTOR</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NORGE AS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68" w:name="page769"/>
    <w:bookmarkEnd w:id="768"/>
    <w:p>
      <w:pPr>
        <w:jc w:val="center"/>
        <w:spacing w:after="0"/>
        <w:rPr>
          <w:sz w:val="20"/>
          <w:szCs w:val="20"/>
          <w:color w:val="auto"/>
        </w:rPr>
      </w:pPr>
      <w:r>
        <w:rPr>
          <w:rFonts w:ascii="Arial" w:cs="Arial" w:eastAsia="Arial" w:hAnsi="Arial"/>
          <w:sz w:val="22"/>
          <w:szCs w:val="22"/>
          <w:b w:val="1"/>
          <w:bCs w:val="1"/>
          <w:color w:val="auto"/>
        </w:rPr>
        <w:t>PANAMA INITIAL GUARANTOR</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WEATHERFORD SERVICES S. DE R.L.</w:t>
      </w: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69" w:name="page770"/>
    <w:bookmarkEnd w:id="769"/>
    <w:p>
      <w:pPr>
        <w:ind w:left="2440"/>
        <w:spacing w:after="0"/>
        <w:rPr>
          <w:sz w:val="20"/>
          <w:szCs w:val="20"/>
          <w:color w:val="auto"/>
        </w:rPr>
      </w:pPr>
      <w:r>
        <w:rPr>
          <w:rFonts w:ascii="Arial" w:cs="Arial" w:eastAsia="Arial" w:hAnsi="Arial"/>
          <w:sz w:val="22"/>
          <w:szCs w:val="22"/>
          <w:b w:val="1"/>
          <w:bCs w:val="1"/>
          <w:color w:val="auto"/>
        </w:rPr>
        <w:t>SWITZERLAND INITIAL GUARANTORS</w:t>
      </w:r>
    </w:p>
    <w:p>
      <w:pPr>
        <w:spacing w:after="0" w:line="2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WORLDWIDE HOLDINGS GMBH</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right="10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MANAGEMENT COMPANY SWITZERLAND SÀRL</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PRODUCTS GMBH</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HOLDINGS (SWITZERLAND) GMBH</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440" w:top="126" w:right="599" w:bottom="1440" w:gutter="0" w:footer="0" w:header="0"/>
        </w:sectPr>
      </w:pPr>
    </w:p>
    <w:bookmarkStart w:id="770" w:name="page771"/>
    <w:bookmarkEnd w:id="770"/>
    <w:p>
      <w:pPr>
        <w:jc w:val="center"/>
        <w:spacing w:after="0"/>
        <w:rPr>
          <w:sz w:val="20"/>
          <w:szCs w:val="20"/>
          <w:color w:val="auto"/>
        </w:rPr>
      </w:pPr>
      <w:r>
        <w:rPr>
          <w:rFonts w:ascii="Arial" w:cs="Arial" w:eastAsia="Arial" w:hAnsi="Arial"/>
          <w:sz w:val="21"/>
          <w:szCs w:val="21"/>
          <w:b w:val="1"/>
          <w:bCs w:val="1"/>
          <w:color w:val="auto"/>
        </w:rPr>
        <w:t>UNITED STATES INITIAL GUARANTORS</w:t>
      </w: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INTERNATIONAL,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WEUS HOLDING,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WEATHERFORD ARTIFICIAL LIFT SYSTEMS,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PD HOLDINGS (USA), L.P.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ENERGY SERVICES,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U.S., L.P.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WEATHERFORD/LAMB,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INVESTMENT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OILFIELD SERVICES, LLP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VISUAL SYSTEMS, INC.</w:t>
      </w:r>
    </w:p>
    <w:p>
      <w:pPr>
        <w:sectPr>
          <w:pgSz w:w="11900" w:h="16838" w:orient="portrait"/>
          <w:cols w:equalWidth="0" w:num="1">
            <w:col w:w="9019"/>
          </w:cols>
          <w:pgMar w:left="1440" w:top="126" w:right="1440" w:bottom="0" w:gutter="0" w:footer="0" w:header="0"/>
        </w:sectPr>
      </w:pPr>
    </w:p>
    <w:bookmarkStart w:id="771" w:name="page772"/>
    <w:bookmarkEnd w:id="771"/>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COLUMBIA OILFIELD SUPPLY,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EPRODUCTION SOLUTIONS,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ADVANTAGE R&amp;D,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DISCOVERY LOGGING,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CASE SERVICES,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WARRIOR WELL SERVICES,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DATALOG ACQUISITION,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EDINBURGH PETROLEUM SERVICES AMERICAS INCORPORATED</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GLOBAL SERVICES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INTERNATIONAL LOGGING S.A., LLC</w:t>
      </w:r>
    </w:p>
    <w:p>
      <w:pPr>
        <w:sectPr>
          <w:pgSz w:w="11900" w:h="16838" w:orient="portrait"/>
          <w:cols w:equalWidth="0" w:num="1">
            <w:col w:w="9880"/>
          </w:cols>
          <w:pgMar w:left="1440" w:top="342" w:right="579" w:bottom="0" w:gutter="0" w:footer="0" w:header="0"/>
        </w:sectPr>
      </w:pPr>
    </w:p>
    <w:bookmarkStart w:id="772" w:name="page773"/>
    <w:bookmarkEnd w:id="772"/>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IN-DEPTH SYSTEMS,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BENMORE IN-DEPTH CORP.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WEATHERFORD TECHNOLOGY HOLDINGS, LLC</w:t>
      </w: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STEALTH OIL &amp; GAS,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MANAGEMENT,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(PTWI),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LATIN AMERICA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WIHBV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WUS HOLDING,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DISC INC.</w:t>
      </w:r>
    </w:p>
    <w:p>
      <w:pPr>
        <w:sectPr>
          <w:pgSz w:w="11900" w:h="16838" w:orient="portrait"/>
          <w:cols w:equalWidth="0" w:num="1">
            <w:col w:w="9019"/>
          </w:cols>
          <w:pgMar w:left="1440" w:top="342" w:right="1440" w:bottom="0" w:gutter="0" w:footer="0" w:header="0"/>
        </w:sectPr>
      </w:pPr>
    </w:p>
    <w:bookmarkStart w:id="773" w:name="page774"/>
    <w:bookmarkEnd w:id="773"/>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HIGH PRESSURE INTEGRITY,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TOOKE ROCKIES,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COLOMBIA PETROLEUM SERVICES CORP.</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INTERNATIONAL LOGGING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PRECISION DRILLING GP,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VISEAN INFORMATION SERVICES INC.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URS HOLDINGS, LLC</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By:_________________________________</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774" w:name="page775"/>
    <w:bookmarkEnd w:id="774"/>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33" w:lineRule="exact"/>
        <w:rPr>
          <w:sz w:val="20"/>
          <w:szCs w:val="20"/>
          <w:color w:val="auto"/>
        </w:rPr>
      </w:pPr>
    </w:p>
    <w:p>
      <w:pPr>
        <w:ind w:left="2480"/>
        <w:spacing w:after="0"/>
        <w:rPr>
          <w:sz w:val="20"/>
          <w:szCs w:val="20"/>
          <w:color w:val="auto"/>
        </w:rPr>
      </w:pPr>
      <w:r>
        <w:rPr>
          <w:rFonts w:ascii="Arial" w:cs="Arial" w:eastAsia="Arial" w:hAnsi="Arial"/>
          <w:sz w:val="22"/>
          <w:szCs w:val="22"/>
          <w:u w:val="single" w:color="auto"/>
          <w:color w:val="auto"/>
        </w:rPr>
        <w:t>Exhibit A – Joinder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435610</wp:posOffset>
            </wp:positionV>
            <wp:extent cx="713232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775" w:name="page776"/>
    <w:bookmarkEnd w:id="775"/>
    <w:p>
      <w:pPr>
        <w:jc w:val="right"/>
        <w:spacing w:after="0"/>
        <w:rPr>
          <w:sz w:val="20"/>
          <w:szCs w:val="20"/>
          <w:color w:val="auto"/>
        </w:rPr>
      </w:pPr>
      <w:r>
        <w:rPr>
          <w:rFonts w:ascii="Arial" w:cs="Arial" w:eastAsia="Arial" w:hAnsi="Arial"/>
          <w:sz w:val="22"/>
          <w:szCs w:val="22"/>
          <w:u w:val="single" w:color="auto"/>
          <w:color w:val="auto"/>
        </w:rPr>
        <w:t>Exhibit A-1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Obligations)</w:t>
      </w:r>
    </w:p>
    <w:p>
      <w:pPr>
        <w:spacing w:after="0" w:line="22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This JOINDER AGREEMENT (as amended,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 is among [____], as a LC Collateral Agent (the “</w:t>
      </w:r>
      <w:r>
        <w:rPr>
          <w:rFonts w:ascii="Arial" w:cs="Arial" w:eastAsia="Arial" w:hAnsi="Arial"/>
          <w:sz w:val="19"/>
          <w:szCs w:val="19"/>
          <w:b w:val="1"/>
          <w:bCs w:val="1"/>
          <w:i w:val="1"/>
          <w:iCs w:val="1"/>
          <w:color w:val="auto"/>
        </w:rPr>
        <w:t>New Collateral Agent</w:t>
      </w:r>
      <w:r>
        <w:rPr>
          <w:rFonts w:ascii="Arial" w:cs="Arial" w:eastAsia="Arial" w:hAnsi="Arial"/>
          <w:sz w:val="19"/>
          <w:szCs w:val="19"/>
          <w:color w:val="auto"/>
        </w:rPr>
        <w:t>”), Wilmington Trust, as Notes Collateral Agent, DBTCA, as LC Collateral Agent, and Parent (on behalf of itself and its Subsidiaries).</w:t>
      </w:r>
    </w:p>
    <w:p>
      <w:pPr>
        <w:spacing w:after="0" w:line="133"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This Agreement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LC Collateral Agent under the Intercreditor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LC Collateral Agent as if it had originally been party to the Intercreditor Agreement as an LC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LC Collateral Agent for purposes of the Intercreditor Agreement.</w:t>
      </w:r>
    </w:p>
    <w:p>
      <w:pPr>
        <w:spacing w:after="0" w:line="174"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LC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76" w:name="page777"/>
    <w:bookmarkEnd w:id="776"/>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77" w:name="page778"/>
    <w:bookmarkEnd w:id="777"/>
    <w:p>
      <w:pPr>
        <w:jc w:val="right"/>
        <w:spacing w:after="0"/>
        <w:rPr>
          <w:sz w:val="20"/>
          <w:szCs w:val="20"/>
          <w:color w:val="auto"/>
        </w:rPr>
      </w:pPr>
      <w:r>
        <w:rPr>
          <w:rFonts w:ascii="Arial" w:cs="Arial" w:eastAsia="Arial" w:hAnsi="Arial"/>
          <w:sz w:val="22"/>
          <w:szCs w:val="22"/>
          <w:u w:val="single" w:color="auto"/>
          <w:color w:val="auto"/>
        </w:rPr>
        <w:t>Exhibit A-2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Obligations)</w:t>
      </w:r>
    </w:p>
    <w:p>
      <w:pPr>
        <w:spacing w:after="0" w:line="22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This JOINDER AGREEMENT (as amended,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 is among [_____], as a Notes Collateral Agent (the “</w:t>
      </w:r>
      <w:r>
        <w:rPr>
          <w:rFonts w:ascii="Arial" w:cs="Arial" w:eastAsia="Arial" w:hAnsi="Arial"/>
          <w:sz w:val="19"/>
          <w:szCs w:val="19"/>
          <w:b w:val="1"/>
          <w:bCs w:val="1"/>
          <w:i w:val="1"/>
          <w:iCs w:val="1"/>
          <w:color w:val="auto"/>
        </w:rPr>
        <w:t>New Collateral Agent</w:t>
      </w:r>
      <w:r>
        <w:rPr>
          <w:rFonts w:ascii="Arial" w:cs="Arial" w:eastAsia="Arial" w:hAnsi="Arial"/>
          <w:sz w:val="19"/>
          <w:szCs w:val="19"/>
          <w:color w:val="auto"/>
        </w:rPr>
        <w:t>”), Wilmington Trust, as Notes Collateral Agent, DBTCA, as LC Collateral Agent, and Parent (on behalf of itself and its Subsidiaries).</w:t>
      </w:r>
    </w:p>
    <w:p>
      <w:pPr>
        <w:spacing w:after="0" w:line="133"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This Agreement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Notes Collateral Agent under the Intercreditor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Notes Collateral Agent as if it had originally been party to the Intercreditor Agreement as a Notes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Notes Collateral Agent for purposes of the Intercreditor Agreement.</w:t>
      </w:r>
    </w:p>
    <w:p>
      <w:pPr>
        <w:spacing w:after="0" w:line="17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Notes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78" w:name="page779"/>
    <w:bookmarkEnd w:id="778"/>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79" w:name="page780"/>
    <w:bookmarkEnd w:id="779"/>
    <w:p>
      <w:pPr>
        <w:jc w:val="right"/>
        <w:spacing w:after="0"/>
        <w:rPr>
          <w:sz w:val="20"/>
          <w:szCs w:val="20"/>
          <w:color w:val="auto"/>
        </w:rPr>
      </w:pPr>
      <w:r>
        <w:rPr>
          <w:rFonts w:ascii="Arial" w:cs="Arial" w:eastAsia="Arial" w:hAnsi="Arial"/>
          <w:sz w:val="22"/>
          <w:szCs w:val="22"/>
          <w:u w:val="single" w:color="auto"/>
          <w:color w:val="auto"/>
        </w:rPr>
        <w:t>EXHIBIT 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 – Grantor Acknowledgement to Intercreditor Agreement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INTERCREDITOR AGREEMENT ACKNOWLEDGMENT</w:t>
      </w:r>
    </w:p>
    <w:p>
      <w:pPr>
        <w:spacing w:after="0" w:line="239" w:lineRule="exact"/>
        <w:rPr>
          <w:sz w:val="20"/>
          <w:szCs w:val="20"/>
          <w:color w:val="auto"/>
        </w:rPr>
      </w:pPr>
    </w:p>
    <w:p>
      <w:pPr>
        <w:jc w:val="both"/>
        <w:ind w:firstLine="656"/>
        <w:spacing w:after="0" w:line="302" w:lineRule="auto"/>
        <w:tabs>
          <w:tab w:leader="none" w:pos="1363" w:val="left"/>
        </w:tabs>
        <w:numPr>
          <w:ilvl w:val="0"/>
          <w:numId w:val="912"/>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[______________] (“</w:t>
      </w:r>
      <w:r>
        <w:rPr>
          <w:rFonts w:ascii="Arial" w:cs="Arial" w:eastAsia="Arial" w:hAnsi="Arial"/>
          <w:sz w:val="19"/>
          <w:szCs w:val="19"/>
          <w:u w:val="single" w:color="auto"/>
          <w:color w:val="auto"/>
        </w:rPr>
        <w:t>New Grantor</w:t>
      </w:r>
      <w:r>
        <w:rPr>
          <w:rFonts w:ascii="Arial" w:cs="Arial" w:eastAsia="Arial" w:hAnsi="Arial"/>
          <w:sz w:val="19"/>
          <w:szCs w:val="19"/>
          <w:color w:val="auto"/>
        </w:rPr>
        <w:t>”) acknowledges, as of [___], that it has received a copy of the Intercreditor Agreement dated as of August 28, 2020, between Wilmington Trust, National Association, as Notes Collateral Agent, Deutsche Bank Trust Company Americas as LC Collateral Agent, and Weatherford International PLC and certain of its affiliates party thereto as Grantors (the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as in effect on the date hereof, and consents thereto, agrees to recognize all rights granted thereby to the Notes Collateral Agent, the other Notes Secured Parties, the LC Collateral Agent and the other LC Secured Parties, and agrees that it shall not do any act or perform any obligation which is not in accordance with the agreements set forth in the Intercreditor Agreement as in effect on the date hereof (as amended or otherwise modified in accordance with the provisions thereof, including any necessary consents by each Grantor to the extent required thereby). New Grantor further acknowledges and agrees that (a) New Grantor is not a beneficiary or third party beneficiary of the Intercreditor Agreement, (b) New Grantor has no rights under the Intercreditor Agreement, and New Grantor may not rely on the terms of the Intercreditor Agreement, and (c) that the obligations of the New Grantor under the Notes Security Documents, the LC Security Documents or the Foreign Collateral Documents will in no way be diminished or otherwise affected by the provisions or arrangements in the Intercreditor Agreement.</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1380" w:hanging="724"/>
        <w:spacing w:after="0"/>
        <w:tabs>
          <w:tab w:leader="none" w:pos="1380" w:val="left"/>
        </w:tabs>
        <w:numPr>
          <w:ilvl w:val="0"/>
          <w:numId w:val="91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The address of the New Grantor and the other Grantors for purposes of Section 7.02 of the Intercreditor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is: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jc w:val="both"/>
        <w:ind w:firstLine="656"/>
        <w:spacing w:after="0" w:line="262" w:lineRule="auto"/>
        <w:tabs>
          <w:tab w:leader="none" w:pos="1701" w:val="left"/>
        </w:tabs>
        <w:numPr>
          <w:ilvl w:val="0"/>
          <w:numId w:val="91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Acknowledgement may be executed in two or more counterparts, each of which shall constitute an original but all of which when taken together shall constitute one document. Delivery of an executed signature page to this Acknowledgement by facsimile transmission or by email as a “.pdf” or “.tif” attachment shall be as effective as delivery of a manually signed counterpart of this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0" w:name="page781"/>
    <w:bookmarkEnd w:id="780"/>
    <w:p>
      <w:pPr>
        <w:jc w:val="both"/>
        <w:ind w:left="-20" w:firstLine="656"/>
        <w:spacing w:after="0" w:line="260" w:lineRule="auto"/>
        <w:tabs>
          <w:tab w:leader="none" w:pos="1775" w:val="left"/>
        </w:tabs>
        <w:numPr>
          <w:ilvl w:val="0"/>
          <w:numId w:val="91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ACKNOWLEDGEMENT AND ANY CLAIM CONTROVERSY OR DISPUTE ARISING UNDER OR RELATED TO THE INTERCREDITOR AGREEMENT SHALL BE GOVERNED BY, AND CONSTRUED IN ACCORDANCE WITH, THE LAWS OF THE STATE OF NEW YORK, WITHOUT GIVING EFFECT TO ANY CONFLICT OF LAWS PROVISIONS OTHER THAN SECTIONS 5-1401 AND 5-1402 OF THE NEW YORK GENERAL OBLIGATIONS LAW. Sections 7.08 and 7.09 of the Intercreditor Agreement are hereby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left="-20" w:right="20" w:firstLine="656"/>
        <w:spacing w:after="0" w:line="301" w:lineRule="auto"/>
        <w:tabs>
          <w:tab w:leader="none" w:pos="1343" w:val="left"/>
        </w:tabs>
        <w:numPr>
          <w:ilvl w:val="0"/>
          <w:numId w:val="914"/>
        </w:numPr>
        <w:rPr>
          <w:rFonts w:ascii="Arial" w:cs="Arial" w:eastAsia="Arial" w:hAnsi="Arial"/>
          <w:sz w:val="21"/>
          <w:szCs w:val="21"/>
          <w:color w:val="auto"/>
        </w:rPr>
      </w:pPr>
      <w:r>
        <w:rPr>
          <w:rFonts w:ascii="Arial" w:cs="Arial" w:eastAsia="Arial" w:hAnsi="Arial"/>
          <w:sz w:val="21"/>
          <w:szCs w:val="21"/>
          <w:u w:val="single" w:color="auto"/>
          <w:color w:val="auto"/>
        </w:rPr>
        <w:t>Credit Document</w:t>
      </w:r>
      <w:r>
        <w:rPr>
          <w:rFonts w:ascii="Arial" w:cs="Arial" w:eastAsia="Arial" w:hAnsi="Arial"/>
          <w:sz w:val="21"/>
          <w:szCs w:val="21"/>
          <w:color w:val="auto"/>
        </w:rPr>
        <w:t>. This Acknowledgement shall constitute a Notes Document and a LC Document and as a “Loan Document” under the LC Credit Agreement and an “Indenture Document” under the Notes Indenture.</w:t>
      </w:r>
    </w:p>
    <w:p>
      <w:pPr>
        <w:spacing w:after="0" w:line="150" w:lineRule="exact"/>
        <w:rPr>
          <w:rFonts w:ascii="Arial" w:cs="Arial" w:eastAsia="Arial" w:hAnsi="Arial"/>
          <w:sz w:val="21"/>
          <w:szCs w:val="21"/>
          <w:color w:val="auto"/>
        </w:rPr>
      </w:pPr>
    </w:p>
    <w:p>
      <w:pPr>
        <w:jc w:val="both"/>
        <w:ind w:left="-20" w:firstLine="656"/>
        <w:spacing w:after="0" w:line="327" w:lineRule="auto"/>
        <w:tabs>
          <w:tab w:leader="none" w:pos="1424" w:val="left"/>
        </w:tabs>
        <w:numPr>
          <w:ilvl w:val="0"/>
          <w:numId w:val="914"/>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Notes Collateral Agent, the other Notes Secured Parties, the LC Collateral Agent, the other LC Secured Parties, and the Foreign Collateral Agent are the intended beneficiaries of this Acknowledgement. Capitalized terms used but not otherwise defined herein shall have the meanings assigned thereto in the Intercreditor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3232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32" w:right="339" w:bottom="1440" w:gutter="0" w:footer="0" w:header="0"/>
        </w:sectPr>
      </w:pPr>
    </w:p>
    <w:bookmarkStart w:id="781" w:name="page782"/>
    <w:bookmarkEnd w:id="781"/>
    <w:p>
      <w:pPr>
        <w:jc w:val="right"/>
        <w:spacing w:after="0"/>
        <w:rPr>
          <w:sz w:val="20"/>
          <w:szCs w:val="20"/>
          <w:color w:val="auto"/>
        </w:rPr>
      </w:pPr>
      <w:r>
        <w:rPr>
          <w:rFonts w:ascii="Arial" w:cs="Arial" w:eastAsia="Arial" w:hAnsi="Arial"/>
          <w:sz w:val="22"/>
          <w:szCs w:val="22"/>
          <w:u w:val="single" w:color="auto"/>
          <w:color w:val="auto"/>
        </w:rPr>
        <w:t>EXHIBIT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 – Joinder Agreement (LC Australian Collateral Agent)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Australian Collateral Agent)</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This JOINDER AGREEMENT (as amended, restated, supplemented or otherwise modified from time to time, this “</w:t>
      </w:r>
      <w:r>
        <w:rPr>
          <w:rFonts w:ascii="Arial" w:cs="Arial" w:eastAsia="Arial" w:hAnsi="Arial"/>
          <w:sz w:val="21"/>
          <w:szCs w:val="21"/>
          <w:b w:val="1"/>
          <w:bCs w:val="1"/>
          <w:i w:val="1"/>
          <w:iCs w:val="1"/>
          <w:color w:val="auto"/>
        </w:rPr>
        <w:t>Joinder</w:t>
      </w:r>
      <w:r>
        <w:rPr>
          <w:rFonts w:ascii="Arial" w:cs="Arial" w:eastAsia="Arial" w:hAnsi="Arial"/>
          <w:sz w:val="21"/>
          <w:szCs w:val="21"/>
          <w:color w:val="auto"/>
        </w:rPr>
        <w:t>”), dated as of [___], is provided by BTA INSTITUTIONAL SERVICES AUSTRALIA LIMITED ABN 48 002 916 396 in its capacity as trustee of the LC Australian Security Trust (the “</w:t>
      </w:r>
      <w:r>
        <w:rPr>
          <w:rFonts w:ascii="Arial" w:cs="Arial" w:eastAsia="Arial" w:hAnsi="Arial"/>
          <w:sz w:val="21"/>
          <w:szCs w:val="21"/>
          <w:b w:val="1"/>
          <w:bCs w:val="1"/>
          <w:i w:val="1"/>
          <w:iCs w:val="1"/>
          <w:color w:val="auto"/>
        </w:rPr>
        <w:t>LC Australian Collateral Agent</w:t>
      </w:r>
      <w:r>
        <w:rPr>
          <w:rFonts w:ascii="Arial" w:cs="Arial" w:eastAsia="Arial" w:hAnsi="Arial"/>
          <w:sz w:val="21"/>
          <w:szCs w:val="21"/>
          <w:color w:val="auto"/>
        </w:rPr>
        <w:t>”).</w:t>
      </w:r>
    </w:p>
    <w:p>
      <w:pPr>
        <w:spacing w:after="0" w:line="169"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This Joinder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Wilmington Trust, DBTCA, the Parent and its Subsidiaries party thereto. This Joinder has been entered into to record the joinder of BTA INSTITUTIONAL SERVICES AUSTRALIA LIMITED ABN 48 002 916 396 in its capacity as trustee of the LC Australian Security Trust as LC Australian Collateral Agent under the Intercreditor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LC Australian Collateral Agent agrees to become, with immediate effect, a party to and agrees to be bound by the terms of, the Intercreditor Agreement as the LC Australian Collateral Agent as if it had originally been party to the Intercreditor Agreement as an LC Australian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LC Australian Collateral Agent confirms that its address details for notices pursuant to the Intercreditor Agreement are as follows: [_____________].</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Joinder and any claim, controversy or dispute arising under or related to such Joinder shall be governed by, and construed in accordance with, the law of the State of New York.</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SECTION 3.02 This Joinder may be executed in counterparts, each of which shall constitute an original but all of which when taken together shall constitute a single contract. Delivery of an executed signature page to this Joinder by facsimile transmission or any other electronic means shall be as effective as delivery of a manually signed counterpart of this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2" w:name="page783"/>
    <w:bookmarkEnd w:id="782"/>
    <w:p>
      <w:pPr>
        <w:ind w:firstLine="1296"/>
        <w:spacing w:after="0" w:line="301" w:lineRule="auto"/>
        <w:rPr>
          <w:sz w:val="20"/>
          <w:szCs w:val="20"/>
          <w:color w:val="auto"/>
        </w:rPr>
      </w:pPr>
      <w:r>
        <w:rPr>
          <w:rFonts w:ascii="Arial" w:cs="Arial" w:eastAsia="Arial" w:hAnsi="Arial"/>
          <w:sz w:val="21"/>
          <w:szCs w:val="21"/>
          <w:color w:val="auto"/>
        </w:rPr>
        <w:t xml:space="preserve">SECTION 3.03 Clause [___] (Limitation of liability of LC Australian Collateral Agent) of the LC Australian Security Trust Deed is incorporated by reference in this Joinder as if set out in full herein,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 signatures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3" w:name="page784"/>
    <w:bookmarkEnd w:id="783"/>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Joinder to be duly executed by their respective authorized officers as of the day and year first above written.</w:t>
      </w: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BTA INSTITUTIONAL SERVICES AUSTRALIA LIMITED (ABN 48 002 916</w:t>
      </w:r>
    </w:p>
    <w:p>
      <w:pPr>
        <w:spacing w:after="0" w:line="21" w:lineRule="exact"/>
        <w:rPr>
          <w:sz w:val="20"/>
          <w:szCs w:val="20"/>
          <w:color w:val="auto"/>
        </w:rPr>
      </w:pPr>
    </w:p>
    <w:p>
      <w:pPr>
        <w:ind w:left="3900" w:right="140" w:hanging="4"/>
        <w:spacing w:after="0" w:line="272" w:lineRule="auto"/>
        <w:tabs>
          <w:tab w:leader="none" w:pos="4350" w:val="left"/>
        </w:tabs>
        <w:numPr>
          <w:ilvl w:val="0"/>
          <w:numId w:val="915"/>
        </w:numPr>
        <w:rPr>
          <w:rFonts w:ascii="Arial" w:cs="Arial" w:eastAsia="Arial" w:hAnsi="Arial"/>
          <w:sz w:val="22"/>
          <w:szCs w:val="22"/>
          <w:color w:val="auto"/>
        </w:rPr>
      </w:pPr>
      <w:r>
        <w:rPr>
          <w:rFonts w:ascii="Arial" w:cs="Arial" w:eastAsia="Arial" w:hAnsi="Arial"/>
          <w:sz w:val="22"/>
          <w:szCs w:val="22"/>
          <w:color w:val="auto"/>
        </w:rPr>
        <w:t>in its capacity as trustee of the LC Australian Security Trust, as LC Australian Collateral Agent</w:t>
      </w: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attorney:_______________________________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under power of attorney dated 1 September 2007 in the presence of:</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Witness:___________________________________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4" w:name="page785"/>
    <w:bookmarkEnd w:id="78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SCHEDULE I</w:t>
            </w:r>
          </w:p>
        </w:tc>
        <w:tc>
          <w:tcPr>
            <w:tcW w:w="0" w:type="dxa"/>
            <w:vAlign w:val="bottom"/>
          </w:tcPr>
          <w:p>
            <w:pPr>
              <w:spacing w:after="0"/>
              <w:rPr>
                <w:sz w:val="1"/>
                <w:szCs w:val="1"/>
                <w:color w:val="auto"/>
              </w:rPr>
            </w:pPr>
          </w:p>
        </w:tc>
      </w:tr>
      <w:tr>
        <w:trPr>
          <w:trHeight w:val="466"/>
        </w:trPr>
        <w:tc>
          <w:tcPr>
            <w:tcW w:w="1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2"/>
                <w:szCs w:val="22"/>
                <w:color w:val="auto"/>
              </w:rPr>
              <w:t>Schedule I – Foreign Collateral Documents</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shd w:val="clear" w:color="auto" w:fill="D9D9D9"/>
          </w:tcPr>
          <w:p>
            <w:pPr>
              <w:spacing w:after="0"/>
              <w:rPr>
                <w:sz w:val="19"/>
                <w:szCs w:val="19"/>
                <w:color w:val="auto"/>
              </w:rPr>
            </w:pPr>
          </w:p>
        </w:tc>
        <w:tc>
          <w:tcPr>
            <w:tcW w:w="6100" w:type="dxa"/>
            <w:vAlign w:val="bottom"/>
            <w:tcBorders>
              <w:right w:val="single" w:sz="8" w:color="auto"/>
            </w:tcBorders>
            <w:gridSpan w:val="2"/>
            <w:vMerge w:val="restart"/>
            <w:shd w:val="clear" w:color="auto" w:fill="D9D9D9"/>
          </w:tcPr>
          <w:p>
            <w:pPr>
              <w:ind w:left="2620"/>
              <w:spacing w:after="0"/>
              <w:rPr>
                <w:sz w:val="20"/>
                <w:szCs w:val="20"/>
                <w:color w:val="auto"/>
              </w:rPr>
            </w:pPr>
            <w:r>
              <w:rPr>
                <w:rFonts w:ascii="Arial" w:cs="Arial" w:eastAsia="Arial" w:hAnsi="Arial"/>
                <w:sz w:val="18"/>
                <w:szCs w:val="18"/>
                <w:b w:val="1"/>
                <w:bCs w:val="1"/>
                <w:color w:val="auto"/>
              </w:rPr>
              <w:t>Agreement</w:t>
            </w:r>
          </w:p>
        </w:tc>
        <w:tc>
          <w:tcPr>
            <w:tcW w:w="360" w:type="dxa"/>
            <w:vAlign w:val="bottom"/>
            <w:shd w:val="clear" w:color="auto" w:fill="D9D9D9"/>
          </w:tcPr>
          <w:p>
            <w:pPr>
              <w:spacing w:after="0"/>
              <w:rPr>
                <w:sz w:val="19"/>
                <w:szCs w:val="19"/>
                <w:color w:val="auto"/>
              </w:rPr>
            </w:pPr>
          </w:p>
        </w:tc>
        <w:tc>
          <w:tcPr>
            <w:tcW w:w="1640" w:type="dxa"/>
            <w:vAlign w:val="bottom"/>
            <w:tcBorders>
              <w:right w:val="single" w:sz="8" w:color="auto"/>
            </w:tcBorders>
            <w:shd w:val="clear" w:color="auto" w:fill="D9D9D9"/>
          </w:tcPr>
          <w:p>
            <w:pPr>
              <w:jc w:val="center"/>
              <w:ind w:right="290"/>
              <w:spacing w:after="0"/>
              <w:rPr>
                <w:sz w:val="20"/>
                <w:szCs w:val="20"/>
                <w:color w:val="auto"/>
              </w:rPr>
            </w:pPr>
            <w:r>
              <w:rPr>
                <w:rFonts w:ascii="Arial" w:cs="Arial" w:eastAsia="Arial" w:hAnsi="Arial"/>
                <w:sz w:val="18"/>
                <w:szCs w:val="18"/>
                <w:b w:val="1"/>
                <w:bCs w:val="1"/>
                <w:color w:val="auto"/>
                <w:w w:val="88"/>
              </w:rPr>
              <w:t>Jurisdiction of</w:t>
            </w:r>
          </w:p>
        </w:tc>
        <w:tc>
          <w:tcPr>
            <w:tcW w:w="2100" w:type="dxa"/>
            <w:vAlign w:val="bottom"/>
            <w:tcBorders>
              <w:right w:val="single" w:sz="8" w:color="auto"/>
            </w:tcBorders>
            <w:gridSpan w:val="2"/>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w w:val="94"/>
              </w:rPr>
              <w:t>Jurisdiction of Collateral</w:t>
            </w: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shd w:val="clear" w:color="auto" w:fill="D9D9D9"/>
          </w:tcPr>
          <w:p>
            <w:pPr>
              <w:spacing w:after="0"/>
              <w:rPr>
                <w:sz w:val="10"/>
                <w:szCs w:val="10"/>
                <w:color w:val="auto"/>
              </w:rPr>
            </w:pPr>
          </w:p>
        </w:tc>
        <w:tc>
          <w:tcPr>
            <w:tcW w:w="6100" w:type="dxa"/>
            <w:vAlign w:val="bottom"/>
            <w:tcBorders>
              <w:right w:val="single" w:sz="8" w:color="auto"/>
            </w:tcBorders>
            <w:gridSpan w:val="2"/>
            <w:vMerge w:val="continue"/>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640" w:type="dxa"/>
            <w:vAlign w:val="bottom"/>
            <w:tcBorders>
              <w:right w:val="single" w:sz="8" w:color="auto"/>
            </w:tcBorders>
            <w:vMerge w:val="restart"/>
            <w:shd w:val="clear" w:color="auto" w:fill="D9D9D9"/>
          </w:tcPr>
          <w:p>
            <w:pPr>
              <w:jc w:val="center"/>
              <w:ind w:right="290"/>
              <w:spacing w:after="0"/>
              <w:rPr>
                <w:sz w:val="20"/>
                <w:szCs w:val="20"/>
                <w:color w:val="auto"/>
              </w:rPr>
            </w:pPr>
            <w:r>
              <w:rPr>
                <w:rFonts w:ascii="Arial" w:cs="Arial" w:eastAsia="Arial" w:hAnsi="Arial"/>
                <w:sz w:val="18"/>
                <w:szCs w:val="18"/>
                <w:b w:val="1"/>
                <w:bCs w:val="1"/>
                <w:color w:val="auto"/>
                <w:w w:val="94"/>
              </w:rPr>
              <w:t>Guarantor</w:t>
            </w:r>
          </w:p>
        </w:tc>
        <w:tc>
          <w:tcPr>
            <w:tcW w:w="2100" w:type="dxa"/>
            <w:vAlign w:val="bottom"/>
            <w:tcBorders>
              <w:right w:val="single" w:sz="8" w:color="auto"/>
            </w:tcBorders>
            <w:gridSpan w:val="2"/>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40" w:type="dxa"/>
            <w:vAlign w:val="bottom"/>
            <w:tcBorders>
              <w:left w:val="single" w:sz="8" w:color="auto"/>
              <w:bottom w:val="single" w:sz="8" w:color="D9D9D9"/>
              <w:right w:val="single" w:sz="8" w:color="auto"/>
            </w:tcBorders>
            <w:shd w:val="clear" w:color="auto" w:fill="D9D9D9"/>
          </w:tcPr>
          <w:p>
            <w:pPr>
              <w:spacing w:after="0"/>
              <w:rPr>
                <w:sz w:val="12"/>
                <w:szCs w:val="12"/>
                <w:color w:val="auto"/>
              </w:rPr>
            </w:pPr>
          </w:p>
        </w:tc>
        <w:tc>
          <w:tcPr>
            <w:tcW w:w="2700" w:type="dxa"/>
            <w:vAlign w:val="bottom"/>
            <w:tcBorders>
              <w:bottom w:val="single" w:sz="8" w:color="D9D9D9"/>
            </w:tcBorders>
            <w:shd w:val="clear" w:color="auto" w:fill="D9D9D9"/>
          </w:tcPr>
          <w:p>
            <w:pPr>
              <w:spacing w:after="0"/>
              <w:rPr>
                <w:sz w:val="12"/>
                <w:szCs w:val="12"/>
                <w:color w:val="auto"/>
              </w:rPr>
            </w:pPr>
          </w:p>
        </w:tc>
        <w:tc>
          <w:tcPr>
            <w:tcW w:w="3400" w:type="dxa"/>
            <w:vAlign w:val="bottom"/>
            <w:tcBorders>
              <w:bottom w:val="single" w:sz="8" w:color="D9D9D9"/>
              <w:right w:val="single" w:sz="8" w:color="auto"/>
            </w:tcBorders>
            <w:shd w:val="clear" w:color="auto" w:fill="D9D9D9"/>
          </w:tcPr>
          <w:p>
            <w:pPr>
              <w:spacing w:after="0"/>
              <w:rPr>
                <w:sz w:val="12"/>
                <w:szCs w:val="12"/>
                <w:color w:val="auto"/>
              </w:rPr>
            </w:pPr>
          </w:p>
        </w:tc>
        <w:tc>
          <w:tcPr>
            <w:tcW w:w="360" w:type="dxa"/>
            <w:vAlign w:val="bottom"/>
            <w:tcBorders>
              <w:bottom w:val="single" w:sz="8" w:color="D9D9D9"/>
            </w:tcBorders>
            <w:shd w:val="clear" w:color="auto" w:fill="D9D9D9"/>
          </w:tcPr>
          <w:p>
            <w:pPr>
              <w:spacing w:after="0"/>
              <w:rPr>
                <w:sz w:val="12"/>
                <w:szCs w:val="12"/>
                <w:color w:val="auto"/>
              </w:rPr>
            </w:pPr>
          </w:p>
        </w:tc>
        <w:tc>
          <w:tcPr>
            <w:tcW w:w="164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840" w:type="dxa"/>
            <w:vAlign w:val="bottom"/>
            <w:tcBorders>
              <w:bottom w:val="single" w:sz="8" w:color="D9D9D9"/>
            </w:tcBorders>
            <w:shd w:val="clear" w:color="auto" w:fill="D9D9D9"/>
          </w:tcPr>
          <w:p>
            <w:pPr>
              <w:spacing w:after="0"/>
              <w:rPr>
                <w:sz w:val="12"/>
                <w:szCs w:val="12"/>
                <w:color w:val="auto"/>
              </w:rPr>
            </w:pPr>
          </w:p>
        </w:tc>
        <w:tc>
          <w:tcPr>
            <w:tcW w:w="1260" w:type="dxa"/>
            <w:vAlign w:val="bottom"/>
            <w:tcBorders>
              <w:bottom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1</w:t>
            </w:r>
          </w:p>
        </w:tc>
        <w:tc>
          <w:tcPr>
            <w:tcW w:w="6100" w:type="dxa"/>
            <w:vAlign w:val="bottom"/>
            <w:tcBorders>
              <w:top w:val="single" w:sz="8" w:color="auto"/>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3"/>
              </w:rPr>
              <w:t>Amendment Agreement by Weatherford Oil Tool GmbH, Weatherford Technology</w:t>
            </w:r>
          </w:p>
        </w:tc>
        <w:tc>
          <w:tcPr>
            <w:tcW w:w="2000" w:type="dxa"/>
            <w:vAlign w:val="bottom"/>
            <w:tcBorders>
              <w:top w:val="single" w:sz="8" w:color="auto"/>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top w:val="single" w:sz="8" w:color="auto"/>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5"/>
              </w:rPr>
              <w:t>Holdings, LLC, Weatherford/Lamb, Inc., Weatherford U.K. Limited, Weatherford</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US, England, Norway,</w:t>
            </w: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4"/>
              </w:rPr>
              <w:t>Norge AS, Weatherford Worldwide Holdings GmbH, Weatherford Holding GmbH</w:t>
            </w:r>
          </w:p>
        </w:tc>
        <w:tc>
          <w:tcPr>
            <w:tcW w:w="2000" w:type="dxa"/>
            <w:vAlign w:val="bottom"/>
            <w:tcBorders>
              <w:bottom w:val="single" w:sz="8" w:color="C6F4F9"/>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Assignment Agreement in relation to receivables (trade receivables, intra group</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receivables) to be entered into by Weatherford Oil Tool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3</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 law governed inventory transfer agreement to be entered into by</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Weatherford Oil Tool GmbH</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Assignment Agreement in relation to IP Rights to be entered into by Weatherford</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US, England, Norway</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Technology Holdings LLC, Weatherford / Lamb Inc., Weatherford UK Limited,</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Weatherford Norge AS</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5</w:t>
            </w: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7"/>
              </w:rPr>
              <w:t>Account Pledge Agreement to be entered into by Weatherford Oil Tool GmbH</w:t>
            </w:r>
          </w:p>
        </w:tc>
        <w:tc>
          <w:tcPr>
            <w:tcW w:w="2000" w:type="dxa"/>
            <w:vAlign w:val="bottom"/>
            <w:tcBorders>
              <w:bottom w:val="single" w:sz="8" w:color="C6F4F9"/>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Share Pledge Agreement in relation to shares in Weatherford Central Europe</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GmbH to be entered into by Weatherford Worldwide Holdings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Share Pledge Agreement in relation to shares in Weatherford Oil Tool GmbH to be</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entered into by Weatherford Holding GmbH</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Quota pledge agreement regarding quotas in Weatherford Worldwide Holdings</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Ireland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GmbH, entered into by Weatherford Irish Holdings Limited, as amended on the</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date hereof by a confirmation and amendment agreement to quota pledge</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agreements</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Weatherford Management Company Switzerland Sàrl</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Weatherford Products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12</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Weatherford Switzerland Trading and Development GmbH</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Weatherford Worldwide Holdings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14</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3"/>
              </w:rPr>
              <w:t>Quota pledge agreement regarding quotas in Weatherford South America GmbH,</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0"/>
              </w:rPr>
              <w:t>entered into by Weatherford Worldwide Holdings GmbH, as amended as of the date</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3"/>
              </w:rPr>
              <w:t>hereof by a confirmation and amendment agreement to quota pledge agreements</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Quota pledge agreement regarding quotas in Weatherford Products GmbH, entered</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into by Weatherford Worldwide Holdings GmbH, as amended as of the date hereof</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by a confirmation and amendment agreement to quota pledge agreements</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16</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1"/>
              </w:rPr>
              <w:t>Quota pledge agreement regarding quotas in Weatherford Switzerland Trading and</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3"/>
              </w:rPr>
              <w:t>Development GmbH, entered into by Weatherford Worldwide Holdings GmbH, as</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5"/>
              </w:rPr>
              <w:t>amended as of the date hereof by a confirmation and amendment agreement to</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quota pledge agreements</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Quota pledge agreement regarding quotas in Weatherford Management Company</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Switzerland Sàrl, entered into by Weatherford Worldwide Holdings GmbH, as</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amended as of the date hereof by a confirmation and amendment agreement to</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quota pledge agreements</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18</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Quota pledge agreement regarding quotas in WOFS International Finance GmbH,</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3"/>
              </w:rPr>
              <w:t>entered into by Weatherford Holdings (Switzerland) GmbH, as amended as of the</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date hereof by a confirmation and amendment agreement to quota pledge</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agreements</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Quota pledge agreement regarding quotas in Weatherford Holdings (Switzerland)</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GmbH, entered into by Weatherford Worldwide Holdings GmbH, as amended as of</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the date hereof by a confirmation and amendment agreement to quota pledge</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agreements</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20</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WOFS International Finance GmbH</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Weatherford Holdings (Switzerland)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22</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7"/>
              </w:rPr>
              <w:t>into by Weatherford Holdings (Switzerland) GmbH, as amended as of the date</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40" w:type="dxa"/>
            <w:vAlign w:val="bottom"/>
            <w:tcBorders>
              <w:left w:val="single" w:sz="8" w:color="auto"/>
              <w:right w:val="single" w:sz="8" w:color="auto"/>
            </w:tcBorders>
            <w:shd w:val="clear" w:color="auto" w:fill="C6F4F9"/>
          </w:tcPr>
          <w:p>
            <w:pPr>
              <w:spacing w:after="0"/>
              <w:rPr>
                <w:sz w:val="20"/>
                <w:szCs w:val="20"/>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hereof by a confirmation and amendment agreement to pledge agreements</w:t>
            </w:r>
          </w:p>
        </w:tc>
        <w:tc>
          <w:tcPr>
            <w:tcW w:w="360" w:type="dxa"/>
            <w:vAlign w:val="bottom"/>
            <w:shd w:val="clear" w:color="auto" w:fill="C6F4F9"/>
          </w:tcPr>
          <w:p>
            <w:pPr>
              <w:spacing w:after="0"/>
              <w:rPr>
                <w:sz w:val="20"/>
                <w:szCs w:val="20"/>
                <w:color w:val="auto"/>
              </w:rPr>
            </w:pPr>
          </w:p>
        </w:tc>
        <w:tc>
          <w:tcPr>
            <w:tcW w:w="1640" w:type="dxa"/>
            <w:vAlign w:val="bottom"/>
            <w:tcBorders>
              <w:right w:val="single" w:sz="8" w:color="auto"/>
            </w:tcBorders>
            <w:shd w:val="clear" w:color="auto" w:fill="C6F4F9"/>
          </w:tcPr>
          <w:p>
            <w:pPr>
              <w:spacing w:after="0"/>
              <w:rPr>
                <w:sz w:val="20"/>
                <w:szCs w:val="20"/>
                <w:color w:val="auto"/>
              </w:rPr>
            </w:pPr>
          </w:p>
        </w:tc>
        <w:tc>
          <w:tcPr>
            <w:tcW w:w="840" w:type="dxa"/>
            <w:vAlign w:val="bottom"/>
            <w:shd w:val="clear" w:color="auto" w:fill="C6F4F9"/>
          </w:tcPr>
          <w:p>
            <w:pPr>
              <w:spacing w:after="0"/>
              <w:rPr>
                <w:sz w:val="20"/>
                <w:szCs w:val="20"/>
                <w:color w:val="auto"/>
              </w:rPr>
            </w:pPr>
          </w:p>
        </w:tc>
        <w:tc>
          <w:tcPr>
            <w:tcW w:w="1260" w:type="dxa"/>
            <w:vAlign w:val="bottom"/>
            <w:tcBorders>
              <w:right w:val="single" w:sz="8" w:color="auto"/>
            </w:tcBorders>
            <w:shd w:val="clear" w:color="auto" w:fill="C6F4F9"/>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03" w:right="339" w:bottom="0" w:gutter="0" w:footer="0" w:header="0"/>
        </w:sectPr>
      </w:pPr>
    </w:p>
    <w:bookmarkStart w:id="785" w:name="page786"/>
    <w:bookmarkEnd w:id="7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7323455</wp:posOffset>
            </wp:positionH>
            <wp:positionV relativeFrom="page">
              <wp:posOffset>88900</wp:posOffset>
            </wp:positionV>
            <wp:extent cx="17145"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88900</wp:posOffset>
            </wp:positionV>
            <wp:extent cx="17145"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page">
              <wp:posOffset>4725670</wp:posOffset>
            </wp:positionH>
            <wp:positionV relativeFrom="page">
              <wp:posOffset>88900</wp:posOffset>
            </wp:positionV>
            <wp:extent cx="17145"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17145"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page">
              <wp:posOffset>842645</wp:posOffset>
            </wp:positionH>
            <wp:positionV relativeFrom="page">
              <wp:posOffset>88900</wp:posOffset>
            </wp:positionV>
            <wp:extent cx="17145"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6"/>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into by Weatherford Management Company Switzerland Sàrl, as amended as of the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date hereof by a confirmation and 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24</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9"/>
              </w:rPr>
              <w:t>into by Weatherford Products GmbH, as amended as of the date hereof by a</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265</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into by Weatherford Switzerland Trading and Development GmbH, as amended as</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the date hereof by a confirmation and amendment agreement to pledge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26</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into by Weatherford Worldwide Holdings GmbH, as amended as of the date hereof</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by a 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into by WOFS International Finance GmbH, as amended as of the date hereof by a</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28</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7"/>
              </w:rPr>
              <w:t>Pledge agreements regarding Rental Tools, to be entered into by Weatherford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Products GmbH,</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US</w:t>
            </w: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Weatherford Technology Holdings, LLC, as amended as of the date hereof by a</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30</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7"/>
              </w:rPr>
              <w:t>Visual Systems, Inc., as amended as of the date hereof by a confirmation and</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Weatherford U.S., L.P., as amended as of the date hereof by a confirmation and</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979"/>
        </w:trPr>
        <w:tc>
          <w:tcPr>
            <w:tcW w:w="10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786" w:name="page787"/>
    <w:bookmarkEnd w:id="786"/>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U.S. SECURITY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December 13, 2019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by Amendment No. 1, dated as of August 28, 2020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PLC,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LLC,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GRANTORS from time to time party hereto,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u w:val="single" w:color="auto"/>
          <w:color w:val="auto"/>
        </w:rPr>
        <w:t>Reference is made to the Intercreditor Agreement (the “Intercreditor Agreement”), dated as of August 28, 2020, among BTA Institutional Services Australia Limited (ABN 48 002 916 396), when joined thereto, as LC Australian Collateral Agent (as defined in the Intercreditor Agreement), Deutsche Bank Trust Company Americas, as LC Collateral Agent (as defined in the Intercreditor Agreement) for the LC Secured Parties referred to therein, Wilmington Trust, National Association, as Notes Collateral Agent (as defined in the Intercreditor Agreement) for the Notes Secured Parties referred to therein, Weatherford International plc, a public limited company incorporated in the Republic of Ireland, and the other Subsidiaries of the Parent from time to time party thereto. Each LC Secured Party, through the LC Collateral Agent, by obtaining the benefits hereof, (a) consents to the subordination of Liens provided for in the Intercreditor Agreement, (b) agrees that it will be bound by, and will take no actions contrary to, the provisions of the Intercreditor Agreement and (c) authorizes and instructs the LC Collateral Agent to enter into the Intercreditor Agreement as LC Collateral Agent on behalf of such Secured Party. The foregoing provisions are intended as an inducement to the LC Secured Parties to extend credit to the Borrowers (as defined herein) or to acquire any notes or other evidence of any debt obligation owing from the Borrowers and such LC Secured Parties are intended third party beneficiaries of such provisions and the provisions of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87" w:name="page788"/>
    <w:bookmarkEnd w:id="787"/>
    <w:p>
      <w:pPr>
        <w:spacing w:after="0" w:line="308" w:lineRule="auto"/>
        <w:rPr>
          <w:sz w:val="20"/>
          <w:szCs w:val="20"/>
          <w:color w:val="auto"/>
        </w:rPr>
      </w:pPr>
      <w:r>
        <w:rPr>
          <w:rFonts w:ascii="Arial" w:cs="Arial" w:eastAsia="Arial" w:hAnsi="Arial"/>
          <w:sz w:val="19"/>
          <w:szCs w:val="19"/>
          <w:i w:val="1"/>
          <w:iCs w:val="1"/>
          <w:u w:val="single" w:color="auto"/>
          <w:color w:val="auto"/>
        </w:rPr>
        <w:t>Notwithstanding any other provision contained herein, this Security Agreement, the Liens created hereby and the rights, remedies, duties and obligations provided for herein are subject in all respects to the provisions of the Intercreditor Agreement and, to the extent provided therein, the applicable Notes Security Documents and LC Security Documents (as defined in the Intercreditor Agreement). In the event of any conflict or inconsistency between the provisions of this Security Agreement and the Intercreditor Agreement, subject to Section 4.6.4 hereof and any other limitation on rights of the Agent or other Secured Party with respect to the ULC Shares hereunder, the provisions of the Intercreditor Agreement shall control.</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2" w:right="499" w:bottom="1440" w:gutter="0" w:footer="0" w:header="0"/>
        </w:sectPr>
      </w:pPr>
    </w:p>
    <w:bookmarkStart w:id="788" w:name="page789"/>
    <w:bookmarkEnd w:id="788"/>
    <w:p>
      <w:pPr>
        <w:jc w:val="both"/>
        <w:ind w:firstLine="648"/>
        <w:spacing w:after="0" w:line="272" w:lineRule="auto"/>
        <w:rPr>
          <w:sz w:val="20"/>
          <w:szCs w:val="20"/>
          <w:color w:val="auto"/>
        </w:rPr>
      </w:pPr>
      <w:r>
        <w:rPr>
          <w:rFonts w:ascii="Arial" w:cs="Arial" w:eastAsia="Arial" w:hAnsi="Arial"/>
          <w:sz w:val="21"/>
          <w:szCs w:val="21"/>
          <w:color w:val="auto"/>
        </w:rPr>
        <w:t>AMENDMENT NO. 1, dated as of August 28, 2020, to U.S. SECURITY AGREEMENT, dated as of December 13, 2019 (as the same may be amended, restated, supplemented or otherwise modified from time to time, this “</w:t>
      </w:r>
      <w:r>
        <w:rPr>
          <w:rFonts w:ascii="Arial" w:cs="Arial" w:eastAsia="Arial" w:hAnsi="Arial"/>
          <w:sz w:val="21"/>
          <w:szCs w:val="21"/>
          <w:b w:val="1"/>
          <w:bCs w:val="1"/>
          <w:i w:val="1"/>
          <w:iCs w:val="1"/>
          <w:color w:val="auto"/>
        </w:rPr>
        <w:t>Security Agreement</w:t>
      </w:r>
      <w:r>
        <w:rPr>
          <w:rFonts w:ascii="Arial" w:cs="Arial" w:eastAsia="Arial" w:hAnsi="Arial"/>
          <w:sz w:val="21"/>
          <w:szCs w:val="21"/>
          <w:color w:val="auto"/>
        </w:rPr>
        <w:t>”), by and among the entities listed on the signature pages hereto (such listed entities, collectively, the “</w:t>
      </w:r>
      <w:r>
        <w:rPr>
          <w:rFonts w:ascii="Arial" w:cs="Arial" w:eastAsia="Arial" w:hAnsi="Arial"/>
          <w:sz w:val="21"/>
          <w:szCs w:val="21"/>
          <w:b w:val="1"/>
          <w:bCs w:val="1"/>
          <w:i w:val="1"/>
          <w:iCs w:val="1"/>
          <w:color w:val="auto"/>
        </w:rPr>
        <w:t>Initial Grantors</w:t>
      </w:r>
      <w:r>
        <w:rPr>
          <w:rFonts w:ascii="Arial" w:cs="Arial" w:eastAsia="Arial" w:hAnsi="Arial"/>
          <w:sz w:val="21"/>
          <w:szCs w:val="21"/>
          <w:color w:val="auto"/>
        </w:rPr>
        <w:t>” and, together with any other Subsidiaries of Weatherford International plc, an Irish public limited company (“</w:t>
      </w:r>
      <w:r>
        <w:rPr>
          <w:rFonts w:ascii="Arial" w:cs="Arial" w:eastAsia="Arial" w:hAnsi="Arial"/>
          <w:sz w:val="21"/>
          <w:szCs w:val="21"/>
          <w:b w:val="1"/>
          <w:bCs w:val="1"/>
          <w:i w:val="1"/>
          <w:iCs w:val="1"/>
          <w:color w:val="auto"/>
        </w:rPr>
        <w:t>WIL-Ireland</w:t>
      </w:r>
      <w:r>
        <w:rPr>
          <w:rFonts w:ascii="Arial" w:cs="Arial" w:eastAsia="Arial" w:hAnsi="Arial"/>
          <w:sz w:val="21"/>
          <w:szCs w:val="21"/>
          <w:color w:val="auto"/>
        </w:rPr>
        <w:t xml:space="preserve">”),whether now existing or hereafter formed or acquired, that become parties to this Security Agreement from time to time in accordance with the terms of the LC Credit Agreement described below by executing a Security Agreement Supplement hereto in substantially the form of </w:t>
      </w:r>
      <w:r>
        <w:rPr>
          <w:rFonts w:ascii="Arial" w:cs="Arial" w:eastAsia="Arial" w:hAnsi="Arial"/>
          <w:sz w:val="21"/>
          <w:szCs w:val="21"/>
          <w:u w:val="single" w:color="auto"/>
          <w:color w:val="auto"/>
        </w:rPr>
        <w:t>Annex I</w:t>
      </w:r>
      <w:r>
        <w:rPr>
          <w:rFonts w:ascii="Arial" w:cs="Arial" w:eastAsia="Arial" w:hAnsi="Arial"/>
          <w:sz w:val="21"/>
          <w:szCs w:val="21"/>
          <w:color w:val="auto"/>
        </w:rPr>
        <w:t>, each, a “</w:t>
      </w:r>
      <w:r>
        <w:rPr>
          <w:rFonts w:ascii="Arial" w:cs="Arial" w:eastAsia="Arial" w:hAnsi="Arial"/>
          <w:sz w:val="21"/>
          <w:szCs w:val="21"/>
          <w:b w:val="1"/>
          <w:bCs w:val="1"/>
          <w:i w:val="1"/>
          <w:iCs w:val="1"/>
          <w:color w:val="auto"/>
        </w:rPr>
        <w:t>Grantor</w:t>
      </w:r>
      <w:r>
        <w:rPr>
          <w:rFonts w:ascii="Arial" w:cs="Arial" w:eastAsia="Arial" w:hAnsi="Arial"/>
          <w:sz w:val="21"/>
          <w:szCs w:val="21"/>
          <w:color w:val="auto"/>
        </w:rPr>
        <w:t>” and, collectively, the “</w:t>
      </w:r>
      <w:r>
        <w:rPr>
          <w:rFonts w:ascii="Arial" w:cs="Arial" w:eastAsia="Arial" w:hAnsi="Arial"/>
          <w:sz w:val="21"/>
          <w:szCs w:val="21"/>
          <w:b w:val="1"/>
          <w:bCs w:val="1"/>
          <w:i w:val="1"/>
          <w:iCs w:val="1"/>
          <w:color w:val="auto"/>
        </w:rPr>
        <w:t>Grantors</w:t>
      </w:r>
      <w:r>
        <w:rPr>
          <w:rFonts w:ascii="Arial" w:cs="Arial" w:eastAsia="Arial" w:hAnsi="Arial"/>
          <w:sz w:val="21"/>
          <w:szCs w:val="21"/>
          <w:color w:val="auto"/>
        </w:rPr>
        <w:t>”), and Deutsche Bank Trust Company Americas in its capacity as administrative agent (in such capacity,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for itself and on behalf and for the benefit of the other Secured Parties (as defined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WIL-Ireland, Weatherford International Ltd., a Bermuda exempted company (“</w:t>
      </w:r>
      <w:r>
        <w:rPr>
          <w:rFonts w:ascii="Arial" w:cs="Arial" w:eastAsia="Arial" w:hAnsi="Arial"/>
          <w:sz w:val="21"/>
          <w:szCs w:val="21"/>
          <w:b w:val="1"/>
          <w:bCs w:val="1"/>
          <w:i w:val="1"/>
          <w:iCs w:val="1"/>
          <w:color w:val="auto"/>
        </w:rPr>
        <w:t>WIL-Bermuda</w:t>
      </w:r>
      <w:r>
        <w:rPr>
          <w:rFonts w:ascii="Arial" w:cs="Arial" w:eastAsia="Arial" w:hAnsi="Arial"/>
          <w:sz w:val="21"/>
          <w:szCs w:val="21"/>
          <w:color w:val="auto"/>
        </w:rPr>
        <w:t>”), Weatherford International LLC, a Delaware limited liability company (“</w:t>
      </w:r>
      <w:r>
        <w:rPr>
          <w:rFonts w:ascii="Arial" w:cs="Arial" w:eastAsia="Arial" w:hAnsi="Arial"/>
          <w:sz w:val="21"/>
          <w:szCs w:val="21"/>
          <w:b w:val="1"/>
          <w:bCs w:val="1"/>
          <w:i w:val="1"/>
          <w:iCs w:val="1"/>
          <w:color w:val="auto"/>
        </w:rPr>
        <w:t>WIL-Delaware</w:t>
      </w:r>
      <w:r>
        <w:rPr>
          <w:rFonts w:ascii="Arial" w:cs="Arial" w:eastAsia="Arial" w:hAnsi="Arial"/>
          <w:sz w:val="21"/>
          <w:szCs w:val="21"/>
          <w:color w:val="auto"/>
        </w:rPr>
        <w:t>” and together with WIL-Bermuda, the “</w:t>
      </w:r>
      <w:r>
        <w:rPr>
          <w:rFonts w:ascii="Arial" w:cs="Arial" w:eastAsia="Arial" w:hAnsi="Arial"/>
          <w:sz w:val="21"/>
          <w:szCs w:val="21"/>
          <w:b w:val="1"/>
          <w:bCs w:val="1"/>
          <w:i w:val="1"/>
          <w:iCs w:val="1"/>
          <w:color w:val="auto"/>
        </w:rPr>
        <w:t>Borrowers</w:t>
      </w:r>
      <w:r>
        <w:rPr>
          <w:rFonts w:ascii="Arial" w:cs="Arial" w:eastAsia="Arial" w:hAnsi="Arial"/>
          <w:sz w:val="21"/>
          <w:szCs w:val="21"/>
          <w:color w:val="auto"/>
        </w:rPr>
        <w:t>”), the Agent, and the Lenders are entering into that certain LC Credit Agreement dated as of December 13, 2019 (as amended by Amendment No. 1 to LC Credit Agreement, dated as of August 28, 2020 and as further amended, amended and restated, supplemented or otherwise modified from time to time, the “</w:t>
      </w:r>
      <w:r>
        <w:rPr>
          <w:rFonts w:ascii="Arial" w:cs="Arial" w:eastAsia="Arial" w:hAnsi="Arial"/>
          <w:sz w:val="21"/>
          <w:szCs w:val="21"/>
          <w:b w:val="1"/>
          <w:bCs w:val="1"/>
          <w:i w:val="1"/>
          <w:iCs w:val="1"/>
          <w:color w:val="auto"/>
        </w:rPr>
        <w:t>LC Credit Agreement</w:t>
      </w:r>
      <w:r>
        <w:rPr>
          <w:rFonts w:ascii="Arial" w:cs="Arial" w:eastAsia="Arial" w:hAnsi="Arial"/>
          <w:sz w:val="21"/>
          <w:szCs w:val="21"/>
          <w:color w:val="auto"/>
        </w:rPr>
        <w: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Grantors are entering into this Security Agreement in order to induce the Lenders to enter into and extend credit to the Borrowers under the LC Credit Agreement on the terms set forth therein.</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ACCORDINGLY, the Grantors and the Agent, for itself and on behalf and for the benefit of the other Secured Parties, hereby agree as follows: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Terms Defined in the LC Credit Agreement and the Intercreditor Agreement</w:t>
      </w:r>
      <w:r>
        <w:rPr>
          <w:rFonts w:ascii="Arial" w:cs="Arial" w:eastAsia="Arial" w:hAnsi="Arial"/>
          <w:sz w:val="22"/>
          <w:szCs w:val="22"/>
          <w:color w:val="000000"/>
        </w:rPr>
        <w:t>. All capitalized terms used herein</w:t>
      </w:r>
      <w:r>
        <w:rPr>
          <w:rFonts w:ascii="Arial" w:cs="Arial" w:eastAsia="Arial" w:hAnsi="Arial"/>
          <w:sz w:val="22"/>
          <w:szCs w:val="22"/>
          <w:color w:val="010000"/>
        </w:rPr>
        <w:t xml:space="preserve"> </w:t>
      </w:r>
      <w:r>
        <w:rPr>
          <w:rFonts w:ascii="Arial" w:cs="Arial" w:eastAsia="Arial" w:hAnsi="Arial"/>
          <w:sz w:val="22"/>
          <w:szCs w:val="22"/>
          <w:color w:val="000000"/>
        </w:rPr>
        <w:t>and not otherwise defined shall have the respective meanings assigned to such terms in the LC Credit Agreement and the Intercreditor Agreement.</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Terms Defined in UCC</w:t>
      </w:r>
      <w:r>
        <w:rPr>
          <w:rFonts w:ascii="Arial" w:cs="Arial" w:eastAsia="Arial" w:hAnsi="Arial"/>
          <w:sz w:val="22"/>
          <w:szCs w:val="22"/>
          <w:color w:val="000000"/>
        </w:rPr>
        <w:t>. Terms defined in the UCC that are not otherwise defined in this Security Agreement are</w:t>
      </w:r>
      <w:r>
        <w:rPr>
          <w:rFonts w:ascii="Arial" w:cs="Arial" w:eastAsia="Arial" w:hAnsi="Arial"/>
          <w:sz w:val="22"/>
          <w:szCs w:val="22"/>
          <w:color w:val="010000"/>
        </w:rPr>
        <w:t xml:space="preserve"> </w:t>
      </w:r>
      <w:r>
        <w:rPr>
          <w:rFonts w:ascii="Arial" w:cs="Arial" w:eastAsia="Arial" w:hAnsi="Arial"/>
          <w:sz w:val="22"/>
          <w:szCs w:val="22"/>
          <w:color w:val="000000"/>
        </w:rPr>
        <w:t>used herein as defined in the UCC.</w:t>
      </w:r>
    </w:p>
    <w:p>
      <w:pPr>
        <w:spacing w:after="0" w:line="17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010000"/>
        </w:rPr>
        <w:t xml:space="preserve">1.3. </w:t>
      </w:r>
      <w:r>
        <w:rPr>
          <w:rFonts w:ascii="Arial" w:cs="Arial" w:eastAsia="Arial" w:hAnsi="Arial"/>
          <w:sz w:val="22"/>
          <w:szCs w:val="22"/>
          <w:u w:val="single" w:color="auto"/>
          <w:color w:val="000000"/>
        </w:rPr>
        <w:t>Definitions of Certain Terms Used Herein</w:t>
      </w:r>
      <w:r>
        <w:rPr>
          <w:rFonts w:ascii="Arial" w:cs="Arial" w:eastAsia="Arial" w:hAnsi="Arial"/>
          <w:sz w:val="22"/>
          <w:szCs w:val="22"/>
          <w:color w:val="000000"/>
        </w:rPr>
        <w:t>. As used in this Security Agreement, in addition to the terms defined</w:t>
      </w:r>
      <w:r>
        <w:rPr>
          <w:rFonts w:ascii="Arial" w:cs="Arial" w:eastAsia="Arial" w:hAnsi="Arial"/>
          <w:sz w:val="22"/>
          <w:szCs w:val="22"/>
          <w:color w:val="010000"/>
        </w:rPr>
        <w:t xml:space="preserve"> </w:t>
      </w:r>
      <w:r>
        <w:rPr>
          <w:rFonts w:ascii="Arial" w:cs="Arial" w:eastAsia="Arial" w:hAnsi="Arial"/>
          <w:sz w:val="22"/>
          <w:szCs w:val="22"/>
          <w:color w:val="000000"/>
        </w:rPr>
        <w:t>in the Preliminary Statement, the following terms shall have the following meanings: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Accounts</w:t>
      </w:r>
      <w:r>
        <w:rPr>
          <w:rFonts w:ascii="Arial" w:cs="Arial" w:eastAsia="Arial" w:hAnsi="Arial"/>
          <w:sz w:val="22"/>
          <w:szCs w:val="22"/>
          <w:color w:val="auto"/>
        </w:rPr>
        <w:t>” shall have the meaning set forth in Article 9 of the UCC.</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Article</w:t>
      </w:r>
      <w:r>
        <w:rPr>
          <w:rFonts w:ascii="Arial" w:cs="Arial" w:eastAsia="Arial" w:hAnsi="Arial"/>
          <w:sz w:val="21"/>
          <w:szCs w:val="21"/>
          <w:color w:val="auto"/>
        </w:rPr>
        <w:t>” means a numbered article of this Security Agreement, unless another document is specifically referenced.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9" w:name="page790"/>
    <w:bookmarkEnd w:id="78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Chattel Paper</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with respect to any Grantor that is organized or incorporated in the United States, all Accounts, Chattel Paper, Commercial Tort Claims, Deposit Accounts, Documents, Equipment, Farm Products, Fixtures, General Intangibles, Goods, Instruments, Intellectual Property, Inventory, Investment Property, letters of credit, Letter of 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Notwithstanding any of the foregoing, Collateral shall not include any Excluded Assets.</w:t>
      </w:r>
    </w:p>
    <w:p>
      <w:pPr>
        <w:spacing w:after="0" w:line="1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Tort Claims</w:t>
      </w:r>
      <w:r>
        <w:rPr>
          <w:rFonts w:ascii="Arial" w:cs="Arial" w:eastAsia="Arial" w:hAnsi="Arial"/>
          <w:sz w:val="22"/>
          <w:szCs w:val="22"/>
          <w:color w:val="auto"/>
        </w:rPr>
        <w:t xml:space="preserve">” means commercial tort claims, as defined in the UCC of any Grantor, including each commercial tort claim specifically described in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shall have the meaning set forth in Article 8 or, if applicable, in Section 9-104, 9-105, 9-106 or 9-107 of Article 9 of the UCC or Section 16 of the UETA, as applicable.</w:t>
      </w:r>
    </w:p>
    <w:p>
      <w:pPr>
        <w:spacing w:after="0" w:line="13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Agreement</w:t>
      </w:r>
      <w:r>
        <w:rPr>
          <w:rFonts w:ascii="Arial" w:cs="Arial" w:eastAsia="Arial" w:hAnsi="Arial"/>
          <w:sz w:val="19"/>
          <w:szCs w:val="19"/>
          <w:color w:val="auto"/>
        </w:rPr>
        <w:t>” means a control agreement, in form and substance reasonably satisfactory to the Agent, executed and delivered by a Grantor, the Agent, and the applicable securities intermediary (with respect to a Securities Account) or bank (with respect to a Deposit Account), or an equivalent agreement under any applicable foreign jurisdiction.</w:t>
      </w:r>
    </w:p>
    <w:p>
      <w:pPr>
        <w:spacing w:after="0" w:line="10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with respect to any Person, all of such Person’s right, title, and interest in and to the following: (i) all copyrights, rights and interests in copyrights, works protectable by copyright, copyright registrations, and copyright applications;</w:t>
      </w:r>
    </w:p>
    <w:p>
      <w:pPr>
        <w:jc w:val="both"/>
        <w:ind w:firstLine="8"/>
        <w:spacing w:after="0" w:line="264" w:lineRule="auto"/>
        <w:tabs>
          <w:tab w:leader="none" w:pos="329" w:val="left"/>
        </w:tabs>
        <w:numPr>
          <w:ilvl w:val="0"/>
          <w:numId w:val="916"/>
        </w:numPr>
        <w:rPr>
          <w:rFonts w:ascii="Arial" w:cs="Arial" w:eastAsia="Arial" w:hAnsi="Arial"/>
          <w:sz w:val="22"/>
          <w:szCs w:val="22"/>
          <w:color w:val="auto"/>
        </w:rPr>
      </w:pPr>
      <w:r>
        <w:rPr>
          <w:rFonts w:ascii="Arial" w:cs="Arial" w:eastAsia="Arial" w:hAnsi="Arial"/>
          <w:sz w:val="22"/>
          <w:szCs w:val="22"/>
          <w:color w:val="auto"/>
        </w:rPr>
        <w:t>all renewals of any of the foregoing; (iii) all income, royalties, damages, and payments now or hereafter due and/or payable under any of the foregoing, including, without limitation, damages or payments for past or future infringements for any of the foregoing; and (iv) all rights corresponding to any of the foregoing throughout the world.</w:t>
      </w:r>
    </w:p>
    <w:p>
      <w:pPr>
        <w:spacing w:after="0" w:line="1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w:t>
      </w:r>
      <w:r>
        <w:rPr>
          <w:rFonts w:ascii="Arial" w:cs="Arial" w:eastAsia="Arial" w:hAnsi="Arial"/>
          <w:sz w:val="22"/>
          <w:szCs w:val="22"/>
          <w:color w:val="auto"/>
        </w:rPr>
        <w:t>” means each Confirmatory Grant in U.S. Copyrights executed and delivered by any Grantor in favor of Agent in a form substantially similar to the Trademark Security Agreement and the Patent Security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Accounts</w:t>
      </w:r>
      <w:r>
        <w:rPr>
          <w:rFonts w:ascii="Arial" w:cs="Arial" w:eastAsia="Arial" w:hAnsi="Arial"/>
          <w:sz w:val="22"/>
          <w:szCs w:val="22"/>
          <w:color w:val="auto"/>
        </w:rPr>
        <w:t>” shall have the meaning set forth in Article 9 of the UCC.</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xml:space="preserve">” means the most recent to occur of (i) in the case of an Initial Grantor, the date hereof or, in the case of any other Grantor, the date such Grantor becomes a party hereto and (ii) the most recent date on which the Borrowers deliver to the Agent a Compliance Certificate accompanied by updated Exhibits to this Security Agreement pursuant to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hereof.</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Documents</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Grantor</w:t>
      </w:r>
      <w:r>
        <w:rPr>
          <w:rFonts w:ascii="Arial" w:cs="Arial" w:eastAsia="Arial" w:hAnsi="Arial"/>
          <w:sz w:val="22"/>
          <w:szCs w:val="22"/>
          <w:color w:val="auto"/>
        </w:rPr>
        <w:t>” means any Grantor that is a Domestic Subsidiary.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0" w:name="page791"/>
    <w:bookmarkEnd w:id="79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Exclusive Copyright License</w:t>
      </w:r>
      <w:r>
        <w:rPr>
          <w:rFonts w:ascii="Arial" w:cs="Arial" w:eastAsia="Arial" w:hAnsi="Arial"/>
          <w:sz w:val="22"/>
          <w:szCs w:val="22"/>
          <w:color w:val="auto"/>
        </w:rPr>
        <w:t>” means an exclusive license to a U.S. registered copyright.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Exhibit</w:t>
      </w:r>
      <w:r>
        <w:rPr>
          <w:rFonts w:ascii="Arial" w:cs="Arial" w:eastAsia="Arial" w:hAnsi="Arial"/>
          <w:sz w:val="19"/>
          <w:szCs w:val="19"/>
          <w:color w:val="auto"/>
        </w:rPr>
        <w:t>” refers to a specific exhibit to this Security Agreement, unless another document is specifically referenced.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Farm Products</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Fixtures</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Grantor</w:t>
      </w:r>
      <w:r>
        <w:rPr>
          <w:rFonts w:ascii="Arial" w:cs="Arial" w:eastAsia="Arial" w:hAnsi="Arial"/>
          <w:sz w:val="22"/>
          <w:szCs w:val="22"/>
          <w:color w:val="auto"/>
        </w:rPr>
        <w:t>” means any Grantor that is not a Domestic Grantor.</w:t>
      </w:r>
    </w:p>
    <w:p>
      <w:pPr>
        <w:spacing w:after="0" w:line="20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General Intangibles</w:t>
      </w:r>
      <w:r>
        <w:rPr>
          <w:rFonts w:ascii="Arial" w:cs="Arial" w:eastAsia="Arial" w:hAnsi="Arial"/>
          <w:sz w:val="19"/>
          <w:szCs w:val="19"/>
          <w:color w:val="auto"/>
        </w:rPr>
        <w:t>” shall have the meaning set forth in Article 9 of the UCC and, in any event, includes payment intangibles, contract rights, rights to payment, rights arising under common law, statutes, or regulations, choses in action, Intellectual Property, programs, programming materials, blueprints, drawings, purchase orders, customer lists, monies due or recoverable from pension funds, route lists,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UCC, and any other personal property other than Commercial Tort Claims, money, Accounts, Chattel Paper, Deposit Accounts, Goods, Investment Property, negotiable Collateral, and oil, gas, or other minerals before extraction.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Goods</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Industrial Designs</w:t>
      </w:r>
      <w:r>
        <w:rPr>
          <w:rFonts w:ascii="Arial" w:cs="Arial" w:eastAsia="Arial" w:hAnsi="Arial"/>
          <w:sz w:val="19"/>
          <w:szCs w:val="19"/>
          <w:color w:val="auto"/>
        </w:rPr>
        <w:t xml:space="preserve">” means (i) registered industrial designs and industrial design applications, and also includes registered industrial designs and industrial design applications listed in </w:t>
      </w:r>
      <w:r>
        <w:rPr>
          <w:rFonts w:ascii="Arial" w:cs="Arial" w:eastAsia="Arial" w:hAnsi="Arial"/>
          <w:sz w:val="19"/>
          <w:szCs w:val="19"/>
          <w:u w:val="single" w:color="auto"/>
          <w:color w:val="auto"/>
        </w:rPr>
        <w:t>Exhibit “B”</w:t>
      </w:r>
      <w:r>
        <w:rPr>
          <w:rFonts w:ascii="Arial" w:cs="Arial" w:eastAsia="Arial" w:hAnsi="Arial"/>
          <w:sz w:val="19"/>
          <w:szCs w:val="19"/>
          <w:color w:val="auto"/>
        </w:rPr>
        <w:t>, (ii) all renewals, divisions and any industrial design registrations issuing thereon and any and all foreign applications corresponding thereto, (iii) all income, royalties, damages and payments now and hereafter due or payable under and with respect thereto, including payments under all licenses entered into in connection therewith and damages and payments for past or future infringements thereof, (iv) the right to sue for past, present and future infringements thereof; and (v) all rights corresponding to any of the foregoing throughout the world.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Instruments</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Instrument</w:t>
      </w:r>
      <w:r>
        <w:rPr>
          <w:rFonts w:ascii="Arial" w:cs="Arial" w:eastAsia="Arial" w:hAnsi="Arial"/>
          <w:sz w:val="22"/>
          <w:szCs w:val="22"/>
          <w:color w:val="auto"/>
        </w:rPr>
        <w:t>” means an Instrument between a Grantor, as the payee thereunder, and WIL-Ireland or any of its Restricted Subsidiaries, as the payor thereunder.</w:t>
      </w:r>
    </w:p>
    <w:p>
      <w:pPr>
        <w:spacing w:after="0" w:line="134"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all Patents, Trademarks, Copyrights, Licenses, Industrial Designs and any other intellectual property.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Property</w:t>
      </w:r>
      <w:r>
        <w:rPr>
          <w:rFonts w:ascii="Arial" w:cs="Arial" w:eastAsia="Arial" w:hAnsi="Arial"/>
          <w:sz w:val="22"/>
          <w:szCs w:val="22"/>
          <w:color w:val="auto"/>
        </w:rPr>
        <w:t>” shall have the meaning set forth in Article 9 of the UCC.</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Reservations</w:t>
      </w:r>
      <w:r>
        <w:rPr>
          <w:rFonts w:ascii="Arial" w:cs="Arial" w:eastAsia="Arial" w:hAnsi="Arial"/>
          <w:sz w:val="22"/>
          <w:szCs w:val="22"/>
          <w:color w:val="auto"/>
        </w:rPr>
        <w:t>” means (i) the principle that equitable remedies are remedies which may be granted or refused at the discretion of the court, the principle of fairness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1" w:name="page792"/>
    <w:bookmarkEnd w:id="791"/>
    <w:p>
      <w:pPr>
        <w:jc w:val="both"/>
        <w:spacing w:after="0" w:line="260" w:lineRule="auto"/>
        <w:rPr>
          <w:sz w:val="20"/>
          <w:szCs w:val="20"/>
          <w:color w:val="auto"/>
        </w:rPr>
      </w:pPr>
      <w:r>
        <w:rPr>
          <w:rFonts w:ascii="Arial" w:cs="Arial" w:eastAsia="Arial" w:hAnsi="Arial"/>
          <w:sz w:val="22"/>
          <w:szCs w:val="22"/>
          <w:color w:val="auto"/>
        </w:rPr>
        <w:t>reasonableness, the limitation of enforcement by laws relating to bankruptcy, insolvency, liquidation, reorganisation, court schemes, moratoria, administration and other laws generally affecting the rights of creditors, (ii) the time barring of claims under applicable limitation laws including the Limitation Act 1980 and the Foreign Limitation Periods Act 1984 in the United Kingdom, the possibility that an undertaking to assume liability for, or to indemnify a person against, non-payment of stamp duty may be void and defences of set-off and counterclaim, and (iii) similar principles, rights and defences under the laws of any relevant jurisdiction.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Rights</w:t>
      </w:r>
      <w:r>
        <w:rPr>
          <w:rFonts w:ascii="Arial" w:cs="Arial" w:eastAsia="Arial" w:hAnsi="Arial"/>
          <w:sz w:val="22"/>
          <w:szCs w:val="22"/>
          <w:color w:val="auto"/>
        </w:rPr>
        <w:t>” shall have the meaning set forth in Article 9 of the UCC.</w:t>
      </w:r>
    </w:p>
    <w:p>
      <w:pPr>
        <w:spacing w:after="0" w:line="20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Licenses</w:t>
      </w:r>
      <w:r>
        <w:rPr>
          <w:rFonts w:ascii="Arial" w:cs="Arial" w:eastAsia="Arial" w:hAnsi="Arial"/>
          <w:sz w:val="19"/>
          <w:szCs w:val="19"/>
          <w:color w:val="auto"/>
        </w:rPr>
        <w:t>” means, with respect to any Person, all of such Person’s right, title, and interest in and to (i) any and all licensing agreements or similar arrangements in and to its Patents, Copyrights or Trademarks, (ii) all income, royalties, damages, claims, and payments now or hereafter due or payable under and with respect thereto, including, without limitation, damages and payments for past and future breaches thereof, and (iii) all rights to sue for past, present, and future breaches thereof.</w:t>
      </w:r>
    </w:p>
    <w:p>
      <w:pPr>
        <w:spacing w:after="0" w:line="10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Collateral</w:t>
      </w:r>
      <w:r>
        <w:rPr>
          <w:rFonts w:ascii="Arial" w:cs="Arial" w:eastAsia="Arial" w:hAnsi="Arial"/>
          <w:sz w:val="19"/>
          <w:szCs w:val="19"/>
          <w:color w:val="auto"/>
        </w:rPr>
        <w:t xml:space="preserve">” means any personal property of the Grantors, not included within the defined terms Accounts, Chattel Paper, Commercial Tort Claims, Deposit Accounts, Documents, Equipment, Fixtures, Farm Products, General Intangibles, Goods, Instruments, Intellectual Property, Inventory, Investment Property, Letter of 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personal property of the Grantors, subject to the exclusions or limitations contained in Article II of this Security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Other Collateral shall not include any Excluded Assets.</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means, with respect to any Person, all of such Person’s right, title, and interest in and to: (i) any and all patents and patent applications; (ii) all inventions and improvements described and claimed therein; (iii) all reissues, divisions, continuations, renewals, extensions, and continuations-in-part thereof; (iv) all licenses of the foregoing whether as licensee or licensor; (v) all income, royalties, damages, claims, and payments now or hereafter due or payable under and with respect thereto, including, without limitation, damages and payments for past and future infringements thereof; (vii) all rights to sue for past, present, and future infringements thereof; and (viii) all rights corresponding to any of the foregoing throughout the world.</w:t>
      </w:r>
    </w:p>
    <w:p>
      <w:pPr>
        <w:spacing w:after="0" w:line="12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xml:space="preserve">” means each Confirmatory Grant in U.S. Patents executed and delivered by any Grantor in favor of Agent in substantially the form of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Collateral</w:t>
      </w:r>
      <w:r>
        <w:rPr>
          <w:rFonts w:ascii="Arial" w:cs="Arial" w:eastAsia="Arial" w:hAnsi="Arial"/>
          <w:sz w:val="21"/>
          <w:szCs w:val="21"/>
          <w:color w:val="auto"/>
        </w:rPr>
        <w:t>” means all Instruments, Securities and other Investment Property of the Grantors to the extent constituting Collateral hereunder, whether or not physically delivered to the Agent pursuant to this Security Agreement.</w:t>
      </w:r>
    </w:p>
    <w:p>
      <w:pPr>
        <w:spacing w:after="0" w:line="11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Deposits</w:t>
      </w:r>
      <w:r>
        <w:rPr>
          <w:rFonts w:ascii="Arial" w:cs="Arial" w:eastAsia="Arial" w:hAnsi="Arial"/>
          <w:sz w:val="22"/>
          <w:szCs w:val="22"/>
          <w:color w:val="auto"/>
        </w:rPr>
        <w:t>” means all time deposits of money (other than Deposit Accounts and Instruments), whether or not evidenced by certificates, which a Grantor may from time to time designate as pledged to the Agent or to any Secured Party as security for any Secured Obligations, and all rights to receive interest on said deposits.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2" w:name="page793"/>
    <w:bookmarkEnd w:id="792"/>
    <w:p>
      <w:pPr>
        <w:jc w:val="both"/>
        <w:ind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xml:space="preserve">” means the Accounts, Chattel Paper, Documents, Investment Property, Instruments or Pledged Deposits, and any other rights or claims to receive money which are General Intangibles or which are otherwise included as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Receivables shall not include any Excluded Assets.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w:t>
      </w:r>
      <w:r>
        <w:rPr>
          <w:rFonts w:ascii="Arial" w:cs="Arial" w:eastAsia="Arial" w:hAnsi="Arial"/>
          <w:sz w:val="19"/>
          <w:szCs w:val="19"/>
          <w:color w:val="auto"/>
        </w:rPr>
        <w:t>” means a numbered section of this Security Agreement, unless another document is specifically referenced.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Account</w:t>
      </w:r>
      <w:r>
        <w:rPr>
          <w:rFonts w:ascii="Arial" w:cs="Arial" w:eastAsia="Arial" w:hAnsi="Arial"/>
          <w:sz w:val="22"/>
          <w:szCs w:val="22"/>
          <w:color w:val="auto"/>
        </w:rPr>
        <w:t>” shall have the meaning set forth in Article 8 of the UCC.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w:t>
      </w:r>
      <w:r>
        <w:rPr>
          <w:rFonts w:ascii="Arial" w:cs="Arial" w:eastAsia="Arial" w:hAnsi="Arial"/>
          <w:sz w:val="22"/>
          <w:szCs w:val="22"/>
          <w:color w:val="auto"/>
        </w:rPr>
        <w:t>” shall have the meaning set forth in Article 8 of the UCC.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Deposit Account</w:t>
      </w:r>
      <w:r>
        <w:rPr>
          <w:rFonts w:ascii="Arial" w:cs="Arial" w:eastAsia="Arial" w:hAnsi="Arial"/>
          <w:sz w:val="22"/>
          <w:szCs w:val="22"/>
          <w:color w:val="auto"/>
        </w:rPr>
        <w:t>” means any Deposit Account of a Grantor other than the Excluded Accounts.</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Intellectual Property</w:t>
      </w:r>
      <w:r>
        <w:rPr>
          <w:rFonts w:ascii="Arial" w:cs="Arial" w:eastAsia="Arial" w:hAnsi="Arial"/>
          <w:sz w:val="22"/>
          <w:szCs w:val="22"/>
          <w:color w:val="auto"/>
        </w:rPr>
        <w:t>” means any Intellectual Property of one or more Grantors (i) the book value of which exceeds $5,000,000 individually or in the aggregate, (ii) which generates annual revenue, royalties or license fees of greater than $5,000,000 or (iii) which, in the commercially reasonable judgment of the Grantors, is material to the conduct of all or a material portion of the business of WIL-Ireland and its Restricted Subsidiaries.</w:t>
      </w:r>
    </w:p>
    <w:p>
      <w:pPr>
        <w:spacing w:after="0" w:line="151" w:lineRule="exact"/>
        <w:rPr>
          <w:sz w:val="20"/>
          <w:szCs w:val="20"/>
          <w:color w:val="auto"/>
        </w:rPr>
      </w:pPr>
    </w:p>
    <w:p>
      <w:pPr>
        <w:jc w:val="both"/>
        <w:ind w:firstLine="702"/>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Rights</w:t>
      </w:r>
      <w:r>
        <w:rPr>
          <w:rFonts w:ascii="Arial" w:cs="Arial" w:eastAsia="Arial" w:hAnsi="Arial"/>
          <w:sz w:val="19"/>
          <w:szCs w:val="19"/>
          <w:color w:val="auto"/>
        </w:rPr>
        <w:t>” means any securities, dividends,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Capital Stock and any right to receive earnings, in which any Grantor now has or hereafter acquires any right, issued by an issuer of such securities.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Supporting Obligation</w:t>
      </w:r>
      <w:r>
        <w:rPr>
          <w:rFonts w:ascii="Arial" w:cs="Arial" w:eastAsia="Arial" w:hAnsi="Arial"/>
          <w:sz w:val="22"/>
          <w:szCs w:val="22"/>
          <w:color w:val="auto"/>
        </w:rPr>
        <w:t>” shall have the meaning set forth in Article 9 of the UCC.</w:t>
      </w:r>
    </w:p>
    <w:p>
      <w:pPr>
        <w:spacing w:after="0" w:line="20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Trademarks</w:t>
      </w:r>
      <w:r>
        <w:rPr>
          <w:rFonts w:ascii="Arial" w:cs="Arial" w:eastAsia="Arial" w:hAnsi="Arial"/>
          <w:sz w:val="19"/>
          <w:szCs w:val="19"/>
          <w:color w:val="auto"/>
        </w:rPr>
        <w:t>” means, with respect to any Person, all of such Person’s right, title, and interest in and to the following: (i) all trademarks (including service marks), trade names, trade dress, and trade styles and the registrations and applications for registration thereof and the goodwill of the business symbolized by the foregoing; (ii) all licenses of the foregoing, whether as licensee or licensor; (iii) all renewals of the foregoing; (iv) all income, royalties, damages, and payments now or hereafter due or payable with respect thereto, including, without limitation, damages, claims, and payments for past and future infringements thereof; (v) all rights to sue for past, present, and future infringements of the foregoing, including the right to settle suits involving claims and demands for royalties owing; and (vi) all rights corresponding to any of the foregoing throughout the world.</w:t>
      </w:r>
    </w:p>
    <w:p>
      <w:pPr>
        <w:spacing w:after="0" w:line="11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xml:space="preserve">” means each Confirmatory Grant in U.S. Trademarks executed and delivered by any Grantor in favor of Agent in substantially the form of </w:t>
      </w:r>
      <w:r>
        <w:rPr>
          <w:rFonts w:ascii="Arial" w:cs="Arial" w:eastAsia="Arial" w:hAnsi="Arial"/>
          <w:sz w:val="22"/>
          <w:szCs w:val="22"/>
          <w:u w:val="single" w:color="auto"/>
          <w:color w:val="auto"/>
        </w:rPr>
        <w:t>Exhibit “L”</w:t>
      </w:r>
      <w:r>
        <w:rPr>
          <w:rFonts w:ascii="Arial" w:cs="Arial" w:eastAsia="Arial" w:hAnsi="Arial"/>
          <w:sz w:val="22"/>
          <w:szCs w:val="22"/>
          <w:color w:val="auto"/>
        </w:rPr>
        <w: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UETA</w:t>
      </w:r>
      <w:r>
        <w:rPr>
          <w:rFonts w:ascii="Arial" w:cs="Arial" w:eastAsia="Arial" w:hAnsi="Arial"/>
          <w:sz w:val="21"/>
          <w:szCs w:val="21"/>
          <w:color w:val="auto"/>
        </w:rPr>
        <w:t>” means the Uniform Electronic Transactions Act as in effect from time to time in any applicable jurisdiction.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ULC</w:t>
      </w:r>
      <w:r>
        <w:rPr>
          <w:rFonts w:ascii="Arial" w:cs="Arial" w:eastAsia="Arial" w:hAnsi="Arial"/>
          <w:sz w:val="21"/>
          <w:szCs w:val="21"/>
          <w:color w:val="auto"/>
        </w:rPr>
        <w:t>” means a Person that is an unlimited company, unlimited liability corporation or unlimited liability company.</w:t>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3" w:name="page794"/>
    <w:bookmarkEnd w:id="793"/>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ULC Laws</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Companies Act</w:t>
      </w:r>
      <w:r>
        <w:rPr>
          <w:rFonts w:ascii="Arial" w:cs="Arial" w:eastAsia="Arial" w:hAnsi="Arial"/>
          <w:sz w:val="22"/>
          <w:szCs w:val="22"/>
          <w:color w:val="auto"/>
        </w:rPr>
        <w:t xml:space="preserve"> (Nova Scotia), the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xml:space="preserve"> (Alberta), the </w:t>
      </w:r>
      <w:r>
        <w:rPr>
          <w:rFonts w:ascii="Arial" w:cs="Arial" w:eastAsia="Arial" w:hAnsi="Arial"/>
          <w:sz w:val="22"/>
          <w:szCs w:val="22"/>
          <w:i w:val="1"/>
          <w:iCs w:val="1"/>
          <w:color w:val="auto"/>
        </w:rPr>
        <w:t>Business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Corporations Act </w:t>
      </w:r>
      <w:r>
        <w:rPr>
          <w:rFonts w:ascii="Arial" w:cs="Arial" w:eastAsia="Arial" w:hAnsi="Arial"/>
          <w:sz w:val="22"/>
          <w:szCs w:val="22"/>
          <w:color w:val="auto"/>
        </w:rPr>
        <w:t>(British Columbia) and any other present or future Laws governing ULCs.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ULC Shares</w:t>
      </w:r>
      <w:r>
        <w:rPr>
          <w:rFonts w:ascii="Arial" w:cs="Arial" w:eastAsia="Arial" w:hAnsi="Arial"/>
          <w:sz w:val="22"/>
          <w:szCs w:val="22"/>
          <w:color w:val="auto"/>
        </w:rPr>
        <w:t>” means shares in the capital stock of, or other equity interests of, a ULC.</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foregoing definitions shall be equally applicable to both the singular and plural forms of the defined terms.</w:t>
      </w:r>
    </w:p>
    <w:p>
      <w:pPr>
        <w:spacing w:after="0" w:line="20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 OF SECURITY INTEREST</w:t>
      </w:r>
    </w:p>
    <w:p>
      <w:pPr>
        <w:spacing w:after="0" w:line="1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Each of the Grantors hereby pledges, assigns (except in the case of the ULC Shares) and grants to the Agent, on behalf of and for the benefit of the Secured Parties, a security interest in all of such Grantor’s right, title and interest, whether now owned or hereafter acquired, in and to the Collateral to secure the prompt and complete payment and performance of the Secured Obligations. For the avoidance of doubt, the grant of a security interest herein shall not be deemed to be an assignment of any ULC Shares or any intellectual property rights owned by the Grantors (other than the collateral assignment pursuant hereto).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Each of the Initial Grantors represents and warrants to the Agent and the Secured Parties, and each Grantor that becomes a party to this Security Agreement pursuant to the execution of a Security Agreement Supplement in substantially the form of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represents and warrants (after giving effect to supplements to each of the Exhibits hereto, with respect to such subsequent Grantor, as attached to such Security Agreement Supplement), that:</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u w:val="single" w:color="auto"/>
          <w:color w:val="000000"/>
        </w:rPr>
        <w:t>Title, Authorization, Validity and Enforceability</w:t>
      </w:r>
      <w:r>
        <w:rPr>
          <w:rFonts w:ascii="Arial" w:cs="Arial" w:eastAsia="Arial" w:hAnsi="Arial"/>
          <w:sz w:val="21"/>
          <w:szCs w:val="21"/>
          <w:color w:val="000000"/>
        </w:rPr>
        <w:t>. Subject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3.10.10</w:t>
      </w:r>
      <w:r>
        <w:rPr>
          <w:rFonts w:ascii="Arial" w:cs="Arial" w:eastAsia="Arial" w:hAnsi="Arial"/>
          <w:sz w:val="21"/>
          <w:szCs w:val="21"/>
          <w:color w:val="000000"/>
        </w:rPr>
        <w:t>, such Grantor has good and valid</w:t>
      </w:r>
      <w:r>
        <w:rPr>
          <w:rFonts w:ascii="Arial" w:cs="Arial" w:eastAsia="Arial" w:hAnsi="Arial"/>
          <w:sz w:val="21"/>
          <w:szCs w:val="21"/>
          <w:color w:val="010000"/>
        </w:rPr>
        <w:t xml:space="preserve"> </w:t>
      </w:r>
      <w:r>
        <w:rPr>
          <w:rFonts w:ascii="Arial" w:cs="Arial" w:eastAsia="Arial" w:hAnsi="Arial"/>
          <w:sz w:val="21"/>
          <w:szCs w:val="21"/>
          <w:color w:val="000000"/>
        </w:rPr>
        <w:t>rights in or the power to transfer its respective Collateral, free and clear of all Liens except for Liens permitted under Section 8.04 of the LC Credit Agreement, and has the corporate, unlimited liability company, limited liability company or partnership, as applicable, power and authority to grant to the Agent the security interest in such Collateral pursuant hereto. The execution and delivery by such Grantor of this Security Agreement have been duly authorized by corporate, unlimited liability company, limited liability company, limited partnership or partnership, as applicable, proceedings or actions, and this Security Agreement constitutes a legal, valid and binding obligation of such Grantor and creates a security interest which is enforceable against such Grantor in all Collateral it now owns or hereafter acquires, except (i) as enforceability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(ii) as to the enforceability of provisions for indemnification and the limitations thereon arising as a matter of law or public policy, and (iii) in the case of each Grantor incorporated in England and Wales,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4" w:name="page795"/>
    <w:bookmarkEnd w:id="794"/>
    <w:p>
      <w:pPr>
        <w:jc w:val="both"/>
        <w:spacing w:after="0" w:line="260" w:lineRule="auto"/>
        <w:rPr>
          <w:sz w:val="20"/>
          <w:szCs w:val="20"/>
          <w:color w:val="auto"/>
        </w:rPr>
      </w:pPr>
      <w:r>
        <w:rPr>
          <w:rFonts w:ascii="Arial" w:cs="Arial" w:eastAsia="Arial" w:hAnsi="Arial"/>
          <w:sz w:val="22"/>
          <w:szCs w:val="22"/>
          <w:color w:val="auto"/>
        </w:rPr>
        <w:t xml:space="preserve">subject to Legal Reservations or the need for filings and registrations necessary to create or perfect the Liens on the Collateral granted by each Grantor incorporated in England and Wales in favor of the Secured Parties. When financing statements have been filed in the appropriate offices against such Grantor in the locations listed in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Agent shall have a perfected security interest (with the priority set forth in the Intercreditor Agreement and subject only to Liens permitted by Section 8.04 of the LC Credit Agreement) in the Collateral of each Grantor to the extent such security interest can be perfected by the filing of a financing statement under the Code.</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u w:val="single" w:color="auto"/>
          <w:color w:val="000000"/>
        </w:rPr>
        <w:t>Conflicting Laws and Contracts</w:t>
      </w:r>
      <w:r>
        <w:rPr>
          <w:rFonts w:ascii="Arial" w:cs="Arial" w:eastAsia="Arial" w:hAnsi="Arial"/>
          <w:sz w:val="19"/>
          <w:szCs w:val="19"/>
          <w:color w:val="000000"/>
        </w:rPr>
        <w:t>. Neither the execution and delivery by such Grantor of this Security</w:t>
      </w:r>
      <w:r>
        <w:rPr>
          <w:rFonts w:ascii="Arial" w:cs="Arial" w:eastAsia="Arial" w:hAnsi="Arial"/>
          <w:sz w:val="19"/>
          <w:szCs w:val="19"/>
          <w:color w:val="010000"/>
        </w:rPr>
        <w:t xml:space="preserve"> </w:t>
      </w:r>
      <w:r>
        <w:rPr>
          <w:rFonts w:ascii="Arial" w:cs="Arial" w:eastAsia="Arial" w:hAnsi="Arial"/>
          <w:sz w:val="19"/>
          <w:szCs w:val="19"/>
          <w:color w:val="000000"/>
        </w:rPr>
        <w:t xml:space="preserve">Agreement, the creation and perfection of the security interest in the Collateral granted hereunder, nor compliance with the terms and provisions hereof (i) will breach or violate any applicable Requirement of Law binding on such Grantor, (ii) will result in any breach or violation of, or constitute a default under, or result in the creation or imposition of (or the obligation to create or impose) any Lien prohibited under the LC Credit Agreement, upon any of its property or assets pursuant to the terms of (a) the Senior Secured Notes Indenture or (b) any other indenture, agreement or other instrument to which such Grantor is a party or by which any property or asset of it is bound or to which it is subject, except for breaches, violations and defaults under </w:t>
      </w:r>
      <w:r>
        <w:rPr>
          <w:rFonts w:ascii="Arial" w:cs="Arial" w:eastAsia="Arial" w:hAnsi="Arial"/>
          <w:sz w:val="19"/>
          <w:szCs w:val="19"/>
          <w:u w:val="single" w:color="auto"/>
          <w:color w:val="000000"/>
        </w:rPr>
        <w:t>clauses (i)</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(ii)(b)</w:t>
      </w:r>
      <w:r>
        <w:rPr>
          <w:rFonts w:ascii="Arial" w:cs="Arial" w:eastAsia="Arial" w:hAnsi="Arial"/>
          <w:sz w:val="19"/>
          <w:szCs w:val="19"/>
          <w:color w:val="000000"/>
        </w:rPr>
        <w:t xml:space="preserve"> that collectively for the Grantors would not have a Material Adverse Effect, or (iii) will violate any provision of such Grantor’s charter, articles or certificate of incorporation or formation, memorandum of association, partnership agreement, by-laws, bye-laws or operating agreement (or similar constitutive document).</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u w:val="single" w:color="auto"/>
          <w:color w:val="000000"/>
        </w:rPr>
        <w:t>Principal Location</w:t>
      </w:r>
      <w:r>
        <w:rPr>
          <w:rFonts w:ascii="Arial" w:cs="Arial" w:eastAsia="Arial" w:hAnsi="Arial"/>
          <w:sz w:val="22"/>
          <w:szCs w:val="22"/>
          <w:color w:val="000000"/>
        </w:rPr>
        <w:t>. Such Grantor’s mailing address and the location of its place of business (if it has only one)</w:t>
      </w:r>
      <w:r>
        <w:rPr>
          <w:rFonts w:ascii="Arial" w:cs="Arial" w:eastAsia="Arial" w:hAnsi="Arial"/>
          <w:sz w:val="22"/>
          <w:szCs w:val="22"/>
          <w:color w:val="010000"/>
        </w:rPr>
        <w:t xml:space="preserve"> </w:t>
      </w:r>
      <w:r>
        <w:rPr>
          <w:rFonts w:ascii="Arial" w:cs="Arial" w:eastAsia="Arial" w:hAnsi="Arial"/>
          <w:sz w:val="22"/>
          <w:szCs w:val="22"/>
          <w:color w:val="000000"/>
        </w:rPr>
        <w:t xml:space="preserve">or its chief executive office (if it has more than one place of business), are disclosed, as of the applicable Determination Date, in </w:t>
      </w:r>
      <w:r>
        <w:rPr>
          <w:rFonts w:ascii="Arial" w:cs="Arial" w:eastAsia="Arial" w:hAnsi="Arial"/>
          <w:sz w:val="22"/>
          <w:szCs w:val="22"/>
          <w:u w:val="single" w:color="auto"/>
          <w:color w:val="000000"/>
        </w:rPr>
        <w:t>Exhibit “A”</w:t>
      </w:r>
      <w:r>
        <w:rPr>
          <w:rFonts w:ascii="Arial" w:cs="Arial" w:eastAsia="Arial" w:hAnsi="Arial"/>
          <w:sz w:val="22"/>
          <w:szCs w:val="22"/>
          <w:color w:val="000000"/>
        </w:rPr>
        <w:t>.</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u w:val="single" w:color="auto"/>
          <w:color w:val="000000"/>
        </w:rPr>
        <w:t>Property Locations</w:t>
      </w:r>
      <w:r>
        <w:rPr>
          <w:rFonts w:ascii="Arial" w:cs="Arial" w:eastAsia="Arial" w:hAnsi="Arial"/>
          <w:sz w:val="22"/>
          <w:szCs w:val="22"/>
          <w:color w:val="000000"/>
        </w:rPr>
        <w:t>.</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Exhibit “A”</w:t>
      </w:r>
      <w:r>
        <w:rPr>
          <w:rFonts w:ascii="Arial" w:cs="Arial" w:eastAsia="Arial" w:hAnsi="Arial"/>
          <w:sz w:val="22"/>
          <w:szCs w:val="22"/>
          <w:color w:val="010000"/>
        </w:rPr>
        <w:t xml:space="preserve"> </w:t>
      </w:r>
      <w:r>
        <w:rPr>
          <w:rFonts w:ascii="Arial" w:cs="Arial" w:eastAsia="Arial" w:hAnsi="Arial"/>
          <w:sz w:val="22"/>
          <w:szCs w:val="22"/>
          <w:color w:val="000000"/>
        </w:rPr>
        <w:t>lists, as of the applicable Determination Date, all of such Grantor’s locations</w:t>
      </w:r>
      <w:r>
        <w:rPr>
          <w:rFonts w:ascii="Arial" w:cs="Arial" w:eastAsia="Arial" w:hAnsi="Arial"/>
          <w:sz w:val="22"/>
          <w:szCs w:val="22"/>
          <w:color w:val="010000"/>
        </w:rPr>
        <w:t xml:space="preserve"> </w:t>
      </w:r>
      <w:r>
        <w:rPr>
          <w:rFonts w:ascii="Arial" w:cs="Arial" w:eastAsia="Arial" w:hAnsi="Arial"/>
          <w:sz w:val="22"/>
          <w:szCs w:val="22"/>
          <w:color w:val="000000"/>
        </w:rPr>
        <w:t xml:space="preserve">(limited, in the case of any Foreign Grantor, to its United States locations) where Inventory and Equipment constituting Collateral are located (other than any such location where the book value of all Inventory and Equipment located thereon does not exceed $10,000,000). Such </w:t>
      </w:r>
      <w:r>
        <w:rPr>
          <w:rFonts w:ascii="Arial" w:cs="Arial" w:eastAsia="Arial" w:hAnsi="Arial"/>
          <w:sz w:val="22"/>
          <w:szCs w:val="22"/>
          <w:u w:val="single" w:color="auto"/>
          <w:color w:val="000000"/>
        </w:rPr>
        <w:t>Exhibit “A”</w:t>
      </w:r>
      <w:r>
        <w:rPr>
          <w:rFonts w:ascii="Arial" w:cs="Arial" w:eastAsia="Arial" w:hAnsi="Arial"/>
          <w:sz w:val="22"/>
          <w:szCs w:val="22"/>
          <w:color w:val="000000"/>
        </w:rPr>
        <w:t xml:space="preserve"> shall indicate whether such locations are locations (i) owned by a Grantor, (ii) leased by such Grantor as lessee or (iii) at which Inventory is held in a public warehouse or is otherwise held by a bailee or on consignment by such Grantor.</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010000"/>
        </w:rPr>
        <w:t xml:space="preserve">3.5. </w:t>
      </w:r>
      <w:r>
        <w:rPr>
          <w:rFonts w:ascii="Arial" w:cs="Arial" w:eastAsia="Arial" w:hAnsi="Arial"/>
          <w:sz w:val="21"/>
          <w:szCs w:val="21"/>
          <w:u w:val="single" w:color="auto"/>
          <w:color w:val="000000"/>
        </w:rPr>
        <w:t>No Other Names; Etc.</w:t>
      </w:r>
      <w:r>
        <w:rPr>
          <w:rFonts w:ascii="Arial" w:cs="Arial" w:eastAsia="Arial" w:hAnsi="Arial"/>
          <w:sz w:val="21"/>
          <w:szCs w:val="21"/>
          <w:color w:val="010000"/>
        </w:rPr>
        <w:t xml:space="preserve"> </w:t>
      </w:r>
      <w:r>
        <w:rPr>
          <w:rFonts w:ascii="Arial" w:cs="Arial" w:eastAsia="Arial" w:hAnsi="Arial"/>
          <w:sz w:val="21"/>
          <w:szCs w:val="21"/>
          <w:color w:val="000000"/>
        </w:rPr>
        <w:t>Within the five-year period ending as of the date such Person becomes a Grantor</w:t>
      </w:r>
      <w:r>
        <w:rPr>
          <w:rFonts w:ascii="Arial" w:cs="Arial" w:eastAsia="Arial" w:hAnsi="Arial"/>
          <w:sz w:val="21"/>
          <w:szCs w:val="21"/>
          <w:color w:val="010000"/>
        </w:rPr>
        <w:t xml:space="preserve"> </w:t>
      </w:r>
      <w:r>
        <w:rPr>
          <w:rFonts w:ascii="Arial" w:cs="Arial" w:eastAsia="Arial" w:hAnsi="Arial"/>
          <w:sz w:val="21"/>
          <w:szCs w:val="21"/>
          <w:color w:val="000000"/>
        </w:rPr>
        <w:t xml:space="preserve">hereunder, such Grantor has not conducted business under any other name, changed its jurisdiction of organization or incorporation, merged with or into or consolidated or amalgamated with any other Person, except as disclosed in </w:t>
      </w:r>
      <w:r>
        <w:rPr>
          <w:rFonts w:ascii="Arial" w:cs="Arial" w:eastAsia="Arial" w:hAnsi="Arial"/>
          <w:sz w:val="21"/>
          <w:szCs w:val="21"/>
          <w:u w:val="single" w:color="auto"/>
          <w:color w:val="000000"/>
        </w:rPr>
        <w:t>Exhibit “A”</w:t>
      </w:r>
      <w:r>
        <w:rPr>
          <w:rFonts w:ascii="Arial" w:cs="Arial" w:eastAsia="Arial" w:hAnsi="Arial"/>
          <w:sz w:val="21"/>
          <w:szCs w:val="21"/>
          <w:color w:val="000000"/>
        </w:rPr>
        <w:t>. The name in which such Grantor has executed this Security Agreement (or a Security Agreement Supplement) is, as of the date such agreement is executed and delivered, the exact name as it appears in such Grantor’s charter or certificate of incorporation or formation (or similar formation document), as amended, as filed with such Grantor’s jurisdiction of organization or incorporation as of the date such Person becomes a Grantor hereunder.</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3.6. </w:t>
      </w:r>
      <w:r>
        <w:rPr>
          <w:rFonts w:ascii="Arial" w:cs="Arial" w:eastAsia="Arial" w:hAnsi="Arial"/>
          <w:sz w:val="22"/>
          <w:szCs w:val="22"/>
          <w:u w:val="single" w:color="auto"/>
          <w:color w:val="000000"/>
        </w:rPr>
        <w:t>Accounts and Chattel Paper</w:t>
      </w:r>
      <w:r>
        <w:rPr>
          <w:rFonts w:ascii="Arial" w:cs="Arial" w:eastAsia="Arial" w:hAnsi="Arial"/>
          <w:sz w:val="22"/>
          <w:szCs w:val="22"/>
          <w:color w:val="000000"/>
        </w:rPr>
        <w:t>. The names of the obligors, amounts owing, due dates and other information with</w:t>
      </w:r>
      <w:r>
        <w:rPr>
          <w:rFonts w:ascii="Arial" w:cs="Arial" w:eastAsia="Arial" w:hAnsi="Arial"/>
          <w:sz w:val="22"/>
          <w:szCs w:val="22"/>
          <w:color w:val="010000"/>
        </w:rPr>
        <w:t xml:space="preserve"> </w:t>
      </w:r>
      <w:r>
        <w:rPr>
          <w:rFonts w:ascii="Arial" w:cs="Arial" w:eastAsia="Arial" w:hAnsi="Arial"/>
          <w:sz w:val="22"/>
          <w:szCs w:val="22"/>
          <w:color w:val="000000"/>
        </w:rPr>
        <w:t>respect to the Accounts and Chattel Paper owned by such Grantor and constituting Collateral are and will be correctly stated in all material respects in all records of such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5" w:name="page796"/>
    <w:bookmarkEnd w:id="795"/>
    <w:p>
      <w:pPr>
        <w:jc w:val="both"/>
        <w:spacing w:after="0" w:line="261" w:lineRule="auto"/>
        <w:rPr>
          <w:sz w:val="20"/>
          <w:szCs w:val="20"/>
          <w:color w:val="auto"/>
        </w:rPr>
      </w:pPr>
      <w:r>
        <w:rPr>
          <w:rFonts w:ascii="Arial" w:cs="Arial" w:eastAsia="Arial" w:hAnsi="Arial"/>
          <w:sz w:val="22"/>
          <w:szCs w:val="22"/>
          <w:color w:val="auto"/>
        </w:rPr>
        <w:t>Grantor relating thereto and in all invoices and reports with respect thereto furnished to the Agent by such Grantor from time to time. As of the time when each Account or each item of Chattel Paper constituting Collateral arises, such Grantor shall be deemed to have represented and warranted that such Account or Chattel Paper, as the case may be, and all records relating thereto, are genuine and in all respects what they purport to be, except, in each case, as could not be reasonably expected to result in a Material Adverse Effect.</w:t>
      </w:r>
    </w:p>
    <w:p>
      <w:pPr>
        <w:spacing w:after="0" w:line="1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010000"/>
        </w:rPr>
        <w:t xml:space="preserve">3.7. </w:t>
      </w:r>
      <w:r>
        <w:rPr>
          <w:rFonts w:ascii="Arial" w:cs="Arial" w:eastAsia="Arial" w:hAnsi="Arial"/>
          <w:sz w:val="21"/>
          <w:szCs w:val="21"/>
          <w:u w:val="single" w:color="auto"/>
          <w:color w:val="000000"/>
        </w:rPr>
        <w:t>No Financing Statements, Security Agreements</w:t>
      </w:r>
      <w:r>
        <w:rPr>
          <w:rFonts w:ascii="Arial" w:cs="Arial" w:eastAsia="Arial" w:hAnsi="Arial"/>
          <w:sz w:val="21"/>
          <w:szCs w:val="21"/>
          <w:color w:val="000000"/>
        </w:rPr>
        <w:t>. No financing statement or security agreement describing all or</w:t>
      </w:r>
      <w:r>
        <w:rPr>
          <w:rFonts w:ascii="Arial" w:cs="Arial" w:eastAsia="Arial" w:hAnsi="Arial"/>
          <w:sz w:val="21"/>
          <w:szCs w:val="21"/>
          <w:color w:val="010000"/>
        </w:rPr>
        <w:t xml:space="preserve"> </w:t>
      </w:r>
      <w:r>
        <w:rPr>
          <w:rFonts w:ascii="Arial" w:cs="Arial" w:eastAsia="Arial" w:hAnsi="Arial"/>
          <w:sz w:val="21"/>
          <w:szCs w:val="21"/>
          <w:color w:val="000000"/>
        </w:rPr>
        <w:t xml:space="preserve">any portion of the Collateral (other than a financing statement or security agreement that has lapsed or been terminated) naming such Grantor as debtor has been filed or is of record in any jurisdiction except financing statements (i) naming the Agent on behalf of the Secured Parties as the secured party and (ii) in respect of Liens permitted by Section 8.04 of the LC Credit Agreement; </w:t>
      </w:r>
      <w:r>
        <w:rPr>
          <w:rFonts w:ascii="Arial" w:cs="Arial" w:eastAsia="Arial" w:hAnsi="Arial"/>
          <w:sz w:val="21"/>
          <w:szCs w:val="21"/>
          <w:u w:val="single" w:color="auto"/>
          <w:color w:val="000000"/>
        </w:rPr>
        <w:t>provided</w:t>
      </w:r>
      <w:r>
        <w:rPr>
          <w:rFonts w:ascii="Arial" w:cs="Arial" w:eastAsia="Arial" w:hAnsi="Arial"/>
          <w:sz w:val="21"/>
          <w:szCs w:val="21"/>
          <w:color w:val="000000"/>
        </w:rPr>
        <w:t>, that nothing herein shall be deemed to constitute an agreement to subordinate any of the Liens of the Agent under the Loan Documents to any Liens otherwise permitted under Section 8.04 of the LC Credit Agreement or except as set forth in the Intercreditor Agreement.</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010000"/>
        </w:rPr>
        <w:t xml:space="preserve">3.8. </w:t>
      </w:r>
      <w:r>
        <w:rPr>
          <w:rFonts w:ascii="Arial" w:cs="Arial" w:eastAsia="Arial" w:hAnsi="Arial"/>
          <w:sz w:val="22"/>
          <w:szCs w:val="22"/>
          <w:u w:val="single" w:color="auto"/>
          <w:color w:val="000000"/>
        </w:rPr>
        <w:t>Federal Employer Identification Number; State Organization Number; Jurisdiction of Organization</w:t>
      </w:r>
      <w:r>
        <w:rPr>
          <w:rFonts w:ascii="Arial" w:cs="Arial" w:eastAsia="Arial" w:hAnsi="Arial"/>
          <w:sz w:val="22"/>
          <w:szCs w:val="22"/>
          <w:color w:val="000000"/>
        </w:rPr>
        <w:t>. Such</w:t>
      </w:r>
      <w:r>
        <w:rPr>
          <w:rFonts w:ascii="Arial" w:cs="Arial" w:eastAsia="Arial" w:hAnsi="Arial"/>
          <w:sz w:val="22"/>
          <w:szCs w:val="22"/>
          <w:color w:val="010000"/>
        </w:rPr>
        <w:t xml:space="preserve"> </w:t>
      </w:r>
      <w:r>
        <w:rPr>
          <w:rFonts w:ascii="Arial" w:cs="Arial" w:eastAsia="Arial" w:hAnsi="Arial"/>
          <w:sz w:val="22"/>
          <w:szCs w:val="22"/>
          <w:color w:val="000000"/>
        </w:rPr>
        <w:t xml:space="preserve">Grantor’s federal employer identification number (if any) is, and if such Grantor is a registered organization, such Grantor’s state of organization, type of organization and state of organization identification number (if any) are, as of the applicable Determination Date, listed in </w:t>
      </w:r>
      <w:r>
        <w:rPr>
          <w:rFonts w:ascii="Arial" w:cs="Arial" w:eastAsia="Arial" w:hAnsi="Arial"/>
          <w:sz w:val="22"/>
          <w:szCs w:val="22"/>
          <w:u w:val="single" w:color="auto"/>
          <w:color w:val="000000"/>
        </w:rPr>
        <w:t>Exhibit “G”</w:t>
      </w:r>
      <w:r>
        <w:rPr>
          <w:rFonts w:ascii="Arial" w:cs="Arial" w:eastAsia="Arial" w:hAnsi="Arial"/>
          <w:sz w:val="22"/>
          <w:szCs w:val="22"/>
          <w:color w:val="000000"/>
        </w:rPr>
        <w:t>.</w:t>
      </w:r>
    </w:p>
    <w:p>
      <w:pPr>
        <w:spacing w:after="0" w:line="15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010000"/>
        </w:rPr>
        <w:t xml:space="preserve">3.9. </w:t>
      </w:r>
      <w:r>
        <w:rPr>
          <w:rFonts w:ascii="Arial" w:cs="Arial" w:eastAsia="Arial" w:hAnsi="Arial"/>
          <w:sz w:val="19"/>
          <w:szCs w:val="19"/>
          <w:u w:val="single" w:color="auto"/>
          <w:color w:val="000000"/>
        </w:rPr>
        <w:t>Pledged Securities and Other Investment Property</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Exhibit “D”</w:t>
      </w:r>
      <w:r>
        <w:rPr>
          <w:rFonts w:ascii="Arial" w:cs="Arial" w:eastAsia="Arial" w:hAnsi="Arial"/>
          <w:sz w:val="19"/>
          <w:szCs w:val="19"/>
          <w:color w:val="010000"/>
        </w:rPr>
        <w:t xml:space="preserve"> </w:t>
      </w:r>
      <w:r>
        <w:rPr>
          <w:rFonts w:ascii="Arial" w:cs="Arial" w:eastAsia="Arial" w:hAnsi="Arial"/>
          <w:sz w:val="19"/>
          <w:szCs w:val="19"/>
          <w:color w:val="000000"/>
        </w:rPr>
        <w:t>sets forth, as of the applicable Determination</w:t>
      </w:r>
      <w:r>
        <w:rPr>
          <w:rFonts w:ascii="Arial" w:cs="Arial" w:eastAsia="Arial" w:hAnsi="Arial"/>
          <w:sz w:val="19"/>
          <w:szCs w:val="19"/>
          <w:color w:val="010000"/>
        </w:rPr>
        <w:t xml:space="preserve"> </w:t>
      </w:r>
      <w:r>
        <w:rPr>
          <w:rFonts w:ascii="Arial" w:cs="Arial" w:eastAsia="Arial" w:hAnsi="Arial"/>
          <w:sz w:val="19"/>
          <w:szCs w:val="19"/>
          <w:color w:val="000000"/>
        </w:rPr>
        <w:t xml:space="preserve">Date, a complete and accurate list of the Instruments (other than the Intercompany Instruments), Securities and other Investment Property constituting Collateral and delivered to the Agent. Each Grantor is the direct and beneficial owner of each Instrument, Security and other type of Investment Property listed in </w:t>
      </w:r>
      <w:r>
        <w:rPr>
          <w:rFonts w:ascii="Arial" w:cs="Arial" w:eastAsia="Arial" w:hAnsi="Arial"/>
          <w:sz w:val="19"/>
          <w:szCs w:val="19"/>
          <w:u w:val="single" w:color="auto"/>
          <w:color w:val="000000"/>
        </w:rPr>
        <w:t>Exhibit “D”</w:t>
      </w:r>
      <w:r>
        <w:rPr>
          <w:rFonts w:ascii="Arial" w:cs="Arial" w:eastAsia="Arial" w:hAnsi="Arial"/>
          <w:sz w:val="19"/>
          <w:szCs w:val="19"/>
          <w:color w:val="000000"/>
        </w:rPr>
        <w:t xml:space="preserve"> as being owned by it, free and clear of any Liens, except for the security interest granted to the Agent for the benefit of the Secured Parties hereunder or as permitted by Section 8.04 of the LC Credit Agreement. Each Grantor further represents and warrants that (i) all Pledged Collateral owned by it constituting Capital Stock has been (to the extent such concepts are relevant with respect to such Pledged Collateral) duly authorized and validly issued, are fully paid and non-assessable and constitute, as of the applicable Determination Date, the percentage of the issued and outstanding shares of stock (or other Capital Stock) of the respective issuers thereof indicated in </w:t>
      </w:r>
      <w:r>
        <w:rPr>
          <w:rFonts w:ascii="Arial" w:cs="Arial" w:eastAsia="Arial" w:hAnsi="Arial"/>
          <w:sz w:val="19"/>
          <w:szCs w:val="19"/>
          <w:u w:val="single" w:color="auto"/>
          <w:color w:val="000000"/>
        </w:rPr>
        <w:t>Exhibit “D”</w:t>
      </w:r>
      <w:r>
        <w:rPr>
          <w:rFonts w:ascii="Arial" w:cs="Arial" w:eastAsia="Arial" w:hAnsi="Arial"/>
          <w:sz w:val="19"/>
          <w:szCs w:val="19"/>
          <w:color w:val="000000"/>
        </w:rPr>
        <w:t xml:space="preserve"> hereto and (ii) all such Pledged Collateral held by a securities intermediary (including in a Securities Account) is covered by a Control Agreement among such Grantor, the securities intermediary and the Agent pursuant to which the Agent has Control to the extent required by </w:t>
      </w:r>
      <w:r>
        <w:rPr>
          <w:rFonts w:ascii="Arial" w:cs="Arial" w:eastAsia="Arial" w:hAnsi="Arial"/>
          <w:sz w:val="19"/>
          <w:szCs w:val="19"/>
          <w:u w:val="single" w:color="auto"/>
          <w:color w:val="000000"/>
        </w:rPr>
        <w:t>Section 4.5</w:t>
      </w:r>
      <w:r>
        <w:rPr>
          <w:rFonts w:ascii="Arial" w:cs="Arial" w:eastAsia="Arial" w:hAnsi="Arial"/>
          <w:sz w:val="19"/>
          <w:szCs w:val="19"/>
          <w:color w:val="000000"/>
        </w:rPr>
        <w:t>. In addition, each Grantor hereby represents and warrants that (i) no partnership agreement or operating agreement (or similar constitutive document) with respect to Pledged Collateral in respect of a limited liability company or partnership provides that such Pledged Collateral constitute securities governed by Article 8 of the UCC as in effect in any relevant jurisdiction and (ii) no Collateral constitutes “certificated securities” within the meaning of Article 8 of the Uniform Commercial Code as in effect in any relevant jurisdiction (such securities, “</w:t>
      </w:r>
      <w:r>
        <w:rPr>
          <w:rFonts w:ascii="Arial" w:cs="Arial" w:eastAsia="Arial" w:hAnsi="Arial"/>
          <w:sz w:val="19"/>
          <w:szCs w:val="19"/>
          <w:u w:val="single" w:color="auto"/>
          <w:color w:val="000000"/>
        </w:rPr>
        <w:t>Certificated Securities</w:t>
      </w:r>
      <w:r>
        <w:rPr>
          <w:rFonts w:ascii="Arial" w:cs="Arial" w:eastAsia="Arial" w:hAnsi="Arial"/>
          <w:sz w:val="19"/>
          <w:szCs w:val="19"/>
          <w:color w:val="000000"/>
        </w:rPr>
        <w:t xml:space="preserve">”), except as otherwise indicated on </w:t>
      </w:r>
      <w:r>
        <w:rPr>
          <w:rFonts w:ascii="Arial" w:cs="Arial" w:eastAsia="Arial" w:hAnsi="Arial"/>
          <w:sz w:val="19"/>
          <w:szCs w:val="19"/>
          <w:u w:val="single" w:color="auto"/>
          <w:color w:val="000000"/>
        </w:rPr>
        <w:t>Exhibit “D”</w:t>
      </w:r>
      <w:r>
        <w:rPr>
          <w:rFonts w:ascii="Arial" w:cs="Arial" w:eastAsia="Arial" w:hAnsi="Arial"/>
          <w:sz w:val="19"/>
          <w:szCs w:val="19"/>
          <w:color w:val="000000"/>
        </w:rPr>
        <w:t>. Each Grantor covenants that for so long as this Security Agreement is in effect, it shall not permit any of its Subsidiaries whose Capital Stock is Pledged Collateral (the “</w:t>
      </w:r>
      <w:r>
        <w:rPr>
          <w:rFonts w:ascii="Arial" w:cs="Arial" w:eastAsia="Arial" w:hAnsi="Arial"/>
          <w:sz w:val="19"/>
          <w:szCs w:val="19"/>
          <w:u w:val="single" w:color="auto"/>
          <w:color w:val="000000"/>
        </w:rPr>
        <w:t>Acknowledgment Parties</w:t>
      </w:r>
      <w:r>
        <w:rPr>
          <w:rFonts w:ascii="Arial" w:cs="Arial" w:eastAsia="Arial" w:hAnsi="Arial"/>
          <w:sz w:val="19"/>
          <w:szCs w:val="19"/>
          <w:color w:val="000000"/>
        </w:rPr>
        <w:t xml:space="preserve">”) (i) except as otherwise indicated on </w:t>
      </w:r>
      <w:r>
        <w:rPr>
          <w:rFonts w:ascii="Arial" w:cs="Arial" w:eastAsia="Arial" w:hAnsi="Arial"/>
          <w:sz w:val="19"/>
          <w:szCs w:val="19"/>
          <w:u w:val="single" w:color="auto"/>
          <w:color w:val="000000"/>
        </w:rPr>
        <w:t>Exhibit “D”</w:t>
      </w:r>
      <w:r>
        <w:rPr>
          <w:rFonts w:ascii="Arial" w:cs="Arial" w:eastAsia="Arial" w:hAnsi="Arial"/>
          <w:sz w:val="19"/>
          <w:szCs w:val="19"/>
          <w:color w:val="000000"/>
        </w:rPr>
        <w:t>, to cause such Capital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6" w:name="page797"/>
    <w:bookmarkEnd w:id="796"/>
    <w:p>
      <w:pPr>
        <w:jc w:val="both"/>
        <w:spacing w:after="0" w:line="306" w:lineRule="auto"/>
        <w:rPr>
          <w:sz w:val="20"/>
          <w:szCs w:val="20"/>
          <w:color w:val="auto"/>
        </w:rPr>
      </w:pPr>
      <w:r>
        <w:rPr>
          <w:rFonts w:ascii="Arial" w:cs="Arial" w:eastAsia="Arial" w:hAnsi="Arial"/>
          <w:sz w:val="19"/>
          <w:szCs w:val="19"/>
          <w:color w:val="auto"/>
        </w:rPr>
        <w:t xml:space="preserve">Stock to become Certificated Securities, or (ii) except as otherwise indicated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for any such Subsidiaries that are limited liability companies or partnerships, to elect that its membership interests becomes governed by Article 8 of the Uniform Commercial Code as in effect in any relevant jurisdiction without the consent of all pledgees of such membership interests or the delivery of any applicable limited liability company certificate or control agreement necessary to perfect each such pledgee's interests in the applicable membership interests. Each Grantor further agrees to cause each Acknowledgment Party, other than any Acknowledgment Party that is a ULC, to execute and deliver an acknowledgment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hereto promptly upon such party becoming an Acknowledgment Party.</w:t>
      </w:r>
    </w:p>
    <w:p>
      <w:pPr>
        <w:spacing w:after="0" w:line="11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010000"/>
        </w:rPr>
        <w:t>3.10.</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jc w:val="both"/>
        <w:ind w:left="660" w:firstLine="972"/>
        <w:spacing w:after="0" w:line="303" w:lineRule="auto"/>
        <w:rPr>
          <w:sz w:val="20"/>
          <w:szCs w:val="20"/>
          <w:color w:val="auto"/>
        </w:rPr>
      </w:pPr>
      <w:r>
        <w:rPr>
          <w:rFonts w:ascii="Arial" w:cs="Arial" w:eastAsia="Arial" w:hAnsi="Arial"/>
          <w:sz w:val="19"/>
          <w:szCs w:val="19"/>
          <w:color w:val="010000"/>
        </w:rPr>
        <w:t xml:space="preserve">3.10.1 </w:t>
      </w:r>
      <w:r>
        <w:rPr>
          <w:rFonts w:ascii="Arial" w:cs="Arial" w:eastAsia="Arial" w:hAnsi="Arial"/>
          <w:sz w:val="19"/>
          <w:szCs w:val="19"/>
          <w:u w:val="single" w:color="auto"/>
          <w:color w:val="000000"/>
        </w:rPr>
        <w:t>Exhibit “B”</w:t>
      </w:r>
      <w:r>
        <w:rPr>
          <w:rFonts w:ascii="Arial" w:cs="Arial" w:eastAsia="Arial" w:hAnsi="Arial"/>
          <w:sz w:val="19"/>
          <w:szCs w:val="19"/>
          <w:color w:val="010000"/>
        </w:rPr>
        <w:t xml:space="preserve"> </w:t>
      </w:r>
      <w:r>
        <w:rPr>
          <w:rFonts w:ascii="Arial" w:cs="Arial" w:eastAsia="Arial" w:hAnsi="Arial"/>
          <w:sz w:val="19"/>
          <w:szCs w:val="19"/>
          <w:color w:val="000000"/>
        </w:rPr>
        <w:t>contains a complete and accurate listing as of the applicable Determination Date of all</w:t>
      </w:r>
      <w:r>
        <w:rPr>
          <w:rFonts w:ascii="Arial" w:cs="Arial" w:eastAsia="Arial" w:hAnsi="Arial"/>
          <w:sz w:val="19"/>
          <w:szCs w:val="19"/>
          <w:color w:val="010000"/>
        </w:rPr>
        <w:t xml:space="preserve"> </w:t>
      </w:r>
      <w:r>
        <w:rPr>
          <w:rFonts w:ascii="Arial" w:cs="Arial" w:eastAsia="Arial" w:hAnsi="Arial"/>
          <w:sz w:val="19"/>
          <w:szCs w:val="19"/>
          <w:color w:val="000000"/>
        </w:rPr>
        <w:t xml:space="preserve">of the below-described Specified Intellectual Property of each of the Grantors (limited, in the case of each Foreign Grantor, to U.S. Specified Intellectual Property): (i) state, U.S. and foreign trademark registrations, and applications for trademark registration, (ii) U.S. and foreign patents and patent applications, together with all reissuances, continuations, continuations in part, revisions, extensions, and reexaminations thereof, (iii) U.S. and foreign copyright registrations and applications for registration, (iv) Exclusive Copyright Licenses, (v) foreign industrial design registrations and industrial design applications, and (vi) domain names. All of the U.S. registrations, applications for registration or applications for issuance of such Specified Intellectual Property are valid and subsisting, in good standing and, subject to </w:t>
      </w:r>
      <w:r>
        <w:rPr>
          <w:rFonts w:ascii="Arial" w:cs="Arial" w:eastAsia="Arial" w:hAnsi="Arial"/>
          <w:sz w:val="19"/>
          <w:szCs w:val="19"/>
          <w:u w:val="single" w:color="auto"/>
          <w:color w:val="000000"/>
        </w:rPr>
        <w:t>Section 3.10.10</w:t>
      </w:r>
      <w:r>
        <w:rPr>
          <w:rFonts w:ascii="Arial" w:cs="Arial" w:eastAsia="Arial" w:hAnsi="Arial"/>
          <w:sz w:val="19"/>
          <w:szCs w:val="19"/>
          <w:color w:val="000000"/>
        </w:rPr>
        <w:t>, are recorded or in the process of being recorded in the name of the applicable Grantor, except as could not be reasonably expected to result in a Material Adverse Effect.</w:t>
      </w:r>
    </w:p>
    <w:p>
      <w:pPr>
        <w:spacing w:after="0" w:line="117"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3.10.2 </w:t>
      </w:r>
      <w:r>
        <w:rPr>
          <w:rFonts w:ascii="Arial" w:cs="Arial" w:eastAsia="Arial" w:hAnsi="Arial"/>
          <w:sz w:val="22"/>
          <w:szCs w:val="22"/>
          <w:color w:val="000000"/>
        </w:rPr>
        <w:t>Such Intellectual Property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Exhibit “B”</w:t>
      </w:r>
      <w:r>
        <w:rPr>
          <w:rFonts w:ascii="Arial" w:cs="Arial" w:eastAsia="Arial" w:hAnsi="Arial"/>
          <w:sz w:val="22"/>
          <w:szCs w:val="22"/>
          <w:color w:val="010000"/>
        </w:rPr>
        <w:t xml:space="preserve"> </w:t>
      </w:r>
      <w:r>
        <w:rPr>
          <w:rFonts w:ascii="Arial" w:cs="Arial" w:eastAsia="Arial" w:hAnsi="Arial"/>
          <w:sz w:val="22"/>
          <w:szCs w:val="22"/>
          <w:color w:val="000000"/>
        </w:rPr>
        <w:t>is valid, subsisting, unexpired (where registered) and</w:t>
      </w:r>
      <w:r>
        <w:rPr>
          <w:rFonts w:ascii="Arial" w:cs="Arial" w:eastAsia="Arial" w:hAnsi="Arial"/>
          <w:sz w:val="22"/>
          <w:szCs w:val="22"/>
          <w:color w:val="010000"/>
        </w:rPr>
        <w:t xml:space="preserve"> </w:t>
      </w:r>
      <w:r>
        <w:rPr>
          <w:rFonts w:ascii="Arial" w:cs="Arial" w:eastAsia="Arial" w:hAnsi="Arial"/>
          <w:sz w:val="22"/>
          <w:szCs w:val="22"/>
          <w:color w:val="000000"/>
        </w:rPr>
        <w:t>enforceable and has not been abandoned or adjudged invalid or unenforceable, in whole or in part, except as could not be reasonably expected to result in a Material Adverse Effect.</w:t>
      </w:r>
    </w:p>
    <w:p>
      <w:pPr>
        <w:spacing w:after="0" w:line="144" w:lineRule="exact"/>
        <w:rPr>
          <w:sz w:val="20"/>
          <w:szCs w:val="20"/>
          <w:color w:val="auto"/>
        </w:rPr>
      </w:pPr>
    </w:p>
    <w:p>
      <w:pPr>
        <w:jc w:val="both"/>
        <w:ind w:left="660" w:firstLine="972"/>
        <w:spacing w:after="0" w:line="306" w:lineRule="auto"/>
        <w:rPr>
          <w:sz w:val="20"/>
          <w:szCs w:val="20"/>
          <w:color w:val="auto"/>
        </w:rPr>
      </w:pPr>
      <w:r>
        <w:rPr>
          <w:rFonts w:ascii="Arial" w:cs="Arial" w:eastAsia="Arial" w:hAnsi="Arial"/>
          <w:sz w:val="19"/>
          <w:szCs w:val="19"/>
          <w:color w:val="010000"/>
        </w:rPr>
        <w:t xml:space="preserve">3.10.3 </w:t>
      </w:r>
      <w:r>
        <w:rPr>
          <w:rFonts w:ascii="Arial" w:cs="Arial" w:eastAsia="Arial" w:hAnsi="Arial"/>
          <w:sz w:val="19"/>
          <w:szCs w:val="19"/>
          <w:color w:val="000000"/>
        </w:rPr>
        <w:t>Subject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3.10.10</w:t>
      </w:r>
      <w:r>
        <w:rPr>
          <w:rFonts w:ascii="Arial" w:cs="Arial" w:eastAsia="Arial" w:hAnsi="Arial"/>
          <w:sz w:val="19"/>
          <w:szCs w:val="19"/>
          <w:color w:val="000000"/>
        </w:rPr>
        <w:t>, (i) no Person other than the respective Grantor (or any other Grantor)</w:t>
      </w:r>
      <w:r>
        <w:rPr>
          <w:rFonts w:ascii="Arial" w:cs="Arial" w:eastAsia="Arial" w:hAnsi="Arial"/>
          <w:sz w:val="19"/>
          <w:szCs w:val="19"/>
          <w:color w:val="010000"/>
        </w:rPr>
        <w:t xml:space="preserve"> </w:t>
      </w:r>
      <w:r>
        <w:rPr>
          <w:rFonts w:ascii="Arial" w:cs="Arial" w:eastAsia="Arial" w:hAnsi="Arial"/>
          <w:sz w:val="19"/>
          <w:szCs w:val="19"/>
          <w:color w:val="000000"/>
        </w:rPr>
        <w:t>has any right or interest of any kind or nature in or to the Specified Intellectual Property owned by such Grantor, including any right to sell, license, lease, transfer, distribute, use or otherwise exploit such Specified Intellectual Property or any portion thereof outside of the ordinary course of the respective Grantor’s business, except as could not be reasonably expected to result in a Material Adverse Effect and (ii) each Grantor has good, marketable and exclusive title to, and the valid and enforceable power and right to sell, license, transfer, distribute, use and otherwise exploit, its Specified Intellectual Property, except as could not be reasonably expected to result in a Material Adverse Effect.</w:t>
      </w:r>
    </w:p>
    <w:p>
      <w:pPr>
        <w:spacing w:after="0" w:line="129" w:lineRule="exact"/>
        <w:rPr>
          <w:sz w:val="20"/>
          <w:szCs w:val="20"/>
          <w:color w:val="auto"/>
        </w:rPr>
      </w:pPr>
    </w:p>
    <w:p>
      <w:pPr>
        <w:jc w:val="both"/>
        <w:ind w:left="660" w:firstLine="972"/>
        <w:spacing w:after="0" w:line="279" w:lineRule="auto"/>
        <w:rPr>
          <w:sz w:val="20"/>
          <w:szCs w:val="20"/>
          <w:color w:val="auto"/>
        </w:rPr>
      </w:pPr>
      <w:r>
        <w:rPr>
          <w:rFonts w:ascii="Arial" w:cs="Arial" w:eastAsia="Arial" w:hAnsi="Arial"/>
          <w:sz w:val="21"/>
          <w:szCs w:val="21"/>
          <w:color w:val="010000"/>
        </w:rPr>
        <w:t xml:space="preserve">3.10.4 </w:t>
      </w:r>
      <w:r>
        <w:rPr>
          <w:rFonts w:ascii="Arial" w:cs="Arial" w:eastAsia="Arial" w:hAnsi="Arial"/>
          <w:sz w:val="21"/>
          <w:szCs w:val="21"/>
          <w:color w:val="000000"/>
        </w:rPr>
        <w:t>Each Grantor has taken or caused to be taken steps so that none of its Specified Intellectual</w:t>
      </w:r>
      <w:r>
        <w:rPr>
          <w:rFonts w:ascii="Arial" w:cs="Arial" w:eastAsia="Arial" w:hAnsi="Arial"/>
          <w:sz w:val="21"/>
          <w:szCs w:val="21"/>
          <w:color w:val="010000"/>
        </w:rPr>
        <w:t xml:space="preserve"> </w:t>
      </w:r>
      <w:r>
        <w:rPr>
          <w:rFonts w:ascii="Arial" w:cs="Arial" w:eastAsia="Arial" w:hAnsi="Arial"/>
          <w:sz w:val="21"/>
          <w:szCs w:val="21"/>
          <w:color w:val="000000"/>
        </w:rPr>
        <w:t>Property, the value of which to the Grantors are contingent upon maintenance of the confidentiality thereof, have been disclosed by such Grantor to any Person other than any Affiliate owners thereof and employees, contractors, customers, representatives and agents of the Grantors or such Affiliate owners who are parties to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7" w:name="page798"/>
    <w:bookmarkEnd w:id="797"/>
    <w:p>
      <w:pPr>
        <w:ind w:left="660"/>
        <w:spacing w:after="0"/>
        <w:rPr>
          <w:sz w:val="20"/>
          <w:szCs w:val="20"/>
          <w:color w:val="auto"/>
        </w:rPr>
      </w:pPr>
      <w:r>
        <w:rPr>
          <w:rFonts w:ascii="Arial" w:cs="Arial" w:eastAsia="Arial" w:hAnsi="Arial"/>
          <w:sz w:val="21"/>
          <w:szCs w:val="21"/>
          <w:color w:val="auto"/>
        </w:rPr>
        <w:t>customary confidentiality and nondisclosure agreements with the Grantors or such Affiliate owners, as applicable.</w:t>
      </w:r>
    </w:p>
    <w:p>
      <w:pPr>
        <w:spacing w:after="0" w:line="204"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3.10.5 </w:t>
      </w:r>
      <w:r>
        <w:rPr>
          <w:rFonts w:ascii="Arial" w:cs="Arial" w:eastAsia="Arial" w:hAnsi="Arial"/>
          <w:sz w:val="22"/>
          <w:szCs w:val="22"/>
          <w:color w:val="000000"/>
        </w:rPr>
        <w:t>To each Grantor’s knowledge, no Person has violated, infringed upon or breached, or is currently</w:t>
      </w:r>
      <w:r>
        <w:rPr>
          <w:rFonts w:ascii="Arial" w:cs="Arial" w:eastAsia="Arial" w:hAnsi="Arial"/>
          <w:sz w:val="22"/>
          <w:szCs w:val="22"/>
          <w:color w:val="010000"/>
        </w:rPr>
        <w:t xml:space="preserve"> </w:t>
      </w:r>
      <w:r>
        <w:rPr>
          <w:rFonts w:ascii="Arial" w:cs="Arial" w:eastAsia="Arial" w:hAnsi="Arial"/>
          <w:sz w:val="22"/>
          <w:szCs w:val="22"/>
          <w:color w:val="000000"/>
        </w:rPr>
        <w:t>violating, infringing upon or breaching, any of the rights of the Grantors to the Specified Intellectual Property or has breached or is breaching any duty or obligation owed to the Grantors in respect of the Specified Intellectual Property except where those breaches, individually or in the aggregate, could not be reasonably expected to result in a Material Adverse Effect.</w:t>
      </w:r>
    </w:p>
    <w:p>
      <w:pPr>
        <w:spacing w:after="0" w:line="163"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3.10.6 </w:t>
      </w:r>
      <w:r>
        <w:rPr>
          <w:rFonts w:ascii="Arial" w:cs="Arial" w:eastAsia="Arial" w:hAnsi="Arial"/>
          <w:sz w:val="22"/>
          <w:szCs w:val="22"/>
          <w:color w:val="000000"/>
        </w:rPr>
        <w:t>No settlement or consents, covenants not to sue, nonassertion assurances, or releases have been</w:t>
      </w:r>
      <w:r>
        <w:rPr>
          <w:rFonts w:ascii="Arial" w:cs="Arial" w:eastAsia="Arial" w:hAnsi="Arial"/>
          <w:sz w:val="22"/>
          <w:szCs w:val="22"/>
          <w:color w:val="010000"/>
        </w:rPr>
        <w:t xml:space="preserve"> </w:t>
      </w:r>
      <w:r>
        <w:rPr>
          <w:rFonts w:ascii="Arial" w:cs="Arial" w:eastAsia="Arial" w:hAnsi="Arial"/>
          <w:sz w:val="22"/>
          <w:szCs w:val="22"/>
          <w:color w:val="000000"/>
        </w:rPr>
        <w:t>entered into by any Grantor or to which any Grantor is bound that adversely affects its rights to own or use any Specified Intellectual Property except as could not be reasonably expected to result in a Material Adverse Effect, in each case individually or in the aggregate.</w:t>
      </w:r>
    </w:p>
    <w:p>
      <w:pPr>
        <w:spacing w:after="0" w:line="151"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3.10.7 </w:t>
      </w:r>
      <w:r>
        <w:rPr>
          <w:rFonts w:ascii="Arial" w:cs="Arial" w:eastAsia="Arial" w:hAnsi="Arial"/>
          <w:sz w:val="22"/>
          <w:szCs w:val="22"/>
          <w:color w:val="000000"/>
        </w:rPr>
        <w:t>No Grantor has received any written notice that remains outstanding challenging the validity,</w:t>
      </w:r>
      <w:r>
        <w:rPr>
          <w:rFonts w:ascii="Arial" w:cs="Arial" w:eastAsia="Arial" w:hAnsi="Arial"/>
          <w:sz w:val="22"/>
          <w:szCs w:val="22"/>
          <w:color w:val="010000"/>
        </w:rPr>
        <w:t xml:space="preserve"> </w:t>
      </w:r>
      <w:r>
        <w:rPr>
          <w:rFonts w:ascii="Arial" w:cs="Arial" w:eastAsia="Arial" w:hAnsi="Arial"/>
          <w:sz w:val="22"/>
          <w:szCs w:val="22"/>
          <w:color w:val="000000"/>
        </w:rPr>
        <w:t>enforceability, or ownership of any Specified Intellectual Property except where those challenges could not reasonably be expected to result in a Material Adverse Effect, and to such Grantor’s knowledge at the date hereof there are no facts upon which such a challenge could be made.</w:t>
      </w:r>
    </w:p>
    <w:p>
      <w:pPr>
        <w:spacing w:after="0" w:line="151"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3.10.8 </w:t>
      </w:r>
      <w:r>
        <w:rPr>
          <w:rFonts w:ascii="Arial" w:cs="Arial" w:eastAsia="Arial" w:hAnsi="Arial"/>
          <w:sz w:val="22"/>
          <w:szCs w:val="22"/>
          <w:color w:val="000000"/>
        </w:rPr>
        <w:t>Each Grantor owns directly or is entitled to use, by license or otherwise, all Specified Intellectual</w:t>
      </w:r>
      <w:r>
        <w:rPr>
          <w:rFonts w:ascii="Arial" w:cs="Arial" w:eastAsia="Arial" w:hAnsi="Arial"/>
          <w:sz w:val="22"/>
          <w:szCs w:val="22"/>
          <w:color w:val="010000"/>
        </w:rPr>
        <w:t xml:space="preserve"> </w:t>
      </w:r>
      <w:r>
        <w:rPr>
          <w:rFonts w:ascii="Arial" w:cs="Arial" w:eastAsia="Arial" w:hAnsi="Arial"/>
          <w:sz w:val="22"/>
          <w:szCs w:val="22"/>
          <w:color w:val="000000"/>
        </w:rPr>
        <w:t>Property necessary for the conduct of such Grantor’s business, and the conduct of each Grantor’s business does not infringe upon the Intellectual Property of any other Person, except as could not reasonably be expected to result in a Material Adverse Effect.</w:t>
      </w:r>
    </w:p>
    <w:p>
      <w:pPr>
        <w:spacing w:after="0" w:line="164" w:lineRule="exact"/>
        <w:rPr>
          <w:sz w:val="20"/>
          <w:szCs w:val="20"/>
          <w:color w:val="auto"/>
        </w:rPr>
      </w:pPr>
    </w:p>
    <w:p>
      <w:pPr>
        <w:jc w:val="both"/>
        <w:ind w:left="660" w:firstLine="972"/>
        <w:spacing w:after="0" w:line="301" w:lineRule="auto"/>
        <w:rPr>
          <w:sz w:val="20"/>
          <w:szCs w:val="20"/>
          <w:color w:val="auto"/>
        </w:rPr>
      </w:pPr>
      <w:r>
        <w:rPr>
          <w:rFonts w:ascii="Arial" w:cs="Arial" w:eastAsia="Arial" w:hAnsi="Arial"/>
          <w:sz w:val="21"/>
          <w:szCs w:val="21"/>
          <w:color w:val="010000"/>
        </w:rPr>
        <w:t xml:space="preserve">3.10.9 </w:t>
      </w:r>
      <w:r>
        <w:rPr>
          <w:rFonts w:ascii="Arial" w:cs="Arial" w:eastAsia="Arial" w:hAnsi="Arial"/>
          <w:sz w:val="21"/>
          <w:szCs w:val="21"/>
          <w:color w:val="000000"/>
        </w:rPr>
        <w:t>The consummation of the transactions contemplated by the Loan Documents will not result in the</w:t>
      </w:r>
      <w:r>
        <w:rPr>
          <w:rFonts w:ascii="Arial" w:cs="Arial" w:eastAsia="Arial" w:hAnsi="Arial"/>
          <w:sz w:val="21"/>
          <w:szCs w:val="21"/>
          <w:color w:val="010000"/>
        </w:rPr>
        <w:t xml:space="preserve"> </w:t>
      </w:r>
      <w:r>
        <w:rPr>
          <w:rFonts w:ascii="Arial" w:cs="Arial" w:eastAsia="Arial" w:hAnsi="Arial"/>
          <w:sz w:val="21"/>
          <w:szCs w:val="21"/>
          <w:color w:val="000000"/>
        </w:rPr>
        <w:t>termination or material impairment of any material Specified Intellectual Property owned by such Grantor.</w:t>
      </w:r>
    </w:p>
    <w:p>
      <w:pPr>
        <w:spacing w:after="0" w:line="110" w:lineRule="exact"/>
        <w:rPr>
          <w:sz w:val="20"/>
          <w:szCs w:val="20"/>
          <w:color w:val="auto"/>
        </w:rPr>
      </w:pPr>
    </w:p>
    <w:p>
      <w:pPr>
        <w:jc w:val="both"/>
        <w:ind w:left="660" w:right="20" w:firstLine="972"/>
        <w:spacing w:after="0" w:line="276" w:lineRule="auto"/>
        <w:rPr>
          <w:sz w:val="20"/>
          <w:szCs w:val="20"/>
          <w:color w:val="auto"/>
        </w:rPr>
      </w:pPr>
      <w:r>
        <w:rPr>
          <w:rFonts w:ascii="Arial" w:cs="Arial" w:eastAsia="Arial" w:hAnsi="Arial"/>
          <w:sz w:val="22"/>
          <w:szCs w:val="22"/>
          <w:color w:val="010000"/>
        </w:rPr>
        <w:t xml:space="preserve">3.10.10 </w:t>
      </w:r>
      <w:r>
        <w:rPr>
          <w:rFonts w:ascii="Arial" w:cs="Arial" w:eastAsia="Arial" w:hAnsi="Arial"/>
          <w:sz w:val="22"/>
          <w:szCs w:val="22"/>
          <w:color w:val="000000"/>
        </w:rPr>
        <w:t>Each party hereto acknowledges that certain Specified Intellectual Property is owned in part by</w:t>
      </w:r>
      <w:r>
        <w:rPr>
          <w:rFonts w:ascii="Arial" w:cs="Arial" w:eastAsia="Arial" w:hAnsi="Arial"/>
          <w:sz w:val="22"/>
          <w:szCs w:val="22"/>
          <w:color w:val="010000"/>
        </w:rPr>
        <w:t xml:space="preserve"> </w:t>
      </w:r>
      <w:r>
        <w:rPr>
          <w:rFonts w:ascii="Arial" w:cs="Arial" w:eastAsia="Arial" w:hAnsi="Arial"/>
          <w:sz w:val="22"/>
          <w:szCs w:val="22"/>
          <w:color w:val="000000"/>
        </w:rPr>
        <w:t xml:space="preserve">the Grantors and in part by Affiliates of the Grantors, in each case as scheduled on </w:t>
      </w:r>
      <w:r>
        <w:rPr>
          <w:rFonts w:ascii="Arial" w:cs="Arial" w:eastAsia="Arial" w:hAnsi="Arial"/>
          <w:sz w:val="22"/>
          <w:szCs w:val="22"/>
          <w:u w:val="single" w:color="auto"/>
          <w:color w:val="000000"/>
        </w:rPr>
        <w:t>Exhibit “B”</w:t>
      </w:r>
      <w:r>
        <w:rPr>
          <w:rFonts w:ascii="Arial" w:cs="Arial" w:eastAsia="Arial" w:hAnsi="Arial"/>
          <w:sz w:val="22"/>
          <w:szCs w:val="22"/>
          <w:color w:val="000000"/>
        </w:rPr>
        <w:t>.</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3.11. </w:t>
      </w:r>
      <w:r>
        <w:rPr>
          <w:rFonts w:ascii="Arial" w:cs="Arial" w:eastAsia="Arial" w:hAnsi="Arial"/>
          <w:sz w:val="22"/>
          <w:szCs w:val="22"/>
          <w:u w:val="single" w:color="auto"/>
          <w:color w:val="000000"/>
        </w:rPr>
        <w:t>Specified Deposit Accounts and Securities Accounts</w:t>
      </w:r>
      <w:r>
        <w:rPr>
          <w:rFonts w:ascii="Arial" w:cs="Arial" w:eastAsia="Arial" w:hAnsi="Arial"/>
          <w:sz w:val="22"/>
          <w:szCs w:val="22"/>
          <w:color w:val="000000"/>
        </w:rPr>
        <w:t>. All of such Grantor’s Specified Deposit Accounts and</w:t>
      </w:r>
      <w:r>
        <w:rPr>
          <w:rFonts w:ascii="Arial" w:cs="Arial" w:eastAsia="Arial" w:hAnsi="Arial"/>
          <w:sz w:val="22"/>
          <w:szCs w:val="22"/>
          <w:color w:val="010000"/>
        </w:rPr>
        <w:t xml:space="preserve"> </w:t>
      </w:r>
      <w:r>
        <w:rPr>
          <w:rFonts w:ascii="Arial" w:cs="Arial" w:eastAsia="Arial" w:hAnsi="Arial"/>
          <w:sz w:val="22"/>
          <w:szCs w:val="22"/>
          <w:color w:val="000000"/>
        </w:rPr>
        <w:t xml:space="preserve">Securities Accounts (limited, in the case of each Foreign Grantor, to Specified Deposit Accounts and Securities Accounts located in the United States) as of the applicable Determination Date are listed on </w:t>
      </w:r>
      <w:r>
        <w:rPr>
          <w:rFonts w:ascii="Arial" w:cs="Arial" w:eastAsia="Arial" w:hAnsi="Arial"/>
          <w:sz w:val="22"/>
          <w:szCs w:val="22"/>
          <w:u w:val="single" w:color="auto"/>
          <w:color w:val="000000"/>
        </w:rPr>
        <w:t>Exhibit “H”</w:t>
      </w:r>
      <w:r>
        <w:rPr>
          <w:rFonts w:ascii="Arial" w:cs="Arial" w:eastAsia="Arial" w:hAnsi="Arial"/>
          <w:sz w:val="22"/>
          <w:szCs w:val="22"/>
          <w:color w:val="000000"/>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8" w:name="page799"/>
    <w:bookmarkEnd w:id="798"/>
    <w:p>
      <w:pPr>
        <w:ind w:right="20"/>
        <w:spacing w:after="0" w:line="276" w:lineRule="auto"/>
        <w:rPr>
          <w:sz w:val="20"/>
          <w:szCs w:val="20"/>
          <w:color w:val="auto"/>
        </w:rPr>
      </w:pPr>
      <w:r>
        <w:rPr>
          <w:rFonts w:ascii="Arial" w:cs="Arial" w:eastAsia="Arial" w:hAnsi="Arial"/>
          <w:sz w:val="22"/>
          <w:szCs w:val="22"/>
          <w:color w:val="auto"/>
        </w:rPr>
        <w:t>of the Exhibits hereto with respect to such subsequent Grantor as attached to such Security Agreement Supplement) and thereafter until this Security Agreement is terminated each such subsequent Grantor agrees:</w:t>
      </w:r>
    </w:p>
    <w:p>
      <w:pPr>
        <w:spacing w:after="0" w:line="13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010000"/>
        </w:rPr>
        <w:t>4.1.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w:t>
      </w:r>
    </w:p>
    <w:p>
      <w:pPr>
        <w:spacing w:after="0" w:line="206"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4.1.1 </w:t>
      </w:r>
      <w:r>
        <w:rPr>
          <w:rFonts w:ascii="Arial" w:cs="Arial" w:eastAsia="Arial" w:hAnsi="Arial"/>
          <w:sz w:val="22"/>
          <w:szCs w:val="22"/>
          <w:u w:val="single" w:color="auto"/>
          <w:color w:val="000000"/>
        </w:rPr>
        <w:t>Records</w:t>
      </w:r>
      <w:r>
        <w:rPr>
          <w:rFonts w:ascii="Arial" w:cs="Arial" w:eastAsia="Arial" w:hAnsi="Arial"/>
          <w:sz w:val="22"/>
          <w:szCs w:val="22"/>
          <w:color w:val="000000"/>
        </w:rPr>
        <w:t>. Each Grantor shall keep and maintain, in a manner consistent with prudent business</w:t>
      </w:r>
      <w:r>
        <w:rPr>
          <w:rFonts w:ascii="Arial" w:cs="Arial" w:eastAsia="Arial" w:hAnsi="Arial"/>
          <w:sz w:val="22"/>
          <w:szCs w:val="22"/>
          <w:color w:val="010000"/>
        </w:rPr>
        <w:t xml:space="preserve"> </w:t>
      </w:r>
      <w:r>
        <w:rPr>
          <w:rFonts w:ascii="Arial" w:cs="Arial" w:eastAsia="Arial" w:hAnsi="Arial"/>
          <w:sz w:val="22"/>
          <w:szCs w:val="22"/>
          <w:color w:val="000000"/>
        </w:rPr>
        <w:t>practices, reasonably complete, accurate and proper books and records with respect to the Collateral owned by such Grantor.</w:t>
      </w:r>
    </w:p>
    <w:p>
      <w:pPr>
        <w:spacing w:after="0" w:line="144" w:lineRule="exact"/>
        <w:rPr>
          <w:sz w:val="20"/>
          <w:szCs w:val="20"/>
          <w:color w:val="auto"/>
        </w:rPr>
      </w:pPr>
    </w:p>
    <w:p>
      <w:pPr>
        <w:jc w:val="both"/>
        <w:ind w:left="660" w:firstLine="972"/>
        <w:spacing w:after="0" w:line="300" w:lineRule="auto"/>
        <w:rPr>
          <w:sz w:val="20"/>
          <w:szCs w:val="20"/>
          <w:color w:val="auto"/>
        </w:rPr>
      </w:pPr>
      <w:r>
        <w:rPr>
          <w:rFonts w:ascii="Arial" w:cs="Arial" w:eastAsia="Arial" w:hAnsi="Arial"/>
          <w:sz w:val="19"/>
          <w:szCs w:val="19"/>
          <w:color w:val="010000"/>
        </w:rPr>
        <w:t xml:space="preserve">4.1.2 </w:t>
      </w:r>
      <w:r>
        <w:rPr>
          <w:rFonts w:ascii="Arial" w:cs="Arial" w:eastAsia="Arial" w:hAnsi="Arial"/>
          <w:sz w:val="19"/>
          <w:szCs w:val="19"/>
          <w:u w:val="single" w:color="auto"/>
          <w:color w:val="000000"/>
        </w:rPr>
        <w:t>Financing Statements and Other Actions; Defense of Title</w:t>
      </w:r>
      <w:r>
        <w:rPr>
          <w:rFonts w:ascii="Arial" w:cs="Arial" w:eastAsia="Arial" w:hAnsi="Arial"/>
          <w:sz w:val="19"/>
          <w:szCs w:val="19"/>
          <w:color w:val="000000"/>
        </w:rPr>
        <w:t>. Each Grantor hereby authorizes the</w:t>
      </w:r>
      <w:r>
        <w:rPr>
          <w:rFonts w:ascii="Arial" w:cs="Arial" w:eastAsia="Arial" w:hAnsi="Arial"/>
          <w:sz w:val="19"/>
          <w:szCs w:val="19"/>
          <w:color w:val="010000"/>
        </w:rPr>
        <w:t xml:space="preserve"> </w:t>
      </w:r>
      <w:r>
        <w:rPr>
          <w:rFonts w:ascii="Arial" w:cs="Arial" w:eastAsia="Arial" w:hAnsi="Arial"/>
          <w:sz w:val="19"/>
          <w:szCs w:val="19"/>
          <w:color w:val="000000"/>
        </w:rPr>
        <w:t xml:space="preserve">Agent to file, and if requested will execute and deliver to the Agent, all financing statements describing the Collateral owned by such Grantor and other documents and take such other actions as may from time to time reasonably be requested by the Agent in order to maintain a perfected security interest with the priority set forth in the Intercreditor Agreement in and Lien on, and, if applicable, Control of, the Collateral owned by such Grantor, subject to Liens permitted under Section 8.04 of the LC Credit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nothing herein shall be deemed to constitute an agreement to subordinate any of the Liens of the Agent under the Loan Documents to any Liens otherwise permitted under Section 8.04 of the LC Credit Agreement. Such financing statements may describe the Collateral in the same manner as described herein or may contain an indication or description of Collateral that describes such Collateral in any other manner as the Agent may reasonably determine is necessary, advisable or prudent to ensure the perfection of the security interest in the Collateral granted to the Agent herein, including, without limitation, describing such property as “all assets of the debtor whether now owned or hereafter acquired and wheresoever located, including all accessions thereto and proceeds thereof” or an equivalent formulation. Each Grantor will take any and all actions reasonably necessary to defend title to the Collateral owned by such Grantor against all persons and to defend the security interest of the Agent in such Collateral and the priority thereof against any Lien, in each case, not expressly permitted hereunder or under the LC Credit Agreement.</w:t>
      </w:r>
    </w:p>
    <w:p>
      <w:pPr>
        <w:spacing w:after="0" w:line="399"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2"/>
          <w:szCs w:val="22"/>
          <w:color w:val="010000"/>
        </w:rPr>
        <w:t xml:space="preserve">4.1.3 </w:t>
      </w:r>
      <w:r>
        <w:rPr>
          <w:rFonts w:ascii="Arial" w:cs="Arial" w:eastAsia="Arial" w:hAnsi="Arial"/>
          <w:sz w:val="22"/>
          <w:szCs w:val="22"/>
          <w:u w:val="single" w:color="auto"/>
          <w:color w:val="000000"/>
        </w:rPr>
        <w:t>Change in Corporate Existence, Type or Jurisdiction of Organization, Location, Name</w:t>
      </w:r>
      <w:r>
        <w:rPr>
          <w:rFonts w:ascii="Arial" w:cs="Arial" w:eastAsia="Arial" w:hAnsi="Arial"/>
          <w:sz w:val="22"/>
          <w:szCs w:val="22"/>
          <w:color w:val="000000"/>
        </w:rPr>
        <w:t>. Each</w:t>
      </w:r>
      <w:r>
        <w:rPr>
          <w:rFonts w:ascii="Arial" w:cs="Arial" w:eastAsia="Arial" w:hAnsi="Arial"/>
          <w:sz w:val="22"/>
          <w:szCs w:val="22"/>
          <w:color w:val="010000"/>
        </w:rPr>
        <w:t xml:space="preserve"> </w:t>
      </w:r>
      <w:r>
        <w:rPr>
          <w:rFonts w:ascii="Arial" w:cs="Arial" w:eastAsia="Arial" w:hAnsi="Arial"/>
          <w:sz w:val="22"/>
          <w:szCs w:val="22"/>
          <w:color w:val="000000"/>
        </w:rPr>
        <w:t>Grantor will, except as otherwise permitted by the LC Credit Agreement:</w:t>
      </w:r>
    </w:p>
    <w:p>
      <w:pPr>
        <w:spacing w:after="0" w:line="141" w:lineRule="exact"/>
        <w:rPr>
          <w:sz w:val="20"/>
          <w:szCs w:val="20"/>
          <w:color w:val="auto"/>
        </w:rPr>
      </w:pPr>
    </w:p>
    <w:p>
      <w:pPr>
        <w:ind w:left="2600" w:hanging="648"/>
        <w:spacing w:after="0"/>
        <w:tabs>
          <w:tab w:leader="none" w:pos="2600" w:val="left"/>
        </w:tabs>
        <w:numPr>
          <w:ilvl w:val="0"/>
          <w:numId w:val="917"/>
        </w:numPr>
        <w:rPr>
          <w:rFonts w:ascii="Arial" w:cs="Arial" w:eastAsia="Arial" w:hAnsi="Arial"/>
          <w:sz w:val="18"/>
          <w:szCs w:val="18"/>
          <w:color w:val="010000"/>
        </w:rPr>
      </w:pPr>
      <w:r>
        <w:rPr>
          <w:rFonts w:ascii="Arial" w:cs="Arial" w:eastAsia="Arial" w:hAnsi="Arial"/>
          <w:sz w:val="18"/>
          <w:szCs w:val="18"/>
          <w:color w:val="auto"/>
        </w:rPr>
        <w:t>preserve its existence and corporate structure as in effect on the Effective Date;</w:t>
      </w:r>
    </w:p>
    <w:p>
      <w:pPr>
        <w:spacing w:after="0" w:line="184" w:lineRule="exact"/>
        <w:rPr>
          <w:rFonts w:ascii="Arial" w:cs="Arial" w:eastAsia="Arial" w:hAnsi="Arial"/>
          <w:sz w:val="18"/>
          <w:szCs w:val="18"/>
          <w:color w:val="010000"/>
        </w:rPr>
      </w:pPr>
    </w:p>
    <w:p>
      <w:pPr>
        <w:ind w:left="2600" w:hanging="648"/>
        <w:spacing w:after="0"/>
        <w:tabs>
          <w:tab w:leader="none" w:pos="2600" w:val="left"/>
        </w:tabs>
        <w:numPr>
          <w:ilvl w:val="0"/>
          <w:numId w:val="917"/>
        </w:numPr>
        <w:rPr>
          <w:rFonts w:ascii="Arial" w:cs="Arial" w:eastAsia="Arial" w:hAnsi="Arial"/>
          <w:sz w:val="18"/>
          <w:szCs w:val="18"/>
          <w:color w:val="010000"/>
        </w:rPr>
      </w:pPr>
      <w:r>
        <w:rPr>
          <w:rFonts w:ascii="Arial" w:cs="Arial" w:eastAsia="Arial" w:hAnsi="Arial"/>
          <w:sz w:val="18"/>
          <w:szCs w:val="18"/>
          <w:color w:val="auto"/>
        </w:rPr>
        <w:t>not change its name or jurisdiction of organization or incorporation;</w:t>
      </w:r>
    </w:p>
    <w:p>
      <w:pPr>
        <w:spacing w:after="0" w:line="184" w:lineRule="exact"/>
        <w:rPr>
          <w:rFonts w:ascii="Arial" w:cs="Arial" w:eastAsia="Arial" w:hAnsi="Arial"/>
          <w:sz w:val="18"/>
          <w:szCs w:val="18"/>
          <w:color w:val="010000"/>
        </w:rPr>
      </w:pPr>
    </w:p>
    <w:p>
      <w:pPr>
        <w:ind w:left="2600" w:right="20" w:hanging="648"/>
        <w:spacing w:after="0" w:line="277" w:lineRule="auto"/>
        <w:tabs>
          <w:tab w:leader="none" w:pos="2600" w:val="left"/>
        </w:tabs>
        <w:numPr>
          <w:ilvl w:val="0"/>
          <w:numId w:val="917"/>
        </w:numPr>
        <w:rPr>
          <w:rFonts w:ascii="Arial" w:cs="Arial" w:eastAsia="Arial" w:hAnsi="Arial"/>
          <w:sz w:val="18"/>
          <w:szCs w:val="18"/>
          <w:color w:val="010000"/>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43" w:lineRule="exact"/>
        <w:rPr>
          <w:rFonts w:ascii="Arial" w:cs="Arial" w:eastAsia="Arial" w:hAnsi="Arial"/>
          <w:sz w:val="18"/>
          <w:szCs w:val="18"/>
          <w:color w:val="010000"/>
        </w:rPr>
      </w:pPr>
    </w:p>
    <w:p>
      <w:pPr>
        <w:ind w:left="2600" w:hanging="648"/>
        <w:spacing w:after="0"/>
        <w:tabs>
          <w:tab w:leader="none" w:pos="2600" w:val="left"/>
        </w:tabs>
        <w:numPr>
          <w:ilvl w:val="0"/>
          <w:numId w:val="917"/>
        </w:numPr>
        <w:rPr>
          <w:rFonts w:ascii="Arial" w:cs="Arial" w:eastAsia="Arial" w:hAnsi="Arial"/>
          <w:sz w:val="18"/>
          <w:szCs w:val="18"/>
          <w:color w:val="010000"/>
        </w:rPr>
      </w:pPr>
      <w:r>
        <w:rPr>
          <w:rFonts w:ascii="Arial" w:cs="Arial" w:eastAsia="Arial" w:hAnsi="Arial"/>
          <w:sz w:val="18"/>
          <w:szCs w:val="18"/>
          <w:color w:val="auto"/>
        </w:rPr>
        <w:t>not change its taxpayer identification number (if any) or its mailing address,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9" w:name="page800"/>
    <w:bookmarkEnd w:id="799"/>
    <w:p>
      <w:pPr>
        <w:spacing w:after="0" w:line="276" w:lineRule="auto"/>
        <w:rPr>
          <w:sz w:val="20"/>
          <w:szCs w:val="20"/>
          <w:color w:val="auto"/>
        </w:rPr>
      </w:pPr>
      <w:r>
        <w:rPr>
          <w:rFonts w:ascii="Arial" w:cs="Arial" w:eastAsia="Arial" w:hAnsi="Arial"/>
          <w:sz w:val="22"/>
          <w:szCs w:val="22"/>
          <w:color w:val="auto"/>
        </w:rPr>
        <w:t>unless, in each such case, such Grantor shall have given the Agent not less than 10 days’ (or such shorter period as the Agent may agree) prior written notice of such event or occurrence.</w:t>
      </w:r>
    </w:p>
    <w:p>
      <w:pPr>
        <w:spacing w:after="0" w:line="134" w:lineRule="exact"/>
        <w:rPr>
          <w:sz w:val="20"/>
          <w:szCs w:val="20"/>
          <w:color w:val="auto"/>
        </w:rPr>
      </w:pPr>
    </w:p>
    <w:p>
      <w:pPr>
        <w:jc w:val="both"/>
        <w:ind w:left="660" w:firstLine="972"/>
        <w:spacing w:after="0" w:line="273" w:lineRule="auto"/>
        <w:rPr>
          <w:sz w:val="20"/>
          <w:szCs w:val="20"/>
          <w:color w:val="auto"/>
        </w:rPr>
      </w:pPr>
      <w:r>
        <w:rPr>
          <w:rFonts w:ascii="Arial" w:cs="Arial" w:eastAsia="Arial" w:hAnsi="Arial"/>
          <w:sz w:val="21"/>
          <w:szCs w:val="21"/>
          <w:color w:val="010000"/>
        </w:rPr>
        <w:t xml:space="preserve">4.1.4 </w:t>
      </w:r>
      <w:r>
        <w:rPr>
          <w:rFonts w:ascii="Arial" w:cs="Arial" w:eastAsia="Arial" w:hAnsi="Arial"/>
          <w:sz w:val="21"/>
          <w:szCs w:val="21"/>
          <w:u w:val="single" w:color="auto"/>
          <w:color w:val="000000"/>
        </w:rPr>
        <w:t>Other Financing Statements</w:t>
      </w:r>
      <w:r>
        <w:rPr>
          <w:rFonts w:ascii="Arial" w:cs="Arial" w:eastAsia="Arial" w:hAnsi="Arial"/>
          <w:sz w:val="21"/>
          <w:szCs w:val="21"/>
          <w:color w:val="000000"/>
        </w:rPr>
        <w:t>. No Grantor will suffer to exist or authorize the filing of any financing</w:t>
      </w:r>
      <w:r>
        <w:rPr>
          <w:rFonts w:ascii="Arial" w:cs="Arial" w:eastAsia="Arial" w:hAnsi="Arial"/>
          <w:sz w:val="21"/>
          <w:szCs w:val="21"/>
          <w:color w:val="010000"/>
        </w:rPr>
        <w:t xml:space="preserve"> </w:t>
      </w:r>
      <w:r>
        <w:rPr>
          <w:rFonts w:ascii="Arial" w:cs="Arial" w:eastAsia="Arial" w:hAnsi="Arial"/>
          <w:sz w:val="21"/>
          <w:szCs w:val="21"/>
          <w:color w:val="000000"/>
        </w:rPr>
        <w:t xml:space="preserve">statement naming it as debtor covering all or any portion of the Collateral owned by such Grantor, except any financing statement authorized under </w:t>
      </w:r>
      <w:r>
        <w:rPr>
          <w:rFonts w:ascii="Arial" w:cs="Arial" w:eastAsia="Arial" w:hAnsi="Arial"/>
          <w:sz w:val="21"/>
          <w:szCs w:val="21"/>
          <w:u w:val="single" w:color="auto"/>
          <w:color w:val="000000"/>
        </w:rPr>
        <w:t>Section 4.1.2</w:t>
      </w:r>
      <w:r>
        <w:rPr>
          <w:rFonts w:ascii="Arial" w:cs="Arial" w:eastAsia="Arial" w:hAnsi="Arial"/>
          <w:sz w:val="21"/>
          <w:szCs w:val="21"/>
          <w:color w:val="000000"/>
        </w:rPr>
        <w:t xml:space="preserve"> hereof or in respect of a Lien permitted under Section 8.04 of the LC Credit Agreement. Each Grantor acknowledges that it is not authorized to file any financing statement or amendment or termination statement with respect to any financing statement filed in connection herewith prior to termination of this Security Agreement in accordance with the first sentence of </w:t>
      </w:r>
      <w:r>
        <w:rPr>
          <w:rFonts w:ascii="Arial" w:cs="Arial" w:eastAsia="Arial" w:hAnsi="Arial"/>
          <w:sz w:val="21"/>
          <w:szCs w:val="21"/>
          <w:u w:val="single" w:color="auto"/>
          <w:color w:val="000000"/>
        </w:rPr>
        <w:t>Section 8.13</w:t>
      </w:r>
      <w:r>
        <w:rPr>
          <w:rFonts w:ascii="Arial" w:cs="Arial" w:eastAsia="Arial" w:hAnsi="Arial"/>
          <w:sz w:val="21"/>
          <w:szCs w:val="21"/>
          <w:color w:val="000000"/>
        </w:rPr>
        <w:t xml:space="preserve"> hereof. without the prior written consent of the Agent, subject to such Grantor’s rights under Section 9-509(d)(2) of the UCC.</w:t>
      </w:r>
    </w:p>
    <w:p>
      <w:pPr>
        <w:spacing w:after="0" w:line="15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Receivables</w:t>
      </w:r>
      <w:r>
        <w:rPr>
          <w:rFonts w:ascii="Arial" w:cs="Arial" w:eastAsia="Arial" w:hAnsi="Arial"/>
          <w:sz w:val="19"/>
          <w:szCs w:val="19"/>
          <w:color w:val="auto"/>
        </w:rPr>
        <w:t>.</w:t>
      </w:r>
    </w:p>
    <w:p>
      <w:pPr>
        <w:spacing w:after="0" w:line="193"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4.2.1 </w:t>
      </w:r>
      <w:r>
        <w:rPr>
          <w:rFonts w:ascii="Arial" w:cs="Arial" w:eastAsia="Arial" w:hAnsi="Arial"/>
          <w:sz w:val="22"/>
          <w:szCs w:val="22"/>
          <w:u w:val="single" w:color="auto"/>
          <w:color w:val="000000"/>
        </w:rPr>
        <w:t>Certain Agreements on Receivables</w:t>
      </w:r>
      <w:r>
        <w:rPr>
          <w:rFonts w:ascii="Arial" w:cs="Arial" w:eastAsia="Arial" w:hAnsi="Arial"/>
          <w:sz w:val="22"/>
          <w:szCs w:val="22"/>
          <w:color w:val="000000"/>
        </w:rPr>
        <w:t>. After the occurrence and during the continuation of an Event</w:t>
      </w:r>
      <w:r>
        <w:rPr>
          <w:rFonts w:ascii="Arial" w:cs="Arial" w:eastAsia="Arial" w:hAnsi="Arial"/>
          <w:sz w:val="22"/>
          <w:szCs w:val="22"/>
          <w:color w:val="010000"/>
        </w:rPr>
        <w:t xml:space="preserve"> </w:t>
      </w:r>
      <w:r>
        <w:rPr>
          <w:rFonts w:ascii="Arial" w:cs="Arial" w:eastAsia="Arial" w:hAnsi="Arial"/>
          <w:sz w:val="22"/>
          <w:szCs w:val="22"/>
          <w:color w:val="000000"/>
        </w:rPr>
        <w:t>of Default, no Grantor will make or agree to make any discount, credit, rebate or other reduction in the original amount owing on a Receivable or accept in satisfaction of a Receivable less than the original amount thereof, except as permitted by the LC Credit Agreement. Prior to the occurrence and continuation of an Event of Default, such Grantor may, in its sole discretion, adjust the amount of Accounts arising from the sale of Inventory or the rendering of services in substantially accordance with its present policies and in the ordinary course of business and as otherwise permitted under the LC Credit Agreement.</w:t>
      </w:r>
    </w:p>
    <w:p>
      <w:pPr>
        <w:spacing w:after="0" w:line="155"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4.2.2 </w:t>
      </w:r>
      <w:r>
        <w:rPr>
          <w:rFonts w:ascii="Arial" w:cs="Arial" w:eastAsia="Arial" w:hAnsi="Arial"/>
          <w:sz w:val="22"/>
          <w:szCs w:val="22"/>
          <w:u w:val="single" w:color="auto"/>
          <w:color w:val="000000"/>
        </w:rPr>
        <w:t>Collection of Receivables</w:t>
      </w:r>
      <w:r>
        <w:rPr>
          <w:rFonts w:ascii="Arial" w:cs="Arial" w:eastAsia="Arial" w:hAnsi="Arial"/>
          <w:sz w:val="22"/>
          <w:szCs w:val="22"/>
          <w:color w:val="000000"/>
        </w:rPr>
        <w:t>. Except as otherwise provided in this Security Agreement or as otherwise</w:t>
      </w:r>
      <w:r>
        <w:rPr>
          <w:rFonts w:ascii="Arial" w:cs="Arial" w:eastAsia="Arial" w:hAnsi="Arial"/>
          <w:sz w:val="22"/>
          <w:szCs w:val="22"/>
          <w:color w:val="010000"/>
        </w:rPr>
        <w:t xml:space="preserve"> </w:t>
      </w:r>
      <w:r>
        <w:rPr>
          <w:rFonts w:ascii="Arial" w:cs="Arial" w:eastAsia="Arial" w:hAnsi="Arial"/>
          <w:sz w:val="22"/>
          <w:szCs w:val="22"/>
          <w:color w:val="000000"/>
        </w:rPr>
        <w:t>permitted under the LC Credit Agreement, each Grantor will use commercially reasonable efforts to collect and enforce, at such Grantor’s sole expense, all amounts due or hereafter due to such Grantor under the Receivables owned by such Grantor.</w:t>
      </w:r>
    </w:p>
    <w:p>
      <w:pPr>
        <w:spacing w:after="0" w:line="164" w:lineRule="exact"/>
        <w:rPr>
          <w:sz w:val="20"/>
          <w:szCs w:val="20"/>
          <w:color w:val="auto"/>
        </w:rPr>
      </w:pPr>
    </w:p>
    <w:p>
      <w:pPr>
        <w:jc w:val="both"/>
        <w:ind w:left="660" w:firstLine="972"/>
        <w:spacing w:after="0" w:line="327" w:lineRule="auto"/>
        <w:rPr>
          <w:sz w:val="20"/>
          <w:szCs w:val="20"/>
          <w:color w:val="auto"/>
        </w:rPr>
      </w:pPr>
      <w:r>
        <w:rPr>
          <w:rFonts w:ascii="Arial" w:cs="Arial" w:eastAsia="Arial" w:hAnsi="Arial"/>
          <w:sz w:val="19"/>
          <w:szCs w:val="19"/>
          <w:color w:val="010000"/>
        </w:rPr>
        <w:t xml:space="preserve">4.2.3 </w:t>
      </w:r>
      <w:r>
        <w:rPr>
          <w:rFonts w:ascii="Arial" w:cs="Arial" w:eastAsia="Arial" w:hAnsi="Arial"/>
          <w:sz w:val="19"/>
          <w:szCs w:val="19"/>
          <w:u w:val="single" w:color="auto"/>
          <w:color w:val="000000"/>
        </w:rPr>
        <w:t>Delivery of Invoices</w:t>
      </w:r>
      <w:r>
        <w:rPr>
          <w:rFonts w:ascii="Arial" w:cs="Arial" w:eastAsia="Arial" w:hAnsi="Arial"/>
          <w:sz w:val="19"/>
          <w:szCs w:val="19"/>
          <w:color w:val="000000"/>
        </w:rPr>
        <w:t>. Each Grantor will deliver to the Agent promptly upon its request after the</w:t>
      </w:r>
      <w:r>
        <w:rPr>
          <w:rFonts w:ascii="Arial" w:cs="Arial" w:eastAsia="Arial" w:hAnsi="Arial"/>
          <w:sz w:val="19"/>
          <w:szCs w:val="19"/>
          <w:color w:val="010000"/>
        </w:rPr>
        <w:t xml:space="preserve"> </w:t>
      </w:r>
      <w:r>
        <w:rPr>
          <w:rFonts w:ascii="Arial" w:cs="Arial" w:eastAsia="Arial" w:hAnsi="Arial"/>
          <w:sz w:val="19"/>
          <w:szCs w:val="19"/>
          <w:color w:val="000000"/>
        </w:rPr>
        <w:t>occurrence and during the continuance of an Event of Default duplicate invoices with respect to each Account owned by such Grantor and, if requested by the Agent, bearing such language of assignment as the Agent shall reasonably specify.</w:t>
      </w:r>
    </w:p>
    <w:p>
      <w:pPr>
        <w:spacing w:after="0" w:line="92"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4.2.4 </w:t>
      </w:r>
      <w:r>
        <w:rPr>
          <w:rFonts w:ascii="Arial" w:cs="Arial" w:eastAsia="Arial" w:hAnsi="Arial"/>
          <w:sz w:val="22"/>
          <w:szCs w:val="22"/>
          <w:u w:val="single" w:color="auto"/>
          <w:color w:val="000000"/>
        </w:rPr>
        <w:t>Disclosure of Counterclaim on Receivables</w:t>
      </w:r>
      <w:r>
        <w:rPr>
          <w:rFonts w:ascii="Arial" w:cs="Arial" w:eastAsia="Arial" w:hAnsi="Arial"/>
          <w:sz w:val="22"/>
          <w:szCs w:val="22"/>
          <w:color w:val="000000"/>
        </w:rPr>
        <w:t>. After the occurrence and during the continuation of an</w:t>
      </w:r>
      <w:r>
        <w:rPr>
          <w:rFonts w:ascii="Arial" w:cs="Arial" w:eastAsia="Arial" w:hAnsi="Arial"/>
          <w:sz w:val="22"/>
          <w:szCs w:val="22"/>
          <w:color w:val="010000"/>
        </w:rPr>
        <w:t xml:space="preserve"> </w:t>
      </w:r>
      <w:r>
        <w:rPr>
          <w:rFonts w:ascii="Arial" w:cs="Arial" w:eastAsia="Arial" w:hAnsi="Arial"/>
          <w:sz w:val="22"/>
          <w:szCs w:val="22"/>
          <w:color w:val="000000"/>
        </w:rPr>
        <w:t>Event of Default if (i) any discount, credit or agreement to make a rebate or to otherwise reduce the amount owing on a Receivable owned by such Grantor exists or (ii) to the knowledge of such Grantor, any dispute, setoff, claim, counterclaim or defense exists or has been asserted or threatened with respect to a Receivable, such Grantor will disclose such fact to the Agent in writing in connection with the inspection by the Agent of any record of such Grantor relating to such Receivable and in connection with any invoice or report furnished by such Grantor to the Agent relating to such Receivable.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0" w:name="page801"/>
    <w:bookmarkEnd w:id="800"/>
    <w:p>
      <w:pPr>
        <w:jc w:val="both"/>
        <w:ind w:left="660" w:firstLine="972"/>
        <w:spacing w:after="0" w:line="304" w:lineRule="auto"/>
        <w:rPr>
          <w:sz w:val="20"/>
          <w:szCs w:val="20"/>
          <w:color w:val="auto"/>
        </w:rPr>
      </w:pPr>
      <w:r>
        <w:rPr>
          <w:rFonts w:ascii="Arial" w:cs="Arial" w:eastAsia="Arial" w:hAnsi="Arial"/>
          <w:sz w:val="19"/>
          <w:szCs w:val="19"/>
          <w:color w:val="010000"/>
        </w:rPr>
        <w:t xml:space="preserve">4.2.5 </w:t>
      </w:r>
      <w:r>
        <w:rPr>
          <w:rFonts w:ascii="Arial" w:cs="Arial" w:eastAsia="Arial" w:hAnsi="Arial"/>
          <w:sz w:val="19"/>
          <w:szCs w:val="19"/>
          <w:u w:val="single" w:color="auto"/>
          <w:color w:val="000000"/>
        </w:rPr>
        <w:t>Electronic Chattel Paper</w:t>
      </w:r>
      <w:r>
        <w:rPr>
          <w:rFonts w:ascii="Arial" w:cs="Arial" w:eastAsia="Arial" w:hAnsi="Arial"/>
          <w:sz w:val="19"/>
          <w:szCs w:val="19"/>
          <w:color w:val="000000"/>
        </w:rPr>
        <w:t>. Each Grantor shall promptly notify Agent if any amount in excess of</w:t>
      </w:r>
      <w:r>
        <w:rPr>
          <w:rFonts w:ascii="Arial" w:cs="Arial" w:eastAsia="Arial" w:hAnsi="Arial"/>
          <w:sz w:val="19"/>
          <w:szCs w:val="19"/>
          <w:color w:val="010000"/>
        </w:rPr>
        <w:t xml:space="preserve"> </w:t>
      </w:r>
      <w:r>
        <w:rPr>
          <w:rFonts w:ascii="Arial" w:cs="Arial" w:eastAsia="Arial" w:hAnsi="Arial"/>
          <w:sz w:val="19"/>
          <w:szCs w:val="19"/>
          <w:color w:val="000000"/>
        </w:rPr>
        <w:t>$5,000,000, individually, or $10,000,000 in the aggregate payable under or in connection with any electronic chattel paper or a “transferable record” (as defined in the UETA), and shall take such action as the Agent may reasonably request to establish the Agent’s Control of such electronic chattel paper or transferable record. The Agent agrees with such Grantor that the Agent will arrange, pursuant to procedures reasonably satisfactory to the Agent and so long as such procedures will not result in the Agent’s loss of Control, for the Grantor to make alterations to the electronic chattel paper or transferable record permitted under Section 9-105 of the UCC or Section 16 of the UETA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115"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22"/>
          <w:szCs w:val="22"/>
          <w:color w:val="010000"/>
        </w:rPr>
        <w:t xml:space="preserve">4.2.6 </w:t>
      </w:r>
      <w:r>
        <w:rPr>
          <w:rFonts w:ascii="Arial" w:cs="Arial" w:eastAsia="Arial" w:hAnsi="Arial"/>
          <w:sz w:val="22"/>
          <w:szCs w:val="22"/>
          <w:u w:val="single" w:color="auto"/>
          <w:color w:val="000000"/>
        </w:rPr>
        <w:t>Account Verification</w:t>
      </w:r>
      <w:r>
        <w:rPr>
          <w:rFonts w:ascii="Arial" w:cs="Arial" w:eastAsia="Arial" w:hAnsi="Arial"/>
          <w:sz w:val="22"/>
          <w:szCs w:val="22"/>
          <w:color w:val="000000"/>
        </w:rPr>
        <w:t>. Each Grantor will, and will cause each of its Subsidiaries to, permit Agent, in</w:t>
      </w:r>
      <w:r>
        <w:rPr>
          <w:rFonts w:ascii="Arial" w:cs="Arial" w:eastAsia="Arial" w:hAnsi="Arial"/>
          <w:sz w:val="22"/>
          <w:szCs w:val="22"/>
          <w:color w:val="010000"/>
        </w:rPr>
        <w:t xml:space="preserve"> </w:t>
      </w:r>
      <w:r>
        <w:rPr>
          <w:rFonts w:ascii="Arial" w:cs="Arial" w:eastAsia="Arial" w:hAnsi="Arial"/>
          <w:sz w:val="22"/>
          <w:szCs w:val="22"/>
          <w:color w:val="000000"/>
        </w:rPr>
        <w:t>Agent's name or in the name or a nominee of Agent, after the occurrence and during the continuation of an Event of Default, to verify the validity, amount or any other matter relating to any Account, by mail, telephone, facsimile transmission or other electronic means of transmission or otherwise. Further, at the reasonable request of Agent, each Grantor will, and will cause each of its Subsidiaries to, send requests for verification of Accounts or, after the occurrence and during the continuance of an Event of Default, send notices of assignment of Accounts to Account Debtors and other obligors.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Maintenance of Goods</w:t>
      </w:r>
      <w:r>
        <w:rPr>
          <w:rFonts w:ascii="Arial" w:cs="Arial" w:eastAsia="Arial" w:hAnsi="Arial"/>
          <w:sz w:val="22"/>
          <w:szCs w:val="22"/>
          <w:color w:val="000000"/>
        </w:rPr>
        <w:t>. Each Grantor will do all things reasonably necessary to maintain, preserve, protect and</w:t>
      </w:r>
      <w:r>
        <w:rPr>
          <w:rFonts w:ascii="Arial" w:cs="Arial" w:eastAsia="Arial" w:hAnsi="Arial"/>
          <w:sz w:val="22"/>
          <w:szCs w:val="22"/>
          <w:color w:val="010000"/>
        </w:rPr>
        <w:t xml:space="preserve"> </w:t>
      </w:r>
      <w:r>
        <w:rPr>
          <w:rFonts w:ascii="Arial" w:cs="Arial" w:eastAsia="Arial" w:hAnsi="Arial"/>
          <w:sz w:val="22"/>
          <w:szCs w:val="22"/>
          <w:color w:val="000000"/>
        </w:rPr>
        <w:t>keep the Inventory and the Equipment owned by such Grantor and constituting Collateral in good repair, working order and saleable condition (ordinary wear and tear excepted) and make all necessary and proper repairs, renewals and replacements so that its business carried on in connection therewith may be conducted in the ordinary course, consistent with past practices, except in each case where the failure to do so, individually or in the aggregate, could not reasonably be expected to have a Material Adverse Effect.</w:t>
      </w:r>
    </w:p>
    <w:p>
      <w:pPr>
        <w:spacing w:after="0" w:line="15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Instruments, Securities, Chattel Paper, Documents and Pledged Deposits</w:t>
      </w:r>
      <w:r>
        <w:rPr>
          <w:rFonts w:ascii="Arial" w:cs="Arial" w:eastAsia="Arial" w:hAnsi="Arial"/>
          <w:sz w:val="19"/>
          <w:szCs w:val="19"/>
          <w:color w:val="000000"/>
        </w:rPr>
        <w:t>. Each Grantor will (i) upon the Agent’s</w:t>
      </w:r>
      <w:r>
        <w:rPr>
          <w:rFonts w:ascii="Arial" w:cs="Arial" w:eastAsia="Arial" w:hAnsi="Arial"/>
          <w:sz w:val="19"/>
          <w:szCs w:val="19"/>
          <w:color w:val="010000"/>
        </w:rPr>
        <w:t xml:space="preserve"> </w:t>
      </w:r>
      <w:r>
        <w:rPr>
          <w:rFonts w:ascii="Arial" w:cs="Arial" w:eastAsia="Arial" w:hAnsi="Arial"/>
          <w:sz w:val="19"/>
          <w:szCs w:val="19"/>
          <w:color w:val="000000"/>
        </w:rPr>
        <w:t xml:space="preserve">request, deliver to the Agent, the originals of all Chattel Paper and Instruments (other than Intercompany Instruments;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such Intercompany Instruments shall not be delivered to any Person which is not a Grantor, the Senior Secured Notes Trustee or the Agent), in each case, to the extent evidencing amounts in excess of $5,000,000 individually, or $10,000,000 in the aggregate, and constituting Collateral (if any then exist) and Securities constituting Collateral (to the extent certificated); (ii) hold in trust for the Agent upon receipt and, upon the Agent’s request, promptly thereafter deliver to the Agent any Chattel Paper and Instruments (other than Intercompany Instruments; </w:t>
      </w:r>
      <w:r>
        <w:rPr>
          <w:rFonts w:ascii="Arial" w:cs="Arial" w:eastAsia="Arial" w:hAnsi="Arial"/>
          <w:sz w:val="19"/>
          <w:szCs w:val="19"/>
          <w:u w:val="single" w:color="auto"/>
          <w:color w:val="000000"/>
        </w:rPr>
        <w:t>provided</w:t>
      </w:r>
      <w:r>
        <w:rPr>
          <w:rFonts w:ascii="Arial" w:cs="Arial" w:eastAsia="Arial" w:hAnsi="Arial"/>
          <w:sz w:val="19"/>
          <w:szCs w:val="19"/>
          <w:color w:val="000000"/>
        </w:rPr>
        <w:t>, that such Intercompany Instruments shall not be delivered to any Person who is not a Grantor, the Senior Secured Notes Trustee or the Agent), in each case, to the extent evidencing amounts in excess of $5,000,000 individually or $10,000,000 in the aggregate, and constituting Collateral (if any then exist) and Securities (to the extent certificated); (iii) upon the designation by a Grantor of any Pledged Deposits (as set forth in the definition thereof) as Collateral, deliver to the Agent such Pledged Deposits which are evidenced by certificates included in the Collateral endorsed in blank, marked with such legends and assigned as the Agent shall reasonably specify; (iv) upon the Agent’s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1" w:name="page802"/>
    <w:bookmarkEnd w:id="801"/>
    <w:p>
      <w:pPr>
        <w:jc w:val="both"/>
        <w:spacing w:after="0" w:line="306" w:lineRule="auto"/>
        <w:rPr>
          <w:sz w:val="20"/>
          <w:szCs w:val="20"/>
          <w:color w:val="auto"/>
        </w:rPr>
      </w:pPr>
      <w:r>
        <w:rPr>
          <w:rFonts w:ascii="Arial" w:cs="Arial" w:eastAsia="Arial" w:hAnsi="Arial"/>
          <w:sz w:val="19"/>
          <w:szCs w:val="19"/>
          <w:color w:val="auto"/>
        </w:rPr>
        <w:t xml:space="preserve">request, after the occurrence and during the continuation of an Event of Default (subject to the terms of the Intercreditor Agreement), deliver to the Agent (and thereafter hold in trust for the Agent upon receipt and promptly deliver to the Agent) any Document evidencing or constituting Collateral; and (v) upon the Agent’s request, deliver to the Agent, promptly after the delivery of a Compliance Certificate, a duly executed amendment to this Security Agreement,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Amendment</w:t>
      </w:r>
      <w:r>
        <w:rPr>
          <w:rFonts w:ascii="Arial" w:cs="Arial" w:eastAsia="Arial" w:hAnsi="Arial"/>
          <w:sz w:val="19"/>
          <w:szCs w:val="19"/>
          <w:color w:val="auto"/>
        </w:rPr>
        <w:t>”), pursuant to which such Grantor will specify such additional Collateral pledged hereunder. Such Grantor hereby authorizes the Agent to attach each Amendment to this Security Agreement and agrees that all additional Collateral owned by it set forth in such Amendments shall be considered to be part of the Collateral.</w:t>
      </w:r>
    </w:p>
    <w:p>
      <w:pPr>
        <w:spacing w:after="0" w:line="1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010000"/>
        </w:rPr>
        <w:t xml:space="preserve">4.5. </w:t>
      </w:r>
      <w:r>
        <w:rPr>
          <w:rFonts w:ascii="Arial" w:cs="Arial" w:eastAsia="Arial" w:hAnsi="Arial"/>
          <w:sz w:val="19"/>
          <w:szCs w:val="19"/>
          <w:u w:val="single" w:color="auto"/>
          <w:color w:val="000000"/>
        </w:rPr>
        <w:t>Uncertificated Securities and Certain Other Investment Property</w:t>
      </w:r>
      <w:r>
        <w:rPr>
          <w:rFonts w:ascii="Arial" w:cs="Arial" w:eastAsia="Arial" w:hAnsi="Arial"/>
          <w:sz w:val="19"/>
          <w:szCs w:val="19"/>
          <w:color w:val="000000"/>
        </w:rPr>
        <w:t>. Each Grantor will, following the reasonable</w:t>
      </w:r>
      <w:r>
        <w:rPr>
          <w:rFonts w:ascii="Arial" w:cs="Arial" w:eastAsia="Arial" w:hAnsi="Arial"/>
          <w:sz w:val="19"/>
          <w:szCs w:val="19"/>
          <w:color w:val="010000"/>
        </w:rPr>
        <w:t xml:space="preserve"> </w:t>
      </w:r>
      <w:r>
        <w:rPr>
          <w:rFonts w:ascii="Arial" w:cs="Arial" w:eastAsia="Arial" w:hAnsi="Arial"/>
          <w:sz w:val="19"/>
          <w:szCs w:val="19"/>
          <w:color w:val="000000"/>
        </w:rPr>
        <w:t>request of the Agent (and after the occurrence and during the continuation of an Event of Default, will permit the Agent to) from time to time cause the appropriate issuers (and, if held with a securities intermediary, such securities intermediary) of uncertificated securities or other types of Investment Property owned by such Grantor and constituting Collateral that are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Lien of the Agent granted pursuant to this Security Agreement. With respect to Investment Property having a value in excess of $5,000,000 individually or $10,000,000 in the aggregate and constituting Collateral owned by such Grantor held with a financial intermediary (including in a Securities Account), such Grantor shall, within 30 days following the Effective Date or such later date on which it becomes a Grantor hereunder (in each case, or such later date as may be agreed to by the Agent in its sole discretion), cause such financial intermediary to enter into a Control Agreement with the Agent in form and substance reasonably satisfactory to the Agent, in order to give the Agent Control (subject to the terms of the Intercreditor Agreement) of such Investment Property.</w:t>
      </w:r>
    </w:p>
    <w:p>
      <w:pPr>
        <w:spacing w:after="0" w:line="40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010000"/>
        </w:rPr>
        <w:t>4.6.</w:t>
      </w:r>
      <w:r>
        <w:rPr>
          <w:sz w:val="20"/>
          <w:szCs w:val="20"/>
          <w:color w:val="auto"/>
        </w:rPr>
        <w:tab/>
      </w:r>
      <w:r>
        <w:rPr>
          <w:rFonts w:ascii="Arial" w:cs="Arial" w:eastAsia="Arial" w:hAnsi="Arial"/>
          <w:sz w:val="19"/>
          <w:szCs w:val="19"/>
          <w:u w:val="single" w:color="auto"/>
          <w:color w:val="auto"/>
        </w:rPr>
        <w:t>Stock and Other Ownership Interests</w:t>
      </w:r>
      <w:r>
        <w:rPr>
          <w:rFonts w:ascii="Arial" w:cs="Arial" w:eastAsia="Arial" w:hAnsi="Arial"/>
          <w:sz w:val="19"/>
          <w:szCs w:val="19"/>
          <w:color w:val="auto"/>
        </w:rPr>
        <w:t>.</w:t>
      </w:r>
    </w:p>
    <w:p>
      <w:pPr>
        <w:spacing w:after="0" w:line="193" w:lineRule="exact"/>
        <w:rPr>
          <w:sz w:val="20"/>
          <w:szCs w:val="20"/>
          <w:color w:val="auto"/>
        </w:rPr>
      </w:pPr>
    </w:p>
    <w:p>
      <w:pPr>
        <w:jc w:val="both"/>
        <w:ind w:left="660" w:firstLine="972"/>
        <w:spacing w:after="0" w:line="279" w:lineRule="auto"/>
        <w:rPr>
          <w:sz w:val="20"/>
          <w:szCs w:val="20"/>
          <w:color w:val="auto"/>
        </w:rPr>
      </w:pPr>
      <w:r>
        <w:rPr>
          <w:rFonts w:ascii="Arial" w:cs="Arial" w:eastAsia="Arial" w:hAnsi="Arial"/>
          <w:sz w:val="21"/>
          <w:szCs w:val="21"/>
          <w:color w:val="010000"/>
        </w:rPr>
        <w:t xml:space="preserve">4.6.1 </w:t>
      </w:r>
      <w:r>
        <w:rPr>
          <w:rFonts w:ascii="Arial" w:cs="Arial" w:eastAsia="Arial" w:hAnsi="Arial"/>
          <w:sz w:val="21"/>
          <w:szCs w:val="21"/>
          <w:u w:val="single" w:color="auto"/>
          <w:color w:val="000000"/>
        </w:rPr>
        <w:t>Registration of Pledged Securities and other Investment Property</w:t>
      </w:r>
      <w:r>
        <w:rPr>
          <w:rFonts w:ascii="Arial" w:cs="Arial" w:eastAsia="Arial" w:hAnsi="Arial"/>
          <w:sz w:val="21"/>
          <w:szCs w:val="21"/>
          <w:color w:val="000000"/>
        </w:rPr>
        <w:t>. Subject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4.6.4</w:t>
      </w:r>
      <w:r>
        <w:rPr>
          <w:rFonts w:ascii="Arial" w:cs="Arial" w:eastAsia="Arial" w:hAnsi="Arial"/>
          <w:sz w:val="21"/>
          <w:szCs w:val="21"/>
          <w:color w:val="010000"/>
        </w:rPr>
        <w:t xml:space="preserve"> </w:t>
      </w:r>
      <w:r>
        <w:rPr>
          <w:rFonts w:ascii="Arial" w:cs="Arial" w:eastAsia="Arial" w:hAnsi="Arial"/>
          <w:sz w:val="21"/>
          <w:szCs w:val="21"/>
          <w:color w:val="000000"/>
        </w:rPr>
        <w:t>hereof in</w:t>
      </w:r>
      <w:r>
        <w:rPr>
          <w:rFonts w:ascii="Arial" w:cs="Arial" w:eastAsia="Arial" w:hAnsi="Arial"/>
          <w:sz w:val="21"/>
          <w:szCs w:val="21"/>
          <w:color w:val="010000"/>
        </w:rPr>
        <w:t xml:space="preserve"> </w:t>
      </w:r>
      <w:r>
        <w:rPr>
          <w:rFonts w:ascii="Arial" w:cs="Arial" w:eastAsia="Arial" w:hAnsi="Arial"/>
          <w:sz w:val="21"/>
          <w:szCs w:val="21"/>
          <w:color w:val="000000"/>
        </w:rPr>
        <w:t>the case of ULC Shares, each Grantor will permit any registrable Collateral owned by such Grantor to be registered in the name of the Agent or its nominee at any time at the option of the Required Lenders following the occurrence and during the continuance of an Event of Default and without any further consent of such Grantor.</w:t>
      </w:r>
    </w:p>
    <w:p>
      <w:pPr>
        <w:spacing w:after="0" w:line="133"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4.6.2 </w:t>
      </w:r>
      <w:r>
        <w:rPr>
          <w:rFonts w:ascii="Arial" w:cs="Arial" w:eastAsia="Arial" w:hAnsi="Arial"/>
          <w:sz w:val="22"/>
          <w:szCs w:val="22"/>
          <w:u w:val="single" w:color="auto"/>
          <w:color w:val="000000"/>
        </w:rPr>
        <w:t>Exercise of Rights in Pledged Securities</w:t>
      </w:r>
      <w:r>
        <w:rPr>
          <w:rFonts w:ascii="Arial" w:cs="Arial" w:eastAsia="Arial" w:hAnsi="Arial"/>
          <w:sz w:val="22"/>
          <w:szCs w:val="22"/>
          <w:color w:val="000000"/>
        </w:rPr>
        <w:t>. Subject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4.6.4</w:t>
      </w:r>
      <w:r>
        <w:rPr>
          <w:rFonts w:ascii="Arial" w:cs="Arial" w:eastAsia="Arial" w:hAnsi="Arial"/>
          <w:sz w:val="22"/>
          <w:szCs w:val="22"/>
          <w:color w:val="010000"/>
        </w:rPr>
        <w:t xml:space="preserve"> </w:t>
      </w:r>
      <w:r>
        <w:rPr>
          <w:rFonts w:ascii="Arial" w:cs="Arial" w:eastAsia="Arial" w:hAnsi="Arial"/>
          <w:sz w:val="22"/>
          <w:szCs w:val="22"/>
          <w:color w:val="000000"/>
        </w:rPr>
        <w:t>hereof in the case of ULC Shares,</w:t>
      </w:r>
      <w:r>
        <w:rPr>
          <w:rFonts w:ascii="Arial" w:cs="Arial" w:eastAsia="Arial" w:hAnsi="Arial"/>
          <w:sz w:val="22"/>
          <w:szCs w:val="22"/>
          <w:color w:val="010000"/>
        </w:rPr>
        <w:t xml:space="preserve"> </w:t>
      </w:r>
      <w:r>
        <w:rPr>
          <w:rFonts w:ascii="Arial" w:cs="Arial" w:eastAsia="Arial" w:hAnsi="Arial"/>
          <w:sz w:val="22"/>
          <w:szCs w:val="22"/>
          <w:color w:val="000000"/>
        </w:rPr>
        <w:t>each Grantor will permit the Agent or its nominee at any time after the occurrence and during the continuance of an Event of Default, without notice, to exercise or refrain from exercising any and all voting and other consensual rights pertaining to Pledged Collateral owned by such Grantor or any part thereof, and to receive all dividends and interest in respect of such Pledged Collateral.</w:t>
      </w:r>
    </w:p>
    <w:p>
      <w:pPr>
        <w:spacing w:after="0" w:line="163"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2"/>
          <w:szCs w:val="22"/>
          <w:color w:val="010000"/>
        </w:rPr>
        <w:t xml:space="preserve">4.6.3 </w:t>
      </w:r>
      <w:r>
        <w:rPr>
          <w:rFonts w:ascii="Arial" w:cs="Arial" w:eastAsia="Arial" w:hAnsi="Arial"/>
          <w:sz w:val="22"/>
          <w:szCs w:val="22"/>
          <w:u w:val="single" w:color="auto"/>
          <w:color w:val="000000"/>
        </w:rPr>
        <w:t>ULCs</w:t>
      </w:r>
      <w:r>
        <w:rPr>
          <w:rFonts w:ascii="Arial" w:cs="Arial" w:eastAsia="Arial" w:hAnsi="Arial"/>
          <w:sz w:val="22"/>
          <w:szCs w:val="22"/>
          <w:color w:val="000000"/>
        </w:rPr>
        <w:t>. For greater certainty, the Agent shall have no right under any circumstance to vote ULC</w:t>
      </w:r>
      <w:r>
        <w:rPr>
          <w:rFonts w:ascii="Arial" w:cs="Arial" w:eastAsia="Arial" w:hAnsi="Arial"/>
          <w:sz w:val="22"/>
          <w:szCs w:val="22"/>
          <w:color w:val="010000"/>
        </w:rPr>
        <w:t xml:space="preserve"> </w:t>
      </w:r>
      <w:r>
        <w:rPr>
          <w:rFonts w:ascii="Arial" w:cs="Arial" w:eastAsia="Arial" w:hAnsi="Arial"/>
          <w:sz w:val="22"/>
          <w:szCs w:val="22"/>
          <w:color w:val="000000"/>
        </w:rPr>
        <w:t>Shares or receive dividends from any ULC until such time 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2" w:name="page803"/>
    <w:bookmarkEnd w:id="802"/>
    <w:p>
      <w:pPr>
        <w:jc w:val="both"/>
        <w:ind w:left="660"/>
        <w:spacing w:after="0" w:line="276" w:lineRule="auto"/>
        <w:rPr>
          <w:sz w:val="20"/>
          <w:szCs w:val="20"/>
          <w:color w:val="auto"/>
        </w:rPr>
      </w:pPr>
      <w:r>
        <w:rPr>
          <w:rFonts w:ascii="Arial" w:cs="Arial" w:eastAsia="Arial" w:hAnsi="Arial"/>
          <w:sz w:val="22"/>
          <w:szCs w:val="22"/>
          <w:color w:val="auto"/>
        </w:rPr>
        <w:t>notice is given to the applicable Grantor and further steps are taken so as to register the Agent as the holder of the applicable ULC Shares.</w:t>
      </w:r>
    </w:p>
    <w:p>
      <w:pPr>
        <w:spacing w:after="0" w:line="134" w:lineRule="exact"/>
        <w:rPr>
          <w:sz w:val="20"/>
          <w:szCs w:val="20"/>
          <w:color w:val="auto"/>
        </w:rPr>
      </w:pPr>
    </w:p>
    <w:p>
      <w:pPr>
        <w:jc w:val="both"/>
        <w:ind w:left="660" w:firstLine="972"/>
        <w:spacing w:after="0" w:line="296" w:lineRule="auto"/>
        <w:rPr>
          <w:sz w:val="20"/>
          <w:szCs w:val="20"/>
          <w:color w:val="auto"/>
        </w:rPr>
      </w:pPr>
      <w:r>
        <w:rPr>
          <w:rFonts w:ascii="Arial" w:cs="Arial" w:eastAsia="Arial" w:hAnsi="Arial"/>
          <w:sz w:val="19"/>
          <w:szCs w:val="19"/>
          <w:color w:val="010000"/>
        </w:rPr>
        <w:t xml:space="preserve">4.6.4 </w:t>
      </w:r>
      <w:r>
        <w:rPr>
          <w:rFonts w:ascii="Arial" w:cs="Arial" w:eastAsia="Arial" w:hAnsi="Arial"/>
          <w:sz w:val="19"/>
          <w:szCs w:val="19"/>
          <w:u w:val="single" w:color="auto"/>
          <w:color w:val="000000"/>
        </w:rPr>
        <w:t>ULC Shares</w:t>
      </w:r>
      <w:r>
        <w:rPr>
          <w:rFonts w:ascii="Arial" w:cs="Arial" w:eastAsia="Arial" w:hAnsi="Arial"/>
          <w:sz w:val="19"/>
          <w:szCs w:val="19"/>
          <w:color w:val="000000"/>
        </w:rPr>
        <w:t>. Each Grantor acknowledges that certain of the Collateral of such Grantor may now or</w:t>
      </w:r>
      <w:r>
        <w:rPr>
          <w:rFonts w:ascii="Arial" w:cs="Arial" w:eastAsia="Arial" w:hAnsi="Arial"/>
          <w:sz w:val="19"/>
          <w:szCs w:val="19"/>
          <w:color w:val="010000"/>
        </w:rPr>
        <w:t xml:space="preserve"> </w:t>
      </w:r>
      <w:r>
        <w:rPr>
          <w:rFonts w:ascii="Arial" w:cs="Arial" w:eastAsia="Arial" w:hAnsi="Arial"/>
          <w:sz w:val="19"/>
          <w:szCs w:val="19"/>
          <w:color w:val="000000"/>
        </w:rPr>
        <w:t>in the future consist of ULC Shares, and that it is the intention of the Agent and each Grantor that neither the Agent nor any other Secured Party should under any circumstances prior to realization thereon be held to be a “member” or a “shareholder”, as applicable, of a ULC for the purposes of any ULC Laws. Therefore, notwithstanding any provision to the contrary contained in this Security Agreement, the LC Credit Agreement or any other Loan Document, where a Grantor is the registered owner of ULC Shares which are Collateral of such Grantor, such Grantor shall remain the sole registered owner of such ULC Shares until such time as such ULC Shares are effectively transferred into the name of the Agent, any other Secured Party, or any other Person on the books and records of the applicable ULC. Accordingly, each Grantor shall be entitled to receive and retain for its own account any dividend on or other distribution, if any, with respect to such ULC Shares (except for any dividend or distribution comprised of certificated Securities pledged of such Grantor, which shall be delivered to the Agent to hold hereunder) and shall have the right to vote such ULC Shares and to control the direction, management and policies of the applicable ULC to the same extent as such Grantor would if such ULC Shares were not pledged to the Agent pursuant hereto. Nothing in this Security Agreement, the LC Credit Agreement or any other Loan Document is intended to, and nothing in this Security Agreement, the LC Credit Agreement or any other Loan Document shall, constitute the Agent, any other Secured Party, or any other Person other than the applicable Grantor, a member or shareholder of a ULC for the purposes of any ULC Laws (whether listed or unlisted, registered or beneficial), until such time as notice is given to such Grantor and further steps are taken pursuant hereto or thereto so as to register the Agent, any other Secured Party, or such other Person, as specified in such notice, as the holder of the ULC Shares. To the extent any provision hereof would have the effect of constituting the Agent or any other Secured Party as a member or a shareholder, as applicable, of any ULC prior to such time, such provision shall be severed herefrom and shall be ineffective with respect to ULC Shares which are Collateral of any Grantor without otherwise invalidating or rendering unenforceable this Security Agreement or invalidating or rendering unenforceable such provision insofar as it relates to Collateral of any Grantor which is not ULC Shares. Except upon the exercise of rights of the Agent to sell, transfer or otherwise dispose of ULC Shares in accordance with this Security Agreement, each Grantor shall not cause or permit, or enable a Subsidiary that is a ULC to cause or permit, the Agent or any other Secured Party to:</w:t>
      </w:r>
    </w:p>
    <w:p>
      <w:pPr>
        <w:spacing w:after="0" w:line="18" w:lineRule="exact"/>
        <w:rPr>
          <w:sz w:val="20"/>
          <w:szCs w:val="20"/>
          <w:color w:val="auto"/>
        </w:rPr>
      </w:pPr>
    </w:p>
    <w:p>
      <w:pPr>
        <w:jc w:val="both"/>
        <w:ind w:left="660" w:hanging="4"/>
        <w:spacing w:after="0" w:line="310" w:lineRule="auto"/>
        <w:tabs>
          <w:tab w:leader="none" w:pos="923" w:val="left"/>
        </w:tabs>
        <w:numPr>
          <w:ilvl w:val="0"/>
          <w:numId w:val="918"/>
        </w:numPr>
        <w:rPr>
          <w:rFonts w:ascii="Arial" w:cs="Arial" w:eastAsia="Arial" w:hAnsi="Arial"/>
          <w:sz w:val="19"/>
          <w:szCs w:val="19"/>
          <w:color w:val="auto"/>
        </w:rPr>
      </w:pPr>
      <w:r>
        <w:rPr>
          <w:rFonts w:ascii="Arial" w:cs="Arial" w:eastAsia="Arial" w:hAnsi="Arial"/>
          <w:sz w:val="19"/>
          <w:szCs w:val="19"/>
          <w:color w:val="auto"/>
        </w:rPr>
        <w:t>be registered as a shareholder or member of such Subsidiary; (ii) have any notation entered in their favour in the share register of such Subsidiary; (iii) be held out as shareholders or members of such Subsidiary; (iv) receive, directly or indirectly, any dividends, property or other distributions from such Subsidiary by reason of the Agent holding a Lien over the ULC Shares; or (v) act as a shareholder of such Subsidiary, or exercise any rights of a shareholder including the right to attend a meeting of shareholders of such Subsidiary or to vote its ULC Shares.</w:t>
      </w:r>
    </w:p>
    <w:p>
      <w:pPr>
        <w:spacing w:after="0" w:line="12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010000"/>
        </w:rPr>
        <w:t xml:space="preserve">4.7. </w:t>
      </w:r>
      <w:r>
        <w:rPr>
          <w:rFonts w:ascii="Arial" w:cs="Arial" w:eastAsia="Arial" w:hAnsi="Arial"/>
          <w:sz w:val="22"/>
          <w:szCs w:val="22"/>
          <w:u w:val="single" w:color="auto"/>
          <w:color w:val="000000"/>
        </w:rPr>
        <w:t>Specified Deposit Accounts</w:t>
      </w:r>
      <w:r>
        <w:rPr>
          <w:rFonts w:ascii="Arial" w:cs="Arial" w:eastAsia="Arial" w:hAnsi="Arial"/>
          <w:sz w:val="22"/>
          <w:szCs w:val="22"/>
          <w:color w:val="000000"/>
        </w:rPr>
        <w:t>. Each Grantor will cause each bank or other financial institution in which it</w:t>
      </w:r>
      <w:r>
        <w:rPr>
          <w:rFonts w:ascii="Arial" w:cs="Arial" w:eastAsia="Arial" w:hAnsi="Arial"/>
          <w:sz w:val="22"/>
          <w:szCs w:val="22"/>
          <w:color w:val="010000"/>
        </w:rPr>
        <w:t xml:space="preserve"> </w:t>
      </w:r>
      <w:r>
        <w:rPr>
          <w:rFonts w:ascii="Arial" w:cs="Arial" w:eastAsia="Arial" w:hAnsi="Arial"/>
          <w:sz w:val="22"/>
          <w:szCs w:val="22"/>
          <w:color w:val="000000"/>
        </w:rPr>
        <w:t>maintains a Specified Deposit Account to enter into a Control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3" w:name="page804"/>
    <w:bookmarkEnd w:id="803"/>
    <w:p>
      <w:pPr>
        <w:jc w:val="both"/>
        <w:spacing w:after="0" w:line="261" w:lineRule="auto"/>
        <w:rPr>
          <w:sz w:val="20"/>
          <w:szCs w:val="20"/>
          <w:color w:val="auto"/>
        </w:rPr>
      </w:pPr>
      <w:r>
        <w:rPr>
          <w:rFonts w:ascii="Arial" w:cs="Arial" w:eastAsia="Arial" w:hAnsi="Arial"/>
          <w:sz w:val="22"/>
          <w:szCs w:val="22"/>
          <w:color w:val="auto"/>
        </w:rPr>
        <w:t>with the Agent, in form and substance reasonably satisfactory to the Agent in order to give the Agent Control (subject to the terms of the Intercreditor Agreement) of the Specified Deposit Account within 60 days following the Effective Date or such later date on which it becomes a Grantor hereunder (in each case, or such later date as may be agreed to by the Agent in its sole discretion). In the case of deposits maintained with Lenders, the terms of such letter shall be subject to the provisions of the LC Credit Agreement regarding setoffs.</w:t>
      </w:r>
    </w:p>
    <w:p>
      <w:pPr>
        <w:spacing w:after="0" w:line="150"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010000"/>
        </w:rPr>
        <w:t xml:space="preserve">4.8. </w:t>
      </w:r>
      <w:r>
        <w:rPr>
          <w:rFonts w:ascii="Arial" w:cs="Arial" w:eastAsia="Arial" w:hAnsi="Arial"/>
          <w:sz w:val="19"/>
          <w:szCs w:val="19"/>
          <w:u w:val="single" w:color="auto"/>
          <w:color w:val="000000"/>
        </w:rPr>
        <w:t>Letter of Credit Rights</w:t>
      </w:r>
      <w:r>
        <w:rPr>
          <w:rFonts w:ascii="Arial" w:cs="Arial" w:eastAsia="Arial" w:hAnsi="Arial"/>
          <w:sz w:val="19"/>
          <w:szCs w:val="19"/>
          <w:color w:val="000000"/>
        </w:rPr>
        <w:t>. Each Grantor will, upon the Agent’s request, cause each issuer of a letter of credit in</w:t>
      </w:r>
      <w:r>
        <w:rPr>
          <w:rFonts w:ascii="Arial" w:cs="Arial" w:eastAsia="Arial" w:hAnsi="Arial"/>
          <w:sz w:val="19"/>
          <w:szCs w:val="19"/>
          <w:color w:val="010000"/>
        </w:rPr>
        <w:t xml:space="preserve"> </w:t>
      </w:r>
      <w:r>
        <w:rPr>
          <w:rFonts w:ascii="Arial" w:cs="Arial" w:eastAsia="Arial" w:hAnsi="Arial"/>
          <w:sz w:val="19"/>
          <w:szCs w:val="19"/>
          <w:color w:val="000000"/>
        </w:rPr>
        <w:t>excess of $5,000,000 individually or in the aggregate to consent to the assignment of proceeds of such letter of credit in order to give the Agent Control (subject to the terms of the Intercreditor Agreement) of the Letter of Credit Rights to such letter of credit.</w:t>
      </w:r>
    </w:p>
    <w:p>
      <w:pPr>
        <w:spacing w:after="0" w:line="10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010000"/>
        </w:rPr>
        <w:t>4.9.</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193" w:lineRule="exact"/>
        <w:rPr>
          <w:sz w:val="20"/>
          <w:szCs w:val="20"/>
          <w:color w:val="auto"/>
        </w:rPr>
      </w:pPr>
    </w:p>
    <w:p>
      <w:pPr>
        <w:jc w:val="both"/>
        <w:ind w:left="660" w:firstLine="972"/>
        <w:spacing w:after="0" w:line="301" w:lineRule="auto"/>
        <w:rPr>
          <w:sz w:val="20"/>
          <w:szCs w:val="20"/>
          <w:color w:val="auto"/>
        </w:rPr>
      </w:pPr>
      <w:r>
        <w:rPr>
          <w:rFonts w:ascii="Arial" w:cs="Arial" w:eastAsia="Arial" w:hAnsi="Arial"/>
          <w:sz w:val="19"/>
          <w:szCs w:val="19"/>
          <w:color w:val="010000"/>
        </w:rPr>
        <w:t xml:space="preserve">4.9.1 </w:t>
      </w:r>
      <w:r>
        <w:rPr>
          <w:rFonts w:ascii="Arial" w:cs="Arial" w:eastAsia="Arial" w:hAnsi="Arial"/>
          <w:sz w:val="19"/>
          <w:szCs w:val="19"/>
          <w:color w:val="000000"/>
        </w:rPr>
        <w:t>If, after the date hereof, any Grantor obtains rights to, including, but not limited to filing and</w:t>
      </w:r>
      <w:r>
        <w:rPr>
          <w:rFonts w:ascii="Arial" w:cs="Arial" w:eastAsia="Arial" w:hAnsi="Arial"/>
          <w:sz w:val="19"/>
          <w:szCs w:val="19"/>
          <w:color w:val="010000"/>
        </w:rPr>
        <w:t xml:space="preserve"> </w:t>
      </w:r>
      <w:r>
        <w:rPr>
          <w:rFonts w:ascii="Arial" w:cs="Arial" w:eastAsia="Arial" w:hAnsi="Arial"/>
          <w:sz w:val="19"/>
          <w:szCs w:val="19"/>
          <w:color w:val="000000"/>
        </w:rPr>
        <w:t xml:space="preserve">acceptance of a statement of use or an amendment to allege use with the United States Patent and Trademark Office, or applies for or seeks registration of, any new Patent, Trademark or Copyright (limited, in the case of any Foreign Grantor, to any new U.S. Patent, Trademark or Copyright) in addition to the Patents, Trademarks and Copyrights described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then to the extent the foregoing constitutes Specified Intellectual Property, such Grantor agrees promptly and within 60 days following the date on which financial statements are required to be delivered pursuant to Section 7.01(a) and/or Section 7.01(b) of the LC Credit Agreement, to execute and deliver to the Agent any supplement to this Security Agreement or any other document reasonably requested by the Agent to evidence such security interest in a form appropriate for recording in the applicable U.S. federal office. In the event the applicable Grantor does not comply with the above deadline, each Grantor also hereby authorizes the Agent to (i) modify this Security Agreement unilaterally by amending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to include any future Patents, Trademarks and/or Copyrights constituting Specified Intellectual Property of which such Grantor is required to notify the Agent pursuant hereto and (ii) record, in addition to and not in substitution for this Security Agreement, a duplicate original of this Security Agreement containing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a description of such future registrations and applications for Patents, Trademarks and/or Copyrights constituting Specified Intellectual Property.</w:t>
      </w:r>
    </w:p>
    <w:p>
      <w:pPr>
        <w:spacing w:after="0" w:line="389" w:lineRule="exact"/>
        <w:rPr>
          <w:sz w:val="20"/>
          <w:szCs w:val="20"/>
          <w:color w:val="auto"/>
        </w:rPr>
      </w:pPr>
    </w:p>
    <w:p>
      <w:pPr>
        <w:jc w:val="both"/>
        <w:ind w:left="660" w:firstLine="972"/>
        <w:spacing w:after="0" w:line="303" w:lineRule="auto"/>
        <w:rPr>
          <w:sz w:val="20"/>
          <w:szCs w:val="20"/>
          <w:color w:val="auto"/>
        </w:rPr>
      </w:pPr>
      <w:r>
        <w:rPr>
          <w:rFonts w:ascii="Arial" w:cs="Arial" w:eastAsia="Arial" w:hAnsi="Arial"/>
          <w:sz w:val="19"/>
          <w:szCs w:val="19"/>
          <w:color w:val="010000"/>
        </w:rPr>
        <w:t xml:space="preserve">4.9.2 </w:t>
      </w:r>
      <w:r>
        <w:rPr>
          <w:rFonts w:ascii="Arial" w:cs="Arial" w:eastAsia="Arial" w:hAnsi="Arial"/>
          <w:sz w:val="19"/>
          <w:szCs w:val="19"/>
          <w:color w:val="000000"/>
        </w:rPr>
        <w:t>As of the applicable Determination Date, no Grantor has any interest in, or title to, any U.S.</w:t>
      </w:r>
      <w:r>
        <w:rPr>
          <w:rFonts w:ascii="Arial" w:cs="Arial" w:eastAsia="Arial" w:hAnsi="Arial"/>
          <w:sz w:val="19"/>
          <w:szCs w:val="19"/>
          <w:color w:val="010000"/>
        </w:rPr>
        <w:t xml:space="preserve"> </w:t>
      </w:r>
      <w:r>
        <w:rPr>
          <w:rFonts w:ascii="Arial" w:cs="Arial" w:eastAsia="Arial" w:hAnsi="Arial"/>
          <w:sz w:val="19"/>
          <w:szCs w:val="19"/>
          <w:color w:val="000000"/>
        </w:rPr>
        <w:t xml:space="preserve">Intellectual Property registrations or applications, except as set forth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As of the applicable Determination Date, this Security Agreement is effective to create a valid and continuing Lien on each Grantor’s interest in its Intellectual Property pledged hereunder and, upon timely filing of the IP Short Form with respect to Copyrights with the United States Copyright Office and filing of the IP Short Form with respect to Patents and the IP Short Form with respect to Trademarks with the United States Patent and Trademark Office, and the filing of appropriate financing statements in the jurisdictions listed in </w:t>
      </w:r>
      <w:r>
        <w:rPr>
          <w:rFonts w:ascii="Arial" w:cs="Arial" w:eastAsia="Arial" w:hAnsi="Arial"/>
          <w:sz w:val="19"/>
          <w:szCs w:val="19"/>
          <w:u w:val="single" w:color="auto"/>
          <w:color w:val="000000"/>
        </w:rPr>
        <w:t>Exhibit “E”</w:t>
      </w:r>
      <w:r>
        <w:rPr>
          <w:rFonts w:ascii="Arial" w:cs="Arial" w:eastAsia="Arial" w:hAnsi="Arial"/>
          <w:sz w:val="19"/>
          <w:szCs w:val="19"/>
          <w:color w:val="000000"/>
        </w:rPr>
        <w:t xml:space="preserve"> hereto, all action necessary or desirable to protect and perfect the security interest in, to and on each Grantor’s interest in U.S. Patents, Trademarks or Copyrights that are set forth in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as of the applicable Determination Date shall have been taken and such perfected security interest shall be enforceable as such as against any and all creditors of and purchasers from any Grantor.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4" w:name="page805"/>
    <w:bookmarkEnd w:id="804"/>
    <w:p>
      <w:pPr>
        <w:jc w:val="both"/>
        <w:ind w:firstLine="648"/>
        <w:spacing w:after="0" w:line="259" w:lineRule="auto"/>
        <w:rPr>
          <w:sz w:val="20"/>
          <w:szCs w:val="20"/>
          <w:color w:val="auto"/>
        </w:rPr>
      </w:pPr>
      <w:r>
        <w:rPr>
          <w:rFonts w:ascii="Arial" w:cs="Arial" w:eastAsia="Arial" w:hAnsi="Arial"/>
          <w:sz w:val="22"/>
          <w:szCs w:val="22"/>
          <w:color w:val="010000"/>
        </w:rPr>
        <w:t xml:space="preserve">4.10. </w:t>
      </w:r>
      <w:r>
        <w:rPr>
          <w:rFonts w:ascii="Arial" w:cs="Arial" w:eastAsia="Arial" w:hAnsi="Arial"/>
          <w:sz w:val="22"/>
          <w:szCs w:val="22"/>
          <w:u w:val="single" w:color="auto"/>
          <w:color w:val="000000"/>
        </w:rPr>
        <w:t>Commercial Tort Claims</w:t>
      </w:r>
      <w:r>
        <w:rPr>
          <w:rFonts w:ascii="Arial" w:cs="Arial" w:eastAsia="Arial" w:hAnsi="Arial"/>
          <w:sz w:val="22"/>
          <w:szCs w:val="22"/>
          <w:color w:val="000000"/>
        </w:rPr>
        <w:t>. If, after the date hereof, any Grantor identifies the existence of a Commercial Tort</w:t>
      </w:r>
      <w:r>
        <w:rPr>
          <w:rFonts w:ascii="Arial" w:cs="Arial" w:eastAsia="Arial" w:hAnsi="Arial"/>
          <w:sz w:val="22"/>
          <w:szCs w:val="22"/>
          <w:color w:val="010000"/>
        </w:rPr>
        <w:t xml:space="preserve"> </w:t>
      </w:r>
      <w:r>
        <w:rPr>
          <w:rFonts w:ascii="Arial" w:cs="Arial" w:eastAsia="Arial" w:hAnsi="Arial"/>
          <w:sz w:val="22"/>
          <w:szCs w:val="22"/>
          <w:color w:val="000000"/>
        </w:rPr>
        <w:t xml:space="preserve">Claim constituting Collateral belonging to such Grantor that has arisen in the course of such Grantor’s business in addition to the Commercial Tort Claims described in </w:t>
      </w:r>
      <w:r>
        <w:rPr>
          <w:rFonts w:ascii="Arial" w:cs="Arial" w:eastAsia="Arial" w:hAnsi="Arial"/>
          <w:sz w:val="22"/>
          <w:szCs w:val="22"/>
          <w:u w:val="single" w:color="auto"/>
          <w:color w:val="000000"/>
        </w:rPr>
        <w:t>Exhibit “F”</w:t>
      </w:r>
      <w:r>
        <w:rPr>
          <w:rFonts w:ascii="Arial" w:cs="Arial" w:eastAsia="Arial" w:hAnsi="Arial"/>
          <w:sz w:val="22"/>
          <w:szCs w:val="22"/>
          <w:color w:val="000000"/>
        </w:rPr>
        <w:t>, which are all of such Grantor’s Commercial Tort Claims as of the Effective Date, then such Grantor shall give the Agent prompt notice thereof, but in any event not less frequently than quarterly. Each Grantor agrees promptly upon request by the Agent to execute and deliver to the Agent any supplement to this Security Agreement or any other document reasonably requested by the Agent to evidence the grant of a security interest therein in favor of the Agent.</w:t>
      </w:r>
    </w:p>
    <w:p>
      <w:pPr>
        <w:spacing w:after="0" w:line="1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4.11. </w:t>
      </w:r>
      <w:r>
        <w:rPr>
          <w:rFonts w:ascii="Arial" w:cs="Arial" w:eastAsia="Arial" w:hAnsi="Arial"/>
          <w:sz w:val="22"/>
          <w:szCs w:val="22"/>
          <w:u w:val="single" w:color="auto"/>
          <w:color w:val="000000"/>
        </w:rPr>
        <w:t>Updating of Exhibits to Security Agreement</w:t>
      </w:r>
      <w:r>
        <w:rPr>
          <w:rFonts w:ascii="Arial" w:cs="Arial" w:eastAsia="Arial" w:hAnsi="Arial"/>
          <w:sz w:val="22"/>
          <w:szCs w:val="22"/>
          <w:color w:val="000000"/>
        </w:rPr>
        <w:t>. The Borrowers will provide to the Agent, concurrently with the</w:t>
      </w:r>
      <w:r>
        <w:rPr>
          <w:rFonts w:ascii="Arial" w:cs="Arial" w:eastAsia="Arial" w:hAnsi="Arial"/>
          <w:sz w:val="22"/>
          <w:szCs w:val="22"/>
          <w:color w:val="010000"/>
        </w:rPr>
        <w:t xml:space="preserve"> </w:t>
      </w:r>
      <w:r>
        <w:rPr>
          <w:rFonts w:ascii="Arial" w:cs="Arial" w:eastAsia="Arial" w:hAnsi="Arial"/>
          <w:sz w:val="22"/>
          <w:szCs w:val="22"/>
          <w:color w:val="000000"/>
        </w:rPr>
        <w:t>delivery of each Compliance Certificate required by Section 7.01(e) of the LC Credit Agreement, updated versions of the Exhibits to this Security Agreement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if there have been no changes to any such Exhibits since the previous updating thereof required hereby, the Borrowers shall indicate that there has been “no change” to the applicable Exhibit(s)). Any reference to any Exhibit herein shall mean such Exhibit after giving effect to any updates thereof by the Borrowers or such Grantor pursuant to this </w:t>
      </w:r>
      <w:r>
        <w:rPr>
          <w:rFonts w:ascii="Arial" w:cs="Arial" w:eastAsia="Arial" w:hAnsi="Arial"/>
          <w:sz w:val="22"/>
          <w:szCs w:val="22"/>
          <w:u w:val="single" w:color="auto"/>
          <w:color w:val="000000"/>
        </w:rPr>
        <w:t>Section 4.11</w:t>
      </w:r>
      <w:r>
        <w:rPr>
          <w:rFonts w:ascii="Arial" w:cs="Arial" w:eastAsia="Arial" w:hAnsi="Arial"/>
          <w:sz w:val="22"/>
          <w:szCs w:val="22"/>
          <w:color w:val="000000"/>
        </w:rPr>
        <w:t xml:space="preserve"> or otherwise.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w:t>
      </w:r>
    </w:p>
    <w:p>
      <w:pPr>
        <w:spacing w:after="0" w:line="19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010000"/>
        </w:rPr>
        <w:t>5.1.</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93"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5.1.1 </w:t>
      </w:r>
      <w:r>
        <w:rPr>
          <w:rFonts w:ascii="Arial" w:cs="Arial" w:eastAsia="Arial" w:hAnsi="Arial"/>
          <w:sz w:val="22"/>
          <w:szCs w:val="22"/>
          <w:color w:val="000000"/>
        </w:rPr>
        <w:t>Upon the occurrence and during the continuation of an Event of Default, the Agent may, and at the</w:t>
      </w:r>
      <w:r>
        <w:rPr>
          <w:rFonts w:ascii="Arial" w:cs="Arial" w:eastAsia="Arial" w:hAnsi="Arial"/>
          <w:sz w:val="22"/>
          <w:szCs w:val="22"/>
          <w:color w:val="010000"/>
        </w:rPr>
        <w:t xml:space="preserve"> </w:t>
      </w:r>
      <w:r>
        <w:rPr>
          <w:rFonts w:ascii="Arial" w:cs="Arial" w:eastAsia="Arial" w:hAnsi="Arial"/>
          <w:sz w:val="22"/>
          <w:szCs w:val="22"/>
          <w:color w:val="000000"/>
        </w:rPr>
        <w:t>direction of the Required Lenders shall, subject to the Intercreditor Agreement, exercise any or all of the following rights and remedies:</w:t>
      </w:r>
    </w:p>
    <w:p>
      <w:pPr>
        <w:spacing w:after="0" w:line="152" w:lineRule="exact"/>
        <w:rPr>
          <w:sz w:val="20"/>
          <w:szCs w:val="20"/>
          <w:color w:val="auto"/>
        </w:rPr>
      </w:pPr>
    </w:p>
    <w:p>
      <w:pPr>
        <w:jc w:val="both"/>
        <w:ind w:left="1300" w:hanging="644"/>
        <w:spacing w:after="0" w:line="263" w:lineRule="auto"/>
        <w:tabs>
          <w:tab w:leader="none" w:pos="1300" w:val="left"/>
        </w:tabs>
        <w:numPr>
          <w:ilvl w:val="0"/>
          <w:numId w:val="919"/>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.4 hereof in the case of the ULC Shares, those rights and remedies provided in this Security Agreement, the LC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not be understood to limit any rights or remedies available to the Agent and the Secured Parties prior to an Event of Default.</w:t>
      </w:r>
    </w:p>
    <w:p>
      <w:pPr>
        <w:spacing w:after="0" w:line="143" w:lineRule="exact"/>
        <w:rPr>
          <w:rFonts w:ascii="Arial" w:cs="Arial" w:eastAsia="Arial" w:hAnsi="Arial"/>
          <w:sz w:val="18"/>
          <w:szCs w:val="18"/>
          <w:color w:val="010000"/>
        </w:rPr>
      </w:pPr>
    </w:p>
    <w:p>
      <w:pPr>
        <w:jc w:val="both"/>
        <w:ind w:left="1300" w:hanging="644"/>
        <w:spacing w:after="0" w:line="263" w:lineRule="auto"/>
        <w:tabs>
          <w:tab w:leader="none" w:pos="1300" w:val="left"/>
        </w:tabs>
        <w:numPr>
          <w:ilvl w:val="0"/>
          <w:numId w:val="919"/>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4.6.4</w:t>
      </w:r>
      <w:r>
        <w:rPr>
          <w:rFonts w:ascii="Arial" w:cs="Arial" w:eastAsia="Arial" w:hAnsi="Arial"/>
          <w:sz w:val="18"/>
          <w:szCs w:val="18"/>
          <w:color w:val="auto"/>
        </w:rPr>
        <w:t xml:space="preserve"> hereof in the case of the ULC Shares, those rights and remedies available to a secured party under the UCC (whether or not the UCC applies to the affected Collateral) or under any other applicable law when a debtor is in default under a security agreement.</w:t>
      </w:r>
    </w:p>
    <w:p>
      <w:pPr>
        <w:spacing w:after="0" w:line="143"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919"/>
        </w:numPr>
        <w:rPr>
          <w:rFonts w:ascii="Arial" w:cs="Arial" w:eastAsia="Arial" w:hAnsi="Arial"/>
          <w:sz w:val="18"/>
          <w:szCs w:val="18"/>
          <w:color w:val="010000"/>
        </w:rPr>
      </w:pPr>
      <w:r>
        <w:rPr>
          <w:rFonts w:ascii="Arial" w:cs="Arial" w:eastAsia="Arial" w:hAnsi="Arial"/>
          <w:sz w:val="18"/>
          <w:szCs w:val="18"/>
          <w:color w:val="auto"/>
        </w:rPr>
        <w:t>Give notice of sole control or any other instruction under any Control Agreement or other control agreement with any securities intermediary and take any action therein with respect to such Collateral.</w:t>
      </w:r>
    </w:p>
    <w:p>
      <w:pPr>
        <w:spacing w:after="0" w:line="143" w:lineRule="exact"/>
        <w:rPr>
          <w:rFonts w:ascii="Arial" w:cs="Arial" w:eastAsia="Arial" w:hAnsi="Arial"/>
          <w:sz w:val="18"/>
          <w:szCs w:val="18"/>
          <w:color w:val="010000"/>
        </w:rPr>
      </w:pPr>
    </w:p>
    <w:p>
      <w:pPr>
        <w:jc w:val="both"/>
        <w:ind w:left="1300" w:hanging="644"/>
        <w:spacing w:after="0" w:line="259" w:lineRule="auto"/>
        <w:tabs>
          <w:tab w:leader="none" w:pos="1300" w:val="left"/>
        </w:tabs>
        <w:numPr>
          <w:ilvl w:val="0"/>
          <w:numId w:val="919"/>
        </w:numPr>
        <w:rPr>
          <w:rFonts w:ascii="Arial" w:cs="Arial" w:eastAsia="Arial" w:hAnsi="Arial"/>
          <w:sz w:val="18"/>
          <w:szCs w:val="18"/>
          <w:color w:val="010000"/>
        </w:rPr>
      </w:pPr>
      <w:r>
        <w:rPr>
          <w:rFonts w:ascii="Arial" w:cs="Arial" w:eastAsia="Arial" w:hAnsi="Arial"/>
          <w:sz w:val="18"/>
          <w:szCs w:val="18"/>
          <w:color w:val="auto"/>
        </w:rPr>
        <w:t xml:space="preserve">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5" w:name="page806"/>
    <w:bookmarkEnd w:id="805"/>
    <w:p>
      <w:pPr>
        <w:jc w:val="both"/>
        <w:ind w:left="644"/>
        <w:spacing w:after="0" w:line="279" w:lineRule="auto"/>
        <w:rPr>
          <w:sz w:val="20"/>
          <w:szCs w:val="20"/>
          <w:color w:val="auto"/>
        </w:rPr>
      </w:pPr>
      <w:r>
        <w:rPr>
          <w:rFonts w:ascii="Arial" w:cs="Arial" w:eastAsia="Arial" w:hAnsi="Arial"/>
          <w:sz w:val="21"/>
          <w:szCs w:val="21"/>
          <w:color w:val="auto"/>
        </w:rPr>
        <w:t>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Agent may deem commercially reasonable.</w:t>
      </w:r>
    </w:p>
    <w:p>
      <w:pPr>
        <w:spacing w:after="0" w:line="126" w:lineRule="exact"/>
        <w:rPr>
          <w:sz w:val="20"/>
          <w:szCs w:val="20"/>
          <w:color w:val="auto"/>
        </w:rPr>
      </w:pPr>
    </w:p>
    <w:p>
      <w:pPr>
        <w:jc w:val="both"/>
        <w:ind w:left="644" w:hanging="644"/>
        <w:spacing w:after="0" w:line="296" w:lineRule="auto"/>
        <w:tabs>
          <w:tab w:leader="none" w:pos="644" w:val="left"/>
        </w:tabs>
        <w:numPr>
          <w:ilvl w:val="0"/>
          <w:numId w:val="920"/>
        </w:numPr>
        <w:rPr>
          <w:rFonts w:ascii="Arial" w:cs="Arial" w:eastAsia="Arial" w:hAnsi="Arial"/>
          <w:sz w:val="16"/>
          <w:szCs w:val="16"/>
          <w:color w:val="010000"/>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4.6.4</w:t>
      </w:r>
      <w:r>
        <w:rPr>
          <w:rFonts w:ascii="Arial" w:cs="Arial" w:eastAsia="Arial" w:hAnsi="Arial"/>
          <w:sz w:val="16"/>
          <w:szCs w:val="16"/>
          <w:color w:val="auto"/>
        </w:rPr>
        <w:t xml:space="preserve"> hereof in the case of the ULC Shares, 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Collateral as though the Agent was the outright owner thereof.</w:t>
      </w:r>
    </w:p>
    <w:p>
      <w:pPr>
        <w:spacing w:after="0" w:line="141" w:lineRule="exact"/>
        <w:rPr>
          <w:sz w:val="20"/>
          <w:szCs w:val="20"/>
          <w:color w:val="auto"/>
        </w:rPr>
      </w:pPr>
    </w:p>
    <w:p>
      <w:pPr>
        <w:jc w:val="both"/>
        <w:ind w:left="4" w:firstLine="972"/>
        <w:spacing w:after="0" w:line="266" w:lineRule="auto"/>
        <w:rPr>
          <w:sz w:val="20"/>
          <w:szCs w:val="20"/>
          <w:color w:val="auto"/>
        </w:rPr>
      </w:pPr>
      <w:r>
        <w:rPr>
          <w:rFonts w:ascii="Arial" w:cs="Arial" w:eastAsia="Arial" w:hAnsi="Arial"/>
          <w:sz w:val="22"/>
          <w:szCs w:val="22"/>
          <w:color w:val="010000"/>
        </w:rPr>
        <w:t xml:space="preserve">5.1.2 </w:t>
      </w:r>
      <w:r>
        <w:rPr>
          <w:rFonts w:ascii="Arial" w:cs="Arial" w:eastAsia="Arial" w:hAnsi="Arial"/>
          <w:sz w:val="22"/>
          <w:szCs w:val="22"/>
          <w:color w:val="000000"/>
        </w:rPr>
        <w:t>The Agent, on behalf of the Secured Parties, shall comply with any applicable state or federal law</w:t>
      </w:r>
      <w:r>
        <w:rPr>
          <w:rFonts w:ascii="Arial" w:cs="Arial" w:eastAsia="Arial" w:hAnsi="Arial"/>
          <w:sz w:val="22"/>
          <w:szCs w:val="22"/>
          <w:color w:val="010000"/>
        </w:rPr>
        <w:t xml:space="preserve"> </w:t>
      </w:r>
      <w:r>
        <w:rPr>
          <w:rFonts w:ascii="Arial" w:cs="Arial" w:eastAsia="Arial" w:hAnsi="Arial"/>
          <w:sz w:val="22"/>
          <w:szCs w:val="22"/>
          <w:color w:val="000000"/>
        </w:rPr>
        <w:t>requirements in connection with a disposition of the Collateral, and such compliance will not be considered to adversely affect the commercial reasonableness of any sale of the Collateral.</w:t>
      </w:r>
    </w:p>
    <w:p>
      <w:pPr>
        <w:spacing w:after="0" w:line="144" w:lineRule="exact"/>
        <w:rPr>
          <w:sz w:val="20"/>
          <w:szCs w:val="20"/>
          <w:color w:val="auto"/>
        </w:rPr>
      </w:pPr>
    </w:p>
    <w:p>
      <w:pPr>
        <w:jc w:val="both"/>
        <w:ind w:left="4" w:firstLine="972"/>
        <w:spacing w:after="0" w:line="262" w:lineRule="auto"/>
        <w:rPr>
          <w:sz w:val="20"/>
          <w:szCs w:val="20"/>
          <w:color w:val="auto"/>
        </w:rPr>
      </w:pPr>
      <w:r>
        <w:rPr>
          <w:rFonts w:ascii="Arial" w:cs="Arial" w:eastAsia="Arial" w:hAnsi="Arial"/>
          <w:sz w:val="22"/>
          <w:szCs w:val="22"/>
          <w:color w:val="010000"/>
        </w:rPr>
        <w:t xml:space="preserve">5.1.3 </w:t>
      </w:r>
      <w:r>
        <w:rPr>
          <w:rFonts w:ascii="Arial" w:cs="Arial" w:eastAsia="Arial" w:hAnsi="Arial"/>
          <w:sz w:val="22"/>
          <w:szCs w:val="22"/>
          <w:color w:val="000000"/>
        </w:rPr>
        <w:t>The Agent shall have the right upon any such public sale or sales and, to the extent permitted by</w:t>
      </w:r>
      <w:r>
        <w:rPr>
          <w:rFonts w:ascii="Arial" w:cs="Arial" w:eastAsia="Arial" w:hAnsi="Arial"/>
          <w:sz w:val="22"/>
          <w:szCs w:val="22"/>
          <w:color w:val="010000"/>
        </w:rPr>
        <w:t xml:space="preserve"> </w:t>
      </w:r>
      <w:r>
        <w:rPr>
          <w:rFonts w:ascii="Arial" w:cs="Arial" w:eastAsia="Arial" w:hAnsi="Arial"/>
          <w:sz w:val="22"/>
          <w:szCs w:val="22"/>
          <w:color w:val="000000"/>
        </w:rPr>
        <w:t>law, upon any such private sale or sales, to purchase for the benefit of the Agent and the other Secured Parties, the whole or any part of the Collateral so sold, free of any right of equity redemption, which equity redemption the Grantor hereby expressly releases.</w:t>
      </w:r>
    </w:p>
    <w:p>
      <w:pPr>
        <w:spacing w:after="0" w:line="151" w:lineRule="exact"/>
        <w:rPr>
          <w:sz w:val="20"/>
          <w:szCs w:val="20"/>
          <w:color w:val="auto"/>
        </w:rPr>
      </w:pPr>
    </w:p>
    <w:p>
      <w:pPr>
        <w:jc w:val="both"/>
        <w:ind w:left="4" w:firstLine="972"/>
        <w:spacing w:after="0" w:line="260" w:lineRule="auto"/>
        <w:rPr>
          <w:sz w:val="20"/>
          <w:szCs w:val="20"/>
          <w:color w:val="auto"/>
        </w:rPr>
      </w:pPr>
      <w:r>
        <w:rPr>
          <w:rFonts w:ascii="Arial" w:cs="Arial" w:eastAsia="Arial" w:hAnsi="Arial"/>
          <w:sz w:val="22"/>
          <w:szCs w:val="22"/>
          <w:color w:val="010000"/>
        </w:rPr>
        <w:t xml:space="preserve">5.1.4 </w:t>
      </w:r>
      <w:r>
        <w:rPr>
          <w:rFonts w:ascii="Arial" w:cs="Arial" w:eastAsia="Arial" w:hAnsi="Arial"/>
          <w:sz w:val="22"/>
          <w:szCs w:val="22"/>
          <w:color w:val="000000"/>
        </w:rPr>
        <w:t>Until the Agent is able to effect a sale, lease, or other disposition of Collateral, the Agent shall have</w:t>
      </w:r>
      <w:r>
        <w:rPr>
          <w:rFonts w:ascii="Arial" w:cs="Arial" w:eastAsia="Arial" w:hAnsi="Arial"/>
          <w:sz w:val="22"/>
          <w:szCs w:val="22"/>
          <w:color w:val="010000"/>
        </w:rPr>
        <w:t xml:space="preserve"> </w:t>
      </w:r>
      <w:r>
        <w:rPr>
          <w:rFonts w:ascii="Arial" w:cs="Arial" w:eastAsia="Arial" w:hAnsi="Arial"/>
          <w:sz w:val="22"/>
          <w:szCs w:val="22"/>
          <w:color w:val="000000"/>
        </w:rPr>
        <w:t>the right to hold or use Collateral, or any part thereof, to the extent that it deems appropriate for the purpose of preserving Collateral or its value or for any other purpose deemed appropriate by the Agent. The Agent may, if it so elects, seek the appointment of a receiver or keeper to take possession of Collateral and to enforce any of the Agent’s remedies (for the benefit of the Agent and other Secured Parties), with respect to such appointment without prior notice or hearing as to such appointment.</w:t>
      </w:r>
    </w:p>
    <w:p>
      <w:pPr>
        <w:spacing w:after="0" w:line="165" w:lineRule="exact"/>
        <w:rPr>
          <w:sz w:val="20"/>
          <w:szCs w:val="20"/>
          <w:color w:val="auto"/>
        </w:rPr>
      </w:pPr>
    </w:p>
    <w:p>
      <w:pPr>
        <w:ind w:left="964"/>
        <w:spacing w:after="0"/>
        <w:tabs>
          <w:tab w:leader="none" w:pos="2004" w:val="left"/>
        </w:tabs>
        <w:rPr>
          <w:sz w:val="20"/>
          <w:szCs w:val="20"/>
          <w:color w:val="auto"/>
        </w:rPr>
      </w:pPr>
      <w:r>
        <w:rPr>
          <w:rFonts w:ascii="Arial" w:cs="Arial" w:eastAsia="Arial" w:hAnsi="Arial"/>
          <w:sz w:val="22"/>
          <w:szCs w:val="22"/>
          <w:color w:val="010000"/>
        </w:rPr>
        <w:t>5.1.5</w:t>
      </w:r>
      <w:r>
        <w:rPr>
          <w:sz w:val="20"/>
          <w:szCs w:val="20"/>
          <w:color w:val="auto"/>
        </w:rPr>
        <w:tab/>
      </w:r>
      <w:r>
        <w:rPr>
          <w:rFonts w:ascii="Arial" w:cs="Arial" w:eastAsia="Arial" w:hAnsi="Arial"/>
          <w:sz w:val="19"/>
          <w:szCs w:val="19"/>
          <w:color w:val="auto"/>
        </w:rPr>
        <w:t>Notwithstanding the foregoing, neither the Agent nor any other Secured Party shall be required to</w:t>
      </w:r>
    </w:p>
    <w:p>
      <w:pPr>
        <w:spacing w:after="0" w:line="21" w:lineRule="exact"/>
        <w:rPr>
          <w:sz w:val="20"/>
          <w:szCs w:val="20"/>
          <w:color w:val="auto"/>
        </w:rPr>
      </w:pPr>
    </w:p>
    <w:p>
      <w:pPr>
        <w:jc w:val="both"/>
        <w:ind w:left="4" w:hanging="4"/>
        <w:spacing w:after="0" w:line="258" w:lineRule="auto"/>
        <w:tabs>
          <w:tab w:leader="none" w:pos="276" w:val="left"/>
        </w:tabs>
        <w:numPr>
          <w:ilvl w:val="0"/>
          <w:numId w:val="921"/>
        </w:numPr>
        <w:rPr>
          <w:rFonts w:ascii="Arial" w:cs="Arial" w:eastAsia="Arial" w:hAnsi="Arial"/>
          <w:sz w:val="22"/>
          <w:szCs w:val="22"/>
          <w:color w:val="auto"/>
        </w:rPr>
      </w:pPr>
      <w:r>
        <w:rPr>
          <w:rFonts w:ascii="Arial" w:cs="Arial" w:eastAsia="Arial" w:hAnsi="Arial"/>
          <w:sz w:val="22"/>
          <w:szCs w:val="22"/>
          <w:color w:val="auto"/>
        </w:rPr>
        <w:t>make any demand 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 To the extent that it lawfully may, each Grantor hereby agrees that it will not invoke any law relating to the marshaling of collateral which might cause delay in or impede the enforcement of Agent's rights and remedies under this Security Agreement or under any other instrument creating or evidencing any of the</w:t>
      </w:r>
    </w:p>
    <w:p>
      <w:pPr>
        <w:spacing w:after="0" w:line="15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50165</wp:posOffset>
            </wp:positionV>
            <wp:extent cx="713232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2" w:right="339" w:bottom="1440" w:gutter="0" w:footer="0" w:header="0"/>
        </w:sectPr>
      </w:pPr>
    </w:p>
    <w:bookmarkStart w:id="806" w:name="page807"/>
    <w:bookmarkEnd w:id="806"/>
    <w:p>
      <w:pPr>
        <w:jc w:val="both"/>
        <w:ind w:left="660"/>
        <w:spacing w:after="0" w:line="266" w:lineRule="auto"/>
        <w:rPr>
          <w:sz w:val="20"/>
          <w:szCs w:val="20"/>
          <w:color w:val="auto"/>
        </w:rPr>
      </w:pPr>
      <w:r>
        <w:rPr>
          <w:rFonts w:ascii="Arial" w:cs="Arial" w:eastAsia="Arial" w:hAnsi="Arial"/>
          <w:sz w:val="22"/>
          <w:szCs w:val="22"/>
          <w:color w:val="auto"/>
        </w:rPr>
        <w:t>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144" w:lineRule="exact"/>
        <w:rPr>
          <w:sz w:val="20"/>
          <w:szCs w:val="20"/>
          <w:color w:val="auto"/>
        </w:rPr>
      </w:pPr>
    </w:p>
    <w:p>
      <w:pPr>
        <w:jc w:val="both"/>
        <w:ind w:left="660" w:firstLine="972"/>
        <w:spacing w:after="0" w:line="272" w:lineRule="auto"/>
        <w:rPr>
          <w:sz w:val="20"/>
          <w:szCs w:val="20"/>
          <w:color w:val="auto"/>
        </w:rPr>
      </w:pPr>
      <w:r>
        <w:rPr>
          <w:rFonts w:ascii="Arial" w:cs="Arial" w:eastAsia="Arial" w:hAnsi="Arial"/>
          <w:sz w:val="21"/>
          <w:szCs w:val="21"/>
          <w:color w:val="010000"/>
        </w:rPr>
        <w:t xml:space="preserve">5.1.6 </w:t>
      </w:r>
      <w:r>
        <w:rPr>
          <w:rFonts w:ascii="Arial" w:cs="Arial" w:eastAsia="Arial" w:hAnsi="Arial"/>
          <w:sz w:val="21"/>
          <w:szCs w:val="21"/>
          <w:color w:val="000000"/>
        </w:rPr>
        <w:t>Each Grantor recognizes that the Agent may be unable to effect a public sale of any or all the</w:t>
      </w:r>
      <w:r>
        <w:rPr>
          <w:rFonts w:ascii="Arial" w:cs="Arial" w:eastAsia="Arial" w:hAnsi="Arial"/>
          <w:sz w:val="21"/>
          <w:szCs w:val="21"/>
          <w:color w:val="010000"/>
        </w:rPr>
        <w:t xml:space="preserve"> </w:t>
      </w:r>
      <w:r>
        <w:rPr>
          <w:rFonts w:ascii="Arial" w:cs="Arial" w:eastAsia="Arial" w:hAnsi="Arial"/>
          <w:sz w:val="21"/>
          <w:szCs w:val="21"/>
          <w:color w:val="000000"/>
        </w:rPr>
        <w:t xml:space="preserve">Pledged Collateral and may be compelled to resort to one or more private sales thereof in accordance with </w:t>
      </w:r>
      <w:r>
        <w:rPr>
          <w:rFonts w:ascii="Arial" w:cs="Arial" w:eastAsia="Arial" w:hAnsi="Arial"/>
          <w:sz w:val="21"/>
          <w:szCs w:val="21"/>
          <w:u w:val="single" w:color="auto"/>
          <w:color w:val="000000"/>
        </w:rPr>
        <w:t>Section 5.1.1</w:t>
      </w:r>
      <w:r>
        <w:rPr>
          <w:rFonts w:ascii="Arial" w:cs="Arial" w:eastAsia="Arial" w:hAnsi="Arial"/>
          <w:sz w:val="21"/>
          <w:szCs w:val="21"/>
          <w:color w:val="000000"/>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Agent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5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010000"/>
        </w:rPr>
        <w:t xml:space="preserve">5.2. </w:t>
      </w:r>
      <w:r>
        <w:rPr>
          <w:rFonts w:ascii="Arial" w:cs="Arial" w:eastAsia="Arial" w:hAnsi="Arial"/>
          <w:sz w:val="22"/>
          <w:szCs w:val="22"/>
          <w:u w:val="single" w:color="auto"/>
          <w:color w:val="000000"/>
        </w:rPr>
        <w:t>Grantors’ Obligations Upon Default</w:t>
      </w:r>
      <w:r>
        <w:rPr>
          <w:rFonts w:ascii="Arial" w:cs="Arial" w:eastAsia="Arial" w:hAnsi="Arial"/>
          <w:sz w:val="22"/>
          <w:szCs w:val="22"/>
          <w:color w:val="000000"/>
        </w:rPr>
        <w:t>. Upon the written request of the Agent after the occurrence and during the</w:t>
      </w:r>
      <w:r>
        <w:rPr>
          <w:rFonts w:ascii="Arial" w:cs="Arial" w:eastAsia="Arial" w:hAnsi="Arial"/>
          <w:sz w:val="22"/>
          <w:szCs w:val="22"/>
          <w:color w:val="010000"/>
        </w:rPr>
        <w:t xml:space="preserve"> </w:t>
      </w:r>
      <w:r>
        <w:rPr>
          <w:rFonts w:ascii="Arial" w:cs="Arial" w:eastAsia="Arial" w:hAnsi="Arial"/>
          <w:sz w:val="22"/>
          <w:szCs w:val="22"/>
          <w:color w:val="000000"/>
        </w:rPr>
        <w:t>continuation of an Event of Default, subject to the Intercreditor Agreement, each Grantor will:</w:t>
      </w:r>
    </w:p>
    <w:p>
      <w:pPr>
        <w:spacing w:after="0" w:line="134" w:lineRule="exact"/>
        <w:rPr>
          <w:sz w:val="20"/>
          <w:szCs w:val="20"/>
          <w:color w:val="auto"/>
        </w:rPr>
      </w:pPr>
    </w:p>
    <w:p>
      <w:pPr>
        <w:jc w:val="both"/>
        <w:ind w:left="660" w:right="20" w:firstLine="972"/>
        <w:spacing w:after="0" w:line="276" w:lineRule="auto"/>
        <w:rPr>
          <w:sz w:val="20"/>
          <w:szCs w:val="20"/>
          <w:color w:val="auto"/>
        </w:rPr>
      </w:pPr>
      <w:r>
        <w:rPr>
          <w:rFonts w:ascii="Arial" w:cs="Arial" w:eastAsia="Arial" w:hAnsi="Arial"/>
          <w:sz w:val="22"/>
          <w:szCs w:val="22"/>
          <w:color w:val="010000"/>
        </w:rPr>
        <w:t xml:space="preserve">5.2.1 </w:t>
      </w:r>
      <w:r>
        <w:rPr>
          <w:rFonts w:ascii="Arial" w:cs="Arial" w:eastAsia="Arial" w:hAnsi="Arial"/>
          <w:sz w:val="22"/>
          <w:szCs w:val="22"/>
          <w:u w:val="single" w:color="auto"/>
          <w:color w:val="000000"/>
        </w:rPr>
        <w:t>Assembly of Collateral</w:t>
      </w:r>
      <w:r>
        <w:rPr>
          <w:rFonts w:ascii="Arial" w:cs="Arial" w:eastAsia="Arial" w:hAnsi="Arial"/>
          <w:sz w:val="22"/>
          <w:szCs w:val="22"/>
          <w:color w:val="000000"/>
        </w:rPr>
        <w:t>. Assemble and make available to the Agent the Collateral and all books and</w:t>
      </w:r>
      <w:r>
        <w:rPr>
          <w:rFonts w:ascii="Arial" w:cs="Arial" w:eastAsia="Arial" w:hAnsi="Arial"/>
          <w:sz w:val="22"/>
          <w:szCs w:val="22"/>
          <w:color w:val="010000"/>
        </w:rPr>
        <w:t xml:space="preserve"> </w:t>
      </w:r>
      <w:r>
        <w:rPr>
          <w:rFonts w:ascii="Arial" w:cs="Arial" w:eastAsia="Arial" w:hAnsi="Arial"/>
          <w:sz w:val="22"/>
          <w:szCs w:val="22"/>
          <w:color w:val="000000"/>
        </w:rPr>
        <w:t>records relating thereto at any place or places specified in writing by the Agent.</w:t>
      </w:r>
    </w:p>
    <w:p>
      <w:pPr>
        <w:spacing w:after="0" w:line="134"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5.2.2 </w:t>
      </w:r>
      <w:r>
        <w:rPr>
          <w:rFonts w:ascii="Arial" w:cs="Arial" w:eastAsia="Arial" w:hAnsi="Arial"/>
          <w:sz w:val="21"/>
          <w:szCs w:val="21"/>
          <w:u w:val="single" w:color="auto"/>
          <w:color w:val="000000"/>
        </w:rPr>
        <w:t>Secured Party Access</w:t>
      </w:r>
      <w:r>
        <w:rPr>
          <w:rFonts w:ascii="Arial" w:cs="Arial" w:eastAsia="Arial" w:hAnsi="Arial"/>
          <w:sz w:val="21"/>
          <w:szCs w:val="21"/>
          <w:color w:val="000000"/>
        </w:rPr>
        <w:t>. Permit the Agent, by the Agent’s representatives and agents, to enter, occupy</w:t>
      </w:r>
      <w:r>
        <w:rPr>
          <w:rFonts w:ascii="Arial" w:cs="Arial" w:eastAsia="Arial" w:hAnsi="Arial"/>
          <w:sz w:val="21"/>
          <w:szCs w:val="21"/>
          <w:color w:val="010000"/>
        </w:rPr>
        <w:t xml:space="preserve"> </w:t>
      </w:r>
      <w:r>
        <w:rPr>
          <w:rFonts w:ascii="Arial" w:cs="Arial" w:eastAsia="Arial" w:hAnsi="Arial"/>
          <w:sz w:val="21"/>
          <w:szCs w:val="21"/>
          <w:color w:val="000000"/>
        </w:rPr>
        <w:t>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50" w:lineRule="exact"/>
        <w:rPr>
          <w:sz w:val="20"/>
          <w:szCs w:val="20"/>
          <w:color w:val="auto"/>
        </w:rPr>
      </w:pPr>
    </w:p>
    <w:p>
      <w:pPr>
        <w:jc w:val="both"/>
        <w:ind w:left="660" w:firstLine="972"/>
        <w:spacing w:after="0" w:line="276" w:lineRule="auto"/>
        <w:rPr>
          <w:sz w:val="20"/>
          <w:szCs w:val="20"/>
          <w:color w:val="auto"/>
        </w:rPr>
      </w:pPr>
      <w:r>
        <w:rPr>
          <w:rFonts w:ascii="Arial" w:cs="Arial" w:eastAsia="Arial" w:hAnsi="Arial"/>
          <w:sz w:val="21"/>
          <w:szCs w:val="21"/>
          <w:color w:val="010000"/>
        </w:rPr>
        <w:t xml:space="preserve">5.2.3 </w:t>
      </w:r>
      <w:r>
        <w:rPr>
          <w:rFonts w:ascii="Arial" w:cs="Arial" w:eastAsia="Arial" w:hAnsi="Arial"/>
          <w:sz w:val="21"/>
          <w:szCs w:val="21"/>
          <w:color w:val="000000"/>
        </w:rPr>
        <w:t>Prepare and file, or cause an issuer of Pledged Collateral to prepare and file, with the SEC or any</w:t>
      </w:r>
      <w:r>
        <w:rPr>
          <w:rFonts w:ascii="Arial" w:cs="Arial" w:eastAsia="Arial" w:hAnsi="Arial"/>
          <w:sz w:val="21"/>
          <w:szCs w:val="21"/>
          <w:color w:val="010000"/>
        </w:rPr>
        <w:t xml:space="preserve"> </w:t>
      </w:r>
      <w:r>
        <w:rPr>
          <w:rFonts w:ascii="Arial" w:cs="Arial" w:eastAsia="Arial" w:hAnsi="Arial"/>
          <w:sz w:val="21"/>
          <w:szCs w:val="21"/>
          <w:color w:val="000000"/>
        </w:rPr>
        <w:t>other applicable government agency, registration statements, a prospectus and such other documentation in connection with the Pledged Collateral as the Agent may request, all in form and substance reasonably satisfactory to the Agent, and furnish to the Agent, or cause an issuer of Pledged Collateral to furnish to the Agent, any information regarding the Pledged Collateral in such detail as the Agent may specify.</w:t>
      </w:r>
    </w:p>
    <w:p>
      <w:pPr>
        <w:spacing w:after="0" w:line="137"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5.2.4 </w:t>
      </w:r>
      <w:r>
        <w:rPr>
          <w:rFonts w:ascii="Arial" w:cs="Arial" w:eastAsia="Arial" w:hAnsi="Arial"/>
          <w:sz w:val="22"/>
          <w:szCs w:val="22"/>
          <w:color w:val="000000"/>
        </w:rPr>
        <w:t>Subject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4.6.4</w:t>
      </w:r>
      <w:r>
        <w:rPr>
          <w:rFonts w:ascii="Arial" w:cs="Arial" w:eastAsia="Arial" w:hAnsi="Arial"/>
          <w:sz w:val="22"/>
          <w:szCs w:val="22"/>
          <w:color w:val="010000"/>
        </w:rPr>
        <w:t xml:space="preserve"> </w:t>
      </w:r>
      <w:r>
        <w:rPr>
          <w:rFonts w:ascii="Arial" w:cs="Arial" w:eastAsia="Arial" w:hAnsi="Arial"/>
          <w:sz w:val="22"/>
          <w:szCs w:val="22"/>
          <w:color w:val="000000"/>
        </w:rPr>
        <w:t>hereof in the case of ULC Shares, take, or cause an issuer of Pledged</w:t>
      </w:r>
      <w:r>
        <w:rPr>
          <w:rFonts w:ascii="Arial" w:cs="Arial" w:eastAsia="Arial" w:hAnsi="Arial"/>
          <w:sz w:val="22"/>
          <w:szCs w:val="22"/>
          <w:color w:val="010000"/>
        </w:rPr>
        <w:t xml:space="preserve"> </w:t>
      </w:r>
      <w:r>
        <w:rPr>
          <w:rFonts w:ascii="Arial" w:cs="Arial" w:eastAsia="Arial" w:hAnsi="Arial"/>
          <w:sz w:val="22"/>
          <w:szCs w:val="22"/>
          <w:color w:val="000000"/>
        </w:rPr>
        <w:t>Collateral to take, any and all actions necessary to register or qualify the Pledged Collateral to enable the Agent to consummate a public sale or other disposition of the Pledged Collateral.</w:t>
      </w:r>
    </w:p>
    <w:p>
      <w:pPr>
        <w:spacing w:after="0" w:line="14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010000"/>
        </w:rPr>
        <w:t xml:space="preserve">5.3. </w:t>
      </w:r>
      <w:r>
        <w:rPr>
          <w:rFonts w:ascii="Arial" w:cs="Arial" w:eastAsia="Arial" w:hAnsi="Arial"/>
          <w:sz w:val="22"/>
          <w:szCs w:val="22"/>
          <w:u w:val="single" w:color="auto"/>
          <w:color w:val="000000"/>
        </w:rPr>
        <w:t>License</w:t>
      </w:r>
      <w:r>
        <w:rPr>
          <w:rFonts w:ascii="Arial" w:cs="Arial" w:eastAsia="Arial" w:hAnsi="Arial"/>
          <w:sz w:val="22"/>
          <w:szCs w:val="22"/>
          <w:color w:val="000000"/>
        </w:rPr>
        <w:t>. The Agent is hereby granted a sublicenseable license or other right to use, following the occurrence</w:t>
      </w:r>
      <w:r>
        <w:rPr>
          <w:rFonts w:ascii="Arial" w:cs="Arial" w:eastAsia="Arial" w:hAnsi="Arial"/>
          <w:sz w:val="22"/>
          <w:szCs w:val="22"/>
          <w:color w:val="010000"/>
        </w:rPr>
        <w:t xml:space="preserve"> </w:t>
      </w:r>
      <w:r>
        <w:rPr>
          <w:rFonts w:ascii="Arial" w:cs="Arial" w:eastAsia="Arial" w:hAnsi="Arial"/>
          <w:sz w:val="22"/>
          <w:szCs w:val="22"/>
          <w:color w:val="000000"/>
        </w:rPr>
        <w:t>and during the continuance of an Event of Default and, subject to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7" w:name="page808"/>
    <w:bookmarkEnd w:id="807"/>
    <w:p>
      <w:pPr>
        <w:jc w:val="both"/>
        <w:spacing w:after="0" w:line="305" w:lineRule="auto"/>
        <w:rPr>
          <w:sz w:val="20"/>
          <w:szCs w:val="20"/>
          <w:color w:val="auto"/>
        </w:rPr>
      </w:pPr>
      <w:r>
        <w:rPr>
          <w:rFonts w:ascii="Arial" w:cs="Arial" w:eastAsia="Arial" w:hAnsi="Arial"/>
          <w:sz w:val="19"/>
          <w:szCs w:val="19"/>
          <w:color w:val="auto"/>
        </w:rPr>
        <w:t>Intercreditor Agreement, without charge, each Grantor’s Intellectual Property constituting Collateral and to access all media and materials containing same. In addition, each Grantor hereby irrevocably agrees that the Agent may, following the occurrence and during the continuance of an Event of Default, subject to the Intercreditor Agreement, sell any of such Grantor’s Inventory constituting Collateral directly to any person, including without limitation persons who have previously purchased such Grantor’s Inventory from such Grantor and in connection with any such sale or other enforcement of the Agent’s rights under this Security Agreement, may sell such Inventory which bears any trademark owned by or licensed to such Grantor and any such Inventory that is covered by any copyright owned by or licensed to such Grantor and the Agent may (but shall have no obligation to) finish any work in process and affix any Trademark owned by or licensed to such Grantor and sell such Inventory as provided herein.</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Remedies Cumulative.</w:t>
      </w:r>
      <w:r>
        <w:rPr>
          <w:rFonts w:ascii="Arial" w:cs="Arial" w:eastAsia="Arial" w:hAnsi="Arial"/>
          <w:sz w:val="22"/>
          <w:szCs w:val="22"/>
          <w:color w:val="010000"/>
        </w:rPr>
        <w:t xml:space="preserve"> </w:t>
      </w:r>
      <w:r>
        <w:rPr>
          <w:rFonts w:ascii="Arial" w:cs="Arial" w:eastAsia="Arial" w:hAnsi="Arial"/>
          <w:sz w:val="22"/>
          <w:szCs w:val="22"/>
          <w:color w:val="000000"/>
        </w:rPr>
        <w:t>Each right, power, and remedy of Agent or any other Secured Party as provided for in</w:t>
      </w:r>
      <w:r>
        <w:rPr>
          <w:rFonts w:ascii="Arial" w:cs="Arial" w:eastAsia="Arial" w:hAnsi="Arial"/>
          <w:sz w:val="22"/>
          <w:szCs w:val="22"/>
          <w:color w:val="010000"/>
        </w:rPr>
        <w:t xml:space="preserve"> </w:t>
      </w:r>
      <w:r>
        <w:rPr>
          <w:rFonts w:ascii="Arial" w:cs="Arial" w:eastAsia="Arial" w:hAnsi="Arial"/>
          <w:sz w:val="22"/>
          <w:szCs w:val="22"/>
          <w:color w:val="000000"/>
        </w:rPr>
        <w:t>this Security Agreement, the other Loan Documents, any Swap Agreements or any Banking Services Agreements now or hereafter existing at law or in equity or by statute or otherwise shall be cumulative and concurrent and shall be in addition to every other right, power, or remedy provided for in this Security Agreement, the other Loan Documents, any Swap Agreements or any Banking Services Agreements now or hereafter existing at law or in equity or by statute or otherwise, and the exercise or beginning of the exercise by Agent or any other Secured Party of any one or more of such rights, powers, or remedies shall not preclude the simultaneous or later exercise by Agent or such other Secured Parties of any or all such other rights, powers, or remedies.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WAIVERS, AMENDMENTS AND REMEDIES</w:t>
      </w:r>
    </w:p>
    <w:p>
      <w:pPr>
        <w:spacing w:after="0" w:line="1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No delay or omission of the Agent or any Secured Party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the Agent and each Grantor, and then only to the extent in such writing specifically set forth;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addition of any Subsidiary as a Grantor hereunder by execution of a Security Agreement Supplement in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(with such modifications as shall be acceptable to the Agent) shall not require receipt of any consent from or execution of any documentation by any other Grantor party hereto. All rights and remedies contained in this Security Agreement or by law afforded shall be cumulative and all shall be available to the Agent and the Secured Parties until the Secured Obligations have been paid in full.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PROCEEDS; COLLECTION OF RECEIVABLES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8" w:name="page809"/>
    <w:bookmarkEnd w:id="808"/>
    <w:p>
      <w:pPr>
        <w:jc w:val="both"/>
        <w:ind w:firstLine="648"/>
        <w:spacing w:after="0" w:line="311"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u w:val="single" w:color="auto"/>
          <w:color w:val="000000"/>
        </w:rPr>
        <w:t>Lockboxes</w:t>
      </w:r>
      <w:r>
        <w:rPr>
          <w:rFonts w:ascii="Arial" w:cs="Arial" w:eastAsia="Arial" w:hAnsi="Arial"/>
          <w:sz w:val="19"/>
          <w:szCs w:val="19"/>
          <w:color w:val="000000"/>
        </w:rPr>
        <w:t>. Upon request of the Agent after the occurrence and during the continuation of an Event of Default</w:t>
      </w:r>
      <w:r>
        <w:rPr>
          <w:rFonts w:ascii="Arial" w:cs="Arial" w:eastAsia="Arial" w:hAnsi="Arial"/>
          <w:sz w:val="19"/>
          <w:szCs w:val="19"/>
          <w:color w:val="010000"/>
        </w:rPr>
        <w:t xml:space="preserve"> </w:t>
      </w:r>
      <w:r>
        <w:rPr>
          <w:rFonts w:ascii="Arial" w:cs="Arial" w:eastAsia="Arial" w:hAnsi="Arial"/>
          <w:sz w:val="19"/>
          <w:szCs w:val="19"/>
          <w:color w:val="000000"/>
        </w:rPr>
        <w:t>and subject to the Intercreditor Agreement, each Grantor shall execute and deliver to the Agent irrevocable lockbox agreements in the form provided by or otherwise reasonably acceptable to the Agent, which agreements, if so required by the Agent, shall be accompanied by an acknowledgment by the bank where the lockbox is located of the Lien of the Agent granted hereunder and of irrevocable instructions to wire all amounts collected therein to a special collateral account at the Agent.</w:t>
      </w:r>
    </w:p>
    <w:p>
      <w:pPr>
        <w:spacing w:after="0" w:line="1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010000"/>
        </w:rPr>
        <w:t xml:space="preserve">7.2. </w:t>
      </w:r>
      <w:r>
        <w:rPr>
          <w:rFonts w:ascii="Arial" w:cs="Arial" w:eastAsia="Arial" w:hAnsi="Arial"/>
          <w:sz w:val="19"/>
          <w:szCs w:val="19"/>
          <w:u w:val="single" w:color="auto"/>
          <w:color w:val="000000"/>
        </w:rPr>
        <w:t>Collection of Receivables</w:t>
      </w:r>
      <w:r>
        <w:rPr>
          <w:rFonts w:ascii="Arial" w:cs="Arial" w:eastAsia="Arial" w:hAnsi="Arial"/>
          <w:sz w:val="19"/>
          <w:szCs w:val="19"/>
          <w:color w:val="000000"/>
        </w:rPr>
        <w:t>. The Agent may at any time after the occurrence and during the continuation of an</w:t>
      </w:r>
      <w:r>
        <w:rPr>
          <w:rFonts w:ascii="Arial" w:cs="Arial" w:eastAsia="Arial" w:hAnsi="Arial"/>
          <w:sz w:val="19"/>
          <w:szCs w:val="19"/>
          <w:color w:val="010000"/>
        </w:rPr>
        <w:t xml:space="preserve"> </w:t>
      </w:r>
      <w:r>
        <w:rPr>
          <w:rFonts w:ascii="Arial" w:cs="Arial" w:eastAsia="Arial" w:hAnsi="Arial"/>
          <w:sz w:val="19"/>
          <w:szCs w:val="19"/>
          <w:color w:val="000000"/>
        </w:rPr>
        <w:t xml:space="preserve">Event of Default and subject to the Intercreditor Agreement, by giving each Grantor written notice, elect to require that the Receivables be paid directly to the Agent for the benefit of the Secured Parties. In such event, subject to the Intercreditor Agreement, each Grantor shall, and shall permit the Agent to, promptly notify the account debtors or obligors under the Receivables owned by such Grantor of the Agent’s interest therein and direct such account debtors or obligors to make payment of all amounts then or thereafter due under such Receivables directly to the Agent. Upon receipt of any such notice from the Agent, each Grantor shall thereafter during the continuation of any Event of Default and subject to the Intercreditor Agreement hold in trust for the Agent, on behalf of the Secured Parties, all amounts and proceeds received by it with respect to the Receivables and Other Collateral and immediately and at all times thereafter deliver to the Agent all such amounts and proceeds in the same form as so received, whether by cash, check, draft or otherwise, with any necessary endorsements. The Agent shall hold and apply funds so received as provided by the terms of </w:t>
      </w:r>
      <w:r>
        <w:rPr>
          <w:rFonts w:ascii="Arial" w:cs="Arial" w:eastAsia="Arial" w:hAnsi="Arial"/>
          <w:sz w:val="19"/>
          <w:szCs w:val="19"/>
          <w:u w:val="single" w:color="auto"/>
          <w:color w:val="000000"/>
        </w:rPr>
        <w:t>Sections 7.3</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7.4</w:t>
      </w:r>
      <w:r>
        <w:rPr>
          <w:rFonts w:ascii="Arial" w:cs="Arial" w:eastAsia="Arial" w:hAnsi="Arial"/>
          <w:sz w:val="19"/>
          <w:szCs w:val="19"/>
          <w:color w:val="000000"/>
        </w:rPr>
        <w:t xml:space="preserve"> hereof.</w:t>
      </w:r>
    </w:p>
    <w:p>
      <w:pPr>
        <w:spacing w:after="0" w:line="1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u w:val="single" w:color="auto"/>
          <w:color w:val="000000"/>
        </w:rPr>
        <w:t>Special Collateral Account</w:t>
      </w:r>
      <w:r>
        <w:rPr>
          <w:rFonts w:ascii="Arial" w:cs="Arial" w:eastAsia="Arial" w:hAnsi="Arial"/>
          <w:sz w:val="21"/>
          <w:szCs w:val="21"/>
          <w:color w:val="000000"/>
        </w:rPr>
        <w:t>. Upon the occurrence and during the continuation of an Event of Default and subject</w:t>
      </w:r>
      <w:r>
        <w:rPr>
          <w:rFonts w:ascii="Arial" w:cs="Arial" w:eastAsia="Arial" w:hAnsi="Arial"/>
          <w:sz w:val="21"/>
          <w:szCs w:val="21"/>
          <w:color w:val="010000"/>
        </w:rPr>
        <w:t xml:space="preserve"> </w:t>
      </w:r>
      <w:r>
        <w:rPr>
          <w:rFonts w:ascii="Arial" w:cs="Arial" w:eastAsia="Arial" w:hAnsi="Arial"/>
          <w:sz w:val="21"/>
          <w:szCs w:val="21"/>
          <w:color w:val="000000"/>
        </w:rPr>
        <w:t>to the Intercreditor Agreement, the Agent may require, by giving the Grantors written notice, that all cash proceeds of the Collateral to be deposited in a special non-interest bearing cash collateral account with the Agent and held there as security for the Secured Obligations. No Grantor shall have any control whatsoever over such cash collateral account. The Agent shall from time to time deposit the collected balances in such cash collateral account into the applicable Grantor’s general operating account with the Agent. Subject to the Intercreditor Agreement, if any Event of Default has occurred and is continuing, the Agent may (and shall, at the direction of the Required Lenders), from time to time, apply the collected balances in such cash collateral account to the payment of the Secured Obligations.</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7.4. </w:t>
      </w:r>
      <w:r>
        <w:rPr>
          <w:rFonts w:ascii="Arial" w:cs="Arial" w:eastAsia="Arial" w:hAnsi="Arial"/>
          <w:sz w:val="22"/>
          <w:szCs w:val="22"/>
          <w:u w:val="single" w:color="auto"/>
          <w:color w:val="000000"/>
        </w:rPr>
        <w:t>Application of Proceeds</w:t>
      </w:r>
      <w:r>
        <w:rPr>
          <w:rFonts w:ascii="Arial" w:cs="Arial" w:eastAsia="Arial" w:hAnsi="Arial"/>
          <w:sz w:val="22"/>
          <w:szCs w:val="22"/>
          <w:color w:val="000000"/>
        </w:rPr>
        <w:t>. Subject to the Intercreditor Agreement, the proceeds of the Collateral shall be applied</w:t>
      </w:r>
      <w:r>
        <w:rPr>
          <w:rFonts w:ascii="Arial" w:cs="Arial" w:eastAsia="Arial" w:hAnsi="Arial"/>
          <w:sz w:val="22"/>
          <w:szCs w:val="22"/>
          <w:color w:val="010000"/>
        </w:rPr>
        <w:t xml:space="preserve"> </w:t>
      </w:r>
      <w:r>
        <w:rPr>
          <w:rFonts w:ascii="Arial" w:cs="Arial" w:eastAsia="Arial" w:hAnsi="Arial"/>
          <w:sz w:val="22"/>
          <w:szCs w:val="22"/>
          <w:color w:val="000000"/>
        </w:rPr>
        <w:t>by the Agent to payment of the Secured Obligations of the Grantors, as provided under Sections 4.01 and 9.04 of the LC Credit Agreement.</w:t>
      </w:r>
    </w:p>
    <w:p>
      <w:pPr>
        <w:spacing w:after="0" w:line="14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010000"/>
        </w:rPr>
        <w:t>7.5.</w:t>
      </w:r>
      <w:r>
        <w:rPr>
          <w:sz w:val="20"/>
          <w:szCs w:val="20"/>
          <w:color w:val="auto"/>
        </w:rPr>
        <w:tab/>
      </w:r>
      <w:r>
        <w:rPr>
          <w:rFonts w:ascii="Arial" w:cs="Arial" w:eastAsia="Arial" w:hAnsi="Arial"/>
          <w:sz w:val="19"/>
          <w:szCs w:val="19"/>
          <w:u w:val="single" w:color="auto"/>
          <w:color w:val="auto"/>
        </w:rPr>
        <w:t>Swiss Limitations</w:t>
      </w:r>
      <w:r>
        <w:rPr>
          <w:rFonts w:ascii="Arial" w:cs="Arial" w:eastAsia="Arial" w:hAnsi="Arial"/>
          <w:sz w:val="19"/>
          <w:szCs w:val="19"/>
          <w:color w:val="auto"/>
        </w:rPr>
        <w:t>.</w:t>
      </w:r>
    </w:p>
    <w:p>
      <w:pPr>
        <w:spacing w:after="0" w:line="206" w:lineRule="exact"/>
        <w:rPr>
          <w:sz w:val="20"/>
          <w:szCs w:val="20"/>
          <w:color w:val="auto"/>
        </w:rPr>
      </w:pPr>
    </w:p>
    <w:p>
      <w:pPr>
        <w:jc w:val="both"/>
        <w:ind w:left="660" w:firstLine="972"/>
        <w:spacing w:after="0" w:line="311" w:lineRule="auto"/>
        <w:rPr>
          <w:sz w:val="20"/>
          <w:szCs w:val="20"/>
          <w:color w:val="auto"/>
        </w:rPr>
      </w:pPr>
      <w:r>
        <w:rPr>
          <w:rFonts w:ascii="Arial" w:cs="Arial" w:eastAsia="Arial" w:hAnsi="Arial"/>
          <w:sz w:val="19"/>
          <w:szCs w:val="19"/>
          <w:color w:val="010000"/>
        </w:rPr>
        <w:t xml:space="preserve">7.5.1 </w:t>
      </w:r>
      <w:r>
        <w:rPr>
          <w:rFonts w:ascii="Arial" w:cs="Arial" w:eastAsia="Arial" w:hAnsi="Arial"/>
          <w:sz w:val="19"/>
          <w:szCs w:val="19"/>
          <w:color w:val="000000"/>
        </w:rPr>
        <w:t>If and to the extent that the security granted by a Grantor incorporated in Switzerland and/or having</w:t>
      </w:r>
      <w:r>
        <w:rPr>
          <w:rFonts w:ascii="Arial" w:cs="Arial" w:eastAsia="Arial" w:hAnsi="Arial"/>
          <w:sz w:val="19"/>
          <w:szCs w:val="19"/>
          <w:color w:val="010000"/>
        </w:rPr>
        <w:t xml:space="preserve"> </w:t>
      </w:r>
      <w:r>
        <w:rPr>
          <w:rFonts w:ascii="Arial" w:cs="Arial" w:eastAsia="Arial" w:hAnsi="Arial"/>
          <w:sz w:val="19"/>
          <w:szCs w:val="19"/>
          <w:color w:val="000000"/>
        </w:rPr>
        <w:t>its registered office in Switzerland and/or qualifying as a Swiss resident pursuant to art. 9 of the Swiss Withholding Tax Act (the “</w:t>
      </w:r>
      <w:r>
        <w:rPr>
          <w:rFonts w:ascii="Arial" w:cs="Arial" w:eastAsia="Arial" w:hAnsi="Arial"/>
          <w:sz w:val="19"/>
          <w:szCs w:val="19"/>
          <w:u w:val="single" w:color="auto"/>
          <w:color w:val="000000"/>
        </w:rPr>
        <w:t>Swiss Grantor</w:t>
      </w:r>
      <w:r>
        <w:rPr>
          <w:rFonts w:ascii="Arial" w:cs="Arial" w:eastAsia="Arial" w:hAnsi="Arial"/>
          <w:sz w:val="19"/>
          <w:szCs w:val="19"/>
          <w:color w:val="000000"/>
        </w:rPr>
        <w:t>”) under this Security Agreement secures obligations other than obligations of one of its direct or indirect subsidiaries (i.e. obligations of the Swiss Grantor's direct or indirect parent companies (up-stream liabilities) or sister companies (cross-stream liabilities)) (the “</w:t>
      </w:r>
      <w:r>
        <w:rPr>
          <w:rFonts w:ascii="Arial" w:cs="Arial" w:eastAsia="Arial" w:hAnsi="Arial"/>
          <w:sz w:val="19"/>
          <w:szCs w:val="19"/>
          <w:u w:val="single" w:color="auto"/>
          <w:color w:val="000000"/>
        </w:rPr>
        <w:t>Restricted Obligations</w:t>
      </w:r>
      <w:r>
        <w:rPr>
          <w:rFonts w:ascii="Arial" w:cs="Arial" w:eastAsia="Arial" w:hAnsi="Arial"/>
          <w:sz w:val="19"/>
          <w:szCs w:val="19"/>
          <w:b w:val="1"/>
          <w:bCs w:val="1"/>
          <w:color w:val="000000"/>
        </w:rPr>
        <w:t>”</w:t>
      </w:r>
      <w:r>
        <w:rPr>
          <w:rFonts w:ascii="Arial" w:cs="Arial" w:eastAsia="Arial" w:hAnsi="Arial"/>
          <w:sz w:val="19"/>
          <w:szCs w:val="19"/>
          <w:color w:val="000000"/>
        </w:rPr>
        <w:t>) and that using the proceeds from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9" w:name="page810"/>
    <w:bookmarkEnd w:id="809"/>
    <w:p>
      <w:pPr>
        <w:jc w:val="both"/>
        <w:spacing w:after="0" w:line="304" w:lineRule="auto"/>
        <w:rPr>
          <w:sz w:val="20"/>
          <w:szCs w:val="20"/>
          <w:color w:val="auto"/>
        </w:rPr>
      </w:pPr>
      <w:r>
        <w:rPr>
          <w:rFonts w:ascii="Arial" w:cs="Arial" w:eastAsia="Arial" w:hAnsi="Arial"/>
          <w:sz w:val="19"/>
          <w:szCs w:val="19"/>
          <w:color w:val="auto"/>
        </w:rPr>
        <w:t>enforcement of such security would under Swiss corporate law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prohibiting capital repayments or restricting profit distributions) not be permitted at such time, then the proceeds from the enforcement of such security to be applied towards discharging Restricted Obligations shall from time to time be limited to the amount permitted under applicable Swiss law;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limited amount shall at no time be less than the Swiss Grantor's distributable capital (presently being the balance sheet profits and any reserves available for distribution) at the time or times of enforcement for Restricted Obligations, and further provided that such limitation (as may apply from time to time or not) shall not (generally or definitively) affect the security granted by the Swiss Grantor under this Security Agreement in excess thereof, but merely postpone the time of using such proceeds from Enforcement of such security until such times as application towards discharging the Restricted Obligations is again permitted notwithstanding such limitation.</w:t>
      </w:r>
    </w:p>
    <w:p>
      <w:pPr>
        <w:spacing w:after="0" w:line="115" w:lineRule="exact"/>
        <w:rPr>
          <w:sz w:val="20"/>
          <w:szCs w:val="20"/>
          <w:color w:val="auto"/>
        </w:rPr>
      </w:pPr>
    </w:p>
    <w:p>
      <w:pPr>
        <w:ind w:left="960"/>
        <w:spacing w:after="0"/>
        <w:tabs>
          <w:tab w:leader="none" w:pos="1940" w:val="left"/>
        </w:tabs>
        <w:rPr>
          <w:sz w:val="20"/>
          <w:szCs w:val="20"/>
          <w:color w:val="auto"/>
        </w:rPr>
      </w:pPr>
      <w:r>
        <w:rPr>
          <w:rFonts w:ascii="Arial" w:cs="Arial" w:eastAsia="Arial" w:hAnsi="Arial"/>
          <w:sz w:val="22"/>
          <w:szCs w:val="22"/>
          <w:color w:val="010000"/>
        </w:rPr>
        <w:t>7.5.2</w:t>
      </w:r>
      <w:r>
        <w:rPr>
          <w:sz w:val="20"/>
          <w:szCs w:val="20"/>
          <w:color w:val="auto"/>
        </w:rPr>
        <w:tab/>
      </w:r>
      <w:r>
        <w:rPr>
          <w:rFonts w:ascii="Arial" w:cs="Arial" w:eastAsia="Arial" w:hAnsi="Arial"/>
          <w:sz w:val="19"/>
          <w:szCs w:val="19"/>
          <w:color w:val="auto"/>
        </w:rPr>
        <w:t>In case the Swiss Grantor who must make a payment in respect of Restricted Obligations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Security Agreement is obliged to withhold Swiss Withholding Tax in respect of such payment, the Swiss Grantor shall:</w:t>
      </w:r>
    </w:p>
    <w:p>
      <w:pPr>
        <w:spacing w:after="0" w:line="230" w:lineRule="exact"/>
        <w:rPr>
          <w:sz w:val="20"/>
          <w:szCs w:val="20"/>
          <w:color w:val="auto"/>
        </w:rPr>
      </w:pPr>
    </w:p>
    <w:p>
      <w:pPr>
        <w:jc w:val="both"/>
        <w:ind w:left="1300" w:hanging="656"/>
        <w:spacing w:after="0" w:line="263" w:lineRule="auto"/>
        <w:tabs>
          <w:tab w:leader="none" w:pos="130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procure that such payments can be made without deduction of Swiss Withholding Tax, or with deduction of Swiss Withholding Tax at a reduced rate, by discharging the liability to such tax by notification pursuant to applicable law (including double tax treaties) rather than payment of the tax;</w:t>
      </w:r>
    </w:p>
    <w:p>
      <w:pPr>
        <w:spacing w:after="0" w:line="143" w:lineRule="exact"/>
        <w:rPr>
          <w:rFonts w:ascii="Arial" w:cs="Arial" w:eastAsia="Arial" w:hAnsi="Arial"/>
          <w:sz w:val="18"/>
          <w:szCs w:val="18"/>
          <w:color w:val="auto"/>
        </w:rPr>
      </w:pPr>
    </w:p>
    <w:p>
      <w:pPr>
        <w:jc w:val="both"/>
        <w:ind w:left="1300" w:hanging="656"/>
        <w:spacing w:after="0" w:line="257" w:lineRule="auto"/>
        <w:tabs>
          <w:tab w:leader="none" w:pos="130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 xml:space="preserve">if the notification procedure pursuant to </w:t>
      </w:r>
      <w:r>
        <w:rPr>
          <w:rFonts w:ascii="Arial" w:cs="Arial" w:eastAsia="Arial" w:hAnsi="Arial"/>
          <w:sz w:val="18"/>
          <w:szCs w:val="18"/>
          <w:u w:val="single" w:color="auto"/>
          <w:color w:val="auto"/>
        </w:rPr>
        <w:t>Section 7.5.2(i)</w:t>
      </w:r>
      <w:r>
        <w:rPr>
          <w:rFonts w:ascii="Arial" w:cs="Arial" w:eastAsia="Arial" w:hAnsi="Arial"/>
          <w:sz w:val="18"/>
          <w:szCs w:val="18"/>
          <w:color w:val="auto"/>
        </w:rPr>
        <w:t xml:space="preserve"> hereof does not apply, deduct Swiss Withholding Tax at the rate of 35% (or such other rate as in force from time to time), or if the notification procedure pursuant to </w:t>
      </w:r>
      <w:r>
        <w:rPr>
          <w:rFonts w:ascii="Arial" w:cs="Arial" w:eastAsia="Arial" w:hAnsi="Arial"/>
          <w:sz w:val="18"/>
          <w:szCs w:val="18"/>
          <w:u w:val="single" w:color="auto"/>
          <w:color w:val="auto"/>
        </w:rPr>
        <w:t>Section 7.5.2(i)</w:t>
      </w:r>
      <w:r>
        <w:rPr>
          <w:rFonts w:ascii="Arial" w:cs="Arial" w:eastAsia="Arial" w:hAnsi="Arial"/>
          <w:sz w:val="18"/>
          <w:szCs w:val="18"/>
          <w:color w:val="auto"/>
        </w:rPr>
        <w:t xml:space="preserve"> hereof applies for a part of the Swiss Withholding Tax only, deduct Swiss Withholding Tax at the reduced rate resulting after the discharge of part of such tax by notification under applicable law, from any payment made by it in respect of Restricted Obligations and promptly pay any such taxes to the Swiss Federal Tax Administration;</w:t>
      </w:r>
    </w:p>
    <w:p>
      <w:pPr>
        <w:spacing w:after="0" w:line="147"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notify the Agent that such notification, or as the case may be, deduction has been made and provide the Agent with evidence that such a notification of the Swiss Federal Tax Administration has been made or, as the case may be, such taxes deducted have been paid to the Swiss Federal Tax Administration; and</w:t>
      </w:r>
    </w:p>
    <w:p>
      <w:pPr>
        <w:spacing w:after="0" w:line="156"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use its best efforts to ensure that any person other than the Agent, which is entitled to a full or partial refund of the Swiss Withholding Tax deducted from such payment in respect of Restricted Obligations, will, as soon as possible after such deduction:</w:t>
      </w:r>
    </w:p>
    <w:p>
      <w:pPr>
        <w:spacing w:after="0" w:line="149" w:lineRule="exact"/>
        <w:rPr>
          <w:rFonts w:ascii="Arial" w:cs="Arial" w:eastAsia="Arial" w:hAnsi="Arial"/>
          <w:sz w:val="18"/>
          <w:szCs w:val="18"/>
          <w:color w:val="auto"/>
        </w:rPr>
      </w:pPr>
    </w:p>
    <w:p>
      <w:pPr>
        <w:ind w:left="1300" w:right="20" w:firstLine="640"/>
        <w:spacing w:after="0" w:line="276" w:lineRule="auto"/>
        <w:tabs>
          <w:tab w:leader="none" w:pos="3085" w:val="left"/>
        </w:tabs>
        <w:numPr>
          <w:ilvl w:val="1"/>
          <w:numId w:val="922"/>
        </w:numPr>
        <w:rPr>
          <w:rFonts w:ascii="Arial" w:cs="Arial" w:eastAsia="Arial" w:hAnsi="Arial"/>
          <w:sz w:val="22"/>
          <w:szCs w:val="22"/>
          <w:color w:val="auto"/>
        </w:rPr>
      </w:pPr>
      <w:r>
        <w:rPr>
          <w:rFonts w:ascii="Arial" w:cs="Arial" w:eastAsia="Arial" w:hAnsi="Arial"/>
          <w:sz w:val="22"/>
          <w:szCs w:val="22"/>
          <w:color w:val="auto"/>
        </w:rPr>
        <w:t>request a refund of the Swiss Withholding Tax under applicable law (including tax treaties) and pay to the Agent upon receipt any amounts so refunded; or</w:t>
      </w:r>
    </w:p>
    <w:p>
      <w:pPr>
        <w:spacing w:after="0" w:line="13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50165</wp:posOffset>
            </wp:positionV>
            <wp:extent cx="713232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810" w:name="page811"/>
    <w:bookmarkEnd w:id="810"/>
    <w:p>
      <w:pPr>
        <w:jc w:val="both"/>
        <w:ind w:left="960" w:firstLine="980"/>
        <w:spacing w:after="0" w:line="261" w:lineRule="auto"/>
        <w:tabs>
          <w:tab w:leader="none" w:pos="3097" w:val="left"/>
        </w:tabs>
        <w:numPr>
          <w:ilvl w:val="0"/>
          <w:numId w:val="923"/>
        </w:numPr>
        <w:rPr>
          <w:rFonts w:ascii="Arial" w:cs="Arial" w:eastAsia="Arial" w:hAnsi="Arial"/>
          <w:sz w:val="22"/>
          <w:szCs w:val="22"/>
          <w:color w:val="auto"/>
        </w:rPr>
      </w:pPr>
      <w:r>
        <w:rPr>
          <w:rFonts w:ascii="Arial" w:cs="Arial" w:eastAsia="Arial" w:hAnsi="Arial"/>
          <w:sz w:val="22"/>
          <w:szCs w:val="22"/>
          <w:color w:val="auto"/>
        </w:rPr>
        <w:t>if the Agent or a Secured Party is entitled to a full or partial refund of the Swiss Withholding Tax deducted from such payment and if requested by the Agent, provide the Agent and/or the relevant Secured Party those documents that are required by law and applicable tax treaties to be provided by the payer of such tax in order to enable the Agent and/or the relevant Secured Party to prepare a claim for refund of Swiss Withholding Tax.</w:t>
      </w:r>
    </w:p>
    <w:p>
      <w:pPr>
        <w:spacing w:after="0" w:line="150" w:lineRule="exact"/>
        <w:rPr>
          <w:sz w:val="20"/>
          <w:szCs w:val="20"/>
          <w:color w:val="auto"/>
        </w:rPr>
      </w:pPr>
    </w:p>
    <w:p>
      <w:pPr>
        <w:jc w:val="both"/>
        <w:ind w:firstLine="972"/>
        <w:spacing w:after="0" w:line="304" w:lineRule="auto"/>
        <w:rPr>
          <w:sz w:val="20"/>
          <w:szCs w:val="20"/>
          <w:color w:val="auto"/>
        </w:rPr>
      </w:pPr>
      <w:r>
        <w:rPr>
          <w:rFonts w:ascii="Arial" w:cs="Arial" w:eastAsia="Arial" w:hAnsi="Arial"/>
          <w:sz w:val="19"/>
          <w:szCs w:val="19"/>
          <w:color w:val="010000"/>
        </w:rPr>
        <w:t xml:space="preserve">7.5.3 </w:t>
      </w:r>
      <w:r>
        <w:rPr>
          <w:rFonts w:ascii="Arial" w:cs="Arial" w:eastAsia="Arial" w:hAnsi="Arial"/>
          <w:sz w:val="19"/>
          <w:szCs w:val="19"/>
          <w:color w:val="000000"/>
        </w:rPr>
        <w:t>If the Swiss Grantor is obliged to withhold Swiss Withholding Tax in accordance with</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7.5.1</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hereof</w:t>
      </w:r>
      <w:r>
        <w:rPr>
          <w:rFonts w:ascii="Arial" w:cs="Arial" w:eastAsia="Arial" w:hAnsi="Arial"/>
          <w:sz w:val="19"/>
          <w:szCs w:val="19"/>
          <w:color w:val="000000"/>
        </w:rPr>
        <w:t xml:space="preserve">, the Agent shall be entitled to further request payment as per this </w:t>
      </w:r>
      <w:r>
        <w:rPr>
          <w:rFonts w:ascii="Arial" w:cs="Arial" w:eastAsia="Arial" w:hAnsi="Arial"/>
          <w:sz w:val="19"/>
          <w:szCs w:val="19"/>
          <w:u w:val="single" w:color="auto"/>
          <w:color w:val="000000"/>
        </w:rPr>
        <w:t>Section 7.5</w:t>
      </w:r>
      <w:r>
        <w:rPr>
          <w:rFonts w:ascii="Arial" w:cs="Arial" w:eastAsia="Arial" w:hAnsi="Arial"/>
          <w:sz w:val="19"/>
          <w:szCs w:val="19"/>
          <w:color w:val="000000"/>
        </w:rPr>
        <w:t xml:space="preserve"> and other indemnity granted to it under this Security Agreement and apply proceeds therefrom against the Restricted Obligations up to an amount which is equal to that amount which would have been obtained if no withholding of Swiss Withholding Tax were required, whereby such further payments shall always be limited to the maximum amount of the freely distributable capital of the Swiss Grantor as set out in </w:t>
      </w:r>
      <w:r>
        <w:rPr>
          <w:rFonts w:ascii="Arial" w:cs="Arial" w:eastAsia="Arial" w:hAnsi="Arial"/>
          <w:sz w:val="19"/>
          <w:szCs w:val="19"/>
          <w:u w:val="single" w:color="auto"/>
          <w:color w:val="000000"/>
        </w:rPr>
        <w:t>Section 7.5.1</w:t>
      </w:r>
      <w:r>
        <w:rPr>
          <w:rFonts w:ascii="Arial" w:cs="Arial" w:eastAsia="Arial" w:hAnsi="Arial"/>
          <w:sz w:val="19"/>
          <w:szCs w:val="19"/>
          <w:color w:val="000000"/>
        </w:rPr>
        <w:t xml:space="preserve"> hereof. In case the proceeds irrevocably received by the Agent and the Secured Parties pursuant to </w:t>
      </w:r>
      <w:r>
        <w:rPr>
          <w:rFonts w:ascii="Arial" w:cs="Arial" w:eastAsia="Arial" w:hAnsi="Arial"/>
          <w:sz w:val="19"/>
          <w:szCs w:val="19"/>
          <w:u w:val="single" w:color="auto"/>
          <w:color w:val="000000"/>
        </w:rPr>
        <w:t>Section 7.5.2(iv)</w:t>
      </w:r>
      <w:r>
        <w:rPr>
          <w:rFonts w:ascii="Arial" w:cs="Arial" w:eastAsia="Arial" w:hAnsi="Arial"/>
          <w:sz w:val="19"/>
          <w:szCs w:val="19"/>
          <w:color w:val="000000"/>
        </w:rPr>
        <w:t xml:space="preserve"> hereof and this paragraph (additional enforcements) have the effect that the proceeds received by the Agent and the Secured Parties exceed the Secured Obligations, then the Agent or the relevant Secured Party shall return such overcompensation to the Swiss Grantor.</w:t>
      </w:r>
    </w:p>
    <w:p>
      <w:pPr>
        <w:spacing w:after="0" w:line="128" w:lineRule="exact"/>
        <w:rPr>
          <w:sz w:val="20"/>
          <w:szCs w:val="20"/>
          <w:color w:val="auto"/>
        </w:rPr>
      </w:pPr>
    </w:p>
    <w:p>
      <w:pPr>
        <w:jc w:val="both"/>
        <w:ind w:firstLine="972"/>
        <w:spacing w:after="0" w:line="327" w:lineRule="auto"/>
        <w:rPr>
          <w:sz w:val="20"/>
          <w:szCs w:val="20"/>
          <w:color w:val="auto"/>
        </w:rPr>
      </w:pPr>
      <w:r>
        <w:rPr>
          <w:rFonts w:ascii="Arial" w:cs="Arial" w:eastAsia="Arial" w:hAnsi="Arial"/>
          <w:sz w:val="19"/>
          <w:szCs w:val="19"/>
          <w:color w:val="010000"/>
        </w:rPr>
        <w:t xml:space="preserve">7.5.4 </w:t>
      </w:r>
      <w:r>
        <w:rPr>
          <w:rFonts w:ascii="Arial" w:cs="Arial" w:eastAsia="Arial" w:hAnsi="Arial"/>
          <w:sz w:val="19"/>
          <w:szCs w:val="19"/>
          <w:color w:val="000000"/>
        </w:rPr>
        <w:t>If and to the extent requested by the Agent and if and to the extent this is from time to time required</w:t>
      </w:r>
      <w:r>
        <w:rPr>
          <w:rFonts w:ascii="Arial" w:cs="Arial" w:eastAsia="Arial" w:hAnsi="Arial"/>
          <w:sz w:val="19"/>
          <w:szCs w:val="19"/>
          <w:color w:val="010000"/>
        </w:rPr>
        <w:t xml:space="preserve"> </w:t>
      </w:r>
      <w:r>
        <w:rPr>
          <w:rFonts w:ascii="Arial" w:cs="Arial" w:eastAsia="Arial" w:hAnsi="Arial"/>
          <w:sz w:val="19"/>
          <w:szCs w:val="19"/>
          <w:color w:val="000000"/>
        </w:rPr>
        <w:t>under Swiss law (restricting profit distributions), in order to allow the Agent (and the Secured Parties) to obtain a maximum benefit under this Security Agreement, the Swiss Grantor shall promptly implement the following:</w:t>
      </w:r>
    </w:p>
    <w:p>
      <w:pPr>
        <w:spacing w:after="0" w:line="86" w:lineRule="exact"/>
        <w:rPr>
          <w:sz w:val="20"/>
          <w:szCs w:val="20"/>
          <w:color w:val="auto"/>
        </w:rPr>
      </w:pPr>
    </w:p>
    <w:p>
      <w:pPr>
        <w:ind w:left="1300" w:hanging="656"/>
        <w:spacing w:after="0"/>
        <w:tabs>
          <w:tab w:leader="none" w:pos="13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the preparation of an up-to-date audited balance sheet of the Swiss Grantor;</w:t>
      </w:r>
    </w:p>
    <w:p>
      <w:pPr>
        <w:spacing w:after="0" w:line="184"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the confirmation of the auditors of the Swiss Grantor that the relevant amount represents the maximum of freely distributable profits;</w:t>
      </w:r>
    </w:p>
    <w:p>
      <w:pPr>
        <w:spacing w:after="0" w:line="143"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the prompt convening of a meeting of the shareholders of the Swiss Grantor which will approve the (resulting) profit distribution;</w:t>
      </w:r>
    </w:p>
    <w:p>
      <w:pPr>
        <w:spacing w:after="0" w:line="129" w:lineRule="exact"/>
        <w:rPr>
          <w:rFonts w:ascii="Arial" w:cs="Arial" w:eastAsia="Arial" w:hAnsi="Arial"/>
          <w:sz w:val="18"/>
          <w:szCs w:val="18"/>
          <w:color w:val="auto"/>
        </w:rPr>
      </w:pPr>
    </w:p>
    <w:p>
      <w:pPr>
        <w:jc w:val="both"/>
        <w:ind w:left="1300" w:hanging="656"/>
        <w:spacing w:after="0" w:line="257" w:lineRule="auto"/>
        <w:tabs>
          <w:tab w:leader="none" w:pos="13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 xml:space="preserve">if the enforcement of any Restricted Obligations would be limited as a result of any matter referred to in this </w:t>
      </w:r>
      <w:r>
        <w:rPr>
          <w:rFonts w:ascii="Arial" w:cs="Arial" w:eastAsia="Arial" w:hAnsi="Arial"/>
          <w:sz w:val="18"/>
          <w:szCs w:val="18"/>
          <w:u w:val="single" w:color="auto"/>
          <w:color w:val="auto"/>
        </w:rPr>
        <w:t>Section 7.5</w:t>
      </w:r>
      <w:r>
        <w:rPr>
          <w:rFonts w:ascii="Arial" w:cs="Arial" w:eastAsia="Arial" w:hAnsi="Arial"/>
          <w:sz w:val="18"/>
          <w:szCs w:val="18"/>
          <w:color w:val="auto"/>
        </w:rPr>
        <w:t>, the Swiss Grantor shall, to the extent permitted by applicable law, (a) write up or realise any of its assets shown in its balance sheet with a book value that is significantly lower than the market value of the assets, in case of realisation, however, only if such assets are not necessary for the Swiss Grantor’s business (</w:t>
      </w:r>
      <w:r>
        <w:rPr>
          <w:rFonts w:ascii="Arial" w:cs="Arial" w:eastAsia="Arial" w:hAnsi="Arial"/>
          <w:sz w:val="18"/>
          <w:szCs w:val="18"/>
          <w:i w:val="1"/>
          <w:iCs w:val="1"/>
          <w:color w:val="auto"/>
        </w:rPr>
        <w:t>nicht betriebsnotwendig</w:t>
      </w:r>
      <w:r>
        <w:rPr>
          <w:rFonts w:ascii="Arial" w:cs="Arial" w:eastAsia="Arial" w:hAnsi="Arial"/>
          <w:sz w:val="18"/>
          <w:szCs w:val="18"/>
          <w:color w:val="auto"/>
        </w:rPr>
        <w:t>) and/or (b) reduce its share capital to the extent permitted by applicable law; and</w:t>
      </w:r>
    </w:p>
    <w:p>
      <w:pPr>
        <w:spacing w:after="0" w:line="147"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all such other measures reasonably necessary and/or to promptly procure the fulfilment of all prerequisites reasonably necessary to allow the Swiss Grantor and relevant parent company to promptly make the payments and perform the obligations agreed hereunder from time to time with a minimum</w:t>
      </w:r>
    </w:p>
    <w:p>
      <w:pPr>
        <w:spacing w:after="0" w:line="16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50165</wp:posOffset>
            </wp:positionV>
            <wp:extent cx="713232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811" w:name="page812"/>
    <w:bookmarkEnd w:id="811"/>
    <w:p>
      <w:pPr>
        <w:ind w:left="1960"/>
        <w:spacing w:after="0"/>
        <w:rPr>
          <w:sz w:val="20"/>
          <w:szCs w:val="20"/>
          <w:color w:val="auto"/>
        </w:rPr>
      </w:pPr>
      <w:r>
        <w:rPr>
          <w:rFonts w:ascii="Arial" w:cs="Arial" w:eastAsia="Arial" w:hAnsi="Arial"/>
          <w:sz w:val="22"/>
          <w:szCs w:val="22"/>
          <w:color w:val="auto"/>
        </w:rPr>
        <w:t>of limitations.</w:t>
      </w:r>
    </w:p>
    <w:p>
      <w:pPr>
        <w:spacing w:after="0" w:line="19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010000"/>
        </w:rPr>
        <w:t>7.6.</w:t>
      </w:r>
      <w:r>
        <w:rPr>
          <w:sz w:val="20"/>
          <w:szCs w:val="20"/>
          <w:color w:val="auto"/>
        </w:rPr>
        <w:tab/>
      </w:r>
      <w:r>
        <w:rPr>
          <w:rFonts w:ascii="Arial" w:cs="Arial" w:eastAsia="Arial" w:hAnsi="Arial"/>
          <w:sz w:val="19"/>
          <w:szCs w:val="19"/>
          <w:u w:val="single" w:color="auto"/>
          <w:color w:val="auto"/>
        </w:rPr>
        <w:t>Norwegian Limitations.</w:t>
      </w:r>
    </w:p>
    <w:p>
      <w:pPr>
        <w:spacing w:after="0" w:line="206" w:lineRule="exact"/>
        <w:rPr>
          <w:sz w:val="20"/>
          <w:szCs w:val="20"/>
          <w:color w:val="auto"/>
        </w:rPr>
      </w:pPr>
    </w:p>
    <w:p>
      <w:pPr>
        <w:jc w:val="both"/>
        <w:ind w:left="660" w:firstLine="972"/>
        <w:spacing w:after="0" w:line="301" w:lineRule="auto"/>
        <w:rPr>
          <w:sz w:val="20"/>
          <w:szCs w:val="20"/>
          <w:color w:val="auto"/>
        </w:rPr>
      </w:pPr>
      <w:r>
        <w:rPr>
          <w:rFonts w:ascii="Arial" w:cs="Arial" w:eastAsia="Arial" w:hAnsi="Arial"/>
          <w:sz w:val="19"/>
          <w:szCs w:val="19"/>
          <w:color w:val="010000"/>
        </w:rPr>
        <w:t xml:space="preserve">7.6.1 </w:t>
      </w:r>
      <w:r>
        <w:rPr>
          <w:rFonts w:ascii="Arial" w:cs="Arial" w:eastAsia="Arial" w:hAnsi="Arial"/>
          <w:sz w:val="19"/>
          <w:szCs w:val="19"/>
          <w:color w:val="000000"/>
        </w:rPr>
        <w:t>The Norwegian Financial Agreements Act shall not apply to this Security Agreement, except as</w:t>
      </w:r>
      <w:r>
        <w:rPr>
          <w:rFonts w:ascii="Arial" w:cs="Arial" w:eastAsia="Arial" w:hAnsi="Arial"/>
          <w:sz w:val="19"/>
          <w:szCs w:val="19"/>
          <w:color w:val="010000"/>
        </w:rPr>
        <w:t xml:space="preserve"> </w:t>
      </w:r>
      <w:r>
        <w:rPr>
          <w:rFonts w:ascii="Arial" w:cs="Arial" w:eastAsia="Arial" w:hAnsi="Arial"/>
          <w:sz w:val="19"/>
          <w:szCs w:val="19"/>
          <w:color w:val="000000"/>
        </w:rPr>
        <w:t>required by § 2 of the Financial Agreements Act (if applicable). The liability of each Grantor incorporated in Norway in its capacity as Grantor (each a “</w:t>
      </w:r>
      <w:r>
        <w:rPr>
          <w:rFonts w:ascii="Arial" w:cs="Arial" w:eastAsia="Arial" w:hAnsi="Arial"/>
          <w:sz w:val="19"/>
          <w:szCs w:val="19"/>
          <w:u w:val="single" w:color="auto"/>
          <w:color w:val="000000"/>
        </w:rPr>
        <w:t>Norwegian Grantor</w:t>
      </w:r>
      <w:r>
        <w:rPr>
          <w:rFonts w:ascii="Arial" w:cs="Arial" w:eastAsia="Arial" w:hAnsi="Arial"/>
          <w:sz w:val="19"/>
          <w:szCs w:val="19"/>
          <w:color w:val="000000"/>
        </w:rPr>
        <w:t>”) shall be limited to USD $240,000,000, plus any interest, default interest, commissions, charges, fees and expenses due under any Secured Obligation. Notwithstanding any other provision of this Security Agreement to the contrary, the obligations and liabilities of any Norwegian Grantor under this Security Agreement shall be limited by such mandatory provisions of sections 8-7 and/or 8-10 of the Norwegian Limited Liability Companies Act of 13 June 1997 (the “</w:t>
      </w:r>
      <w:r>
        <w:rPr>
          <w:rFonts w:ascii="Arial" w:cs="Arial" w:eastAsia="Arial" w:hAnsi="Arial"/>
          <w:sz w:val="19"/>
          <w:szCs w:val="19"/>
          <w:u w:val="single" w:color="auto"/>
          <w:color w:val="000000"/>
        </w:rPr>
        <w:t>Act</w:t>
      </w:r>
      <w:r>
        <w:rPr>
          <w:rFonts w:ascii="Arial" w:cs="Arial" w:eastAsia="Arial" w:hAnsi="Arial"/>
          <w:sz w:val="19"/>
          <w:szCs w:val="19"/>
          <w:color w:val="000000"/>
        </w:rPr>
        <w:t>”) regarding restrictions on a Norwegian limited liability company’s ability to grant guarantees, loans, security or other financial assistance. The obligations of the Norwegian Grantors shall only be limited to the extent this is required from time to time, and the Norwegian Grantors shall be liable to the fullest extent permitted by the Act as amended from time to time. To the extent permitted by applicable law, if a payment under this Security Agreement by a Norwegian Grantor has been made in contravention of the limitations contained in this Section 7.6.1, the Secured Parties shall not be liable for any damages in relation thereto, and the maximum amount repayable by the Secured Parties as a consequence of such contravention shall be the amount received from that Norwegian Grantor.</w:t>
      </w:r>
    </w:p>
    <w:p>
      <w:pPr>
        <w:spacing w:after="0" w:line="123" w:lineRule="exact"/>
        <w:rPr>
          <w:sz w:val="20"/>
          <w:szCs w:val="20"/>
          <w:color w:val="auto"/>
        </w:rPr>
      </w:pPr>
    </w:p>
    <w:p>
      <w:pPr>
        <w:jc w:val="both"/>
        <w:ind w:left="660" w:firstLine="972"/>
        <w:spacing w:after="0" w:line="266" w:lineRule="auto"/>
        <w:rPr>
          <w:sz w:val="20"/>
          <w:szCs w:val="20"/>
          <w:color w:val="auto"/>
        </w:rPr>
      </w:pPr>
      <w:r>
        <w:rPr>
          <w:rFonts w:ascii="Arial" w:cs="Arial" w:eastAsia="Arial" w:hAnsi="Arial"/>
          <w:sz w:val="22"/>
          <w:szCs w:val="22"/>
          <w:color w:val="010000"/>
        </w:rPr>
        <w:t xml:space="preserve">7.6.2 </w:t>
      </w:r>
      <w:r>
        <w:rPr>
          <w:rFonts w:ascii="Arial" w:cs="Arial" w:eastAsia="Arial" w:hAnsi="Arial"/>
          <w:sz w:val="22"/>
          <w:szCs w:val="22"/>
          <w:color w:val="000000"/>
        </w:rPr>
        <w:t>The Norwegian Grantors' Collateral is limited to such Norwegian Grantors' Patents being held and</w:t>
      </w:r>
      <w:r>
        <w:rPr>
          <w:rFonts w:ascii="Arial" w:cs="Arial" w:eastAsia="Arial" w:hAnsi="Arial"/>
          <w:sz w:val="22"/>
          <w:szCs w:val="22"/>
          <w:color w:val="010000"/>
        </w:rPr>
        <w:t xml:space="preserve"> </w:t>
      </w:r>
      <w:r>
        <w:rPr>
          <w:rFonts w:ascii="Arial" w:cs="Arial" w:eastAsia="Arial" w:hAnsi="Arial"/>
          <w:sz w:val="22"/>
          <w:szCs w:val="22"/>
          <w:color w:val="000000"/>
        </w:rPr>
        <w:t>registered in the United States, and does not extend to any Collateral held or registered outside the jurisdiction of the United States.</w:t>
      </w:r>
    </w:p>
    <w:p>
      <w:pPr>
        <w:spacing w:after="0" w:line="144" w:lineRule="exact"/>
        <w:rPr>
          <w:sz w:val="20"/>
          <w:szCs w:val="20"/>
          <w:color w:val="auto"/>
        </w:rPr>
      </w:pPr>
    </w:p>
    <w:p>
      <w:pPr>
        <w:jc w:val="both"/>
        <w:ind w:left="660" w:firstLine="972"/>
        <w:spacing w:after="0" w:line="261" w:lineRule="auto"/>
        <w:rPr>
          <w:sz w:val="20"/>
          <w:szCs w:val="20"/>
          <w:color w:val="auto"/>
        </w:rPr>
      </w:pPr>
      <w:r>
        <w:rPr>
          <w:rFonts w:ascii="Arial" w:cs="Arial" w:eastAsia="Arial" w:hAnsi="Arial"/>
          <w:sz w:val="22"/>
          <w:szCs w:val="22"/>
          <w:color w:val="010000"/>
        </w:rPr>
        <w:t xml:space="preserve">7.6.3 </w:t>
      </w:r>
      <w:r>
        <w:rPr>
          <w:rFonts w:ascii="Arial" w:cs="Arial" w:eastAsia="Arial" w:hAnsi="Arial"/>
          <w:sz w:val="22"/>
          <w:szCs w:val="22"/>
          <w:color w:val="000000"/>
        </w:rPr>
        <w:t>Each Norwegian Grantor and the Agent hereby confirms and acknowledges that each</w:t>
      </w:r>
      <w:r>
        <w:rPr>
          <w:rFonts w:ascii="Arial" w:cs="Arial" w:eastAsia="Arial" w:hAnsi="Arial"/>
          <w:sz w:val="22"/>
          <w:szCs w:val="22"/>
          <w:color w:val="010000"/>
        </w:rPr>
        <w:t xml:space="preserve"> </w:t>
      </w:r>
      <w:r>
        <w:rPr>
          <w:rFonts w:ascii="Arial" w:cs="Arial" w:eastAsia="Arial" w:hAnsi="Arial"/>
          <w:sz w:val="22"/>
          <w:szCs w:val="22"/>
          <w:color w:val="000000"/>
        </w:rPr>
        <w:t xml:space="preserve">representation and warranty made by the Norwegian Grantors under </w:t>
      </w:r>
      <w:r>
        <w:rPr>
          <w:rFonts w:ascii="Arial" w:cs="Arial" w:eastAsia="Arial" w:hAnsi="Arial"/>
          <w:sz w:val="22"/>
          <w:szCs w:val="22"/>
          <w:u w:val="single" w:color="auto"/>
          <w:color w:val="000000"/>
        </w:rPr>
        <w:t>Article III</w:t>
      </w:r>
      <w:r>
        <w:rPr>
          <w:rFonts w:ascii="Arial" w:cs="Arial" w:eastAsia="Arial" w:hAnsi="Arial"/>
          <w:sz w:val="22"/>
          <w:szCs w:val="22"/>
          <w:color w:val="000000"/>
        </w:rPr>
        <w:t xml:space="preserve">, each covenant made under </w:t>
      </w:r>
      <w:r>
        <w:rPr>
          <w:rFonts w:ascii="Arial" w:cs="Arial" w:eastAsia="Arial" w:hAnsi="Arial"/>
          <w:sz w:val="22"/>
          <w:szCs w:val="22"/>
          <w:u w:val="single" w:color="auto"/>
          <w:color w:val="000000"/>
        </w:rPr>
        <w:t>Article IV</w:t>
      </w:r>
      <w:r>
        <w:rPr>
          <w:rFonts w:ascii="Arial" w:cs="Arial" w:eastAsia="Arial" w:hAnsi="Arial"/>
          <w:sz w:val="22"/>
          <w:szCs w:val="22"/>
          <w:color w:val="000000"/>
        </w:rPr>
        <w:t xml:space="preserve"> and each provision under A</w:t>
      </w:r>
      <w:r>
        <w:rPr>
          <w:rFonts w:ascii="Arial" w:cs="Arial" w:eastAsia="Arial" w:hAnsi="Arial"/>
          <w:sz w:val="22"/>
          <w:szCs w:val="22"/>
          <w:u w:val="single" w:color="auto"/>
          <w:color w:val="000000"/>
        </w:rPr>
        <w:t>rticles VII</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VIII</w:t>
      </w:r>
      <w:r>
        <w:rPr>
          <w:rFonts w:ascii="Arial" w:cs="Arial" w:eastAsia="Arial" w:hAnsi="Arial"/>
          <w:sz w:val="22"/>
          <w:szCs w:val="22"/>
          <w:color w:val="000000"/>
        </w:rPr>
        <w:t xml:space="preserve"> are made subject to Section 8.23, and that any failure to comply with any of the Sections under such Articles does not constitute a breach of any such provisions or Event of Default to the extent that failure to comply is by reason of Norwegian law.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PROVISIONS</w:t>
      </w:r>
    </w:p>
    <w:p>
      <w:pPr>
        <w:spacing w:after="0" w:line="1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010000"/>
        </w:rPr>
        <w:t xml:space="preserve">8.1. </w:t>
      </w:r>
      <w:r>
        <w:rPr>
          <w:rFonts w:ascii="Arial" w:cs="Arial" w:eastAsia="Arial" w:hAnsi="Arial"/>
          <w:sz w:val="19"/>
          <w:szCs w:val="19"/>
          <w:u w:val="single" w:color="auto"/>
          <w:color w:val="000000"/>
        </w:rPr>
        <w:t>Notice of Disposition of Collateral; Condition of Collateral</w:t>
      </w:r>
      <w:r>
        <w:rPr>
          <w:rFonts w:ascii="Arial" w:cs="Arial" w:eastAsia="Arial" w:hAnsi="Arial"/>
          <w:sz w:val="19"/>
          <w:szCs w:val="19"/>
          <w:color w:val="000000"/>
        </w:rPr>
        <w:t>. Each Grantor hereby waives notice of the time and</w:t>
      </w:r>
      <w:r>
        <w:rPr>
          <w:rFonts w:ascii="Arial" w:cs="Arial" w:eastAsia="Arial" w:hAnsi="Arial"/>
          <w:sz w:val="19"/>
          <w:szCs w:val="19"/>
          <w:color w:val="010000"/>
        </w:rPr>
        <w:t xml:space="preserve"> </w:t>
      </w:r>
      <w:r>
        <w:rPr>
          <w:rFonts w:ascii="Arial" w:cs="Arial" w:eastAsia="Arial" w:hAnsi="Arial"/>
          <w:sz w:val="19"/>
          <w:szCs w:val="19"/>
          <w:color w:val="000000"/>
        </w:rPr>
        <w:t xml:space="preserve">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9"/>
          <w:szCs w:val="19"/>
          <w:u w:val="single" w:color="auto"/>
          <w:color w:val="000000"/>
        </w:rPr>
        <w:t>Article IX</w:t>
      </w:r>
      <w:r>
        <w:rPr>
          <w:rFonts w:ascii="Arial" w:cs="Arial" w:eastAsia="Arial" w:hAnsi="Arial"/>
          <w:sz w:val="19"/>
          <w:szCs w:val="19"/>
          <w:color w:val="000000"/>
        </w:rPr>
        <w:t>, at least 10 days prior to (i) the date of any such public sale or (ii) the time after which any such private sale or other disposition may be made. To the maximum extent permitted by applicable law, each Grantor waives all claims, damages, and demands against the Agent or any other Secured Party arising out of the repossession, retention or sale of the Collateral, except such as arise solely out of the gross negligence or willful misconduct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2" w:name="page813"/>
    <w:bookmarkEnd w:id="812"/>
    <w:p>
      <w:pPr>
        <w:jc w:val="both"/>
        <w:spacing w:after="0" w:line="272" w:lineRule="auto"/>
        <w:rPr>
          <w:sz w:val="20"/>
          <w:szCs w:val="20"/>
          <w:color w:val="auto"/>
        </w:rPr>
      </w:pPr>
      <w:r>
        <w:rPr>
          <w:rFonts w:ascii="Arial" w:cs="Arial" w:eastAsia="Arial" w:hAnsi="Arial"/>
          <w:sz w:val="21"/>
          <w:szCs w:val="21"/>
          <w:color w:val="auto"/>
        </w:rPr>
        <w:t>of the Agent or such other Secured Party, or its or their agents, employees, officers, nominees or other representatives, as finally determined by a court of competent jurisdiction. To the extent it may lawfully do so, each Grantor absolutely and irrevocably waives and relinquishes the benefit and advantage of, and covenants not to assert against the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4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color w:val="010000"/>
        </w:rPr>
        <w:t xml:space="preserve">8.2. </w:t>
      </w:r>
      <w:r>
        <w:rPr>
          <w:rFonts w:ascii="Arial" w:cs="Arial" w:eastAsia="Arial" w:hAnsi="Arial"/>
          <w:sz w:val="19"/>
          <w:szCs w:val="19"/>
          <w:u w:val="single" w:color="auto"/>
          <w:color w:val="000000"/>
        </w:rPr>
        <w:t>Limitation on Agent’s and other Secured Parties’ Duty with Respect to the Collateral</w:t>
      </w:r>
      <w:r>
        <w:rPr>
          <w:rFonts w:ascii="Arial" w:cs="Arial" w:eastAsia="Arial" w:hAnsi="Arial"/>
          <w:sz w:val="19"/>
          <w:szCs w:val="19"/>
          <w:color w:val="000000"/>
        </w:rPr>
        <w:t>. The Agent shall have no</w:t>
      </w:r>
      <w:r>
        <w:rPr>
          <w:rFonts w:ascii="Arial" w:cs="Arial" w:eastAsia="Arial" w:hAnsi="Arial"/>
          <w:sz w:val="19"/>
          <w:szCs w:val="19"/>
          <w:color w:val="010000"/>
        </w:rPr>
        <w:t xml:space="preserve"> </w:t>
      </w:r>
      <w:r>
        <w:rPr>
          <w:rFonts w:ascii="Arial" w:cs="Arial" w:eastAsia="Arial" w:hAnsi="Arial"/>
          <w:sz w:val="19"/>
          <w:szCs w:val="19"/>
          <w:color w:val="000000"/>
        </w:rPr>
        <w:t>obligation to clean-up or otherwise prepare the Collateral for sale. The Agent and each other Secured Party shall use reasonable care with respect to the Collateral in its possession or under its control (or in the possession or under the care of any agent, employee, officer, nominee or other representative of the Agent or such other Secured Party). Neither the Agent nor any other Secured Party shall have any other duty as to any Collateral in its possession or control or in the possession or control of any agent or nominee of the Agent or such other Secured Party, or any income thereon or as to the preservation of rights against prior parties or any other rights pertaining thereto. To the extent that applicable law imposes duties on the Agent to exercise remedies in a commercially reasonable manner, each Grantor acknowledges and agrees that it is commercially reasonable for the Agent (i) to fail to incur expenses deemed significant by the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w:t>
      </w:r>
    </w:p>
    <w:p>
      <w:pPr>
        <w:spacing w:after="0" w:line="11" w:lineRule="exact"/>
        <w:rPr>
          <w:sz w:val="20"/>
          <w:szCs w:val="20"/>
          <w:color w:val="auto"/>
        </w:rPr>
      </w:pPr>
    </w:p>
    <w:p>
      <w:pPr>
        <w:jc w:val="both"/>
        <w:ind w:firstLine="8"/>
        <w:spacing w:after="0" w:line="296" w:lineRule="auto"/>
        <w:tabs>
          <w:tab w:leader="none" w:pos="374" w:val="left"/>
        </w:tabs>
        <w:numPr>
          <w:ilvl w:val="0"/>
          <w:numId w:val="925"/>
        </w:numPr>
        <w:rPr>
          <w:rFonts w:ascii="Arial" w:cs="Arial" w:eastAsia="Arial" w:hAnsi="Arial"/>
          <w:sz w:val="19"/>
          <w:szCs w:val="19"/>
          <w:color w:val="auto"/>
        </w:rPr>
      </w:pPr>
      <w:r>
        <w:rPr>
          <w:rFonts w:ascii="Arial" w:cs="Arial" w:eastAsia="Arial" w:hAnsi="Arial"/>
          <w:sz w:val="19"/>
          <w:szCs w:val="19"/>
          <w:color w:val="auto"/>
        </w:rPr>
        <w:t>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w:t>
      </w:r>
    </w:p>
    <w:p>
      <w:pPr>
        <w:spacing w:after="0" w:line="2" w:lineRule="exact"/>
        <w:rPr>
          <w:rFonts w:ascii="Arial" w:cs="Arial" w:eastAsia="Arial" w:hAnsi="Arial"/>
          <w:sz w:val="19"/>
          <w:szCs w:val="19"/>
          <w:color w:val="auto"/>
        </w:rPr>
      </w:pPr>
    </w:p>
    <w:p>
      <w:pPr>
        <w:jc w:val="both"/>
        <w:ind w:firstLine="8"/>
        <w:spacing w:after="0" w:line="303" w:lineRule="auto"/>
        <w:tabs>
          <w:tab w:leader="none" w:pos="487" w:val="left"/>
        </w:tabs>
        <w:numPr>
          <w:ilvl w:val="0"/>
          <w:numId w:val="926"/>
        </w:numPr>
        <w:rPr>
          <w:rFonts w:ascii="Arial" w:cs="Arial" w:eastAsia="Arial" w:hAnsi="Arial"/>
          <w:sz w:val="19"/>
          <w:szCs w:val="19"/>
          <w:color w:val="auto"/>
        </w:rPr>
      </w:pPr>
      <w:r>
        <w:rPr>
          <w:rFonts w:ascii="Arial" w:cs="Arial" w:eastAsia="Arial" w:hAnsi="Arial"/>
          <w:sz w:val="19"/>
          <w:szCs w:val="19"/>
          <w:color w:val="auto"/>
        </w:rPr>
        <w:t xml:space="preserve">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Agent against risks of loss, collection or disposition of Collateral or to provide to the Agent a guaranteed return from the collection or disposition of Collateral, or (xii) to the extent deemed appropriate by the Agent, to obtain the services of other brokers, investment bankers, consultants and other professionals to assist the Agent in the collection or disposition of any of the Collateral. Each Grantor acknowledges that the purpose of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is to provide non-exhaustive indications of what actions or omissions by the Agent would be commercially reasonable in the Agent’s exercise of remedies against the Collateral and that other actions 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3" w:name="page814"/>
    <w:bookmarkEnd w:id="813"/>
    <w:p>
      <w:pPr>
        <w:jc w:val="both"/>
        <w:spacing w:after="0" w:line="262" w:lineRule="auto"/>
        <w:rPr>
          <w:sz w:val="20"/>
          <w:szCs w:val="20"/>
          <w:color w:val="auto"/>
        </w:rPr>
      </w:pPr>
      <w:r>
        <w:rPr>
          <w:rFonts w:ascii="Arial" w:cs="Arial" w:eastAsia="Arial" w:hAnsi="Arial"/>
          <w:sz w:val="22"/>
          <w:szCs w:val="22"/>
          <w:color w:val="auto"/>
        </w:rPr>
        <w:t xml:space="preserve">omissions by the Agent shall not be deemed commercially unreasonable solely on account of not being indicated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8.2</w:t>
      </w:r>
      <w:r>
        <w:rPr>
          <w:rFonts w:ascii="Arial" w:cs="Arial" w:eastAsia="Arial" w:hAnsi="Arial"/>
          <w:sz w:val="22"/>
          <w:szCs w:val="22"/>
          <w:color w:val="auto"/>
        </w:rPr>
        <w:t xml:space="preserve">. Without limitation upon the foregoing, nothing contained in this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shall be construed to grant any rights to any Grantor or to impose any duties on the Agent that would not have been granted or imposed by this Security Agreement or by applicable law in the absence of this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15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010000"/>
        </w:rPr>
        <w:t xml:space="preserve">8.3. </w:t>
      </w:r>
      <w:r>
        <w:rPr>
          <w:rFonts w:ascii="Arial" w:cs="Arial" w:eastAsia="Arial" w:hAnsi="Arial"/>
          <w:sz w:val="19"/>
          <w:szCs w:val="19"/>
          <w:u w:val="single" w:color="auto"/>
          <w:color w:val="000000"/>
        </w:rPr>
        <w:t>Compromises and Collection of Collateral</w:t>
      </w:r>
      <w:r>
        <w:rPr>
          <w:rFonts w:ascii="Arial" w:cs="Arial" w:eastAsia="Arial" w:hAnsi="Arial"/>
          <w:sz w:val="19"/>
          <w:szCs w:val="19"/>
          <w:color w:val="000000"/>
        </w:rPr>
        <w:t>. Each Grantor and the Agent recognize that setoffs, counterclaims,</w:t>
      </w:r>
      <w:r>
        <w:rPr>
          <w:rFonts w:ascii="Arial" w:cs="Arial" w:eastAsia="Arial" w:hAnsi="Arial"/>
          <w:sz w:val="19"/>
          <w:szCs w:val="19"/>
          <w:color w:val="010000"/>
        </w:rPr>
        <w:t xml:space="preserve"> </w:t>
      </w:r>
      <w:r>
        <w:rPr>
          <w:rFonts w:ascii="Arial" w:cs="Arial" w:eastAsia="Arial" w:hAnsi="Arial"/>
          <w:sz w:val="19"/>
          <w:szCs w:val="19"/>
          <w:color w:val="000000"/>
        </w:rPr>
        <w:t>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subject to applicable bankruptcy laws, that the Agent may at any time and from time to time, if an Event of Default has occurred and is continuing, and subject to the Intercreditor Agreement, compromise with the obligor on any Receivable, accept in full payment of any Receivable such amount as the Agent in its sole discretion shall determine or abandon any Receivable, and any such action by the Agent shall be commercially reasonable so long as the Agent acts in good faith based on information known to it at the time it takes any such action.</w:t>
      </w:r>
    </w:p>
    <w:p>
      <w:pPr>
        <w:spacing w:after="0" w:line="12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010000"/>
        </w:rPr>
        <w:t xml:space="preserve">8.4. </w:t>
      </w:r>
      <w:r>
        <w:rPr>
          <w:rFonts w:ascii="Arial" w:cs="Arial" w:eastAsia="Arial" w:hAnsi="Arial"/>
          <w:sz w:val="22"/>
          <w:szCs w:val="22"/>
          <w:u w:val="single" w:color="auto"/>
          <w:color w:val="000000"/>
        </w:rPr>
        <w:t>Secured Party Performance of Grantor’s Obligations</w:t>
      </w:r>
      <w:r>
        <w:rPr>
          <w:rFonts w:ascii="Arial" w:cs="Arial" w:eastAsia="Arial" w:hAnsi="Arial"/>
          <w:sz w:val="22"/>
          <w:szCs w:val="22"/>
          <w:color w:val="000000"/>
        </w:rPr>
        <w:t>. Without having any obligation to do so, the Agent may</w:t>
      </w:r>
      <w:r>
        <w:rPr>
          <w:rFonts w:ascii="Arial" w:cs="Arial" w:eastAsia="Arial" w:hAnsi="Arial"/>
          <w:sz w:val="22"/>
          <w:szCs w:val="22"/>
          <w:color w:val="010000"/>
        </w:rPr>
        <w:t xml:space="preserve"> </w:t>
      </w:r>
      <w:r>
        <w:rPr>
          <w:rFonts w:ascii="Arial" w:cs="Arial" w:eastAsia="Arial" w:hAnsi="Arial"/>
          <w:sz w:val="22"/>
          <w:szCs w:val="22"/>
          <w:color w:val="000000"/>
        </w:rPr>
        <w:t xml:space="preserve">perform or pay any obligation which any Grantor has agreed to perform or pay in this Security Agreement and fails to so perform or pay and such Grantor shall reimburse the Agent for any reasonable and documented amounts paid by the Agent pursuant to this </w:t>
      </w:r>
      <w:r>
        <w:rPr>
          <w:rFonts w:ascii="Arial" w:cs="Arial" w:eastAsia="Arial" w:hAnsi="Arial"/>
          <w:sz w:val="22"/>
          <w:szCs w:val="22"/>
          <w:u w:val="single" w:color="auto"/>
          <w:color w:val="000000"/>
        </w:rPr>
        <w:t>Section 8.4</w:t>
      </w:r>
      <w:r>
        <w:rPr>
          <w:rFonts w:ascii="Arial" w:cs="Arial" w:eastAsia="Arial" w:hAnsi="Arial"/>
          <w:sz w:val="22"/>
          <w:szCs w:val="22"/>
          <w:color w:val="000000"/>
        </w:rPr>
        <w:t>. Each Grantor’s obligation to reimburse the Agent pursuant to the preceding sentence shall be a Secured Obligation payable on demand.</w:t>
      </w:r>
    </w:p>
    <w:p>
      <w:pPr>
        <w:spacing w:after="0" w:line="15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010000"/>
        </w:rPr>
        <w:t xml:space="preserve">8.5. </w:t>
      </w:r>
      <w:r>
        <w:rPr>
          <w:rFonts w:ascii="Arial" w:cs="Arial" w:eastAsia="Arial" w:hAnsi="Arial"/>
          <w:sz w:val="19"/>
          <w:szCs w:val="19"/>
          <w:u w:val="single" w:color="auto"/>
          <w:color w:val="000000"/>
        </w:rPr>
        <w:t>Authorization for Secured Party to Take Certain Action</w:t>
      </w:r>
      <w:r>
        <w:rPr>
          <w:rFonts w:ascii="Arial" w:cs="Arial" w:eastAsia="Arial" w:hAnsi="Arial"/>
          <w:sz w:val="19"/>
          <w:szCs w:val="19"/>
          <w:color w:val="000000"/>
        </w:rPr>
        <w:t>. Each Grantor irrevocably authorizes the Agent at any</w:t>
      </w:r>
      <w:r>
        <w:rPr>
          <w:rFonts w:ascii="Arial" w:cs="Arial" w:eastAsia="Arial" w:hAnsi="Arial"/>
          <w:sz w:val="19"/>
          <w:szCs w:val="19"/>
          <w:color w:val="010000"/>
        </w:rPr>
        <w:t xml:space="preserve"> </w:t>
      </w:r>
      <w:r>
        <w:rPr>
          <w:rFonts w:ascii="Arial" w:cs="Arial" w:eastAsia="Arial" w:hAnsi="Arial"/>
          <w:sz w:val="19"/>
          <w:szCs w:val="19"/>
          <w:color w:val="000000"/>
        </w:rPr>
        <w:t>time and from time to time in the sole discretion of the Agent and appoints the Agent as its attorney in fact (i) to execute on behalf of such Grantor as debtor and to file financing statements necessary or desirable in the Agent’s sole discretion to perfect and to maintain the perfection and priority of the Agent’s security interest in the Collateral, (ii) to indorse and collect any cash proceeds of the Collateral,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Agent in its sole discretion deems necessary or desirable to perfect and to maintain the perfection and priority of the Agent’s security interest in the Collateral, (iv) to contact and enter into one or more agreements with the issuers of uncertificated securities which are Collateral owned by such Grantor and which are Securities or with financial intermediaries holding other Investment Property which is Collateral as may be necessary or advisable to give the Agent Control (subject to the Intercreditor Agreement) over such Securities or other Investment Property, (v) solely to the extent an Event of Default has occurred and is continuing, to enforce payment of the Instruments, Accounts and Receivables constituting Collateral in the name of the Agent or such Grantor, (vi) solely to the extent an Event of Default has occurred and is continuing, to apply the proceeds of any Collateral received by the Agent to the Secured Obligations as provided in Article VII and (vii) to discharge past due taxes, assessments, charges, fees or Liens on the Collateral (except for such Liens as are specifically permitted hereunder or under any other Loan Document), and each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4" w:name="page815"/>
    <w:bookmarkEnd w:id="814"/>
    <w:p>
      <w:pPr>
        <w:jc w:val="both"/>
        <w:spacing w:after="0" w:line="284" w:lineRule="auto"/>
        <w:rPr>
          <w:sz w:val="20"/>
          <w:szCs w:val="20"/>
          <w:color w:val="auto"/>
        </w:rPr>
      </w:pPr>
      <w:r>
        <w:rPr>
          <w:rFonts w:ascii="Arial" w:cs="Arial" w:eastAsia="Arial" w:hAnsi="Arial"/>
          <w:sz w:val="21"/>
          <w:szCs w:val="21"/>
          <w:color w:val="auto"/>
        </w:rPr>
        <w:t xml:space="preserve">Grantor agrees to reimburse the Agent on demand for any reasonable and documented payment made or any reasonable and documented expense incurred by the Agent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that this authorization shall not relieve any Grantor of any of its obligations under this Security Agreement or under the LC Credit Agreement.</w:t>
      </w:r>
    </w:p>
    <w:p>
      <w:pPr>
        <w:spacing w:after="0" w:line="12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010000"/>
        </w:rPr>
        <w:t xml:space="preserve">8.6. </w:t>
      </w:r>
      <w:r>
        <w:rPr>
          <w:rFonts w:ascii="Arial" w:cs="Arial" w:eastAsia="Arial" w:hAnsi="Arial"/>
          <w:sz w:val="21"/>
          <w:szCs w:val="21"/>
          <w:u w:val="single" w:color="auto"/>
          <w:color w:val="000000"/>
        </w:rPr>
        <w:t>Specific Performance of Certain Covenants</w:t>
      </w:r>
      <w:r>
        <w:rPr>
          <w:rFonts w:ascii="Arial" w:cs="Arial" w:eastAsia="Arial" w:hAnsi="Arial"/>
          <w:sz w:val="21"/>
          <w:szCs w:val="21"/>
          <w:color w:val="000000"/>
        </w:rPr>
        <w:t>. Each Grantor acknowledges and agrees that a breach of any of the</w:t>
      </w:r>
      <w:r>
        <w:rPr>
          <w:rFonts w:ascii="Arial" w:cs="Arial" w:eastAsia="Arial" w:hAnsi="Arial"/>
          <w:sz w:val="21"/>
          <w:szCs w:val="21"/>
          <w:color w:val="010000"/>
        </w:rPr>
        <w:t xml:space="preserve"> </w:t>
      </w:r>
      <w:r>
        <w:rPr>
          <w:rFonts w:ascii="Arial" w:cs="Arial" w:eastAsia="Arial" w:hAnsi="Arial"/>
          <w:sz w:val="21"/>
          <w:szCs w:val="21"/>
          <w:color w:val="000000"/>
        </w:rPr>
        <w:t xml:space="preserve">covenants contained in </w:t>
      </w:r>
      <w:r>
        <w:rPr>
          <w:rFonts w:ascii="Arial" w:cs="Arial" w:eastAsia="Arial" w:hAnsi="Arial"/>
          <w:sz w:val="21"/>
          <w:szCs w:val="21"/>
          <w:u w:val="single" w:color="auto"/>
          <w:color w:val="000000"/>
        </w:rPr>
        <w:t>Section 5.2</w:t>
      </w:r>
      <w:r>
        <w:rPr>
          <w:rFonts w:ascii="Arial" w:cs="Arial" w:eastAsia="Arial" w:hAnsi="Arial"/>
          <w:sz w:val="21"/>
          <w:szCs w:val="21"/>
          <w:color w:val="000000"/>
        </w:rPr>
        <w:t xml:space="preserve">, or in </w:t>
      </w:r>
      <w:r>
        <w:rPr>
          <w:rFonts w:ascii="Arial" w:cs="Arial" w:eastAsia="Arial" w:hAnsi="Arial"/>
          <w:sz w:val="21"/>
          <w:szCs w:val="21"/>
          <w:u w:val="single" w:color="auto"/>
          <w:color w:val="000000"/>
        </w:rPr>
        <w:t>Article VII</w:t>
      </w:r>
      <w:r>
        <w:rPr>
          <w:rFonts w:ascii="Arial" w:cs="Arial" w:eastAsia="Arial" w:hAnsi="Arial"/>
          <w:sz w:val="21"/>
          <w:szCs w:val="21"/>
          <w:color w:val="000000"/>
        </w:rPr>
        <w:t xml:space="preserve"> hereof will cause irreparable injury to the Agent and the other Secured Parties, that the Agent and the other Secured Parties have no adequate remedy at law in respect of such breaches and therefore agrees, without limiting the right of the Agent or the other Secured Parties to seek and obtain specific performance of other obligations of the Grantors contained in this Security Agreement, that the covenants of the Grantors contained in the Sections referred to in this </w:t>
      </w:r>
      <w:r>
        <w:rPr>
          <w:rFonts w:ascii="Arial" w:cs="Arial" w:eastAsia="Arial" w:hAnsi="Arial"/>
          <w:sz w:val="21"/>
          <w:szCs w:val="21"/>
          <w:u w:val="single" w:color="auto"/>
          <w:color w:val="000000"/>
        </w:rPr>
        <w:t>Section 8.6</w:t>
      </w:r>
      <w:r>
        <w:rPr>
          <w:rFonts w:ascii="Arial" w:cs="Arial" w:eastAsia="Arial" w:hAnsi="Arial"/>
          <w:sz w:val="21"/>
          <w:szCs w:val="21"/>
          <w:color w:val="000000"/>
        </w:rPr>
        <w:t xml:space="preserve"> shall be specifically enforceable against the Grantors.</w:t>
      </w:r>
    </w:p>
    <w:p>
      <w:pPr>
        <w:spacing w:after="0" w:line="1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010000"/>
        </w:rPr>
        <w:t xml:space="preserve">8.7. </w:t>
      </w:r>
      <w:r>
        <w:rPr>
          <w:rFonts w:ascii="Arial" w:cs="Arial" w:eastAsia="Arial" w:hAnsi="Arial"/>
          <w:sz w:val="22"/>
          <w:szCs w:val="22"/>
          <w:u w:val="single" w:color="auto"/>
          <w:color w:val="000000"/>
        </w:rPr>
        <w:t>Use and Possession of Certain Premises</w:t>
      </w:r>
      <w:r>
        <w:rPr>
          <w:rFonts w:ascii="Arial" w:cs="Arial" w:eastAsia="Arial" w:hAnsi="Arial"/>
          <w:sz w:val="22"/>
          <w:szCs w:val="22"/>
          <w:color w:val="000000"/>
        </w:rPr>
        <w:t>. Upon the occurrence and during the continuation of an Event of</w:t>
      </w:r>
      <w:r>
        <w:rPr>
          <w:rFonts w:ascii="Arial" w:cs="Arial" w:eastAsia="Arial" w:hAnsi="Arial"/>
          <w:sz w:val="22"/>
          <w:szCs w:val="22"/>
          <w:color w:val="010000"/>
        </w:rPr>
        <w:t xml:space="preserve"> </w:t>
      </w:r>
      <w:r>
        <w:rPr>
          <w:rFonts w:ascii="Arial" w:cs="Arial" w:eastAsia="Arial" w:hAnsi="Arial"/>
          <w:sz w:val="22"/>
          <w:szCs w:val="22"/>
          <w:color w:val="000000"/>
        </w:rPr>
        <w:t xml:space="preserve">Default, subject to the Intercreditor Agreement, the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 subject to </w:t>
      </w:r>
      <w:r>
        <w:rPr>
          <w:rFonts w:ascii="Arial" w:cs="Arial" w:eastAsia="Arial" w:hAnsi="Arial"/>
          <w:sz w:val="22"/>
          <w:szCs w:val="22"/>
          <w:u w:val="single" w:color="auto"/>
          <w:color w:val="000000"/>
        </w:rPr>
        <w:t>Section 8.2</w:t>
      </w:r>
      <w:r>
        <w:rPr>
          <w:rFonts w:ascii="Arial" w:cs="Arial" w:eastAsia="Arial" w:hAnsi="Arial"/>
          <w:sz w:val="22"/>
          <w:szCs w:val="22"/>
          <w:color w:val="000000"/>
        </w:rPr>
        <w:t xml:space="preserve"> hereof all respects.</w:t>
      </w:r>
    </w:p>
    <w:p>
      <w:pPr>
        <w:spacing w:after="0" w:line="15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010000"/>
        </w:rPr>
        <w:t xml:space="preserve">8.8. </w:t>
      </w:r>
      <w:r>
        <w:rPr>
          <w:rFonts w:ascii="Arial" w:cs="Arial" w:eastAsia="Arial" w:hAnsi="Arial"/>
          <w:sz w:val="19"/>
          <w:szCs w:val="19"/>
          <w:u w:val="single" w:color="auto"/>
          <w:color w:val="000000"/>
        </w:rPr>
        <w:t>Reinstatement</w:t>
      </w:r>
      <w:r>
        <w:rPr>
          <w:rFonts w:ascii="Arial" w:cs="Arial" w:eastAsia="Arial" w:hAnsi="Arial"/>
          <w:sz w:val="19"/>
          <w:szCs w:val="19"/>
          <w:color w:val="000000"/>
        </w:rPr>
        <w:t>. This Security Agreement shall remain in full force and effect and continue to be effective should</w:t>
      </w:r>
      <w:r>
        <w:rPr>
          <w:rFonts w:ascii="Arial" w:cs="Arial" w:eastAsia="Arial" w:hAnsi="Arial"/>
          <w:sz w:val="19"/>
          <w:szCs w:val="19"/>
          <w:color w:val="010000"/>
        </w:rPr>
        <w:t xml:space="preserve"> </w:t>
      </w:r>
      <w:r>
        <w:rPr>
          <w:rFonts w:ascii="Arial" w:cs="Arial" w:eastAsia="Arial" w:hAnsi="Arial"/>
          <w:sz w:val="19"/>
          <w:szCs w:val="19"/>
          <w:color w:val="000000"/>
        </w:rPr>
        <w:t>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010000"/>
        </w:rPr>
        <w:t xml:space="preserve">8.9. </w:t>
      </w:r>
      <w:r>
        <w:rPr>
          <w:rFonts w:ascii="Arial" w:cs="Arial" w:eastAsia="Arial" w:hAnsi="Arial"/>
          <w:sz w:val="21"/>
          <w:szCs w:val="21"/>
          <w:u w:val="single" w:color="auto"/>
          <w:color w:val="000000"/>
        </w:rPr>
        <w:t>Benefit of Agreement</w:t>
      </w:r>
      <w:r>
        <w:rPr>
          <w:rFonts w:ascii="Arial" w:cs="Arial" w:eastAsia="Arial" w:hAnsi="Arial"/>
          <w:sz w:val="21"/>
          <w:szCs w:val="21"/>
          <w:color w:val="000000"/>
        </w:rPr>
        <w:t>. The terms and provisions of this Security Agreement shall be binding upon and inure to</w:t>
      </w:r>
      <w:r>
        <w:rPr>
          <w:rFonts w:ascii="Arial" w:cs="Arial" w:eastAsia="Arial" w:hAnsi="Arial"/>
          <w:sz w:val="21"/>
          <w:szCs w:val="21"/>
          <w:color w:val="010000"/>
        </w:rPr>
        <w:t xml:space="preserve"> </w:t>
      </w:r>
      <w:r>
        <w:rPr>
          <w:rFonts w:ascii="Arial" w:cs="Arial" w:eastAsia="Arial" w:hAnsi="Arial"/>
          <w:sz w:val="21"/>
          <w:szCs w:val="21"/>
          <w:color w:val="000000"/>
        </w:rPr>
        <w:t xml:space="preserve">the benefit of the Grantors, the Agent and the Secured Parties and their respective successors and assigns (including all persons who become bound as a debtor to this Security Agreement);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the Grantors shall not have the right to assign their rights or delegate their obligations under this Security Agreement or any interest herein, except as permitted under the LC Credit Agreement. No sales of participations, assignments, transfers, or other dispositions of any agreement governing the Secured Obligations or any portion thereof or interest therein shall in any manner impair the Lien granted to the Agent, for the benefit of the Agent and the other Secured Parties, hereunder.</w:t>
      </w:r>
    </w:p>
    <w:p>
      <w:pPr>
        <w:spacing w:after="0" w:line="1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8.10. </w:t>
      </w:r>
      <w:r>
        <w:rPr>
          <w:rFonts w:ascii="Arial" w:cs="Arial" w:eastAsia="Arial" w:hAnsi="Arial"/>
          <w:sz w:val="22"/>
          <w:szCs w:val="22"/>
          <w:u w:val="single" w:color="auto"/>
          <w:color w:val="000000"/>
        </w:rPr>
        <w:t>Survival of Representations</w:t>
      </w:r>
      <w:r>
        <w:rPr>
          <w:rFonts w:ascii="Arial" w:cs="Arial" w:eastAsia="Arial" w:hAnsi="Arial"/>
          <w:sz w:val="22"/>
          <w:szCs w:val="22"/>
          <w:color w:val="000000"/>
        </w:rPr>
        <w:t>. All representations and warranties of the Grantors contained in this Security</w:t>
      </w:r>
      <w:r>
        <w:rPr>
          <w:rFonts w:ascii="Arial" w:cs="Arial" w:eastAsia="Arial" w:hAnsi="Arial"/>
          <w:sz w:val="22"/>
          <w:szCs w:val="22"/>
          <w:color w:val="010000"/>
        </w:rPr>
        <w:t xml:space="preserve"> </w:t>
      </w:r>
      <w:r>
        <w:rPr>
          <w:rFonts w:ascii="Arial" w:cs="Arial" w:eastAsia="Arial" w:hAnsi="Arial"/>
          <w:sz w:val="22"/>
          <w:szCs w:val="22"/>
          <w:color w:val="000000"/>
        </w:rPr>
        <w:t>Agreement shall survive the execution and delivery of this Security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5" w:name="page816"/>
    <w:bookmarkEnd w:id="815"/>
    <w:p>
      <w:pPr>
        <w:jc w:val="both"/>
        <w:ind w:firstLine="648"/>
        <w:spacing w:after="0" w:line="274" w:lineRule="auto"/>
        <w:rPr>
          <w:sz w:val="20"/>
          <w:szCs w:val="20"/>
          <w:color w:val="auto"/>
        </w:rPr>
      </w:pPr>
      <w:r>
        <w:rPr>
          <w:rFonts w:ascii="Arial" w:cs="Arial" w:eastAsia="Arial" w:hAnsi="Arial"/>
          <w:sz w:val="21"/>
          <w:szCs w:val="21"/>
          <w:color w:val="010000"/>
        </w:rPr>
        <w:t xml:space="preserve">8.11. </w:t>
      </w:r>
      <w:r>
        <w:rPr>
          <w:rFonts w:ascii="Arial" w:cs="Arial" w:eastAsia="Arial" w:hAnsi="Arial"/>
          <w:sz w:val="21"/>
          <w:szCs w:val="21"/>
          <w:u w:val="single" w:color="auto"/>
          <w:color w:val="000000"/>
        </w:rPr>
        <w:t>Taxes and Expenses</w:t>
      </w:r>
      <w:r>
        <w:rPr>
          <w:rFonts w:ascii="Arial" w:cs="Arial" w:eastAsia="Arial" w:hAnsi="Arial"/>
          <w:sz w:val="21"/>
          <w:szCs w:val="21"/>
          <w:color w:val="000000"/>
        </w:rPr>
        <w:t>. To the extent required by Section 4.02 of the LC Credit Agreement, any Other Taxes</w:t>
      </w:r>
      <w:r>
        <w:rPr>
          <w:rFonts w:ascii="Arial" w:cs="Arial" w:eastAsia="Arial" w:hAnsi="Arial"/>
          <w:sz w:val="21"/>
          <w:szCs w:val="21"/>
          <w:color w:val="010000"/>
        </w:rPr>
        <w:t xml:space="preserve"> </w:t>
      </w:r>
      <w:r>
        <w:rPr>
          <w:rFonts w:ascii="Arial" w:cs="Arial" w:eastAsia="Arial" w:hAnsi="Arial"/>
          <w:sz w:val="21"/>
          <w:szCs w:val="21"/>
          <w:color w:val="000000"/>
        </w:rPr>
        <w:t>payable or ruled payable by a Governmental Authority in respect of this Security Agreement shall be paid by the applicable Grantor. The Grantors shall reimburse the Agent for any and all of its reasonable out-of-pocket expenses (including reasonable external legal, auditors’ and accountants’ fees) if and to the extent the Borrowers are required to reimburse such amounts under Section 11.03 of the LC Credit Agreement. Any and all costs and expenses incurred by the Grantors in the performance of actions required pursuant to the terms hereof shall be borne solely by the Grantors.</w:t>
      </w:r>
    </w:p>
    <w:p>
      <w:pPr>
        <w:spacing w:after="0" w:line="141"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010000"/>
        </w:rPr>
        <w:t xml:space="preserve">8.12. </w:t>
      </w:r>
      <w:r>
        <w:rPr>
          <w:rFonts w:ascii="Arial" w:cs="Arial" w:eastAsia="Arial" w:hAnsi="Arial"/>
          <w:sz w:val="21"/>
          <w:szCs w:val="21"/>
          <w:u w:val="single" w:color="auto"/>
          <w:color w:val="000000"/>
        </w:rPr>
        <w:t>Headings</w:t>
      </w:r>
      <w:r>
        <w:rPr>
          <w:rFonts w:ascii="Arial" w:cs="Arial" w:eastAsia="Arial" w:hAnsi="Arial"/>
          <w:sz w:val="21"/>
          <w:szCs w:val="21"/>
          <w:color w:val="000000"/>
        </w:rPr>
        <w:t>. The title of and section headings in this Security Agreement are for convenience of reference only,</w:t>
      </w:r>
      <w:r>
        <w:rPr>
          <w:rFonts w:ascii="Arial" w:cs="Arial" w:eastAsia="Arial" w:hAnsi="Arial"/>
          <w:sz w:val="21"/>
          <w:szCs w:val="21"/>
          <w:color w:val="010000"/>
        </w:rPr>
        <w:t xml:space="preserve"> </w:t>
      </w:r>
      <w:r>
        <w:rPr>
          <w:rFonts w:ascii="Arial" w:cs="Arial" w:eastAsia="Arial" w:hAnsi="Arial"/>
          <w:sz w:val="21"/>
          <w:szCs w:val="21"/>
          <w:color w:val="000000"/>
        </w:rPr>
        <w:t>and shall not govern the interpretation of any of the terms and provisions of this Security Agreement.</w:t>
      </w:r>
    </w:p>
    <w:p>
      <w:pPr>
        <w:spacing w:after="0" w:line="1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010000"/>
        </w:rPr>
        <w:t xml:space="preserve">8.13. </w:t>
      </w:r>
      <w:r>
        <w:rPr>
          <w:rFonts w:ascii="Arial" w:cs="Arial" w:eastAsia="Arial" w:hAnsi="Arial"/>
          <w:sz w:val="22"/>
          <w:szCs w:val="22"/>
          <w:u w:val="single" w:color="auto"/>
          <w:color w:val="000000"/>
        </w:rPr>
        <w:t>Termination</w:t>
      </w:r>
      <w:r>
        <w:rPr>
          <w:rFonts w:ascii="Arial" w:cs="Arial" w:eastAsia="Arial" w:hAnsi="Arial"/>
          <w:sz w:val="22"/>
          <w:szCs w:val="22"/>
          <w:color w:val="000000"/>
        </w:rPr>
        <w:t>. This Security Agreement shall continue in effect (notwithstanding the fact that from time to time</w:t>
      </w:r>
      <w:r>
        <w:rPr>
          <w:rFonts w:ascii="Arial" w:cs="Arial" w:eastAsia="Arial" w:hAnsi="Arial"/>
          <w:sz w:val="22"/>
          <w:szCs w:val="22"/>
          <w:color w:val="010000"/>
        </w:rPr>
        <w:t xml:space="preserve"> </w:t>
      </w:r>
      <w:r>
        <w:rPr>
          <w:rFonts w:ascii="Arial" w:cs="Arial" w:eastAsia="Arial" w:hAnsi="Arial"/>
          <w:sz w:val="22"/>
          <w:szCs w:val="22"/>
          <w:color w:val="000000"/>
        </w:rPr>
        <w:t>there may be no Secured Obligations outstanding) until Payment in Full. Notwithstanding the foregoing, the obligations of any individual Grantor under this Security Agreement shall automatically terminate to the extent provided in and in accordance with Section 11.23 of the LC Credit Agreement.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8.14.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Security Agreement and the other Loan Documents constitute the entire contract</w:t>
      </w:r>
      <w:r>
        <w:rPr>
          <w:rFonts w:ascii="Arial" w:cs="Arial" w:eastAsia="Arial" w:hAnsi="Arial"/>
          <w:sz w:val="22"/>
          <w:szCs w:val="22"/>
          <w:color w:val="010000"/>
        </w:rPr>
        <w:t xml:space="preserve"> </w:t>
      </w:r>
      <w:r>
        <w:rPr>
          <w:rFonts w:ascii="Arial" w:cs="Arial" w:eastAsia="Arial" w:hAnsi="Arial"/>
          <w:sz w:val="22"/>
          <w:szCs w:val="22"/>
          <w:color w:val="000000"/>
        </w:rPr>
        <w:t>among the parties relating to the subject matter hereof and supersede any and all previous agreements and understandings, oral or written, relating to the subject matter hereof.</w:t>
      </w:r>
    </w:p>
    <w:p>
      <w:pPr>
        <w:spacing w:after="0" w:line="144"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010000"/>
        </w:rPr>
        <w:t>8.15.</w:t>
      </w:r>
      <w:r>
        <w:rPr>
          <w:sz w:val="20"/>
          <w:szCs w:val="20"/>
          <w:color w:val="auto"/>
        </w:rPr>
        <w:tab/>
      </w:r>
      <w:r>
        <w:rPr>
          <w:rFonts w:ascii="Arial" w:cs="Arial" w:eastAsia="Arial" w:hAnsi="Arial"/>
          <w:sz w:val="19"/>
          <w:szCs w:val="19"/>
          <w:u w:val="single" w:color="auto"/>
          <w:color w:val="auto"/>
        </w:rPr>
        <w:t>Governing Law; Jurisdiction; Waiver of Jury Trial</w:t>
      </w:r>
      <w:r>
        <w:rPr>
          <w:rFonts w:ascii="Arial" w:cs="Arial" w:eastAsia="Arial" w:hAnsi="Arial"/>
          <w:sz w:val="19"/>
          <w:szCs w:val="19"/>
          <w:color w:val="auto"/>
        </w:rPr>
        <w:t>.</w:t>
      </w:r>
    </w:p>
    <w:p>
      <w:pPr>
        <w:spacing w:after="0" w:line="200" w:lineRule="exact"/>
        <w:rPr>
          <w:sz w:val="20"/>
          <w:szCs w:val="20"/>
          <w:color w:val="auto"/>
        </w:rPr>
      </w:pPr>
    </w:p>
    <w:p>
      <w:pPr>
        <w:ind w:left="1620"/>
        <w:spacing w:after="0"/>
        <w:tabs>
          <w:tab w:leader="none" w:pos="2820" w:val="left"/>
        </w:tabs>
        <w:rPr>
          <w:sz w:val="20"/>
          <w:szCs w:val="20"/>
          <w:color w:val="auto"/>
        </w:rPr>
      </w:pPr>
      <w:r>
        <w:rPr>
          <w:rFonts w:ascii="Arial" w:cs="Arial" w:eastAsia="Arial" w:hAnsi="Arial"/>
          <w:sz w:val="22"/>
          <w:szCs w:val="22"/>
          <w:color w:val="010000"/>
        </w:rPr>
        <w:t>8.15.1</w:t>
      </w:r>
      <w:r>
        <w:rPr>
          <w:sz w:val="20"/>
          <w:szCs w:val="20"/>
          <w:color w:val="auto"/>
        </w:rPr>
        <w:tab/>
      </w:r>
      <w:r>
        <w:rPr>
          <w:rFonts w:ascii="Arial" w:cs="Arial" w:eastAsia="Arial" w:hAnsi="Arial"/>
          <w:sz w:val="22"/>
          <w:szCs w:val="22"/>
          <w:b w:val="1"/>
          <w:bCs w:val="1"/>
          <w:color w:val="auto"/>
        </w:rPr>
        <w:t>THIS SECURITY AGREEMENT SHALL BE CONSTRUED IN ACCORDANCE WITH</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AND GOVERNED BY THE LAW OF THE STATE OF NEW YORK.</w:t>
      </w:r>
    </w:p>
    <w:p>
      <w:pPr>
        <w:spacing w:after="0" w:line="188" w:lineRule="exact"/>
        <w:rPr>
          <w:sz w:val="20"/>
          <w:szCs w:val="20"/>
          <w:color w:val="auto"/>
        </w:rPr>
      </w:pPr>
    </w:p>
    <w:p>
      <w:pPr>
        <w:jc w:val="both"/>
        <w:ind w:left="660" w:firstLine="972"/>
        <w:spacing w:after="0" w:line="302" w:lineRule="auto"/>
        <w:rPr>
          <w:sz w:val="20"/>
          <w:szCs w:val="20"/>
          <w:color w:val="auto"/>
        </w:rPr>
      </w:pPr>
      <w:r>
        <w:rPr>
          <w:rFonts w:ascii="Arial" w:cs="Arial" w:eastAsia="Arial" w:hAnsi="Arial"/>
          <w:sz w:val="19"/>
          <w:szCs w:val="19"/>
          <w:color w:val="010000"/>
        </w:rPr>
        <w:t xml:space="preserve">8.15.2 </w:t>
      </w:r>
      <w:r>
        <w:rPr>
          <w:rFonts w:ascii="Arial" w:cs="Arial" w:eastAsia="Arial" w:hAnsi="Arial"/>
          <w:sz w:val="19"/>
          <w:szCs w:val="19"/>
          <w:color w:val="000000"/>
        </w:rPr>
        <w:t>Each Grantor hereby irrevocably and unconditionally submits, for itself and its property, to the</w:t>
      </w:r>
      <w:r>
        <w:rPr>
          <w:rFonts w:ascii="Arial" w:cs="Arial" w:eastAsia="Arial" w:hAnsi="Arial"/>
          <w:sz w:val="19"/>
          <w:szCs w:val="19"/>
          <w:color w:val="010000"/>
        </w:rPr>
        <w:t xml:space="preserve"> </w:t>
      </w:r>
      <w:r>
        <w:rPr>
          <w:rFonts w:ascii="Arial" w:cs="Arial" w:eastAsia="Arial" w:hAnsi="Arial"/>
          <w:sz w:val="19"/>
          <w:szCs w:val="19"/>
          <w:color w:val="000000"/>
        </w:rPr>
        <w:t xml:space="preserve">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(other than any Security Agreement governed by Norwegian law), or for recognition or enforcement of any judgment, and each Grantor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Security Agreement or any other Loan Document shall (including this </w:t>
      </w:r>
      <w:r>
        <w:rPr>
          <w:rFonts w:ascii="Arial" w:cs="Arial" w:eastAsia="Arial" w:hAnsi="Arial"/>
          <w:sz w:val="19"/>
          <w:szCs w:val="19"/>
          <w:u w:val="single" w:color="auto"/>
          <w:color w:val="000000"/>
        </w:rPr>
        <w:t>Section 8.15</w:t>
      </w:r>
      <w:r>
        <w:rPr>
          <w:rFonts w:ascii="Arial" w:cs="Arial" w:eastAsia="Arial" w:hAnsi="Arial"/>
          <w:sz w:val="19"/>
          <w:szCs w:val="19"/>
          <w:color w:val="000000"/>
        </w:rPr>
        <w:t>) affect any right that any Secured Party may otherwise have to bring any suit, action or proceeding relating to this Security Agreement or any other Loan Document against any Grantor or its properties in the courts of any jurisdiction.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6" w:name="page817"/>
    <w:bookmarkEnd w:id="816"/>
    <w:p>
      <w:pPr>
        <w:jc w:val="both"/>
        <w:ind w:firstLine="972"/>
        <w:spacing w:after="0" w:line="276" w:lineRule="auto"/>
        <w:rPr>
          <w:sz w:val="20"/>
          <w:szCs w:val="20"/>
          <w:color w:val="auto"/>
        </w:rPr>
      </w:pPr>
      <w:r>
        <w:rPr>
          <w:rFonts w:ascii="Arial" w:cs="Arial" w:eastAsia="Arial" w:hAnsi="Arial"/>
          <w:sz w:val="21"/>
          <w:szCs w:val="21"/>
          <w:color w:val="010000"/>
        </w:rPr>
        <w:t xml:space="preserve">8.15.3 </w:t>
      </w:r>
      <w:r>
        <w:rPr>
          <w:rFonts w:ascii="Arial" w:cs="Arial" w:eastAsia="Arial" w:hAnsi="Arial"/>
          <w:sz w:val="21"/>
          <w:szCs w:val="21"/>
          <w:color w:val="000000"/>
        </w:rPr>
        <w:t>Each Grantor hereby irrevocably and unconditionally waives, to the fullest extent it may legally</w:t>
      </w:r>
      <w:r>
        <w:rPr>
          <w:rFonts w:ascii="Arial" w:cs="Arial" w:eastAsia="Arial" w:hAnsi="Arial"/>
          <w:sz w:val="21"/>
          <w:szCs w:val="21"/>
          <w:color w:val="010000"/>
        </w:rPr>
        <w:t xml:space="preserve"> </w:t>
      </w:r>
      <w:r>
        <w:rPr>
          <w:rFonts w:ascii="Arial" w:cs="Arial" w:eastAsia="Arial" w:hAnsi="Arial"/>
          <w:sz w:val="21"/>
          <w:szCs w:val="21"/>
          <w:color w:val="000000"/>
        </w:rPr>
        <w:t xml:space="preserve">and 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21"/>
          <w:szCs w:val="21"/>
          <w:u w:val="single" w:color="auto"/>
          <w:color w:val="000000"/>
        </w:rPr>
        <w:t>Section 8.15.2</w:t>
      </w:r>
      <w:r>
        <w:rPr>
          <w:rFonts w:ascii="Arial" w:cs="Arial" w:eastAsia="Arial" w:hAnsi="Arial"/>
          <w:sz w:val="21"/>
          <w:szCs w:val="21"/>
          <w:color w:val="000000"/>
        </w:rPr>
        <w:t>. Each Grantor hereby irrevocably waives, to the fullest extent permitted by law, the defense of an inconvenient forum to the maintenance of such action or proceeding in any such court.</w:t>
      </w:r>
    </w:p>
    <w:p>
      <w:pPr>
        <w:spacing w:after="0" w:line="13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2"/>
          <w:szCs w:val="22"/>
          <w:color w:val="010000"/>
        </w:rPr>
        <w:t xml:space="preserve">8.15.4 </w:t>
      </w:r>
      <w:r>
        <w:rPr>
          <w:rFonts w:ascii="Arial" w:cs="Arial" w:eastAsia="Arial" w:hAnsi="Arial"/>
          <w:sz w:val="22"/>
          <w:szCs w:val="22"/>
          <w:color w:val="000000"/>
        </w:rPr>
        <w:t>Each party to this Security Agreement irrevocably consents to service of process in the manner</w:t>
      </w:r>
      <w:r>
        <w:rPr>
          <w:rFonts w:ascii="Arial" w:cs="Arial" w:eastAsia="Arial" w:hAnsi="Arial"/>
          <w:sz w:val="22"/>
          <w:szCs w:val="22"/>
          <w:color w:val="010000"/>
        </w:rPr>
        <w:t xml:space="preserve"> </w:t>
      </w:r>
      <w:r>
        <w:rPr>
          <w:rFonts w:ascii="Arial" w:cs="Arial" w:eastAsia="Arial" w:hAnsi="Arial"/>
          <w:sz w:val="22"/>
          <w:szCs w:val="22"/>
          <w:color w:val="000000"/>
        </w:rPr>
        <w:t xml:space="preserve">provided for notices in </w:t>
      </w:r>
      <w:r>
        <w:rPr>
          <w:rFonts w:ascii="Arial" w:cs="Arial" w:eastAsia="Arial" w:hAnsi="Arial"/>
          <w:sz w:val="22"/>
          <w:szCs w:val="22"/>
          <w:u w:val="single" w:color="auto"/>
          <w:color w:val="000000"/>
        </w:rPr>
        <w:t>Article IX</w:t>
      </w:r>
      <w:r>
        <w:rPr>
          <w:rFonts w:ascii="Arial" w:cs="Arial" w:eastAsia="Arial" w:hAnsi="Arial"/>
          <w:sz w:val="22"/>
          <w:szCs w:val="22"/>
          <w:color w:val="000000"/>
        </w:rPr>
        <w:t xml:space="preserve"> of this Security Agreement other than by facsimile. Nothing in this Security Agreement or any other Loan Document will affect the right of any party to this Security Agreement to serve process in any other manner permitted by law. Notwithstanding any other provision of this Security Agreement, each Foreign Grantor hereby irrevocably designates CT Corporation System, 28 Liberty Street, New York, New York 10005, as the designee, appointee and agent of such Foreign Grantor to receive, for and on behalf of such Foreign Grantor, service of process in the State of New York in any suit, action or proceeding arising out of or relating to this Security Agreement or any other Loan Document.</w:t>
      </w:r>
    </w:p>
    <w:p>
      <w:pPr>
        <w:spacing w:after="0" w:line="165"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21"/>
          <w:szCs w:val="21"/>
          <w:color w:val="010000"/>
        </w:rPr>
        <w:t xml:space="preserve">8.15.5 </w:t>
      </w:r>
      <w:r>
        <w:rPr>
          <w:rFonts w:ascii="Arial" w:cs="Arial" w:eastAsia="Arial" w:hAnsi="Arial"/>
          <w:sz w:val="21"/>
          <w:szCs w:val="21"/>
          <w:color w:val="000000"/>
        </w:rPr>
        <w:t>Each Grantor agrees that any suit, action or proceeding brought by any Grantor or any of their</w:t>
      </w:r>
      <w:r>
        <w:rPr>
          <w:rFonts w:ascii="Arial" w:cs="Arial" w:eastAsia="Arial" w:hAnsi="Arial"/>
          <w:sz w:val="21"/>
          <w:szCs w:val="21"/>
          <w:color w:val="010000"/>
        </w:rPr>
        <w:t xml:space="preserve"> </w:t>
      </w:r>
      <w:r>
        <w:rPr>
          <w:rFonts w:ascii="Arial" w:cs="Arial" w:eastAsia="Arial" w:hAnsi="Arial"/>
          <w:sz w:val="21"/>
          <w:szCs w:val="21"/>
          <w:color w:val="000000"/>
        </w:rPr>
        <w:t>respective Subsidiaries relating to this Security Agreement or any other Loan Document (other than any Security Agreement governed by Norwegian law) against the Agent, any other Secured Party or any of their respective Affiliates shall be brought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41"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010000"/>
        </w:rPr>
        <w:t xml:space="preserve">8.15.6 </w:t>
      </w:r>
      <w:r>
        <w:rPr>
          <w:rFonts w:ascii="Arial" w:cs="Arial" w:eastAsia="Arial" w:hAnsi="Arial"/>
          <w:sz w:val="21"/>
          <w:szCs w:val="21"/>
          <w:color w:val="000000"/>
        </w:rPr>
        <w:t>The Agent hereby irrevocably and unconditionally submits, for itself and its property, to the</w:t>
      </w:r>
      <w:r>
        <w:rPr>
          <w:rFonts w:ascii="Arial" w:cs="Arial" w:eastAsia="Arial" w:hAnsi="Arial"/>
          <w:sz w:val="21"/>
          <w:szCs w:val="21"/>
          <w:color w:val="010000"/>
        </w:rPr>
        <w:t xml:space="preserve"> </w:t>
      </w:r>
      <w:r>
        <w:rPr>
          <w:rFonts w:ascii="Arial" w:cs="Arial" w:eastAsia="Arial" w:hAnsi="Arial"/>
          <w:sz w:val="21"/>
          <w:szCs w:val="21"/>
          <w:color w:val="000000"/>
        </w:rPr>
        <w:t>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(other than any Security Agreement governed by Norwegian law),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49"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22"/>
          <w:szCs w:val="22"/>
          <w:color w:val="010000"/>
        </w:rPr>
        <w:t xml:space="preserve">8.15.7 </w:t>
      </w:r>
      <w:r>
        <w:rPr>
          <w:rFonts w:ascii="Arial" w:cs="Arial" w:eastAsia="Arial" w:hAnsi="Arial"/>
          <w:sz w:val="22"/>
          <w:szCs w:val="22"/>
          <w:color w:val="000000"/>
        </w:rPr>
        <w:t>The Agent hereby irrevocably and unconditionally waives, to the fullest extent it may legally and</w:t>
      </w:r>
      <w:r>
        <w:rPr>
          <w:rFonts w:ascii="Arial" w:cs="Arial" w:eastAsia="Arial" w:hAnsi="Arial"/>
          <w:sz w:val="22"/>
          <w:szCs w:val="22"/>
          <w:color w:val="010000"/>
        </w:rPr>
        <w:t xml:space="preserve"> </w:t>
      </w:r>
      <w:r>
        <w:rPr>
          <w:rFonts w:ascii="Arial" w:cs="Arial" w:eastAsia="Arial" w:hAnsi="Arial"/>
          <w:sz w:val="22"/>
          <w:szCs w:val="22"/>
          <w:color w:val="000000"/>
        </w:rPr>
        <w:t xml:space="preserve">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22"/>
          <w:szCs w:val="22"/>
          <w:u w:val="single" w:color="auto"/>
          <w:color w:val="000000"/>
        </w:rPr>
        <w:t>Section 8.15.2</w:t>
      </w:r>
      <w:r>
        <w:rPr>
          <w:rFonts w:ascii="Arial" w:cs="Arial" w:eastAsia="Arial" w:hAnsi="Arial"/>
          <w:sz w:val="22"/>
          <w:szCs w:val="22"/>
          <w:color w:val="000000"/>
        </w:rPr>
        <w:t>. The Agent hereby irrevocably waives, to the fullest extent permitted by</w:t>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50165</wp:posOffset>
            </wp:positionV>
            <wp:extent cx="713232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817" w:name="page818"/>
    <w:bookmarkEnd w:id="817"/>
    <w:p>
      <w:pPr>
        <w:ind w:left="660"/>
        <w:spacing w:after="0"/>
        <w:rPr>
          <w:sz w:val="20"/>
          <w:szCs w:val="20"/>
          <w:color w:val="auto"/>
        </w:rPr>
      </w:pPr>
      <w:r>
        <w:rPr>
          <w:rFonts w:ascii="Arial" w:cs="Arial" w:eastAsia="Arial" w:hAnsi="Arial"/>
          <w:sz w:val="21"/>
          <w:szCs w:val="21"/>
          <w:color w:val="auto"/>
        </w:rPr>
        <w:t>law, the defense of an inconvenient forum to the maintenance of such action or proceeding in any such court.</w:t>
      </w:r>
    </w:p>
    <w:p>
      <w:pPr>
        <w:spacing w:after="0" w:line="204" w:lineRule="exact"/>
        <w:rPr>
          <w:sz w:val="20"/>
          <w:szCs w:val="20"/>
          <w:color w:val="auto"/>
        </w:rPr>
      </w:pPr>
    </w:p>
    <w:p>
      <w:pPr>
        <w:jc w:val="both"/>
        <w:ind w:left="660" w:firstLine="972"/>
        <w:spacing w:after="0" w:line="262" w:lineRule="auto"/>
        <w:rPr>
          <w:sz w:val="20"/>
          <w:szCs w:val="20"/>
          <w:color w:val="auto"/>
        </w:rPr>
      </w:pPr>
      <w:r>
        <w:rPr>
          <w:rFonts w:ascii="Arial" w:cs="Arial" w:eastAsia="Arial" w:hAnsi="Arial"/>
          <w:sz w:val="22"/>
          <w:szCs w:val="22"/>
          <w:color w:val="010000"/>
        </w:rPr>
        <w:t xml:space="preserve">8.15.8 </w:t>
      </w:r>
      <w:r>
        <w:rPr>
          <w:rFonts w:ascii="Arial" w:cs="Arial" w:eastAsia="Arial" w:hAnsi="Arial"/>
          <w:sz w:val="22"/>
          <w:szCs w:val="22"/>
          <w:color w:val="000000"/>
        </w:rPr>
        <w:t>To the extent that any Grantor has or hereafter may acquire any immunity from jurisdiction of any</w:t>
      </w:r>
      <w:r>
        <w:rPr>
          <w:rFonts w:ascii="Arial" w:cs="Arial" w:eastAsia="Arial" w:hAnsi="Arial"/>
          <w:sz w:val="22"/>
          <w:szCs w:val="22"/>
          <w:color w:val="010000"/>
        </w:rPr>
        <w:t xml:space="preserve"> </w:t>
      </w:r>
      <w:r>
        <w:rPr>
          <w:rFonts w:ascii="Arial" w:cs="Arial" w:eastAsia="Arial" w:hAnsi="Arial"/>
          <w:sz w:val="22"/>
          <w:szCs w:val="22"/>
          <w:color w:val="000000"/>
        </w:rPr>
        <w:t>court or from set-off or any legal process (whether through service or notice, attachment prior to judgment, attachment in aid of execution, execution or otherwise) with respect to itself or its property, such Grantor hereby irrevocably waives such immunity in respect of its obligations under the Loan Documents.</w:t>
      </w:r>
    </w:p>
    <w:p>
      <w:pPr>
        <w:spacing w:after="0" w:line="164" w:lineRule="exact"/>
        <w:rPr>
          <w:sz w:val="20"/>
          <w:szCs w:val="20"/>
          <w:color w:val="auto"/>
        </w:rPr>
      </w:pPr>
    </w:p>
    <w:p>
      <w:pPr>
        <w:jc w:val="both"/>
        <w:ind w:left="660" w:firstLine="972"/>
        <w:spacing w:after="0" w:line="258" w:lineRule="auto"/>
        <w:rPr>
          <w:sz w:val="20"/>
          <w:szCs w:val="20"/>
          <w:color w:val="auto"/>
        </w:rPr>
      </w:pPr>
      <w:r>
        <w:rPr>
          <w:rFonts w:ascii="Arial" w:cs="Arial" w:eastAsia="Arial" w:hAnsi="Arial"/>
          <w:sz w:val="22"/>
          <w:szCs w:val="22"/>
          <w:color w:val="010000"/>
        </w:rPr>
        <w:t xml:space="preserve">8.15.9 </w:t>
      </w:r>
      <w:r>
        <w:rPr>
          <w:rFonts w:ascii="Arial" w:cs="Arial" w:eastAsia="Arial" w:hAnsi="Arial"/>
          <w:sz w:val="22"/>
          <w:szCs w:val="22"/>
          <w:color w:val="000000"/>
        </w:rPr>
        <w:t>EACH PARTY HERETO HEREBY WAIVES, TO THE FULLEST EXTENT PERMITTED BY</w:t>
      </w:r>
      <w:r>
        <w:rPr>
          <w:rFonts w:ascii="Arial" w:cs="Arial" w:eastAsia="Arial" w:hAnsi="Arial"/>
          <w:sz w:val="22"/>
          <w:szCs w:val="22"/>
          <w:color w:val="010000"/>
        </w:rPr>
        <w:t xml:space="preserve"> </w:t>
      </w:r>
      <w:r>
        <w:rPr>
          <w:rFonts w:ascii="Arial" w:cs="Arial" w:eastAsia="Arial" w:hAnsi="Arial"/>
          <w:sz w:val="22"/>
          <w:szCs w:val="22"/>
          <w:color w:val="000000"/>
        </w:rPr>
        <w:t>APPLICABLE LAW, ANY RIGHT IT MAY HAVE TO A TRIAL BY JURY IN ANY LEGAL PROCEEDING DIRECTLY OR INDIRECTLY ARISING OUT OF OR RELATING TO THIS SECURITY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5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010000"/>
        </w:rPr>
        <w:t xml:space="preserve">8.16. </w:t>
      </w:r>
      <w:r>
        <w:rPr>
          <w:rFonts w:ascii="Arial" w:cs="Arial" w:eastAsia="Arial" w:hAnsi="Arial"/>
          <w:sz w:val="22"/>
          <w:szCs w:val="22"/>
          <w:u w:val="single" w:color="auto"/>
          <w:color w:val="000000"/>
        </w:rPr>
        <w:t>Indemnity</w:t>
      </w:r>
      <w:r>
        <w:rPr>
          <w:rFonts w:ascii="Arial" w:cs="Arial" w:eastAsia="Arial" w:hAnsi="Arial"/>
          <w:sz w:val="22"/>
          <w:szCs w:val="22"/>
          <w:color w:val="000000"/>
        </w:rPr>
        <w:t>. Each Grantor hereby agrees, jointly with the other Grantors and severally, to indemnify the Agent</w:t>
      </w:r>
      <w:r>
        <w:rPr>
          <w:rFonts w:ascii="Arial" w:cs="Arial" w:eastAsia="Arial" w:hAnsi="Arial"/>
          <w:sz w:val="22"/>
          <w:szCs w:val="22"/>
          <w:color w:val="010000"/>
        </w:rPr>
        <w:t xml:space="preserve"> </w:t>
      </w:r>
      <w:r>
        <w:rPr>
          <w:rFonts w:ascii="Arial" w:cs="Arial" w:eastAsia="Arial" w:hAnsi="Arial"/>
          <w:sz w:val="22"/>
          <w:szCs w:val="22"/>
          <w:color w:val="000000"/>
        </w:rPr>
        <w:t xml:space="preserve">and the Secured Parties in accordance with Section 11.04 of the LC Credit Agreement, </w:t>
      </w:r>
      <w:r>
        <w:rPr>
          <w:rFonts w:ascii="Arial" w:cs="Arial" w:eastAsia="Arial" w:hAnsi="Arial"/>
          <w:sz w:val="22"/>
          <w:szCs w:val="22"/>
          <w:i w:val="1"/>
          <w:iCs w:val="1"/>
          <w:color w:val="000000"/>
        </w:rPr>
        <w:t>mutatis mutandis</w:t>
      </w:r>
      <w:r>
        <w:rPr>
          <w:rFonts w:ascii="Arial" w:cs="Arial" w:eastAsia="Arial" w:hAnsi="Arial"/>
          <w:sz w:val="22"/>
          <w:szCs w:val="22"/>
          <w:color w:val="000000"/>
        </w:rPr>
        <w:t>.</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010000"/>
        </w:rPr>
        <w:t xml:space="preserve">8.17. </w:t>
      </w:r>
      <w:r>
        <w:rPr>
          <w:rFonts w:ascii="Arial" w:cs="Arial" w:eastAsia="Arial" w:hAnsi="Arial"/>
          <w:sz w:val="21"/>
          <w:szCs w:val="21"/>
          <w:u w:val="single" w:color="auto"/>
          <w:color w:val="000000"/>
        </w:rPr>
        <w:t>Severability</w:t>
      </w:r>
      <w:r>
        <w:rPr>
          <w:rFonts w:ascii="Arial" w:cs="Arial" w:eastAsia="Arial" w:hAnsi="Arial"/>
          <w:sz w:val="21"/>
          <w:szCs w:val="21"/>
          <w:color w:val="000000"/>
        </w:rPr>
        <w:t>. Any provision in this Security Agreement that is held to be inoperative, unenforceable, not</w:t>
      </w:r>
      <w:r>
        <w:rPr>
          <w:rFonts w:ascii="Arial" w:cs="Arial" w:eastAsia="Arial" w:hAnsi="Arial"/>
          <w:sz w:val="21"/>
          <w:szCs w:val="21"/>
          <w:color w:val="010000"/>
        </w:rPr>
        <w:t xml:space="preserve"> </w:t>
      </w:r>
      <w:r>
        <w:rPr>
          <w:rFonts w:ascii="Arial" w:cs="Arial" w:eastAsia="Arial" w:hAnsi="Arial"/>
          <w:sz w:val="21"/>
          <w:szCs w:val="21"/>
          <w:color w:val="000000"/>
        </w:rPr>
        <w:t>permissible, or invalid in any jurisdiction shall, as to that jurisdiction, be inoperative, unenforceable, not permissible,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010000"/>
        </w:rPr>
        <w:t xml:space="preserve">8.18. </w:t>
      </w:r>
      <w:r>
        <w:rPr>
          <w:rFonts w:ascii="Arial" w:cs="Arial" w:eastAsia="Arial" w:hAnsi="Arial"/>
          <w:sz w:val="21"/>
          <w:szCs w:val="21"/>
          <w:u w:val="single" w:color="auto"/>
          <w:color w:val="000000"/>
        </w:rPr>
        <w:t>Counterparts</w:t>
      </w:r>
      <w:r>
        <w:rPr>
          <w:rFonts w:ascii="Arial" w:cs="Arial" w:eastAsia="Arial" w:hAnsi="Arial"/>
          <w:sz w:val="21"/>
          <w:szCs w:val="21"/>
          <w:color w:val="000000"/>
        </w:rPr>
        <w:t>. This Security Agreement may be executed in counterparts (and by different parties hereto in</w:t>
      </w:r>
      <w:r>
        <w:rPr>
          <w:rFonts w:ascii="Arial" w:cs="Arial" w:eastAsia="Arial" w:hAnsi="Arial"/>
          <w:sz w:val="21"/>
          <w:szCs w:val="21"/>
          <w:color w:val="010000"/>
        </w:rPr>
        <w:t xml:space="preserve"> </w:t>
      </w:r>
      <w:r>
        <w:rPr>
          <w:rFonts w:ascii="Arial" w:cs="Arial" w:eastAsia="Arial" w:hAnsi="Arial"/>
          <w:sz w:val="21"/>
          <w:szCs w:val="21"/>
          <w:color w:val="000000"/>
        </w:rPr>
        <w:t>different counterparts), each 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8" w:name="page819"/>
    <w:bookmarkEnd w:id="818"/>
    <w:p>
      <w:pPr>
        <w:jc w:val="both"/>
        <w:spacing w:after="0" w:line="276" w:lineRule="auto"/>
        <w:rPr>
          <w:sz w:val="20"/>
          <w:szCs w:val="20"/>
          <w:color w:val="auto"/>
        </w:rPr>
      </w:pPr>
      <w:r>
        <w:rPr>
          <w:rFonts w:ascii="Arial" w:cs="Arial" w:eastAsia="Arial" w:hAnsi="Arial"/>
          <w:sz w:val="22"/>
          <w:szCs w:val="22"/>
          <w:color w:val="auto"/>
        </w:rPr>
        <w:t>Signatures in Global and National Commerce Act, the New York State Electronic Signatures and Records Act, or any other similar state laws based on the UETA.</w:t>
      </w:r>
    </w:p>
    <w:p>
      <w:pPr>
        <w:spacing w:after="0" w:line="13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010000"/>
        </w:rPr>
        <w:t xml:space="preserve">8.19. </w:t>
      </w:r>
      <w:r>
        <w:rPr>
          <w:rFonts w:ascii="Arial" w:cs="Arial" w:eastAsia="Arial" w:hAnsi="Arial"/>
          <w:sz w:val="19"/>
          <w:szCs w:val="19"/>
          <w:u w:val="single" w:color="auto"/>
          <w:color w:val="000000"/>
        </w:rPr>
        <w:t>Intercreditor Agreement</w:t>
      </w:r>
      <w:r>
        <w:rPr>
          <w:rFonts w:ascii="Arial" w:cs="Arial" w:eastAsia="Arial" w:hAnsi="Arial"/>
          <w:sz w:val="19"/>
          <w:szCs w:val="19"/>
          <w:color w:val="000000"/>
        </w:rPr>
        <w:t>. Notwithstanding anything herein to the contrary, the Lien and security interest</w:t>
      </w:r>
      <w:r>
        <w:rPr>
          <w:rFonts w:ascii="Arial" w:cs="Arial" w:eastAsia="Arial" w:hAnsi="Arial"/>
          <w:sz w:val="19"/>
          <w:szCs w:val="19"/>
          <w:color w:val="010000"/>
        </w:rPr>
        <w:t xml:space="preserve"> </w:t>
      </w:r>
      <w:r>
        <w:rPr>
          <w:rFonts w:ascii="Arial" w:cs="Arial" w:eastAsia="Arial" w:hAnsi="Arial"/>
          <w:sz w:val="19"/>
          <w:szCs w:val="19"/>
          <w:color w:val="000000"/>
        </w:rPr>
        <w:t xml:space="preserve">granted to the Agent pursuant to or in connection with this Security Agreement, and the exercise of any right or remedy by the Agent hereunder are subject to the provisions of the Intercreditor Agreement. In the event of any conflict between the terms of the Intercreditor Agreement and this Security Agreement, subject to </w:t>
      </w:r>
      <w:r>
        <w:rPr>
          <w:rFonts w:ascii="Arial" w:cs="Arial" w:eastAsia="Arial" w:hAnsi="Arial"/>
          <w:sz w:val="19"/>
          <w:szCs w:val="19"/>
          <w:u w:val="single" w:color="auto"/>
          <w:color w:val="000000"/>
        </w:rPr>
        <w:t>Section 4.6.4</w:t>
      </w:r>
      <w:r>
        <w:rPr>
          <w:rFonts w:ascii="Arial" w:cs="Arial" w:eastAsia="Arial" w:hAnsi="Arial"/>
          <w:sz w:val="19"/>
          <w:szCs w:val="19"/>
          <w:color w:val="000000"/>
        </w:rPr>
        <w:t xml:space="preserve"> hereof and any other limitation on rights of the Agent or other Secured Party with respect to ULC Shares hereunder, the terms of the Intercreditor Agreement shall control. For so long as the Intercreditor Agreement remains in effect, the delivery of any Collateral to the Senior Secured Notes Trustee as required by the Intercreditor Agreement shall satisfy any delivery requirement with respect to such Collateral hereunder.</w:t>
      </w:r>
    </w:p>
    <w:p>
      <w:pPr>
        <w:spacing w:after="0" w:line="1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8.20. </w:t>
      </w:r>
      <w:r>
        <w:rPr>
          <w:rFonts w:ascii="Arial" w:cs="Arial" w:eastAsia="Arial" w:hAnsi="Arial"/>
          <w:sz w:val="22"/>
          <w:szCs w:val="22"/>
          <w:u w:val="single" w:color="auto"/>
          <w:color w:val="000000"/>
        </w:rPr>
        <w:t>Loan Document</w:t>
      </w:r>
      <w:r>
        <w:rPr>
          <w:rFonts w:ascii="Arial" w:cs="Arial" w:eastAsia="Arial" w:hAnsi="Arial"/>
          <w:sz w:val="22"/>
          <w:szCs w:val="22"/>
          <w:color w:val="000000"/>
        </w:rPr>
        <w:t>. This Security Agreement constitutes a Loan Document for all purposes under the LC Credit</w:t>
      </w:r>
      <w:r>
        <w:rPr>
          <w:rFonts w:ascii="Arial" w:cs="Arial" w:eastAsia="Arial" w:hAnsi="Arial"/>
          <w:sz w:val="22"/>
          <w:szCs w:val="22"/>
          <w:color w:val="010000"/>
        </w:rPr>
        <w:t xml:space="preserve"> </w:t>
      </w:r>
      <w:r>
        <w:rPr>
          <w:rFonts w:ascii="Arial" w:cs="Arial" w:eastAsia="Arial" w:hAnsi="Arial"/>
          <w:sz w:val="22"/>
          <w:szCs w:val="22"/>
          <w:color w:val="000000"/>
        </w:rPr>
        <w:t>Agreement and all other Loan Documents.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010000"/>
        </w:rPr>
        <w:t xml:space="preserve">8.21. </w:t>
      </w:r>
      <w:r>
        <w:rPr>
          <w:rFonts w:ascii="Arial" w:cs="Arial" w:eastAsia="Arial" w:hAnsi="Arial"/>
          <w:sz w:val="22"/>
          <w:szCs w:val="22"/>
          <w:u w:val="single" w:color="auto"/>
          <w:color w:val="000000"/>
        </w:rPr>
        <w:t>Further Assurances</w:t>
      </w:r>
      <w:r>
        <w:rPr>
          <w:rFonts w:ascii="Arial" w:cs="Arial" w:eastAsia="Arial" w:hAnsi="Arial"/>
          <w:sz w:val="22"/>
          <w:szCs w:val="22"/>
          <w:color w:val="000000"/>
        </w:rPr>
        <w:t>. Each Grantor shall, execute and deliver, or cause to be executed and delivered, to the</w:t>
      </w:r>
      <w:r>
        <w:rPr>
          <w:rFonts w:ascii="Arial" w:cs="Arial" w:eastAsia="Arial" w:hAnsi="Arial"/>
          <w:sz w:val="22"/>
          <w:szCs w:val="22"/>
          <w:color w:val="010000"/>
        </w:rPr>
        <w:t xml:space="preserve"> </w:t>
      </w:r>
      <w:r>
        <w:rPr>
          <w:rFonts w:ascii="Arial" w:cs="Arial" w:eastAsia="Arial" w:hAnsi="Arial"/>
          <w:sz w:val="22"/>
          <w:szCs w:val="22"/>
          <w:color w:val="000000"/>
        </w:rPr>
        <w:t>Agent such documents, agreements, instruments, forms and notices and will take or cause to be taken such further actions (including the filing and recording of financing statements and other documents serving notices of assignment and such other actions or deliveries of the type required by Section 5.01 of the LC Credit Agreement, as applicable), which may be required by law or which the Agent may, from time to time, reasonably request to carry out the terms and conditions of this Security Agreement and to ensure perfection and priority of the Liens created or intended to be created hereby, all at the expense of the Grantors.</w:t>
      </w:r>
    </w:p>
    <w:p>
      <w:pPr>
        <w:spacing w:after="0" w:line="15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010000"/>
        </w:rPr>
        <w:t xml:space="preserve">8.22. </w:t>
      </w:r>
      <w:r>
        <w:rPr>
          <w:rFonts w:ascii="Arial" w:cs="Arial" w:eastAsia="Arial" w:hAnsi="Arial"/>
          <w:sz w:val="22"/>
          <w:szCs w:val="22"/>
          <w:u w:val="single" w:color="auto"/>
          <w:color w:val="000000"/>
        </w:rPr>
        <w:t>Swiss Security Limitation</w:t>
      </w:r>
      <w:r>
        <w:rPr>
          <w:rFonts w:ascii="Arial" w:cs="Arial" w:eastAsia="Arial" w:hAnsi="Arial"/>
          <w:sz w:val="22"/>
          <w:szCs w:val="22"/>
          <w:color w:val="000000"/>
        </w:rPr>
        <w:t>. If and to the extent the Collateral is subject to any Swiss Security Documents,</w:t>
      </w:r>
      <w:r>
        <w:rPr>
          <w:rFonts w:ascii="Arial" w:cs="Arial" w:eastAsia="Arial" w:hAnsi="Arial"/>
          <w:sz w:val="22"/>
          <w:szCs w:val="22"/>
          <w:color w:val="010000"/>
        </w:rPr>
        <w:t xml:space="preserve"> </w:t>
      </w:r>
      <w:r>
        <w:rPr>
          <w:rFonts w:ascii="Arial" w:cs="Arial" w:eastAsia="Arial" w:hAnsi="Arial"/>
          <w:sz w:val="22"/>
          <w:szCs w:val="22"/>
          <w:color w:val="000000"/>
        </w:rPr>
        <w:t>the security interests created under the respective Swiss Security Documents shall rank senior to the security interests created hereunder and the provisions of the respective Swiss Security Documents shall prevail.</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010000"/>
        </w:rPr>
        <w:t xml:space="preserve">8.23. </w:t>
      </w:r>
      <w:r>
        <w:rPr>
          <w:rFonts w:ascii="Arial" w:cs="Arial" w:eastAsia="Arial" w:hAnsi="Arial"/>
          <w:sz w:val="22"/>
          <w:szCs w:val="22"/>
          <w:u w:val="single" w:color="auto"/>
          <w:color w:val="000000"/>
        </w:rPr>
        <w:t>Norwegian Security Limitation</w:t>
      </w:r>
      <w:r>
        <w:rPr>
          <w:rFonts w:ascii="Arial" w:cs="Arial" w:eastAsia="Arial" w:hAnsi="Arial"/>
          <w:sz w:val="22"/>
          <w:szCs w:val="22"/>
          <w:color w:val="000000"/>
        </w:rPr>
        <w:t>. If and to the extent the Collateral is subject to any Collateral Documents</w:t>
      </w:r>
      <w:r>
        <w:rPr>
          <w:rFonts w:ascii="Arial" w:cs="Arial" w:eastAsia="Arial" w:hAnsi="Arial"/>
          <w:sz w:val="22"/>
          <w:szCs w:val="22"/>
          <w:color w:val="010000"/>
        </w:rPr>
        <w:t xml:space="preserve"> </w:t>
      </w:r>
      <w:r>
        <w:rPr>
          <w:rFonts w:ascii="Arial" w:cs="Arial" w:eastAsia="Arial" w:hAnsi="Arial"/>
          <w:sz w:val="22"/>
          <w:szCs w:val="22"/>
          <w:color w:val="000000"/>
        </w:rPr>
        <w:t>governed by the law of Norway (the “</w:t>
      </w:r>
      <w:r>
        <w:rPr>
          <w:rFonts w:ascii="Arial" w:cs="Arial" w:eastAsia="Arial" w:hAnsi="Arial"/>
          <w:sz w:val="22"/>
          <w:szCs w:val="22"/>
          <w:u w:val="single" w:color="auto"/>
          <w:color w:val="000000"/>
        </w:rPr>
        <w:t>Norwegian Security Documents</w:t>
      </w:r>
      <w:r>
        <w:rPr>
          <w:rFonts w:ascii="Arial" w:cs="Arial" w:eastAsia="Arial" w:hAnsi="Arial"/>
          <w:sz w:val="22"/>
          <w:szCs w:val="22"/>
          <w:color w:val="000000"/>
        </w:rPr>
        <w:t>”), the security interests created under the respective Norwegian security documents shall rank senior to the security interests created hereunder and the provisions of the respective Norwegian Security Documents shall prevail.</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8.24. </w:t>
      </w:r>
      <w:r>
        <w:rPr>
          <w:rFonts w:ascii="Arial" w:cs="Arial" w:eastAsia="Arial" w:hAnsi="Arial"/>
          <w:sz w:val="22"/>
          <w:szCs w:val="22"/>
          <w:u w:val="single" w:color="auto"/>
          <w:color w:val="000000"/>
        </w:rPr>
        <w:t>Foreign Grantors</w:t>
      </w:r>
      <w:r>
        <w:rPr>
          <w:rFonts w:ascii="Arial" w:cs="Arial" w:eastAsia="Arial" w:hAnsi="Arial"/>
          <w:sz w:val="22"/>
          <w:szCs w:val="22"/>
          <w:color w:val="000000"/>
        </w:rPr>
        <w:t>. Notwithstanding anything to the contrary set forth in this Security Agreement, the</w:t>
      </w:r>
      <w:r>
        <w:rPr>
          <w:rFonts w:ascii="Arial" w:cs="Arial" w:eastAsia="Arial" w:hAnsi="Arial"/>
          <w:sz w:val="22"/>
          <w:szCs w:val="22"/>
          <w:color w:val="010000"/>
        </w:rPr>
        <w:t xml:space="preserve"> </w:t>
      </w:r>
      <w:r>
        <w:rPr>
          <w:rFonts w:ascii="Arial" w:cs="Arial" w:eastAsia="Arial" w:hAnsi="Arial"/>
          <w:sz w:val="22"/>
          <w:szCs w:val="22"/>
          <w:color w:val="000000"/>
        </w:rPr>
        <w:t>parties hereto acknowledge that the representations and warranties, covenants and obligations hereunder of any Foreign Grantor shall apply with respect to the Collateral or, if applicable, any other assets of such Foreign Grantor only to the extent such Collateral or other assets are registered in a jurisdiction located in the United States or, in the case of Capital Stock and Stock Rights pledged pursuant to this Security Agreement by a Foreign Grantor, any such Capital Stock or Stock Rights that are issued by a Domestic Subsidiary.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9" w:name="page820"/>
    <w:bookmarkEnd w:id="819"/>
    <w:p>
      <w:pPr>
        <w:jc w:val="center"/>
        <w:spacing w:after="0"/>
        <w:rPr>
          <w:sz w:val="20"/>
          <w:szCs w:val="20"/>
          <w:color w:val="auto"/>
        </w:rPr>
      </w:pPr>
      <w:r>
        <w:rPr>
          <w:rFonts w:ascii="Arial" w:cs="Arial" w:eastAsia="Arial" w:hAnsi="Arial"/>
          <w:sz w:val="22"/>
          <w:szCs w:val="22"/>
          <w:color w:val="auto"/>
        </w:rPr>
        <w:t>ARTICLE IX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NOTICES</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010000"/>
        </w:rPr>
        <w:t xml:space="preserve">9.1. </w:t>
      </w:r>
      <w:r>
        <w:rPr>
          <w:rFonts w:ascii="Arial" w:cs="Arial" w:eastAsia="Arial" w:hAnsi="Arial"/>
          <w:sz w:val="21"/>
          <w:szCs w:val="21"/>
          <w:u w:val="single" w:color="auto"/>
          <w:color w:val="000000"/>
        </w:rPr>
        <w:t>Sending Notices</w:t>
      </w:r>
      <w:r>
        <w:rPr>
          <w:rFonts w:ascii="Arial" w:cs="Arial" w:eastAsia="Arial" w:hAnsi="Arial"/>
          <w:sz w:val="21"/>
          <w:szCs w:val="21"/>
          <w:color w:val="000000"/>
        </w:rPr>
        <w:t>. All notices, requests and other communications to any party hereunder shall be given in the</w:t>
      </w:r>
      <w:r>
        <w:rPr>
          <w:rFonts w:ascii="Arial" w:cs="Arial" w:eastAsia="Arial" w:hAnsi="Arial"/>
          <w:sz w:val="21"/>
          <w:szCs w:val="21"/>
          <w:color w:val="010000"/>
        </w:rPr>
        <w:t xml:space="preserve"> </w:t>
      </w:r>
      <w:r>
        <w:rPr>
          <w:rFonts w:ascii="Arial" w:cs="Arial" w:eastAsia="Arial" w:hAnsi="Arial"/>
          <w:sz w:val="21"/>
          <w:szCs w:val="21"/>
          <w:color w:val="000000"/>
        </w:rPr>
        <w:t>manner prescribed in Section 11.02 of the LC Credit Agreement with respect to the Agent at its notice address therein and, with respect to any Grantor, in the care of Weatherford International, LLC, as provided and at the notice address set forth in the Credit Agreement, or such other address or telecopy number as such party may hereafter specify for such purpose in accordance with the provisions of Section 11.02 of the LC Credit Agreement. Any notice delivered to the Borrowers on behalf of the Grantors shall be deemed to have been delivered to all of the Grantors.</w:t>
      </w:r>
    </w:p>
    <w:p>
      <w:pPr>
        <w:spacing w:after="0" w:line="15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9.2. </w:t>
      </w:r>
      <w:r>
        <w:rPr>
          <w:rFonts w:ascii="Arial" w:cs="Arial" w:eastAsia="Arial" w:hAnsi="Arial"/>
          <w:sz w:val="22"/>
          <w:szCs w:val="22"/>
          <w:u w:val="single" w:color="auto"/>
          <w:color w:val="000000"/>
        </w:rPr>
        <w:t>Change in Address for Notices</w:t>
      </w:r>
      <w:r>
        <w:rPr>
          <w:rFonts w:ascii="Arial" w:cs="Arial" w:eastAsia="Arial" w:hAnsi="Arial"/>
          <w:sz w:val="22"/>
          <w:szCs w:val="22"/>
          <w:color w:val="000000"/>
        </w:rPr>
        <w:t>. Each of the Grantors, the Agent and the Lenders may change the address for</w:t>
      </w:r>
      <w:r>
        <w:rPr>
          <w:rFonts w:ascii="Arial" w:cs="Arial" w:eastAsia="Arial" w:hAnsi="Arial"/>
          <w:sz w:val="22"/>
          <w:szCs w:val="22"/>
          <w:color w:val="010000"/>
        </w:rPr>
        <w:t xml:space="preserve"> </w:t>
      </w:r>
      <w:r>
        <w:rPr>
          <w:rFonts w:ascii="Arial" w:cs="Arial" w:eastAsia="Arial" w:hAnsi="Arial"/>
          <w:sz w:val="22"/>
          <w:szCs w:val="22"/>
          <w:color w:val="000000"/>
        </w:rPr>
        <w:t>service of notice upon it by a notice in writing to the other parties.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Pages Follow</w:t>
      </w:r>
      <w:r>
        <w:rPr>
          <w:rFonts w:ascii="Arial" w:cs="Arial" w:eastAsia="Arial" w:hAnsi="Arial"/>
          <w:sz w:val="22"/>
          <w:szCs w:val="22"/>
          <w:b w:val="1"/>
          <w:bCs w:val="1"/>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0" w:name="page821"/>
    <w:bookmarkEnd w:id="820"/>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9"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INTERCREDITOR AGREEMENT</w:t>
      </w:r>
    </w:p>
    <w:p>
      <w:pPr>
        <w:spacing w:after="0" w:line="200" w:lineRule="exact"/>
        <w:rPr>
          <w:sz w:val="20"/>
          <w:szCs w:val="20"/>
          <w:color w:val="auto"/>
        </w:rPr>
      </w:pPr>
    </w:p>
    <w:p>
      <w:pPr>
        <w:spacing w:after="0" w:line="25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August 28, 2020</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LC Collateral Agent,</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Notes Collateral Agent,</w:t>
      </w:r>
    </w:p>
    <w:p>
      <w:pPr>
        <w:spacing w:after="0" w:line="200" w:lineRule="exact"/>
        <w:rPr>
          <w:sz w:val="20"/>
          <w:szCs w:val="20"/>
          <w:color w:val="auto"/>
        </w:rPr>
      </w:pPr>
    </w:p>
    <w:p>
      <w:pPr>
        <w:spacing w:after="0" w:line="245" w:lineRule="exact"/>
        <w:rPr>
          <w:sz w:val="20"/>
          <w:szCs w:val="20"/>
          <w:color w:val="auto"/>
        </w:rPr>
      </w:pPr>
    </w:p>
    <w:p>
      <w:pPr>
        <w:ind w:left="2180" w:right="2920" w:hanging="363"/>
        <w:spacing w:after="0" w:line="301" w:lineRule="auto"/>
        <w:rPr>
          <w:sz w:val="20"/>
          <w:szCs w:val="20"/>
          <w:color w:val="auto"/>
        </w:rPr>
      </w:pPr>
      <w:r>
        <w:rPr>
          <w:rFonts w:ascii="Arial" w:cs="Arial" w:eastAsia="Arial" w:hAnsi="Arial"/>
          <w:sz w:val="21"/>
          <w:szCs w:val="21"/>
          <w:color w:val="auto"/>
        </w:rPr>
        <w:t>BTA INSTITUTIONAL SERVICES AUSTRALIA LIMITED when joined hereto as LC Australian Collateral Agent,</w:t>
      </w:r>
    </w:p>
    <w:p>
      <w:pPr>
        <w:spacing w:after="0" w:line="204"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WEATHERFORD INTERNATIONAL PLC,</w:t>
      </w: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The other Grantors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290195</wp:posOffset>
            </wp:positionV>
            <wp:extent cx="713232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6" w:right="339" w:bottom="1440" w:gutter="0" w:footer="0" w:header="0"/>
        </w:sectPr>
      </w:pPr>
    </w:p>
    <w:bookmarkStart w:id="821" w:name="page822"/>
    <w:bookmarkEnd w:id="82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4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280" w:type="dxa"/>
            <w:vAlign w:val="bottom"/>
            <w:gridSpan w:val="2"/>
          </w:tcPr>
          <w:p>
            <w:pPr>
              <w:ind w:left="1820"/>
              <w:spacing w:after="0"/>
              <w:rPr>
                <w:sz w:val="20"/>
                <w:szCs w:val="20"/>
                <w:color w:val="auto"/>
              </w:rPr>
            </w:pPr>
            <w:r>
              <w:rPr>
                <w:rFonts w:ascii="Arial" w:cs="Arial" w:eastAsia="Arial" w:hAnsi="Arial"/>
                <w:sz w:val="22"/>
                <w:szCs w:val="22"/>
                <w:b w:val="1"/>
                <w:bCs w:val="1"/>
                <w:color w:val="auto"/>
                <w:w w:val="83"/>
              </w:rPr>
              <w:t>Page</w:t>
            </w:r>
          </w:p>
        </w:tc>
        <w:tc>
          <w:tcPr>
            <w:tcW w:w="0" w:type="dxa"/>
            <w:vAlign w:val="bottom"/>
          </w:tcPr>
          <w:p>
            <w:pPr>
              <w:spacing w:after="0"/>
              <w:rPr>
                <w:sz w:val="1"/>
                <w:szCs w:val="1"/>
                <w:color w:val="auto"/>
              </w:rPr>
            </w:pPr>
          </w:p>
        </w:tc>
      </w:tr>
      <w:tr>
        <w:trPr>
          <w:trHeight w:val="220"/>
        </w:trPr>
        <w:tc>
          <w:tcPr>
            <w:tcW w:w="8980" w:type="dxa"/>
            <w:vAlign w:val="bottom"/>
            <w:gridSpan w:val="2"/>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I Definitions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1.01</w:t>
            </w:r>
          </w:p>
        </w:tc>
        <w:tc>
          <w:tcPr>
            <w:tcW w:w="7560" w:type="dxa"/>
            <w:vAlign w:val="bottom"/>
          </w:tcPr>
          <w:p>
            <w:pPr>
              <w:ind w:left="280"/>
              <w:spacing w:after="0"/>
              <w:rPr>
                <w:sz w:val="20"/>
                <w:szCs w:val="20"/>
                <w:color w:val="auto"/>
              </w:rPr>
            </w:pPr>
            <w:r>
              <w:rPr>
                <w:rFonts w:ascii="Arial" w:cs="Arial" w:eastAsia="Arial" w:hAnsi="Arial"/>
                <w:sz w:val="18"/>
                <w:szCs w:val="18"/>
                <w:color w:val="auto"/>
              </w:rPr>
              <w:t>Construction; Certain Defined Terms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1.02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Luxembourg Terms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II Priorities and Agreements with Respect to Collateral</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2.01</w:t>
            </w:r>
          </w:p>
        </w:tc>
        <w:tc>
          <w:tcPr>
            <w:tcW w:w="7560" w:type="dxa"/>
            <w:vAlign w:val="bottom"/>
          </w:tcPr>
          <w:p>
            <w:pPr>
              <w:ind w:left="280"/>
              <w:spacing w:after="0"/>
              <w:rPr>
                <w:sz w:val="20"/>
                <w:szCs w:val="20"/>
                <w:color w:val="auto"/>
              </w:rPr>
            </w:pPr>
            <w:r>
              <w:rPr>
                <w:rFonts w:ascii="Arial" w:cs="Arial" w:eastAsia="Arial" w:hAnsi="Arial"/>
                <w:sz w:val="18"/>
                <w:szCs w:val="18"/>
                <w:color w:val="auto"/>
              </w:rPr>
              <w:t>Priority of Claims</w:t>
            </w: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Actions With Respect to Collateral; Prohibition on Contesting Liens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2.03</w:t>
            </w:r>
          </w:p>
        </w:tc>
        <w:tc>
          <w:tcPr>
            <w:tcW w:w="7560" w:type="dxa"/>
            <w:vAlign w:val="bottom"/>
          </w:tcPr>
          <w:p>
            <w:pPr>
              <w:ind w:left="280"/>
              <w:spacing w:after="0"/>
              <w:rPr>
                <w:sz w:val="20"/>
                <w:szCs w:val="20"/>
                <w:color w:val="auto"/>
              </w:rPr>
            </w:pPr>
            <w:r>
              <w:rPr>
                <w:rFonts w:ascii="Arial" w:cs="Arial" w:eastAsia="Arial" w:hAnsi="Arial"/>
                <w:sz w:val="18"/>
                <w:szCs w:val="18"/>
                <w:color w:val="auto"/>
              </w:rPr>
              <w:t>No Duties of Senior Representative; Provision of 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2.04</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No Interference; Payment Over; Reinstatement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2.05</w:t>
            </w:r>
          </w:p>
        </w:tc>
        <w:tc>
          <w:tcPr>
            <w:tcW w:w="7560" w:type="dxa"/>
            <w:vAlign w:val="bottom"/>
          </w:tcPr>
          <w:p>
            <w:pPr>
              <w:ind w:left="280"/>
              <w:spacing w:after="0"/>
              <w:rPr>
                <w:sz w:val="20"/>
                <w:szCs w:val="20"/>
                <w:color w:val="auto"/>
              </w:rPr>
            </w:pPr>
            <w:r>
              <w:rPr>
                <w:rFonts w:ascii="Arial" w:cs="Arial" w:eastAsia="Arial" w:hAnsi="Arial"/>
                <w:sz w:val="18"/>
                <w:szCs w:val="18"/>
                <w:color w:val="auto"/>
              </w:rPr>
              <w:t>Automatic Release of Junior Liens</w:t>
            </w:r>
          </w:p>
        </w:tc>
        <w:tc>
          <w:tcPr>
            <w:tcW w:w="22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2.06</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Certain Agreements With Respect to Insolvency or Liquidation Proceedings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2.07</w:t>
            </w:r>
          </w:p>
        </w:tc>
        <w:tc>
          <w:tcPr>
            <w:tcW w:w="756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2.08</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[Reserved]</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2.09</w:t>
            </w:r>
          </w:p>
        </w:tc>
        <w:tc>
          <w:tcPr>
            <w:tcW w:w="756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2.10</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Refinancings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2.11</w:t>
            </w:r>
          </w:p>
        </w:tc>
        <w:tc>
          <w:tcPr>
            <w:tcW w:w="7560" w:type="dxa"/>
            <w:vAlign w:val="bottom"/>
          </w:tcPr>
          <w:p>
            <w:pPr>
              <w:ind w:left="280"/>
              <w:spacing w:after="0"/>
              <w:rPr>
                <w:sz w:val="20"/>
                <w:szCs w:val="20"/>
                <w:color w:val="auto"/>
              </w:rPr>
            </w:pPr>
            <w:r>
              <w:rPr>
                <w:rFonts w:ascii="Arial" w:cs="Arial" w:eastAsia="Arial" w:hAnsi="Arial"/>
                <w:sz w:val="18"/>
                <w:szCs w:val="18"/>
                <w:color w:val="auto"/>
              </w:rPr>
              <w:t>Amendments to Security Documents</w:t>
            </w: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2.12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Possessory Collateral Agent as Gratuitous Bailee for Perfection</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2.13</w:t>
            </w:r>
          </w:p>
        </w:tc>
        <w:tc>
          <w:tcPr>
            <w:tcW w:w="7560" w:type="dxa"/>
            <w:vAlign w:val="bottom"/>
          </w:tcPr>
          <w:p>
            <w:pPr>
              <w:ind w:left="280"/>
              <w:spacing w:after="0"/>
              <w:rPr>
                <w:sz w:val="20"/>
                <w:szCs w:val="20"/>
                <w:color w:val="auto"/>
              </w:rPr>
            </w:pPr>
            <w:r>
              <w:rPr>
                <w:rFonts w:ascii="Arial" w:cs="Arial" w:eastAsia="Arial" w:hAnsi="Arial"/>
                <w:sz w:val="18"/>
                <w:szCs w:val="18"/>
                <w:color w:val="auto"/>
              </w:rPr>
              <w:t>Control Agreements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2.14</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Rights under Permits and Licenses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III Existence and Amounts of Liens and Obligations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IV Consent of Grantors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V Representations and Warranties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5.01</w:t>
            </w:r>
          </w:p>
        </w:tc>
        <w:tc>
          <w:tcPr>
            <w:tcW w:w="7560" w:type="dxa"/>
            <w:vAlign w:val="bottom"/>
          </w:tcPr>
          <w:p>
            <w:pPr>
              <w:ind w:left="280"/>
              <w:spacing w:after="0"/>
              <w:rPr>
                <w:sz w:val="20"/>
                <w:szCs w:val="20"/>
                <w:color w:val="auto"/>
              </w:rPr>
            </w:pPr>
            <w:r>
              <w:rPr>
                <w:rFonts w:ascii="Arial" w:cs="Arial" w:eastAsia="Arial" w:hAnsi="Arial"/>
                <w:sz w:val="18"/>
                <w:szCs w:val="18"/>
                <w:color w:val="auto"/>
              </w:rPr>
              <w:t>Representations and Warranties of Each Party</w:t>
            </w:r>
          </w:p>
        </w:tc>
        <w:tc>
          <w:tcPr>
            <w:tcW w:w="22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5.02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Representations and Warranties of Each Representative</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ARTICLE VI Collateral Agency for Foreign Collateral</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6.01</w:t>
            </w:r>
          </w:p>
        </w:tc>
        <w:tc>
          <w:tcPr>
            <w:tcW w:w="7560" w:type="dxa"/>
            <w:vAlign w:val="bottom"/>
          </w:tcPr>
          <w:p>
            <w:pPr>
              <w:ind w:left="280"/>
              <w:spacing w:after="0"/>
              <w:rPr>
                <w:sz w:val="20"/>
                <w:szCs w:val="20"/>
                <w:color w:val="auto"/>
              </w:rPr>
            </w:pPr>
            <w:r>
              <w:rPr>
                <w:rFonts w:ascii="Arial" w:cs="Arial" w:eastAsia="Arial" w:hAnsi="Arial"/>
                <w:sz w:val="18"/>
                <w:szCs w:val="18"/>
                <w:color w:val="auto"/>
              </w:rPr>
              <w:t>Appointment of Foreign Collateral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Rights as a Secured Party</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6.03</w:t>
            </w:r>
          </w:p>
        </w:tc>
        <w:tc>
          <w:tcPr>
            <w:tcW w:w="7560" w:type="dxa"/>
            <w:vAlign w:val="bottom"/>
          </w:tcPr>
          <w:p>
            <w:pPr>
              <w:ind w:left="280"/>
              <w:spacing w:after="0"/>
              <w:rPr>
                <w:sz w:val="20"/>
                <w:szCs w:val="20"/>
                <w:color w:val="auto"/>
              </w:rPr>
            </w:pPr>
            <w:r>
              <w:rPr>
                <w:rFonts w:ascii="Arial" w:cs="Arial" w:eastAsia="Arial" w:hAnsi="Arial"/>
                <w:sz w:val="18"/>
                <w:szCs w:val="18"/>
                <w:color w:val="auto"/>
              </w:rPr>
              <w:t>Exculpatory Provisions</w:t>
            </w:r>
          </w:p>
        </w:tc>
        <w:tc>
          <w:tcPr>
            <w:tcW w:w="22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6.04</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Reliance by the Foreign Collateral Agent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6.05</w:t>
            </w:r>
          </w:p>
        </w:tc>
        <w:tc>
          <w:tcPr>
            <w:tcW w:w="7560" w:type="dxa"/>
            <w:vAlign w:val="bottom"/>
          </w:tcPr>
          <w:p>
            <w:pPr>
              <w:ind w:left="280"/>
              <w:spacing w:after="0"/>
              <w:rPr>
                <w:sz w:val="20"/>
                <w:szCs w:val="20"/>
                <w:color w:val="auto"/>
              </w:rPr>
            </w:pPr>
            <w:r>
              <w:rPr>
                <w:rFonts w:ascii="Arial" w:cs="Arial" w:eastAsia="Arial" w:hAnsi="Arial"/>
                <w:sz w:val="18"/>
                <w:szCs w:val="18"/>
                <w:color w:val="auto"/>
              </w:rPr>
              <w:t>Delegation of Duties</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6.06</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Resignation of Foreign Collateral Agent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6.07</w:t>
            </w:r>
          </w:p>
        </w:tc>
        <w:tc>
          <w:tcPr>
            <w:tcW w:w="7560" w:type="dxa"/>
            <w:vAlign w:val="bottom"/>
          </w:tcPr>
          <w:p>
            <w:pPr>
              <w:ind w:left="280"/>
              <w:spacing w:after="0"/>
              <w:rPr>
                <w:sz w:val="20"/>
                <w:szCs w:val="20"/>
                <w:color w:val="auto"/>
              </w:rPr>
            </w:pPr>
            <w:r>
              <w:rPr>
                <w:rFonts w:ascii="Arial" w:cs="Arial" w:eastAsia="Arial" w:hAnsi="Arial"/>
                <w:sz w:val="18"/>
                <w:szCs w:val="18"/>
                <w:color w:val="auto"/>
              </w:rPr>
              <w:t>Non-Reliance on Foreign Collateral Agent and Other Secured Parties</w:t>
            </w:r>
          </w:p>
        </w:tc>
        <w:tc>
          <w:tcPr>
            <w:tcW w:w="22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6.08</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Collateral Matters</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6.09</w:t>
            </w:r>
          </w:p>
        </w:tc>
        <w:tc>
          <w:tcPr>
            <w:tcW w:w="7560" w:type="dxa"/>
            <w:vAlign w:val="bottom"/>
          </w:tcPr>
          <w:p>
            <w:pPr>
              <w:ind w:left="280"/>
              <w:spacing w:after="0"/>
              <w:rPr>
                <w:sz w:val="20"/>
                <w:szCs w:val="20"/>
                <w:color w:val="auto"/>
              </w:rPr>
            </w:pPr>
            <w:r>
              <w:rPr>
                <w:rFonts w:ascii="Arial" w:cs="Arial" w:eastAsia="Arial" w:hAnsi="Arial"/>
                <w:sz w:val="18"/>
                <w:szCs w:val="18"/>
                <w:color w:val="auto"/>
              </w:rPr>
              <w:t>Discretionary Rights</w:t>
            </w:r>
          </w:p>
        </w:tc>
        <w:tc>
          <w:tcPr>
            <w:tcW w:w="2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6.10</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Indemnification of Foreign Collateral Agent</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6.11</w:t>
            </w:r>
          </w:p>
        </w:tc>
        <w:tc>
          <w:tcPr>
            <w:tcW w:w="7560" w:type="dxa"/>
            <w:vAlign w:val="bottom"/>
          </w:tcPr>
          <w:p>
            <w:pPr>
              <w:ind w:left="280"/>
              <w:spacing w:after="0"/>
              <w:rPr>
                <w:sz w:val="20"/>
                <w:szCs w:val="20"/>
                <w:color w:val="auto"/>
              </w:rPr>
            </w:pPr>
            <w:r>
              <w:rPr>
                <w:rFonts w:ascii="Arial" w:cs="Arial" w:eastAsia="Arial" w:hAnsi="Arial"/>
                <w:sz w:val="18"/>
                <w:szCs w:val="18"/>
                <w:color w:val="auto"/>
              </w:rPr>
              <w:t>Treatment of Proceeds of Foreign Collateral</w:t>
            </w: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6.12</w:t>
            </w:r>
          </w:p>
        </w:tc>
        <w:tc>
          <w:tcPr>
            <w:tcW w:w="756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Currency Conversion</w:t>
            </w:r>
          </w:p>
        </w:tc>
        <w:tc>
          <w:tcPr>
            <w:tcW w:w="22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6.13</w:t>
            </w:r>
          </w:p>
        </w:tc>
        <w:tc>
          <w:tcPr>
            <w:tcW w:w="7560" w:type="dxa"/>
            <w:vAlign w:val="bottom"/>
          </w:tcPr>
          <w:p>
            <w:pPr>
              <w:ind w:left="280"/>
              <w:spacing w:after="0"/>
              <w:rPr>
                <w:sz w:val="20"/>
                <w:szCs w:val="20"/>
                <w:color w:val="auto"/>
              </w:rPr>
            </w:pPr>
            <w:r>
              <w:rPr>
                <w:rFonts w:ascii="Arial" w:cs="Arial" w:eastAsia="Arial" w:hAnsi="Arial"/>
                <w:sz w:val="18"/>
                <w:szCs w:val="18"/>
                <w:color w:val="auto"/>
              </w:rPr>
              <w:t>Swiss Collateral</w:t>
            </w:r>
          </w:p>
        </w:tc>
        <w:tc>
          <w:tcPr>
            <w:tcW w:w="22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2" w:name="page823"/>
    <w:bookmarkEnd w:id="822"/>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6.14</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Scottish Collateral</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6.15</w:t>
            </w:r>
          </w:p>
        </w:tc>
        <w:tc>
          <w:tcPr>
            <w:tcW w:w="7120" w:type="dxa"/>
            <w:vAlign w:val="bottom"/>
          </w:tcPr>
          <w:p>
            <w:pPr>
              <w:ind w:left="280"/>
              <w:spacing w:after="0"/>
              <w:rPr>
                <w:sz w:val="20"/>
                <w:szCs w:val="20"/>
                <w:color w:val="auto"/>
              </w:rPr>
            </w:pPr>
            <w:r>
              <w:rPr>
                <w:rFonts w:ascii="Arial" w:cs="Arial" w:eastAsia="Arial" w:hAnsi="Arial"/>
                <w:sz w:val="18"/>
                <w:szCs w:val="18"/>
                <w:color w:val="auto"/>
              </w:rPr>
              <w:t>Benefits of Foreign Collateral Agent</w:t>
            </w:r>
          </w:p>
        </w:tc>
        <w:tc>
          <w:tcPr>
            <w:tcW w:w="27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6F4F9"/>
          </w:tcPr>
          <w:p>
            <w:pPr>
              <w:spacing w:after="0"/>
              <w:rPr>
                <w:sz w:val="18"/>
                <w:szCs w:val="18"/>
                <w:color w:val="auto"/>
              </w:rPr>
            </w:pPr>
          </w:p>
        </w:tc>
        <w:tc>
          <w:tcPr>
            <w:tcW w:w="270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7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7.01</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Legends</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7.02</w:t>
            </w:r>
          </w:p>
        </w:tc>
        <w:tc>
          <w:tcPr>
            <w:tcW w:w="7120" w:type="dxa"/>
            <w:vAlign w:val="bottom"/>
          </w:tcPr>
          <w:p>
            <w:pPr>
              <w:ind w:left="280"/>
              <w:spacing w:after="0"/>
              <w:rPr>
                <w:sz w:val="20"/>
                <w:szCs w:val="20"/>
                <w:color w:val="auto"/>
              </w:rPr>
            </w:pPr>
            <w:r>
              <w:rPr>
                <w:rFonts w:ascii="Arial" w:cs="Arial" w:eastAsia="Arial" w:hAnsi="Arial"/>
                <w:sz w:val="18"/>
                <w:szCs w:val="18"/>
                <w:color w:val="auto"/>
              </w:rPr>
              <w:t>Notices</w:t>
            </w:r>
          </w:p>
        </w:tc>
        <w:tc>
          <w:tcPr>
            <w:tcW w:w="27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7.03</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Waivers; Amendment</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7.04</w:t>
            </w:r>
          </w:p>
        </w:tc>
        <w:tc>
          <w:tcPr>
            <w:tcW w:w="7120" w:type="dxa"/>
            <w:vAlign w:val="bottom"/>
          </w:tcPr>
          <w:p>
            <w:pPr>
              <w:ind w:left="280"/>
              <w:spacing w:after="0"/>
              <w:rPr>
                <w:sz w:val="20"/>
                <w:szCs w:val="20"/>
                <w:color w:val="auto"/>
              </w:rPr>
            </w:pPr>
            <w:r>
              <w:rPr>
                <w:rFonts w:ascii="Arial" w:cs="Arial" w:eastAsia="Arial" w:hAnsi="Arial"/>
                <w:sz w:val="18"/>
                <w:szCs w:val="18"/>
                <w:color w:val="auto"/>
              </w:rPr>
              <w:t>Parties in Interest</w:t>
            </w:r>
          </w:p>
        </w:tc>
        <w:tc>
          <w:tcPr>
            <w:tcW w:w="27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7.05</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Survival of Agreement</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7.06</w:t>
            </w:r>
          </w:p>
        </w:tc>
        <w:tc>
          <w:tcPr>
            <w:tcW w:w="712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27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7.07</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Severability</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7.08</w:t>
            </w:r>
          </w:p>
        </w:tc>
        <w:tc>
          <w:tcPr>
            <w:tcW w:w="7120" w:type="dxa"/>
            <w:vAlign w:val="bottom"/>
          </w:tcPr>
          <w:p>
            <w:pPr>
              <w:ind w:left="280"/>
              <w:spacing w:after="0"/>
              <w:rPr>
                <w:sz w:val="20"/>
                <w:szCs w:val="20"/>
                <w:color w:val="auto"/>
              </w:rPr>
            </w:pPr>
            <w:r>
              <w:rPr>
                <w:rFonts w:ascii="Arial" w:cs="Arial" w:eastAsia="Arial" w:hAnsi="Arial"/>
                <w:sz w:val="18"/>
                <w:szCs w:val="18"/>
                <w:color w:val="auto"/>
              </w:rPr>
              <w:t>Governing Law; Jurisdiction; Consent to Service of Process</w:t>
            </w:r>
          </w:p>
        </w:tc>
        <w:tc>
          <w:tcPr>
            <w:tcW w:w="27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7.09</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WAIVER OF JURY TRIAL</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7.10</w:t>
            </w:r>
          </w:p>
        </w:tc>
        <w:tc>
          <w:tcPr>
            <w:tcW w:w="7120" w:type="dxa"/>
            <w:vAlign w:val="bottom"/>
          </w:tcPr>
          <w:p>
            <w:pPr>
              <w:ind w:left="280"/>
              <w:spacing w:after="0"/>
              <w:rPr>
                <w:sz w:val="20"/>
                <w:szCs w:val="20"/>
                <w:color w:val="auto"/>
              </w:rPr>
            </w:pPr>
            <w:r>
              <w:rPr>
                <w:rFonts w:ascii="Arial" w:cs="Arial" w:eastAsia="Arial" w:hAnsi="Arial"/>
                <w:sz w:val="18"/>
                <w:szCs w:val="18"/>
                <w:color w:val="auto"/>
              </w:rPr>
              <w:t>Headings</w:t>
            </w:r>
          </w:p>
        </w:tc>
        <w:tc>
          <w:tcPr>
            <w:tcW w:w="27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7.11</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Conflicts</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7.12</w:t>
            </w:r>
          </w:p>
        </w:tc>
        <w:tc>
          <w:tcPr>
            <w:tcW w:w="7120" w:type="dxa"/>
            <w:vAlign w:val="bottom"/>
          </w:tcPr>
          <w:p>
            <w:pPr>
              <w:ind w:left="280"/>
              <w:spacing w:after="0"/>
              <w:rPr>
                <w:sz w:val="20"/>
                <w:szCs w:val="20"/>
                <w:color w:val="auto"/>
              </w:rPr>
            </w:pPr>
            <w:r>
              <w:rPr>
                <w:rFonts w:ascii="Arial" w:cs="Arial" w:eastAsia="Arial" w:hAnsi="Arial"/>
                <w:sz w:val="18"/>
                <w:szCs w:val="18"/>
                <w:color w:val="auto"/>
              </w:rPr>
              <w:t>Provisions Solely to Define Relative Rights</w:t>
            </w:r>
          </w:p>
        </w:tc>
        <w:tc>
          <w:tcPr>
            <w:tcW w:w="27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7.13</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Agent Capacities</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7.14</w:t>
            </w:r>
          </w:p>
        </w:tc>
        <w:tc>
          <w:tcPr>
            <w:tcW w:w="7120" w:type="dxa"/>
            <w:vAlign w:val="bottom"/>
          </w:tcPr>
          <w:p>
            <w:pPr>
              <w:ind w:left="280"/>
              <w:spacing w:after="0"/>
              <w:rPr>
                <w:sz w:val="20"/>
                <w:szCs w:val="20"/>
                <w:color w:val="auto"/>
              </w:rPr>
            </w:pPr>
            <w:r>
              <w:rPr>
                <w:rFonts w:ascii="Arial" w:cs="Arial" w:eastAsia="Arial" w:hAnsi="Arial"/>
                <w:sz w:val="18"/>
                <w:szCs w:val="18"/>
                <w:color w:val="auto"/>
              </w:rPr>
              <w:t>Supplements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7.15</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Collateral Agent Rights, Protections and Immunities</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7.16</w:t>
            </w:r>
          </w:p>
        </w:tc>
        <w:tc>
          <w:tcPr>
            <w:tcW w:w="7120" w:type="dxa"/>
            <w:vAlign w:val="bottom"/>
          </w:tcPr>
          <w:p>
            <w:pPr>
              <w:ind w:left="280"/>
              <w:spacing w:after="0"/>
              <w:rPr>
                <w:sz w:val="20"/>
                <w:szCs w:val="20"/>
                <w:color w:val="auto"/>
              </w:rPr>
            </w:pPr>
            <w:r>
              <w:rPr>
                <w:rFonts w:ascii="Arial" w:cs="Arial" w:eastAsia="Arial" w:hAnsi="Arial"/>
                <w:sz w:val="18"/>
                <w:szCs w:val="18"/>
                <w:color w:val="auto"/>
              </w:rPr>
              <w:t>Other Junior Intercreditor Agreements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7.17</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Additional Grantors</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7.18</w:t>
            </w:r>
          </w:p>
        </w:tc>
        <w:tc>
          <w:tcPr>
            <w:tcW w:w="7120" w:type="dxa"/>
            <w:vAlign w:val="bottom"/>
          </w:tcPr>
          <w:p>
            <w:pPr>
              <w:ind w:left="280"/>
              <w:spacing w:after="0"/>
              <w:rPr>
                <w:sz w:val="20"/>
                <w:szCs w:val="20"/>
                <w:color w:val="auto"/>
              </w:rPr>
            </w:pPr>
            <w:r>
              <w:rPr>
                <w:rFonts w:ascii="Arial" w:cs="Arial" w:eastAsia="Arial" w:hAnsi="Arial"/>
                <w:sz w:val="18"/>
                <w:szCs w:val="18"/>
                <w:color w:val="auto"/>
              </w:rPr>
              <w:t>Joinder of LC Australian Collateral Agent</w:t>
            </w:r>
          </w:p>
        </w:tc>
        <w:tc>
          <w:tcPr>
            <w:tcW w:w="27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20"/>
                <w:szCs w:val="20"/>
                <w:color w:val="auto"/>
              </w:rPr>
            </w:pPr>
            <w:r>
              <w:rPr>
                <w:rFonts w:ascii="Arial" w:cs="Arial" w:eastAsia="Arial" w:hAnsi="Arial"/>
                <w:sz w:val="18"/>
                <w:szCs w:val="18"/>
                <w:color w:val="auto"/>
              </w:rPr>
              <w:t>SECTION 7.19</w:t>
            </w:r>
          </w:p>
        </w:tc>
        <w:tc>
          <w:tcPr>
            <w:tcW w:w="7120" w:type="dxa"/>
            <w:vAlign w:val="bottom"/>
            <w:shd w:val="clear" w:color="auto" w:fill="C6F4F9"/>
          </w:tcPr>
          <w:p>
            <w:pPr>
              <w:ind w:left="280"/>
              <w:spacing w:after="0"/>
              <w:rPr>
                <w:sz w:val="20"/>
                <w:szCs w:val="20"/>
                <w:color w:val="auto"/>
              </w:rPr>
            </w:pPr>
            <w:r>
              <w:rPr>
                <w:rFonts w:ascii="Arial" w:cs="Arial" w:eastAsia="Arial" w:hAnsi="Arial"/>
                <w:sz w:val="18"/>
                <w:szCs w:val="18"/>
                <w:color w:val="auto"/>
              </w:rPr>
              <w:t>Purchase Right.</w:t>
            </w:r>
          </w:p>
        </w:tc>
        <w:tc>
          <w:tcPr>
            <w:tcW w:w="2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823" w:name="page824"/>
    <w:bookmarkEnd w:id="823"/>
    <w:p>
      <w:pPr>
        <w:jc w:val="both"/>
        <w:ind w:firstLine="1296"/>
        <w:spacing w:after="0" w:line="271" w:lineRule="auto"/>
        <w:rPr>
          <w:sz w:val="20"/>
          <w:szCs w:val="20"/>
          <w:color w:val="auto"/>
        </w:rPr>
      </w:pPr>
      <w:r>
        <w:rPr>
          <w:rFonts w:ascii="Arial" w:cs="Arial" w:eastAsia="Arial" w:hAnsi="Arial"/>
          <w:sz w:val="21"/>
          <w:szCs w:val="21"/>
          <w:color w:val="auto"/>
        </w:rPr>
        <w:t>This INTERCREDITOR AGREEMENT (as amended, restated, supplemented or otherwise modified from time to time,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August 28, 2020, is among BTA Institutional Services Australia Limited (ABN 48 002 916 396), in its capacity as trustee of the LC Australian Security Trust referred to herein (when joined to this Agreement, in such capacity, together with its successors in substantially the same capacity as may from time to time be appointed, the “</w:t>
      </w:r>
      <w:r>
        <w:rPr>
          <w:rFonts w:ascii="Arial" w:cs="Arial" w:eastAsia="Arial" w:hAnsi="Arial"/>
          <w:sz w:val="21"/>
          <w:szCs w:val="21"/>
          <w:b w:val="1"/>
          <w:bCs w:val="1"/>
          <w:i w:val="1"/>
          <w:iCs w:val="1"/>
          <w:color w:val="auto"/>
        </w:rPr>
        <w:t>LC</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Australian Collateral Agent</w:t>
      </w:r>
      <w:r>
        <w:rPr>
          <w:rFonts w:ascii="Arial" w:cs="Arial" w:eastAsia="Arial" w:hAnsi="Arial"/>
          <w:sz w:val="21"/>
          <w:szCs w:val="21"/>
          <w:color w:val="auto"/>
        </w:rPr>
        <w:t>”), Deutsche Bank Trust Company Americas (“</w:t>
      </w:r>
      <w:r>
        <w:rPr>
          <w:rFonts w:ascii="Arial" w:cs="Arial" w:eastAsia="Arial" w:hAnsi="Arial"/>
          <w:sz w:val="21"/>
          <w:szCs w:val="21"/>
          <w:b w:val="1"/>
          <w:bCs w:val="1"/>
          <w:i w:val="1"/>
          <w:iCs w:val="1"/>
          <w:color w:val="auto"/>
        </w:rPr>
        <w:t>DBTCA</w:t>
      </w:r>
      <w:r>
        <w:rPr>
          <w:rFonts w:ascii="Arial" w:cs="Arial" w:eastAsia="Arial" w:hAnsi="Arial"/>
          <w:sz w:val="21"/>
          <w:szCs w:val="21"/>
          <w:color w:val="auto"/>
        </w:rPr>
        <w:t>”), as administrative agent and collateral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w:t>
      </w:r>
      <w:r>
        <w:rPr>
          <w:rFonts w:ascii="Arial" w:cs="Arial" w:eastAsia="Arial" w:hAnsi="Arial"/>
          <w:sz w:val="21"/>
          <w:szCs w:val="21"/>
          <w:b w:val="1"/>
          <w:bCs w:val="1"/>
          <w:i w:val="1"/>
          <w:iCs w:val="1"/>
          <w:color w:val="auto"/>
        </w:rPr>
        <w:t>LC Collateral Agent</w:t>
      </w:r>
      <w:r>
        <w:rPr>
          <w:rFonts w:ascii="Arial" w:cs="Arial" w:eastAsia="Arial" w:hAnsi="Arial"/>
          <w:sz w:val="21"/>
          <w:szCs w:val="21"/>
          <w:color w:val="auto"/>
        </w:rPr>
        <w:t>”), Wilmington Trust, National Association (“</w:t>
      </w:r>
      <w:r>
        <w:rPr>
          <w:rFonts w:ascii="Arial" w:cs="Arial" w:eastAsia="Arial" w:hAnsi="Arial"/>
          <w:sz w:val="21"/>
          <w:szCs w:val="21"/>
          <w:b w:val="1"/>
          <w:bCs w:val="1"/>
          <w:i w:val="1"/>
          <w:iCs w:val="1"/>
          <w:color w:val="auto"/>
        </w:rPr>
        <w:t>Wilmington Trust</w:t>
      </w:r>
      <w:r>
        <w:rPr>
          <w:rFonts w:ascii="Arial" w:cs="Arial" w:eastAsia="Arial" w:hAnsi="Arial"/>
          <w:sz w:val="21"/>
          <w:szCs w:val="21"/>
          <w:color w:val="auto"/>
        </w:rPr>
        <w:t>”), as collateral agent for the Notes Secured Parties referred to herein (in such capacity, together with its successors and co-agents and, as applicable, sub-agents, in substantially the same capacity as may from time to time be appointed, the “</w:t>
      </w:r>
      <w:r>
        <w:rPr>
          <w:rFonts w:ascii="Arial" w:cs="Arial" w:eastAsia="Arial" w:hAnsi="Arial"/>
          <w:sz w:val="21"/>
          <w:szCs w:val="21"/>
          <w:b w:val="1"/>
          <w:bCs w:val="1"/>
          <w:i w:val="1"/>
          <w:iCs w:val="1"/>
          <w:color w:val="auto"/>
        </w:rPr>
        <w:t>Notes Collateral Agent</w:t>
      </w:r>
      <w:r>
        <w:rPr>
          <w:rFonts w:ascii="Arial" w:cs="Arial" w:eastAsia="Arial" w:hAnsi="Arial"/>
          <w:sz w:val="21"/>
          <w:szCs w:val="21"/>
          <w:color w:val="auto"/>
        </w:rPr>
        <w:t>”), the Parent (as defined below) and the other Subsidiaries of the Parent from time to time party hereto.</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Weatherford International Ltd., a Bermuda exempted company limited by shares (“</w:t>
      </w:r>
      <w:r>
        <w:rPr>
          <w:rFonts w:ascii="Arial" w:cs="Arial" w:eastAsia="Arial" w:hAnsi="Arial"/>
          <w:sz w:val="22"/>
          <w:szCs w:val="22"/>
          <w:b w:val="1"/>
          <w:bCs w:val="1"/>
          <w:i w:val="1"/>
          <w:iCs w:val="1"/>
          <w:color w:val="auto"/>
        </w:rPr>
        <w:t>WIL-Bermuda</w:t>
      </w:r>
      <w:r>
        <w:rPr>
          <w:rFonts w:ascii="Arial" w:cs="Arial" w:eastAsia="Arial" w:hAnsi="Arial"/>
          <w:sz w:val="22"/>
          <w:szCs w:val="22"/>
          <w:color w:val="auto"/>
        </w:rPr>
        <w:t>” or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Issuer</w:t>
      </w:r>
      <w:r>
        <w:rPr>
          <w:rFonts w:ascii="Arial" w:cs="Arial" w:eastAsia="Arial" w:hAnsi="Arial"/>
          <w:sz w:val="22"/>
          <w:szCs w:val="22"/>
          <w:color w:val="auto"/>
        </w:rPr>
        <w:t>”), Weatherford International plc, a public limited company incorporated in the Republic of Ireland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certain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subsidiaries of Parent, Wilmington Trust, as trustee (in such capacity, together with its successors and co-trustees, as applicable, in substantially the same capacity as may from time to time be appointed, the “</w:t>
      </w:r>
      <w:r>
        <w:rPr>
          <w:rFonts w:ascii="Arial" w:cs="Arial" w:eastAsia="Arial" w:hAnsi="Arial"/>
          <w:sz w:val="22"/>
          <w:szCs w:val="22"/>
          <w:b w:val="1"/>
          <w:bCs w:val="1"/>
          <w:i w:val="1"/>
          <w:iCs w:val="1"/>
          <w:color w:val="auto"/>
        </w:rPr>
        <w:t>Notes Trustee</w:t>
      </w:r>
      <w:r>
        <w:rPr>
          <w:rFonts w:ascii="Arial" w:cs="Arial" w:eastAsia="Arial" w:hAnsi="Arial"/>
          <w:sz w:val="22"/>
          <w:szCs w:val="22"/>
          <w:color w:val="auto"/>
        </w:rPr>
        <w:t>”) and the Notes Collateral Agent are party to the Notes Indenture, dated as of the date hereof (the “</w:t>
      </w:r>
      <w:r>
        <w:rPr>
          <w:rFonts w:ascii="Arial" w:cs="Arial" w:eastAsia="Arial" w:hAnsi="Arial"/>
          <w:sz w:val="22"/>
          <w:szCs w:val="22"/>
          <w:b w:val="1"/>
          <w:bCs w:val="1"/>
          <w:i w:val="1"/>
          <w:iCs w:val="1"/>
          <w:color w:val="auto"/>
        </w:rPr>
        <w:t>Existing Notes Indenture</w:t>
      </w:r>
      <w:r>
        <w:rPr>
          <w:rFonts w:ascii="Arial" w:cs="Arial" w:eastAsia="Arial" w:hAnsi="Arial"/>
          <w:sz w:val="22"/>
          <w:szCs w:val="22"/>
          <w:color w:val="auto"/>
        </w:rPr>
        <w:t>”), providing for an initial aggregate principal amount of up to $500,000,000 of the Notes Issuer’s 8.75% Senior Secured First Lien Notes due 2024 (the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w:t>
      </w:r>
    </w:p>
    <w:p>
      <w:pPr>
        <w:spacing w:after="0" w:line="19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WIL-Bermuda and Weatherford International LLC, a Delaware limited liability company (“</w:t>
      </w:r>
      <w:r>
        <w:rPr>
          <w:rFonts w:ascii="Arial" w:cs="Arial" w:eastAsia="Arial" w:hAnsi="Arial"/>
          <w:sz w:val="19"/>
          <w:szCs w:val="19"/>
          <w:b w:val="1"/>
          <w:bCs w:val="1"/>
          <w:i w:val="1"/>
          <w:iCs w:val="1"/>
          <w:color w:val="auto"/>
        </w:rPr>
        <w:t>WIL-Delaware</w:t>
      </w:r>
      <w:r>
        <w:rPr>
          <w:rFonts w:ascii="Arial" w:cs="Arial" w:eastAsia="Arial" w:hAnsi="Arial"/>
          <w:sz w:val="19"/>
          <w:szCs w:val="19"/>
          <w:color w:val="auto"/>
        </w:rPr>
        <w:t>”) (the “</w:t>
      </w:r>
      <w:r>
        <w:rPr>
          <w:rFonts w:ascii="Arial" w:cs="Arial" w:eastAsia="Arial" w:hAnsi="Arial"/>
          <w:sz w:val="19"/>
          <w:szCs w:val="19"/>
          <w:b w:val="1"/>
          <w:bCs w:val="1"/>
          <w:i w:val="1"/>
          <w:iCs w:val="1"/>
          <w:color w:val="auto"/>
        </w:rPr>
        <w:t>LC Borrowers</w:t>
      </w:r>
      <w:r>
        <w:rPr>
          <w:rFonts w:ascii="Arial" w:cs="Arial" w:eastAsia="Arial" w:hAnsi="Arial"/>
          <w:sz w:val="19"/>
          <w:szCs w:val="19"/>
          <w:color w:val="auto"/>
        </w:rPr>
        <w:t>”), the issuing lenders from time to time party thereto (the “</w:t>
      </w:r>
      <w:r>
        <w:rPr>
          <w:rFonts w:ascii="Arial" w:cs="Arial" w:eastAsia="Arial" w:hAnsi="Arial"/>
          <w:sz w:val="19"/>
          <w:szCs w:val="19"/>
          <w:b w:val="1"/>
          <w:bCs w:val="1"/>
          <w:i w:val="1"/>
          <w:iCs w:val="1"/>
          <w:color w:val="auto"/>
        </w:rPr>
        <w:t>Issuing Lenders</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i w:val="1"/>
          <w:iCs w:val="1"/>
          <w:color w:val="auto"/>
        </w:rPr>
        <w:t>LC Lenders</w:t>
      </w:r>
      <w:r>
        <w:rPr>
          <w:rFonts w:ascii="Arial" w:cs="Arial" w:eastAsia="Arial" w:hAnsi="Arial"/>
          <w:sz w:val="19"/>
          <w:szCs w:val="19"/>
          <w:color w:val="auto"/>
        </w:rPr>
        <w:t>”) and the LC Collateral Agent are party to the Credit Agreement, dated as of December 13, 2019 , pursuant to which the Issuing Lenders have agreed to issue, and the LC Lenders have agreed to purchase participations in, letters of credit (as amended by the Amendment No. 1 thereoto, dated as of the date hereof, the “</w:t>
      </w:r>
      <w:r>
        <w:rPr>
          <w:rFonts w:ascii="Arial" w:cs="Arial" w:eastAsia="Arial" w:hAnsi="Arial"/>
          <w:sz w:val="19"/>
          <w:szCs w:val="19"/>
          <w:b w:val="1"/>
          <w:bCs w:val="1"/>
          <w:i w:val="1"/>
          <w:iCs w:val="1"/>
          <w:color w:val="auto"/>
        </w:rPr>
        <w:t>Existing LC Credit Agreement</w:t>
      </w:r>
      <w:r>
        <w:rPr>
          <w:rFonts w:ascii="Arial" w:cs="Arial" w:eastAsia="Arial" w:hAnsi="Arial"/>
          <w:sz w:val="19"/>
          <w:szCs w:val="19"/>
          <w:color w:val="auto"/>
        </w:rPr>
        <w:t>”).</w:t>
      </w:r>
    </w:p>
    <w:p>
      <w:pPr>
        <w:spacing w:after="0" w:line="15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This Agreement governs the relationship between the LC Secured Parties as a group, on the one hand, and the Notes Secured Parties, on the other hand, with respect to the Collateral shared by the LC Secured Parties and the Notes Secured Parties. In addition, it is understood and agreed that not all of the Secured Parties may have security interests in all of the Collateral and nothing in this Agreement is intended to give rights to any Person in any Collateral in which such Person (or their Representative or Collateral Agent) does not otherwise have a security interest under their respective security documents.</w:t>
      </w:r>
    </w:p>
    <w:p>
      <w:pPr>
        <w:spacing w:after="0" w:line="15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In consideration of the mutual agreements herein contained and other good and valuable consideration, the receipt and sufficiency of which are hereby acknowledged,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824" w:name="page825"/>
    <w:bookmarkEnd w:id="824"/>
    <w:p>
      <w:pPr>
        <w:jc w:val="center"/>
        <w:ind w:right="-19"/>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93"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b w:val="1"/>
          <w:bCs w:val="1"/>
          <w:i w:val="1"/>
          <w:iCs w:val="1"/>
          <w:color w:val="auto"/>
        </w:rPr>
        <w:t>Construction; Certain Defined Terms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1" w:lineRule="auto"/>
        <w:tabs>
          <w:tab w:leader="none" w:pos="2116" w:val="left"/>
        </w:tabs>
        <w:numPr>
          <w:ilvl w:val="0"/>
          <w:numId w:val="927"/>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Exhibits shall be construed to refer to Articles, Sections and Exhibits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63" w:lineRule="exact"/>
        <w:rPr>
          <w:rFonts w:ascii="Arial" w:cs="Arial" w:eastAsia="Arial" w:hAnsi="Arial"/>
          <w:sz w:val="19"/>
          <w:szCs w:val="19"/>
          <w:color w:val="auto"/>
        </w:rPr>
      </w:pPr>
    </w:p>
    <w:p>
      <w:pPr>
        <w:ind w:left="2100" w:hanging="796"/>
        <w:spacing w:after="0"/>
        <w:tabs>
          <w:tab w:leader="none" w:pos="2100" w:val="left"/>
        </w:tabs>
        <w:numPr>
          <w:ilvl w:val="0"/>
          <w:numId w:val="927"/>
        </w:numPr>
        <w:rPr>
          <w:rFonts w:ascii="Arial" w:cs="Arial" w:eastAsia="Arial" w:hAnsi="Arial"/>
          <w:sz w:val="22"/>
          <w:szCs w:val="22"/>
          <w:color w:val="auto"/>
        </w:rPr>
      </w:pPr>
      <w:r>
        <w:rPr>
          <w:rFonts w:ascii="Arial" w:cs="Arial" w:eastAsia="Arial" w:hAnsi="Arial"/>
          <w:sz w:val="22"/>
          <w:szCs w:val="22"/>
          <w:color w:val="auto"/>
        </w:rPr>
        <w:t>As used in this Agreement, the following terms have the meanings specified below:</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Junior Collateral Agent</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Possessory Collateral Agent</w:t>
      </w:r>
      <w:r>
        <w:rPr>
          <w:rFonts w:ascii="Arial" w:cs="Arial" w:eastAsia="Arial" w:hAnsi="Arial"/>
          <w:sz w:val="22"/>
          <w:szCs w:val="22"/>
          <w:color w:val="auto"/>
        </w:rPr>
        <w:t>” means (a) with respect to Notes Priority Possessory Collateral, the Notes Collateral Agent, (b) with respect to LC Priority Possessory Collateral, the LC Collateral Agent, and (c) notwithstanding the foregoing, with respect to Foreign Collateral, the Foreign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Senior Collateral Agent</w:t>
      </w:r>
      <w:r>
        <w:rPr>
          <w:rFonts w:ascii="Arial" w:cs="Arial" w:eastAsia="Arial" w:hAnsi="Arial"/>
          <w:sz w:val="22"/>
          <w:szCs w:val="22"/>
          <w:color w:val="auto"/>
        </w:rPr>
        <w:t>” means (a) with respect to the Notes Priority Collateral, the Notes Collateral Agent, and (b) with respect to the LC Priority Collateral, the LC Collateral Agent.</w:t>
      </w:r>
    </w:p>
    <w:p>
      <w:pPr>
        <w:spacing w:after="0" w:line="174"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 Product Obligations</w:t>
      </w:r>
      <w:r>
        <w:rPr>
          <w:rFonts w:ascii="Arial" w:cs="Arial" w:eastAsia="Arial" w:hAnsi="Arial"/>
          <w:sz w:val="21"/>
          <w:szCs w:val="21"/>
          <w:color w:val="auto"/>
        </w:rPr>
        <w:t>” means all “Banking Services Obligations” and all “Swap Obligations” as defined in the LC Credit Agreement (other than “Excluded Swap Obligations” as defined in the LC Credit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Case</w:t>
      </w:r>
      <w:r>
        <w:rPr>
          <w:rFonts w:ascii="Arial" w:cs="Arial" w:eastAsia="Arial" w:hAnsi="Arial"/>
          <w:sz w:val="22"/>
          <w:szCs w:val="22"/>
          <w:color w:val="auto"/>
        </w:rPr>
        <w:t>” has the meaning set forth in Section 2.06(b).</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5" w:name="page826"/>
    <w:bookmarkEnd w:id="82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Title 11 of the United States Code, as amended.</w:t>
      </w:r>
    </w:p>
    <w:p>
      <w:pPr>
        <w:spacing w:after="0" w:line="28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that is not a Saturday, Sunday or other day that is a legal holiday under the laws of the State of New York or on which banking institutions in the State of New York are required or authorized by law or other governmental action to close.</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Stock</w:t>
      </w:r>
      <w:r>
        <w:rPr>
          <w:rFonts w:ascii="Arial" w:cs="Arial" w:eastAsia="Arial" w:hAnsi="Arial"/>
          <w:sz w:val="22"/>
          <w:szCs w:val="22"/>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has the meaning set forth in the definition of Senior Secured Obligations.</w:t>
      </w:r>
    </w:p>
    <w:p>
      <w:pPr>
        <w:spacing w:after="0" w:line="233"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means all assets and properties subject to (or purportedly subject to) Liens in favor of any Secured Party created by any of the Foreign Collateral Documents, Notes Security Documents or the LC Security Documents, as applicable, to secure the Notes Obligations or the LC Obligations, as applicable.</w:t>
      </w:r>
    </w:p>
    <w:p>
      <w:pPr>
        <w:spacing w:after="0" w:line="185"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Agent</w:t>
      </w:r>
      <w:r>
        <w:rPr>
          <w:rFonts w:ascii="Arial" w:cs="Arial" w:eastAsia="Arial" w:hAnsi="Arial"/>
          <w:sz w:val="22"/>
          <w:szCs w:val="22"/>
          <w:color w:val="auto"/>
        </w:rPr>
        <w:t>” means the Foreign Collateral Agent, the Notes Collateral Agent, the LC Collateral Agent, or any of the foregoing, as the context may require.</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Junior Priority Collateral Document</w:t>
      </w:r>
      <w:r>
        <w:rPr>
          <w:rFonts w:ascii="Arial" w:cs="Arial" w:eastAsia="Arial" w:hAnsi="Arial"/>
          <w:sz w:val="22"/>
          <w:szCs w:val="22"/>
          <w:color w:val="auto"/>
        </w:rPr>
        <w:t>” means, in relation to any Senior Secured Obligations Collateral subject to any Lien created (or purportedly created) under any Senior Secured Obligations Collateral Document, those Junior Secured Obligations Collateral Documents that create (or purport to create) a Lien on the same Collateral, granted by the same Grantor.</w:t>
      </w:r>
    </w:p>
    <w:p>
      <w:pPr>
        <w:spacing w:after="0" w:line="191"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Controlling Party</w:t>
      </w:r>
      <w:r>
        <w:rPr>
          <w:rFonts w:ascii="Arial" w:cs="Arial" w:eastAsia="Arial" w:hAnsi="Arial"/>
          <w:sz w:val="22"/>
          <w:szCs w:val="22"/>
          <w:color w:val="auto"/>
        </w:rPr>
        <w:t>” means (i) for decisions relating to Foreign Collateral that is Notes Priority Collateral, the Notes Collateral Agent and; (ii) for decisions relating to Foreign Collateral that is LC Priority Collateral, the LC Collateral Agent (and in the case of the LC Australian Collateral Agent, acting for, and with any decisions relating to LC Australian Collateral made by, the LC Administrative Agent).</w:t>
      </w:r>
    </w:p>
    <w:p>
      <w:pPr>
        <w:spacing w:after="0" w:line="19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Debtor Relief Laws</w:t>
      </w:r>
      <w:r>
        <w:rPr>
          <w:rFonts w:ascii="Arial" w:cs="Arial" w:eastAsia="Arial" w:hAnsi="Arial"/>
          <w:sz w:val="19"/>
          <w:szCs w:val="19"/>
          <w:color w:val="auto"/>
        </w:rPr>
        <w:t>” means the Bankruptcy Code, the United Kingdom’s Insolvency Act 1986, the Council Regulation (EU) No. 2015/848 of 20 May 2015 on insolvency proceedings (recast), as amended, the Bankruptcy and Insolvency Act (Canada), the Companies’ Creditors Arrangement Act (Canada), Dutch Bankruptcy Act (</w:t>
      </w:r>
      <w:r>
        <w:rPr>
          <w:rFonts w:ascii="Arial" w:cs="Arial" w:eastAsia="Arial" w:hAnsi="Arial"/>
          <w:sz w:val="19"/>
          <w:szCs w:val="19"/>
          <w:i w:val="1"/>
          <w:iCs w:val="1"/>
          <w:color w:val="auto"/>
        </w:rPr>
        <w:t>faillissementswet</w:t>
      </w:r>
      <w:r>
        <w:rPr>
          <w:rFonts w:ascii="Arial" w:cs="Arial" w:eastAsia="Arial" w:hAnsi="Arial"/>
          <w:sz w:val="19"/>
          <w:szCs w:val="19"/>
          <w:color w:val="auto"/>
        </w:rPr>
        <w:t>), the Winding-Up and Restructuring Act (Canada), the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Swiss Federal Debt Collection and Bankruptcy Act (</w:t>
      </w:r>
      <w:r>
        <w:rPr>
          <w:rFonts w:ascii="Arial" w:cs="Arial" w:eastAsia="Arial" w:hAnsi="Arial"/>
          <w:sz w:val="19"/>
          <w:szCs w:val="19"/>
          <w:i w:val="1"/>
          <w:iCs w:val="1"/>
          <w:color w:val="auto"/>
        </w:rPr>
        <w:t>Bundesgesetz über Schuldbetreibung und Konkurs</w:t>
      </w:r>
      <w:r>
        <w:rPr>
          <w:rFonts w:ascii="Arial" w:cs="Arial" w:eastAsia="Arial" w:hAnsi="Arial"/>
          <w:sz w:val="19"/>
          <w:szCs w:val="19"/>
          <w:color w:val="auto"/>
        </w:rPr>
        <w:t>), Part XIII of the Bermuda Companies Act 1981, the Luxembourg Commercial Code and the Luxembourg Act dated 10 August 1915 on Commercial Companies, the Insolvency Act 2003 of the British Virgin Islands and all other liquidation, conservatorship, bankruptcy, assignment for the benefit of creditors, moratorium, rearrangement, receivership, insolvency, examinership reorganization or similar debtor relief laws of the United States of America or other applicable jurisdictions from time to time in effect, in each case as amended, including any corporate law of any jurisdiction which may be used by a debtor to obtain a stay or a compromise, settlement, adjustment or arrangement of the claims of its creditors against it and including any rules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6" w:name="page827"/>
    <w:bookmarkEnd w:id="826"/>
    <w:p>
      <w:pPr>
        <w:jc w:val="both"/>
        <w:spacing w:after="0" w:line="276" w:lineRule="auto"/>
        <w:rPr>
          <w:sz w:val="20"/>
          <w:szCs w:val="20"/>
          <w:color w:val="auto"/>
        </w:rPr>
      </w:pPr>
      <w:r>
        <w:rPr>
          <w:rFonts w:ascii="Arial" w:cs="Arial" w:eastAsia="Arial" w:hAnsi="Arial"/>
          <w:sz w:val="22"/>
          <w:szCs w:val="22"/>
          <w:color w:val="auto"/>
        </w:rPr>
        <w:t>regulations pursuant thereto (but, in each case, shall exclude any part of such laws, rules or regulations which relate solely to any solvent reorganization or solvent restructuring process).</w:t>
      </w:r>
    </w:p>
    <w:p>
      <w:pPr>
        <w:spacing w:after="0" w:line="228"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Disposition</w:t>
      </w:r>
      <w:r>
        <w:rPr>
          <w:rFonts w:ascii="Arial" w:cs="Arial" w:eastAsia="Arial" w:hAnsi="Arial"/>
          <w:sz w:val="19"/>
          <w:szCs w:val="19"/>
          <w:color w:val="auto"/>
        </w:rPr>
        <w:t>” means any private or public sale or disposition of all or any material portion of the Senior Secured Obligations Collateral (including Foreign Collateral) by one or more Grantors with the consent of Senior Collateral Agent or Foreign Collateral Agent (as instructed by the Controlling Party), as applicable, after the occurrence and during the continuation of an Event of Default under the Senior Secured Obligations Security Documents or the Notes Indenture or LC Credit Agreement, as applicable (and prior to the Discharge of the Senior Secured Obligations), including any disposition contemplated by Section 9-620 of the UCC, which disposition is conducted by such Grantors with the consent of Senior Collateral Agent or Foreign Collateral Agent (as instructed by the Controlling Party) in connection with good faith efforts by Senior Collateral Agent or Foreign Collateral Agent (as instructed by the Controlling Party) to collect the Senior Secured Obligations through the disposition of Senior Secured Obligations Collateral (including any Foreign Collateral).</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Financing Liens</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DIP Lenders</w:t>
      </w:r>
      <w:r>
        <w:rPr>
          <w:rFonts w:ascii="Arial" w:cs="Arial" w:eastAsia="Arial" w:hAnsi="Arial"/>
          <w:sz w:val="22"/>
          <w:szCs w:val="22"/>
          <w:color w:val="auto"/>
        </w:rPr>
        <w:t>” has the meaning set forth in Section 2.06(b).</w:t>
      </w:r>
    </w:p>
    <w:p>
      <w:pPr>
        <w:spacing w:after="0" w:line="233"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Discharge</w:t>
      </w:r>
      <w:r>
        <w:rPr>
          <w:rFonts w:ascii="Arial" w:cs="Arial" w:eastAsia="Arial" w:hAnsi="Arial"/>
          <w:sz w:val="19"/>
          <w:szCs w:val="19"/>
          <w:color w:val="auto"/>
        </w:rPr>
        <w:t>” means, with respect to any Obligations, except to the extent otherwise provided herein with respect to the reinstatement or continuation of any such Obligations, the payment in full in cash (except for contingent indemnities and cost and reimbursement obligations to the extent no claim has been threatened (in writing) or asserted) of all such Obligations then outstanding, if any, and, with respect to (x) letters of credit or letter of credit guaranties outstanding under the agreements or instruments governing such Obligations (as related to all or any subset of Obligations, the “</w:t>
      </w:r>
      <w:r>
        <w:rPr>
          <w:rFonts w:ascii="Arial" w:cs="Arial" w:eastAsia="Arial" w:hAnsi="Arial"/>
          <w:sz w:val="19"/>
          <w:szCs w:val="19"/>
          <w:b w:val="1"/>
          <w:bCs w:val="1"/>
          <w:i w:val="1"/>
          <w:iCs w:val="1"/>
          <w:color w:val="auto"/>
        </w:rPr>
        <w:t>Relevant Instruments</w:t>
      </w:r>
      <w:r>
        <w:rPr>
          <w:rFonts w:ascii="Arial" w:cs="Arial" w:eastAsia="Arial" w:hAnsi="Arial"/>
          <w:sz w:val="19"/>
          <w:szCs w:val="19"/>
          <w:color w:val="auto"/>
        </w:rPr>
        <w:t xml:space="preserve">”); (y) Bank Product Obligations; and (z) asserted or threatened (in writing) claims, demands, actions, suits, investigations, liabilities, fines, costs, or damages for which a party may be entitled to indemnification or reimbursement by any Grantor, delivery of cash collateral or backstop letters of credit in respect thereof in a manner consistent with such Relevant Instruments, in each case after or concurrently with the termination of all commitments to extend credit thereunder, and the termination of all commitments of “secured parties” under the Relevant Instruments (including, in any event, all such interest, fees, costs, expenses and other charges regardless of whether such amounts are allowed, allowable or reasonable in any Insolvency or Liquidation Proceeding, whether under Section 506 of the Bankruptcy Code of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Discharge of Notes Obligations shall not be deemed to have occurred if such payments are made with the proceeds of Notes Obligations that constitute an exchange or replacement for or a refinancing of Notes Obligations and (ii) the Discharge of LC Obligations shall not be deemed to have occurred if such payments are made with the proceeds of LC Obligations that constitute an exchange or replacement for or a refinancing of such Obligations or LC Obligations. In the event any Obligations are modified and such Obligations are paid over time or otherwise modified, in each case, pursuant to Section 1129 of the Bankruptcy Code or similar Debtor Relief Law, such Obligations shall be deemed to be discharged only when the final payment is made, in cash, in respect of such indebtedness and 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7" w:name="page828"/>
    <w:bookmarkEnd w:id="827"/>
    <w:p>
      <w:pPr>
        <w:jc w:val="both"/>
        <w:spacing w:after="0" w:line="276" w:lineRule="auto"/>
        <w:rPr>
          <w:sz w:val="20"/>
          <w:szCs w:val="20"/>
          <w:color w:val="auto"/>
        </w:rPr>
      </w:pPr>
      <w:r>
        <w:rPr>
          <w:rFonts w:ascii="Arial" w:cs="Arial" w:eastAsia="Arial" w:hAnsi="Arial"/>
          <w:sz w:val="22"/>
          <w:szCs w:val="22"/>
          <w:color w:val="auto"/>
        </w:rPr>
        <w:t>obligations pursuant to such new or modified indebtedness shall have been satisfied. The term “</w:t>
      </w:r>
      <w:r>
        <w:rPr>
          <w:rFonts w:ascii="Arial" w:cs="Arial" w:eastAsia="Arial" w:hAnsi="Arial"/>
          <w:sz w:val="22"/>
          <w:szCs w:val="22"/>
          <w:b w:val="1"/>
          <w:bCs w:val="1"/>
          <w:i w:val="1"/>
          <w:iCs w:val="1"/>
          <w:color w:val="auto"/>
        </w:rPr>
        <w:t>Discharged</w:t>
      </w:r>
      <w:r>
        <w:rPr>
          <w:rFonts w:ascii="Arial" w:cs="Arial" w:eastAsia="Arial" w:hAnsi="Arial"/>
          <w:sz w:val="22"/>
          <w:szCs w:val="22"/>
          <w:color w:val="auto"/>
        </w:rPr>
        <w:t>” shall have a corresponding meaning.</w:t>
      </w:r>
    </w:p>
    <w:p>
      <w:pPr>
        <w:spacing w:after="0" w:line="22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European Insolvency Regulation</w:t>
      </w:r>
      <w:r>
        <w:rPr>
          <w:rFonts w:ascii="Arial" w:cs="Arial" w:eastAsia="Arial" w:hAnsi="Arial"/>
          <w:sz w:val="22"/>
          <w:szCs w:val="22"/>
          <w:color w:val="auto"/>
        </w:rPr>
        <w:t>” means Regulation (EU) 2015/848 of the European Parliament and of the Council of 20 May 2015 on insolvency proceedings (recast)</w:t>
      </w:r>
    </w:p>
    <w:p>
      <w:pPr>
        <w:spacing w:after="0" w:line="17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means an “Event of Default” under and as defined in the Notes Indenture or the LC Credit Agreement, as the context may require.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w:t>
      </w:r>
      <w:r>
        <w:rPr>
          <w:rFonts w:ascii="Arial" w:cs="Arial" w:eastAsia="Arial" w:hAnsi="Arial"/>
          <w:sz w:val="22"/>
          <w:szCs w:val="22"/>
          <w:color w:val="auto"/>
        </w:rPr>
        <w:t>” has the meaning set forth in Section 2.01(d).</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Collateral Agent</w:t>
      </w:r>
      <w:r>
        <w:rPr>
          <w:rFonts w:ascii="Arial" w:cs="Arial" w:eastAsia="Arial" w:hAnsi="Arial"/>
          <w:sz w:val="22"/>
          <w:szCs w:val="22"/>
          <w:color w:val="auto"/>
        </w:rPr>
        <w:t xml:space="preserve">” means either the LC Collateral Agent or the Notes Collateral Agent with respect to Foreign Collateral as set forth in </w:t>
      </w:r>
      <w:r>
        <w:rPr>
          <w:rFonts w:ascii="Arial" w:cs="Arial" w:eastAsia="Arial" w:hAnsi="Arial"/>
          <w:sz w:val="22"/>
          <w:szCs w:val="22"/>
          <w:u w:val="single" w:color="auto"/>
          <w:color w:val="auto"/>
        </w:rPr>
        <w:t>Section 6.01(i) and (ii)</w:t>
      </w:r>
      <w:r>
        <w:rPr>
          <w:rFonts w:ascii="Arial" w:cs="Arial" w:eastAsia="Arial" w:hAnsi="Arial"/>
          <w:sz w:val="22"/>
          <w:szCs w:val="22"/>
          <w:color w:val="auto"/>
        </w:rPr>
        <w:t>, and their respective successors or assigns (as appointed in accordance with Article VI hereof).</w:t>
      </w:r>
    </w:p>
    <w:p>
      <w:pPr>
        <w:spacing w:after="0" w:line="185"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Foreign Collateral Documents</w:t>
      </w:r>
      <w:r>
        <w:rPr>
          <w:rFonts w:ascii="Arial" w:cs="Arial" w:eastAsia="Arial" w:hAnsi="Arial"/>
          <w:sz w:val="19"/>
          <w:szCs w:val="19"/>
          <w:color w:val="auto"/>
        </w:rPr>
        <w:t>” means the documents listed on Schedule I attached hereto and any other documents creating (or purporting to create) a Lien on any Foreign Collateral in favor of the Secured Parties and/or the Foreign Collateral Agent/Preceding Foreign Collateral Agent acting in their respective capacities and all documents delivered therewith.</w:t>
      </w:r>
    </w:p>
    <w:p>
      <w:pPr>
        <w:spacing w:after="0" w:line="1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Grantor</w:t>
      </w:r>
      <w:r>
        <w:rPr>
          <w:rFonts w:ascii="Arial" w:cs="Arial" w:eastAsia="Arial" w:hAnsi="Arial"/>
          <w:sz w:val="22"/>
          <w:szCs w:val="22"/>
          <w:color w:val="auto"/>
        </w:rPr>
        <w:t>” means Parent and each Subsidiary of Parent that shall have granted any Lien in favor of any Collateral Agent on any of its assets or properties to secure any of the Obligations.</w:t>
      </w:r>
    </w:p>
    <w:p>
      <w:pPr>
        <w:spacing w:after="0" w:line="17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Insolvency or Liquidation Proceeding</w:t>
      </w:r>
      <w:r>
        <w:rPr>
          <w:rFonts w:ascii="Arial" w:cs="Arial" w:eastAsia="Arial" w:hAnsi="Arial"/>
          <w:sz w:val="19"/>
          <w:szCs w:val="19"/>
          <w:color w:val="auto"/>
        </w:rPr>
        <w:t>” means (a) any case or proceeding commenced by or against the Parent or any other Grantor under the Bankruptcy Code or other Debtor Relief Laws or any other process or proceeding for the reorganization, recapitalization, restructuring, adjustment, arrangement or marshalling of the assets or liabilities of the Parent or any other Grantor or any receivership or assignment for the benefit of creditors relating to the Parent or any other Grantor or relating to all or a substantial part of the property or assets of the Parent or any other Grantor or any similar case or proceeding relative to the Parent or any other Grantor, or their respective property or their respective creditors, as such, in each case whether or not voluntary; (b) any process or proceeding for the appointment of any trustee in bankruptcy, receiver, receiver and manager, interim receiver, administrator, liquidator, monitor, custodian, sequestrator, examiner, conservator or any similar official appointed for or relating to the Parent or any other Grantor or all or a substantial portion of their respective property and assets, in each case whether or not voluntary; (c) any liquidation, dissolution, examinership, marshalling of assets or liabilities or other winding up (or similar process) of or relating to the Parent or any other Grantor, in each case whether or not voluntary and whether or not involving bankruptcy or insolvency; or (d) any other proceeding of any type or nature in which substantially all claims of creditors of the Parent or any other Grantor, or of a class of creditors of the Parent or any other Grantor, are stayed, compromised, restructured or determined and any payment, distribution, restructuring or arrangement is or may be made on account of or in relation to such claims.</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Claims</w:t>
      </w:r>
      <w:r>
        <w:rPr>
          <w:rFonts w:ascii="Arial" w:cs="Arial" w:eastAsia="Arial" w:hAnsi="Arial"/>
          <w:sz w:val="22"/>
          <w:szCs w:val="22"/>
          <w:color w:val="auto"/>
        </w:rPr>
        <w:t>” means (a) with respect to the Notes Priority Collateral, the LC Obligations secured by such Collateral and (b) with respect to the LC Priority Collateral, the Notes Obligations secured by such Collateral.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8" w:name="page829"/>
    <w:bookmarkEnd w:id="828"/>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Collateral Agent</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228"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Representative</w:t>
      </w:r>
      <w:r>
        <w:rPr>
          <w:rFonts w:ascii="Arial" w:cs="Arial" w:eastAsia="Arial" w:hAnsi="Arial"/>
          <w:sz w:val="22"/>
          <w:szCs w:val="22"/>
          <w:color w:val="auto"/>
        </w:rPr>
        <w:t>” means (a) with respect to the LC Priority Collateral, the Notes Collateral Agent and (b) with respect to the Notes Priority Collateral, the LC Collateral Agent.</w:t>
      </w:r>
    </w:p>
    <w:p>
      <w:pPr>
        <w:spacing w:after="0" w:line="174"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Junior Secured Obligations</w:t>
      </w:r>
      <w:r>
        <w:rPr>
          <w:rFonts w:ascii="Arial" w:cs="Arial" w:eastAsia="Arial" w:hAnsi="Arial"/>
          <w:sz w:val="19"/>
          <w:szCs w:val="19"/>
          <w:color w:val="auto"/>
        </w:rPr>
        <w:t>” means (a) with respect to the Notes Obligations (to the extent such Obligations are secured by the Notes Priority Collateral), the LC Obligations (to the extent such Obligations are secured by the Notes Priority Collateral) and (b) with respect to the LC Obligations (to the extent such Obligations are secured by the LC Priority Collateral), the Notes Obligations (to the extent such Obligations are secured by the LC Priority Collateral).</w:t>
      </w:r>
    </w:p>
    <w:p>
      <w:pPr>
        <w:spacing w:after="0" w:line="14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w:t>
      </w:r>
      <w:r>
        <w:rPr>
          <w:rFonts w:ascii="Arial" w:cs="Arial" w:eastAsia="Arial" w:hAnsi="Arial"/>
          <w:sz w:val="22"/>
          <w:szCs w:val="22"/>
          <w:color w:val="auto"/>
        </w:rPr>
        <w:t>” means, with respect to any Obligations, the Collateral in respect of which such Obligations constitute Junior Claims.</w:t>
      </w:r>
    </w:p>
    <w:p>
      <w:pPr>
        <w:spacing w:after="0" w:line="174"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Collateral Documents</w:t>
      </w:r>
      <w:r>
        <w:rPr>
          <w:rFonts w:ascii="Arial" w:cs="Arial" w:eastAsia="Arial" w:hAnsi="Arial"/>
          <w:sz w:val="22"/>
          <w:szCs w:val="22"/>
          <w:color w:val="auto"/>
        </w:rPr>
        <w:t>” means (a) with respect to the LC Obligations, the Notes Security Documents and (b) with respect to the Notes Obligations, the LC Security Documents.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Secured Obligations Secured Parties</w:t>
      </w:r>
      <w:r>
        <w:rPr>
          <w:rFonts w:ascii="Arial" w:cs="Arial" w:eastAsia="Arial" w:hAnsi="Arial"/>
          <w:sz w:val="22"/>
          <w:szCs w:val="22"/>
          <w:color w:val="auto"/>
        </w:rPr>
        <w:t>” means (a) with respect to the LC Priority Collateral, the Notes Secured Parties (to the extent that the Obligations owing to such Notes Secured Parties are secured by the LC Priority Collateral) and (b) with respect to the Notes Priority Collateral, the LC Secured Parties (to the extent that the Obligations owing to such LC Secured Parties are secured by the Notes Priority Collateral).</w:t>
      </w:r>
    </w:p>
    <w:p>
      <w:pPr>
        <w:spacing w:after="0" w:line="191"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Administrative Agent</w:t>
      </w:r>
      <w:r>
        <w:rPr>
          <w:rFonts w:ascii="Arial" w:cs="Arial" w:eastAsia="Arial" w:hAnsi="Arial"/>
          <w:sz w:val="19"/>
          <w:szCs w:val="19"/>
          <w:color w:val="auto"/>
        </w:rPr>
        <w:t>” means the Administrative Agent under, and as defined in, the LC Credit Agreement together with its successors and co-agents in substantially the same capacity as may from time to time be appointed.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Documents</w:t>
      </w:r>
      <w:r>
        <w:rPr>
          <w:rFonts w:ascii="Arial" w:cs="Arial" w:eastAsia="Arial" w:hAnsi="Arial"/>
          <w:sz w:val="22"/>
          <w:szCs w:val="22"/>
          <w:color w:val="auto"/>
        </w:rPr>
        <w:t>” means the LC Australian Security Trust Deed and each other Australian law governed document now existing or entered into after the date hereof that create Liens on any assets or properties of any Grantor to secure any LC Obligations in favor of the LC Australian Collateral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Australian Security Trust</w:t>
      </w:r>
      <w:r>
        <w:rPr>
          <w:rFonts w:ascii="Arial" w:cs="Arial" w:eastAsia="Arial" w:hAnsi="Arial"/>
          <w:sz w:val="19"/>
          <w:szCs w:val="19"/>
          <w:color w:val="auto"/>
        </w:rPr>
        <w:t>” means the “Security Trust” under and as defined in the LC Australian Security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 Deed.</w:t>
      </w:r>
    </w:p>
    <w:p>
      <w:pPr>
        <w:spacing w:after="0" w:line="22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Australian Security Trust Deed</w:t>
      </w:r>
      <w:r>
        <w:rPr>
          <w:rFonts w:ascii="Arial" w:cs="Arial" w:eastAsia="Arial" w:hAnsi="Arial"/>
          <w:sz w:val="22"/>
          <w:szCs w:val="22"/>
          <w:color w:val="auto"/>
        </w:rPr>
        <w:t>” means the Security Trust Deed to be entered into among the Borrowers, the LC Administrative Agent, the LC Lenders and the LC Australian Collateral Agent.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Collateral Agent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9" w:name="page830"/>
    <w:bookmarkEnd w:id="829"/>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Credit Agreement</w:t>
      </w:r>
      <w:r>
        <w:rPr>
          <w:rFonts w:ascii="Arial" w:cs="Arial" w:eastAsia="Arial" w:hAnsi="Arial"/>
          <w:sz w:val="19"/>
          <w:szCs w:val="19"/>
          <w:color w:val="auto"/>
        </w:rPr>
        <w:t>” means the Existing LC Credit Agreement, as amended, restated, supplemented, waived, replaced (whether or not upon termination, and whether with the original lenders or otherwise), restructured, repaid, refunded, Refinanced or otherwise modified from time to time after the date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“LC Credit Agreement”).</w:t>
      </w:r>
    </w:p>
    <w:p>
      <w:pPr>
        <w:spacing w:after="0" w:line="210"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Documents</w:t>
      </w:r>
      <w:r>
        <w:rPr>
          <w:rFonts w:ascii="Arial" w:cs="Arial" w:eastAsia="Arial" w:hAnsi="Arial"/>
          <w:sz w:val="22"/>
          <w:szCs w:val="22"/>
          <w:color w:val="auto"/>
        </w:rPr>
        <w:t>” means the LC Credit Agreement, the LC Security Agreement, the LC Mortgages, the LC Australian Security Documents and the other “Loan Documents” as defined in the LC Credit Agreement.</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Guarantee</w:t>
      </w:r>
      <w:r>
        <w:rPr>
          <w:rFonts w:ascii="Arial" w:cs="Arial" w:eastAsia="Arial" w:hAnsi="Arial"/>
          <w:sz w:val="22"/>
          <w:szCs w:val="22"/>
          <w:color w:val="auto"/>
        </w:rPr>
        <w:t>” means any guarantee of the Obligations of the Parent under the LC Credit Agreement by any Person in accordance with the provisions of the LC Credit Agreement.</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Guarantor</w:t>
      </w:r>
      <w:r>
        <w:rPr>
          <w:rFonts w:ascii="Arial" w:cs="Arial" w:eastAsia="Arial" w:hAnsi="Arial"/>
          <w:sz w:val="22"/>
          <w:szCs w:val="22"/>
          <w:color w:val="auto"/>
        </w:rPr>
        <w:t xml:space="preserve">” means any Person that incurs a LC Facility Guarantee;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release or discharge of such Person from its LC Facility Guarantee in accordance with the LC Credit Agreement, such Person ceases to be a LC Facility Guarantor.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Facility Secured Parties</w:t>
      </w:r>
      <w:r>
        <w:rPr>
          <w:rFonts w:ascii="Arial" w:cs="Arial" w:eastAsia="Arial" w:hAnsi="Arial"/>
          <w:sz w:val="22"/>
          <w:szCs w:val="22"/>
          <w:color w:val="auto"/>
        </w:rPr>
        <w:t>” means the “Secured Parties” as defined in the LC Credit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Lenders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Mortgages</w:t>
      </w:r>
      <w:r>
        <w:rPr>
          <w:rFonts w:ascii="Arial" w:cs="Arial" w:eastAsia="Arial" w:hAnsi="Arial"/>
          <w:sz w:val="22"/>
          <w:szCs w:val="22"/>
          <w:color w:val="auto"/>
        </w:rPr>
        <w:t>” means all “Mortgages” as defined in the LC Credit Agreement.</w:t>
      </w:r>
    </w:p>
    <w:p>
      <w:pPr>
        <w:spacing w:after="0" w:line="23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Obligations</w:t>
      </w:r>
      <w:r>
        <w:rPr>
          <w:rFonts w:ascii="Arial" w:cs="Arial" w:eastAsia="Arial" w:hAnsi="Arial"/>
          <w:sz w:val="19"/>
          <w:szCs w:val="19"/>
          <w:color w:val="auto"/>
        </w:rPr>
        <w:t>” means all “Secured Obligations” (as such term is defined in the LC Credit Agreement) of the LC Borrowers and other obligors under the LC Credit Agreement or any of the other LC Documents, including obligations to pay principal, premiums, if any, and interest, attorneys’ fees, fees, costs, charges, expenses, Letters of Credit (as defined in the LC Credit Agreement) and commissions,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LC Documents and the performance of all other Obligations of the obligors thereunder under the LC Documents, according to the respective terms thereof.</w:t>
      </w:r>
    </w:p>
    <w:p>
      <w:pPr>
        <w:spacing w:after="0" w:line="15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Collateral</w:t>
      </w:r>
      <w:r>
        <w:rPr>
          <w:rFonts w:ascii="Arial" w:cs="Arial" w:eastAsia="Arial" w:hAnsi="Arial"/>
          <w:sz w:val="22"/>
          <w:szCs w:val="22"/>
          <w:color w:val="auto"/>
        </w:rPr>
        <w:t>” means all Collateral (other than Notes Priority Collateral) now owned or at any time hereafter acquired (including, for the avoidance of doubt, any such assets that, but for the application of Section 552 of the Bankruptcy Code (or any provision of any other Debtor Relief Law), would constitute LC Priority Collateral) by any Grantor consisting of (a) all assets securing the LC Obligations on the date hereof immediately prior to giving effect to Amendment No. 1, dated as of August 28, 2020, (b) all assets of Grantors organized in the LC Priority Jurisdictions, and (c) all assets required to be subject of the Lien securing the LC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0" w:name="page831"/>
    <w:bookmarkEnd w:id="830"/>
    <w:p>
      <w:pPr>
        <w:spacing w:after="0"/>
        <w:rPr>
          <w:sz w:val="20"/>
          <w:szCs w:val="20"/>
          <w:color w:val="auto"/>
        </w:rPr>
      </w:pPr>
      <w:r>
        <w:rPr>
          <w:rFonts w:ascii="Arial" w:cs="Arial" w:eastAsia="Arial" w:hAnsi="Arial"/>
          <w:sz w:val="22"/>
          <w:szCs w:val="22"/>
          <w:color w:val="auto"/>
        </w:rPr>
        <w:t>Obligations pursuant to the LC Credit Agreement and (d) all products and proceeds of any and all of the foregoing.</w:t>
      </w:r>
    </w:p>
    <w:p>
      <w:pPr>
        <w:spacing w:after="0" w:line="28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Jurisdictions</w:t>
      </w:r>
      <w:r>
        <w:rPr>
          <w:rFonts w:ascii="Arial" w:cs="Arial" w:eastAsia="Arial" w:hAnsi="Arial"/>
          <w:sz w:val="22"/>
          <w:szCs w:val="22"/>
          <w:color w:val="auto"/>
        </w:rPr>
        <w:t>” means the Specified Jurisdictions as defined in the LC Credit Agreement other than the Notes Priority Jurisdictions. .</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Priority Possessory Collateral</w:t>
      </w:r>
      <w:r>
        <w:rPr>
          <w:rFonts w:ascii="Arial" w:cs="Arial" w:eastAsia="Arial" w:hAnsi="Arial"/>
          <w:sz w:val="22"/>
          <w:szCs w:val="22"/>
          <w:color w:val="auto"/>
        </w:rPr>
        <w:t>” means LC Priority Collateral that is Possessory Collateral.</w:t>
      </w:r>
    </w:p>
    <w:p>
      <w:pPr>
        <w:spacing w:after="0" w:line="233"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Secured Parties</w:t>
      </w:r>
      <w:r>
        <w:rPr>
          <w:rFonts w:ascii="Arial" w:cs="Arial" w:eastAsia="Arial" w:hAnsi="Arial"/>
          <w:sz w:val="22"/>
          <w:szCs w:val="22"/>
          <w:color w:val="auto"/>
        </w:rPr>
        <w:t>” means the (a) the LC Collateral Agent (including for avoidance of doubt the LC Australian Collateral Agent), and (b) the LC Facility Secured Parties.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Agreement</w:t>
      </w:r>
      <w:r>
        <w:rPr>
          <w:rFonts w:ascii="Arial" w:cs="Arial" w:eastAsia="Arial" w:hAnsi="Arial"/>
          <w:sz w:val="22"/>
          <w:szCs w:val="22"/>
          <w:color w:val="auto"/>
        </w:rPr>
        <w:t>” means the U.S. Security Agreement, as amended by the Amendment No. 1 to U.S. Security Agreement, dated as of the Amendment No. 1 Effective Date (as such term is defined in the LC Credit Agreement), by and among the Parent, LC Borrowers, each other pledgor party thereto and the LC Collateral Agent, as amended, amended and restated, supplemented or modified from time to time.</w:t>
      </w:r>
    </w:p>
    <w:p>
      <w:pPr>
        <w:spacing w:after="0" w:line="19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LC Security Documents</w:t>
      </w:r>
      <w:r>
        <w:rPr>
          <w:rFonts w:ascii="Arial" w:cs="Arial" w:eastAsia="Arial" w:hAnsi="Arial"/>
          <w:sz w:val="22"/>
          <w:szCs w:val="22"/>
          <w:color w:val="auto"/>
        </w:rPr>
        <w:t>” means the LC Security Agreement, the LC Mortgages, the LC Australian Security Documents and any other documents now existing or entered into after the date hereof that create Liens on any assets or properties of any Grantor to secure any LC Obligations.</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xml:space="preserve">” means any lien, mortgage, deed of trust, pledge, hypothecation, security interest, charge or encumbrance of any kind, including any conditional sale or other title retention agreement or any lease in the nature thereof or a ‘security interest’ (as defined in section 12 (1) and (2) of the </w:t>
      </w:r>
      <w:r>
        <w:rPr>
          <w:rFonts w:ascii="Arial" w:cs="Arial" w:eastAsia="Arial" w:hAnsi="Arial"/>
          <w:sz w:val="22"/>
          <w:szCs w:val="22"/>
          <w:i w:val="1"/>
          <w:iCs w:val="1"/>
          <w:color w:val="auto"/>
        </w:rPr>
        <w:t>Personal Property Securities Act 2009 (Cth))</w:t>
      </w:r>
      <w:r>
        <w:rPr>
          <w:rFonts w:ascii="Arial" w:cs="Arial" w:eastAsia="Arial" w:hAnsi="Arial"/>
          <w:sz w:val="22"/>
          <w:szCs w:val="22"/>
          <w:color w:val="auto"/>
        </w:rPr>
        <w:t xml:space="preserve"> (whether voluntary or involuntary and whether imposed or created by operation of law or otherwise).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Luxembourg Obligors</w:t>
      </w:r>
      <w:r>
        <w:rPr>
          <w:rFonts w:ascii="Arial" w:cs="Arial" w:eastAsia="Arial" w:hAnsi="Arial"/>
          <w:sz w:val="19"/>
          <w:szCs w:val="19"/>
          <w:color w:val="auto"/>
        </w:rPr>
        <w:t>” means any Grantor organized under the laws of the Grand Duchy of Luxembourg.</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Memorandum</w:t>
      </w:r>
      <w:r>
        <w:rPr>
          <w:rFonts w:ascii="Arial" w:cs="Arial" w:eastAsia="Arial" w:hAnsi="Arial"/>
          <w:sz w:val="22"/>
          <w:szCs w:val="22"/>
          <w:color w:val="auto"/>
        </w:rPr>
        <w:t>” has the meaning set forth in Section 2.02(e).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Mortgages</w:t>
      </w:r>
      <w:r>
        <w:rPr>
          <w:rFonts w:ascii="Arial" w:cs="Arial" w:eastAsia="Arial" w:hAnsi="Arial"/>
          <w:sz w:val="22"/>
          <w:szCs w:val="22"/>
          <w:color w:val="auto"/>
        </w:rPr>
        <w:t>” means the Notes Mortgages and the LC Mortgages.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New York UCC</w:t>
      </w:r>
      <w:r>
        <w:rPr>
          <w:rFonts w:ascii="Arial" w:cs="Arial" w:eastAsia="Arial" w:hAnsi="Arial"/>
          <w:sz w:val="19"/>
          <w:szCs w:val="19"/>
          <w:color w:val="auto"/>
        </w:rPr>
        <w:t>” means the Uniform Commercial Code as from time to time in effect in the State of New York.</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Collateral Agent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Documents</w:t>
      </w:r>
      <w:r>
        <w:rPr>
          <w:rFonts w:ascii="Arial" w:cs="Arial" w:eastAsia="Arial" w:hAnsi="Arial"/>
          <w:sz w:val="22"/>
          <w:szCs w:val="22"/>
          <w:color w:val="auto"/>
        </w:rPr>
        <w:t>” means the Notes Indenture, the Notes Security Documents and the other “Notes Documents” as defined in the Notes Indenture.</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Indenture</w:t>
      </w:r>
      <w:r>
        <w:rPr>
          <w:rFonts w:ascii="Arial" w:cs="Arial" w:eastAsia="Arial" w:hAnsi="Arial"/>
          <w:sz w:val="22"/>
          <w:szCs w:val="22"/>
          <w:color w:val="auto"/>
        </w:rPr>
        <w:t>” means the Existing Notes Indenture, as amended, restated, supplemented, waived, replaced (whether or not upon termination, and whether with the initial purchasers or otherwise), restructured, repaid, refunded, Refinanced or otherwise modified from time to time after the date hereof, in accordance with the terms hereof, including any agreement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1" w:name="page832"/>
    <w:bookmarkEnd w:id="831"/>
    <w:p>
      <w:pPr>
        <w:jc w:val="both"/>
        <w:spacing w:after="0" w:line="261" w:lineRule="auto"/>
        <w:rPr>
          <w:sz w:val="20"/>
          <w:szCs w:val="20"/>
          <w:color w:val="auto"/>
        </w:rPr>
      </w:pPr>
      <w:r>
        <w:rPr>
          <w:rFonts w:ascii="Arial" w:cs="Arial" w:eastAsia="Arial" w:hAnsi="Arial"/>
          <w:sz w:val="22"/>
          <w:szCs w:val="22"/>
          <w:color w:val="auto"/>
        </w:rPr>
        <w:t>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“Notes Indenture”).</w:t>
      </w:r>
    </w:p>
    <w:p>
      <w:pPr>
        <w:spacing w:after="0" w:line="2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Issuer</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Mortgages</w:t>
      </w:r>
      <w:r>
        <w:rPr>
          <w:rFonts w:ascii="Arial" w:cs="Arial" w:eastAsia="Arial" w:hAnsi="Arial"/>
          <w:sz w:val="22"/>
          <w:szCs w:val="22"/>
          <w:color w:val="auto"/>
        </w:rPr>
        <w:t>” means all “Mortgages” as defined in the Notes Indenture.</w:t>
      </w:r>
    </w:p>
    <w:p>
      <w:pPr>
        <w:spacing w:after="0" w:line="23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Notes Obligations</w:t>
      </w:r>
      <w:r>
        <w:rPr>
          <w:rFonts w:ascii="Arial" w:cs="Arial" w:eastAsia="Arial" w:hAnsi="Arial"/>
          <w:sz w:val="19"/>
          <w:szCs w:val="19"/>
          <w:color w:val="auto"/>
        </w:rPr>
        <w:t>” means all “Indenture Obligations” (as such term is defined in the Notes Indenture) of the Notes Parties (as defined in the Notes Indenture) under the Notes Indenture or any of the other Notes Documents, including obligations to pay principal, premiums, if any, interest, attorneys fees, fees, costs, charges, expenses, commissions, fees and charges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Notes Documents and the performance of all other Obligations of the obligors thereunder to the holders, the Notes Trustee, the Notes Collateral Agent, any other trustees and agents under the Notes Documents according to the respective terms thereof.</w:t>
      </w:r>
    </w:p>
    <w:p>
      <w:pPr>
        <w:spacing w:after="0" w:line="15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Notes Priority Collateral</w:t>
      </w:r>
      <w:r>
        <w:rPr>
          <w:rFonts w:ascii="Arial" w:cs="Arial" w:eastAsia="Arial" w:hAnsi="Arial"/>
          <w:sz w:val="19"/>
          <w:szCs w:val="19"/>
          <w:color w:val="auto"/>
        </w:rPr>
        <w:t>” means all Collateral now owned or at any time hereafter acquired (including, for the avoidance of doubt, any such assets that, but for the application of Section 552 of the Bankruptcy Code (or any provision of any other Debtor Relief Law), would constitute Notes Priority Collateral) by (i) any Grantor (x) formed in Notes Priority Jurisdictions or (y) consisting of Capital Stock of Subsidiaries that are formed or located in the Cayman Islands, China, Cyprus, Qatar, Romania, Russia or the United Arab Emirates, other than to the extent such Subsidiary is a direct or indirect owner of a majority of Capital Stock in an LC Facility Guarantor or such Subsidiary becomes an LC Facility Guarantor as contemplated under the LC Credit Agreement as in effect on the date hereof, and (ii) all products and proceeds of any the foregoing; provided that, for the avoidance of doubt, in no event shall Notes Priority Collateral include (x) any assets securing the LC Obligations on the date hereof immediately prior to giving effect to Amendment No. 1 to the LC Credit Agreement dated as of August 28, 2020 and (y) any assets required to be subject of the Lien securing the LC Obligations pursuant to the LC Credit Agreement on the date hereof immediately prior to giving effect to Amendment No. 1 to the LC Credit Agreement dated as of August 28, 2020.</w:t>
      </w:r>
    </w:p>
    <w:p>
      <w:pPr>
        <w:spacing w:after="0" w:line="162"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Priority Jurisdictions</w:t>
      </w:r>
      <w:r>
        <w:rPr>
          <w:rFonts w:ascii="Arial" w:cs="Arial" w:eastAsia="Arial" w:hAnsi="Arial"/>
          <w:sz w:val="22"/>
          <w:szCs w:val="22"/>
          <w:i w:val="1"/>
          <w:iCs w:val="1"/>
          <w:color w:val="auto"/>
        </w:rPr>
        <w:t>”</w:t>
      </w:r>
      <w:r>
        <w:rPr>
          <w:rFonts w:ascii="Arial" w:cs="Arial" w:eastAsia="Arial" w:hAnsi="Arial"/>
          <w:sz w:val="22"/>
          <w:szCs w:val="22"/>
          <w:color w:val="auto"/>
        </w:rPr>
        <w:t xml:space="preserve"> means Mexico, Brazil and any other jurisdictions agreed upon by the Required Lenders under, and as defined in, the LC Credit Agreement.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1"/>
          <w:szCs w:val="21"/>
          <w:b w:val="1"/>
          <w:bCs w:val="1"/>
          <w:i w:val="1"/>
          <w:iCs w:val="1"/>
          <w:color w:val="auto"/>
        </w:rPr>
        <w:t>“Notes Priority Possessory Collateral</w:t>
      </w:r>
      <w:r>
        <w:rPr>
          <w:rFonts w:ascii="Arial" w:cs="Arial" w:eastAsia="Arial" w:hAnsi="Arial"/>
          <w:sz w:val="21"/>
          <w:szCs w:val="21"/>
          <w:color w:val="auto"/>
        </w:rPr>
        <w:t>” means Notes Priority Collateral that is Possessory Collateral.</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Secured Parties</w:t>
      </w:r>
      <w:r>
        <w:rPr>
          <w:rFonts w:ascii="Arial" w:cs="Arial" w:eastAsia="Arial" w:hAnsi="Arial"/>
          <w:sz w:val="22"/>
          <w:szCs w:val="22"/>
          <w:color w:val="auto"/>
        </w:rPr>
        <w:t>” means the “Secured Parties” as defined in the Notes Indenture.</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2" w:name="page833"/>
    <w:bookmarkEnd w:id="832"/>
    <w:p>
      <w:pPr>
        <w:jc w:val="both"/>
        <w:ind w:right="20"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Security Agreement</w:t>
      </w:r>
      <w:r>
        <w:rPr>
          <w:rFonts w:ascii="Arial" w:cs="Arial" w:eastAsia="Arial" w:hAnsi="Arial"/>
          <w:sz w:val="22"/>
          <w:szCs w:val="22"/>
          <w:i w:val="1"/>
          <w:iCs w:val="1"/>
          <w:color w:val="auto"/>
        </w:rPr>
        <w:t>”</w:t>
      </w:r>
      <w:r>
        <w:rPr>
          <w:rFonts w:ascii="Arial" w:cs="Arial" w:eastAsia="Arial" w:hAnsi="Arial"/>
          <w:sz w:val="22"/>
          <w:szCs w:val="22"/>
          <w:color w:val="auto"/>
        </w:rPr>
        <w:t xml:space="preserve"> means the Security Agreement (as such term in defined in the Notes Indenture), dated as of the date hereof, by and among WIL-Bermuda and the Notes Collateral Agent, as amended, amended and restated, supplemented or modified from time to time.</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Security Documents</w:t>
      </w:r>
      <w:r>
        <w:rPr>
          <w:rFonts w:ascii="Arial" w:cs="Arial" w:eastAsia="Arial" w:hAnsi="Arial"/>
          <w:sz w:val="22"/>
          <w:szCs w:val="22"/>
          <w:color w:val="auto"/>
        </w:rPr>
        <w:t>” means the Notes Security Agreement, the Notes Mortgages and any other documents now existing or entered into after the date hereof that create or purport to create Liens on any assets or properties of any Grantor to secure any Notes Obligations.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Notes Trustee</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Obligations</w:t>
      </w:r>
      <w:r>
        <w:rPr>
          <w:rFonts w:ascii="Arial" w:cs="Arial" w:eastAsia="Arial" w:hAnsi="Arial"/>
          <w:sz w:val="22"/>
          <w:szCs w:val="22"/>
          <w:color w:val="auto"/>
        </w:rPr>
        <w:t>” means the Notes Obligations and the LC Obligations.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Discretion</w:t>
      </w:r>
      <w:r>
        <w:rPr>
          <w:rFonts w:ascii="Arial" w:cs="Arial" w:eastAsia="Arial" w:hAnsi="Arial"/>
          <w:sz w:val="22"/>
          <w:szCs w:val="22"/>
          <w:color w:val="auto"/>
        </w:rPr>
        <w:t>” means a determination made in the exercise of good faith and reasonable credit judgment (from the perspective of a secured lender).</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Remedies</w:t>
      </w:r>
      <w:r>
        <w:rPr>
          <w:rFonts w:ascii="Arial" w:cs="Arial" w:eastAsia="Arial" w:hAnsi="Arial"/>
          <w:sz w:val="22"/>
          <w:szCs w:val="22"/>
          <w:color w:val="auto"/>
        </w:rPr>
        <w:t>” means, with respect to any Junior Secured Obligations:</w:t>
      </w:r>
    </w:p>
    <w:p>
      <w:pPr>
        <w:spacing w:after="0" w:line="233" w:lineRule="exact"/>
        <w:rPr>
          <w:sz w:val="20"/>
          <w:szCs w:val="20"/>
          <w:color w:val="auto"/>
        </w:rPr>
      </w:pPr>
    </w:p>
    <w:p>
      <w:pPr>
        <w:ind w:firstLine="1304"/>
        <w:spacing w:after="0" w:line="276" w:lineRule="auto"/>
        <w:tabs>
          <w:tab w:leader="none" w:pos="2400" w:val="left"/>
        </w:tabs>
        <w:numPr>
          <w:ilvl w:val="0"/>
          <w:numId w:val="928"/>
        </w:numPr>
        <w:rPr>
          <w:rFonts w:ascii="Arial" w:cs="Arial" w:eastAsia="Arial" w:hAnsi="Arial"/>
          <w:sz w:val="22"/>
          <w:szCs w:val="22"/>
          <w:color w:val="auto"/>
        </w:rPr>
      </w:pPr>
      <w:r>
        <w:rPr>
          <w:rFonts w:ascii="Arial" w:cs="Arial" w:eastAsia="Arial" w:hAnsi="Arial"/>
          <w:sz w:val="22"/>
          <w:szCs w:val="22"/>
          <w:color w:val="auto"/>
        </w:rPr>
        <w:t xml:space="preserve">filing a proof of claim or statement of interest with respect to such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Insolvency or Liquidation Proceeding has been commenced by or against any Grantor;</w:t>
      </w:r>
    </w:p>
    <w:p>
      <w:pPr>
        <w:spacing w:after="0" w:line="174"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928"/>
        </w:numPr>
        <w:rPr>
          <w:rFonts w:ascii="Arial" w:cs="Arial" w:eastAsia="Arial" w:hAnsi="Arial"/>
          <w:sz w:val="22"/>
          <w:szCs w:val="22"/>
          <w:color w:val="auto"/>
        </w:rPr>
      </w:pPr>
      <w:r>
        <w:rPr>
          <w:rFonts w:ascii="Arial" w:cs="Arial" w:eastAsia="Arial" w:hAnsi="Arial"/>
          <w:sz w:val="22"/>
          <w:szCs w:val="22"/>
          <w:color w:val="auto"/>
        </w:rPr>
        <w:t>taking any action (not adverse to the Liens securing Senior Secured Obligations, the priority status thereof, or the rights of the Applicable Senior Collateral Agent or any of the Senior Secured Obligations Secured Parties to exercise rights, powers and/or remedies in respect thereof) in order to create, perfect, preserve or protect (but not enforce) its Lien on any of the Collateral;</w:t>
      </w:r>
    </w:p>
    <w:p>
      <w:pPr>
        <w:spacing w:after="0" w:line="191" w:lineRule="exact"/>
        <w:rPr>
          <w:rFonts w:ascii="Arial" w:cs="Arial" w:eastAsia="Arial" w:hAnsi="Arial"/>
          <w:sz w:val="22"/>
          <w:szCs w:val="22"/>
          <w:color w:val="auto"/>
        </w:rPr>
      </w:pPr>
    </w:p>
    <w:p>
      <w:pPr>
        <w:jc w:val="both"/>
        <w:ind w:firstLine="1304"/>
        <w:spacing w:after="0" w:line="262" w:lineRule="auto"/>
        <w:tabs>
          <w:tab w:leader="none" w:pos="2278" w:val="left"/>
        </w:tabs>
        <w:numPr>
          <w:ilvl w:val="0"/>
          <w:numId w:val="928"/>
        </w:numPr>
        <w:rPr>
          <w:rFonts w:ascii="Arial" w:cs="Arial" w:eastAsia="Arial" w:hAnsi="Arial"/>
          <w:sz w:val="22"/>
          <w:szCs w:val="22"/>
          <w:color w:val="auto"/>
        </w:rPr>
      </w:pPr>
      <w:r>
        <w:rPr>
          <w:rFonts w:ascii="Arial" w:cs="Arial" w:eastAsia="Arial" w:hAnsi="Arial"/>
          <w:sz w:val="22"/>
          <w:szCs w:val="22"/>
          <w:color w:val="auto"/>
        </w:rPr>
        <w:t>filing any necessary responsive or defensive pleadings in opposition to any motion, claim, adversary proceeding or other pleading made by any person objecting to or otherwise seeking the disallowance of the claims of the Junior Secured Obligations Secured Parties, including any claims secured by the Junior Secured Obligations Collateral, in each case in accordance with the terms of this Agreement;</w:t>
      </w:r>
    </w:p>
    <w:p>
      <w:pPr>
        <w:spacing w:after="0" w:line="191" w:lineRule="exact"/>
        <w:rPr>
          <w:rFonts w:ascii="Arial" w:cs="Arial" w:eastAsia="Arial" w:hAnsi="Arial"/>
          <w:sz w:val="22"/>
          <w:szCs w:val="22"/>
          <w:color w:val="auto"/>
        </w:rPr>
      </w:pPr>
    </w:p>
    <w:p>
      <w:pPr>
        <w:jc w:val="both"/>
        <w:ind w:firstLine="1304"/>
        <w:spacing w:after="0" w:line="262" w:lineRule="auto"/>
        <w:tabs>
          <w:tab w:leader="none" w:pos="2344" w:val="left"/>
        </w:tabs>
        <w:numPr>
          <w:ilvl w:val="0"/>
          <w:numId w:val="928"/>
        </w:numPr>
        <w:rPr>
          <w:rFonts w:ascii="Arial" w:cs="Arial" w:eastAsia="Arial" w:hAnsi="Arial"/>
          <w:sz w:val="22"/>
          <w:szCs w:val="22"/>
          <w:color w:val="auto"/>
        </w:rPr>
      </w:pPr>
      <w:r>
        <w:rPr>
          <w:rFonts w:ascii="Arial" w:cs="Arial" w:eastAsia="Arial" w:hAnsi="Arial"/>
          <w:sz w:val="22"/>
          <w:szCs w:val="22"/>
          <w:color w:val="auto"/>
        </w:rPr>
        <w:t>filing any pleadings, objections, motions or agreements which assert rights or interests available to unsecured creditors of the Grantors arising under either any Insolvency or Liquidation Proceeding or applicable non-bankruptcy law, in each case in accordance with the terms of this Agreement or applicable law (including the bankruptcy laws of any applicable jurisdiction);</w:t>
      </w:r>
    </w:p>
    <w:p>
      <w:pPr>
        <w:spacing w:after="0" w:line="191" w:lineRule="exact"/>
        <w:rPr>
          <w:rFonts w:ascii="Arial" w:cs="Arial" w:eastAsia="Arial" w:hAnsi="Arial"/>
          <w:sz w:val="22"/>
          <w:szCs w:val="22"/>
          <w:color w:val="auto"/>
        </w:rPr>
      </w:pPr>
    </w:p>
    <w:p>
      <w:pPr>
        <w:jc w:val="both"/>
        <w:ind w:firstLine="1304"/>
        <w:spacing w:after="0" w:line="279" w:lineRule="auto"/>
        <w:tabs>
          <w:tab w:leader="none" w:pos="2211" w:val="left"/>
        </w:tabs>
        <w:numPr>
          <w:ilvl w:val="0"/>
          <w:numId w:val="928"/>
        </w:numPr>
        <w:rPr>
          <w:rFonts w:ascii="Arial" w:cs="Arial" w:eastAsia="Arial" w:hAnsi="Arial"/>
          <w:sz w:val="21"/>
          <w:szCs w:val="21"/>
          <w:color w:val="auto"/>
        </w:rPr>
      </w:pPr>
      <w:r>
        <w:rPr>
          <w:rFonts w:ascii="Arial" w:cs="Arial" w:eastAsia="Arial" w:hAnsi="Arial"/>
          <w:sz w:val="21"/>
          <w:szCs w:val="21"/>
          <w:color w:val="auto"/>
        </w:rPr>
        <w:t>join (but not exercise any control with respect to) any judicial foreclosure proceeding or other judicial lien enforcement proceeding with respect to the Senior Secured Obligations Collateral of the Senior Collateral Agent initiated by such Senior Collateral Agent to the extent that any such action could not reasonably be expected, in any material respect, to restrain, hinder, limit, delay for any material period or otherwise interfere with an enforcement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3" w:name="page834"/>
    <w:bookmarkEnd w:id="833"/>
    <w:p>
      <w:pPr>
        <w:jc w:val="both"/>
        <w:spacing w:after="0" w:line="266" w:lineRule="auto"/>
        <w:rPr>
          <w:sz w:val="20"/>
          <w:szCs w:val="20"/>
          <w:color w:val="auto"/>
        </w:rPr>
      </w:pPr>
      <w:r>
        <w:rPr>
          <w:rFonts w:ascii="Arial" w:cs="Arial" w:eastAsia="Arial" w:hAnsi="Arial"/>
          <w:sz w:val="22"/>
          <w:szCs w:val="22"/>
          <w:color w:val="auto"/>
        </w:rPr>
        <w:t>action by such Senior Collateral Agent (it being understood that neither the Junior Collateral Agent nor any Junior Secured Obligations Secured Parties shall be entitled to receive any proceeds from the Senior Secured Obligations Collateral unless otherwise expressly permitted herein);</w:t>
      </w:r>
    </w:p>
    <w:p>
      <w:pPr>
        <w:spacing w:after="0" w:line="239" w:lineRule="exact"/>
        <w:rPr>
          <w:sz w:val="20"/>
          <w:szCs w:val="20"/>
          <w:color w:val="auto"/>
        </w:rPr>
      </w:pPr>
    </w:p>
    <w:p>
      <w:pPr>
        <w:jc w:val="both"/>
        <w:ind w:firstLine="1304"/>
        <w:spacing w:after="0" w:line="327" w:lineRule="auto"/>
        <w:tabs>
          <w:tab w:leader="none" w:pos="2052" w:val="left"/>
        </w:tabs>
        <w:numPr>
          <w:ilvl w:val="0"/>
          <w:numId w:val="92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2.04(a)(iii)</w:t>
      </w:r>
      <w:r>
        <w:rPr>
          <w:rFonts w:ascii="Arial" w:cs="Arial" w:eastAsia="Arial" w:hAnsi="Arial"/>
          <w:sz w:val="19"/>
          <w:szCs w:val="19"/>
          <w:color w:val="auto"/>
        </w:rPr>
        <w:t>, inspect, appraise or value the Collateral (and to engage or retain investment bankers or appraisers for the purposes of appraising or valuing the Collateral) or to receive information or reports concerning the Collateral, in each case pursuant to the terms of the Notes Documents or LC Documents, as applicable, or applicable law;</w:t>
      </w:r>
    </w:p>
    <w:p>
      <w:pPr>
        <w:spacing w:after="0" w:line="132" w:lineRule="exact"/>
        <w:rPr>
          <w:rFonts w:ascii="Arial" w:cs="Arial" w:eastAsia="Arial" w:hAnsi="Arial"/>
          <w:sz w:val="19"/>
          <w:szCs w:val="19"/>
          <w:color w:val="auto"/>
        </w:rPr>
      </w:pPr>
    </w:p>
    <w:p>
      <w:pPr>
        <w:jc w:val="both"/>
        <w:ind w:firstLine="1304"/>
        <w:spacing w:after="0" w:line="260" w:lineRule="auto"/>
        <w:tabs>
          <w:tab w:leader="none" w:pos="2101" w:val="left"/>
        </w:tabs>
        <w:numPr>
          <w:ilvl w:val="0"/>
          <w:numId w:val="92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2.04(a)(iii)</w:t>
      </w:r>
      <w:r>
        <w:rPr>
          <w:rFonts w:ascii="Arial" w:cs="Arial" w:eastAsia="Arial" w:hAnsi="Arial"/>
          <w:sz w:val="22"/>
          <w:szCs w:val="22"/>
          <w:color w:val="auto"/>
        </w:rPr>
        <w:t xml:space="preserve">, take any action to seek and obtain specific performance or injunctive relief to compel a Grantor to comply with (or not to violate or breach) an obligation under the Notes Documents or LC Documents,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action does not include any action by a Junior Secured Obligations Secured Party to seek specific performance or injunctive relief against any Senior Secured Obligations Secured Party or the sale or disposition of any such Senior Secured Obligations Secured Party’s Senior Secured Obligations Collateral in contravention of the other provisions of this Agreement;</w:t>
      </w:r>
    </w:p>
    <w:p>
      <w:pPr>
        <w:spacing w:after="0" w:line="191" w:lineRule="exact"/>
        <w:rPr>
          <w:rFonts w:ascii="Arial" w:cs="Arial" w:eastAsia="Arial" w:hAnsi="Arial"/>
          <w:sz w:val="22"/>
          <w:szCs w:val="22"/>
          <w:color w:val="auto"/>
        </w:rPr>
      </w:pPr>
    </w:p>
    <w:p>
      <w:pPr>
        <w:jc w:val="both"/>
        <w:ind w:firstLine="1304"/>
        <w:spacing w:after="0" w:line="274" w:lineRule="auto"/>
        <w:tabs>
          <w:tab w:leader="none" w:pos="2209" w:val="left"/>
        </w:tabs>
        <w:numPr>
          <w:ilvl w:val="0"/>
          <w:numId w:val="929"/>
        </w:numPr>
        <w:rPr>
          <w:rFonts w:ascii="Arial" w:cs="Arial" w:eastAsia="Arial" w:hAnsi="Arial"/>
          <w:sz w:val="21"/>
          <w:szCs w:val="21"/>
          <w:color w:val="auto"/>
        </w:rPr>
      </w:pPr>
      <w:r>
        <w:rPr>
          <w:rFonts w:ascii="Arial" w:cs="Arial" w:eastAsia="Arial" w:hAnsi="Arial"/>
          <w:sz w:val="21"/>
          <w:szCs w:val="21"/>
          <w:color w:val="auto"/>
        </w:rPr>
        <w:t xml:space="preserve">make a cash or, if allowed pursuant to applicable law, credit bid for Collateral at any public or private sale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Secured Party does not challenge the bid of any Senior Secured Obligations Secured Party for its Senior Secured Obligations Collateral or otherwise bid for any Senior Secured Obligations Collateral other than by a bid that provides for the Discharge of the Senior Secured Obligations, and (ii) each Senior Secured Obligations Secured Party may, subject to the terms of its Senior Secured Obligations Collateral Documents, offset its Senior Secured Obligations against the purchase price for the Senior Secured Obligations Collateral; and</w:t>
      </w:r>
    </w:p>
    <w:p>
      <w:pPr>
        <w:spacing w:after="0" w:line="181" w:lineRule="exact"/>
        <w:rPr>
          <w:rFonts w:ascii="Arial" w:cs="Arial" w:eastAsia="Arial" w:hAnsi="Arial"/>
          <w:sz w:val="21"/>
          <w:szCs w:val="21"/>
          <w:color w:val="auto"/>
        </w:rPr>
      </w:pPr>
    </w:p>
    <w:p>
      <w:pPr>
        <w:jc w:val="both"/>
        <w:ind w:firstLine="1304"/>
        <w:spacing w:after="0" w:line="262" w:lineRule="auto"/>
        <w:tabs>
          <w:tab w:leader="none" w:pos="2148" w:val="left"/>
        </w:tabs>
        <w:numPr>
          <w:ilvl w:val="0"/>
          <w:numId w:val="929"/>
        </w:numPr>
        <w:rPr>
          <w:rFonts w:ascii="Arial" w:cs="Arial" w:eastAsia="Arial" w:hAnsi="Arial"/>
          <w:sz w:val="22"/>
          <w:szCs w:val="22"/>
          <w:color w:val="auto"/>
        </w:rPr>
      </w:pPr>
      <w:r>
        <w:rPr>
          <w:rFonts w:ascii="Arial" w:cs="Arial" w:eastAsia="Arial" w:hAnsi="Arial"/>
          <w:sz w:val="22"/>
          <w:szCs w:val="22"/>
          <w:color w:val="auto"/>
        </w:rPr>
        <w:t>in any Insolvency or Liquidation Proceeding, (i) voting on any Plan of Reorganization to the extent not otherwise prohibited by the terms hereof, (ii) filing any proof of claim and (iii) making other filings and motions and making any arguments in connection therewith (including in support of or opposition to, as applicable, the confirmation or approval of any Plan of Reorganization) that comply with the terms of this Agreement.</w:t>
      </w:r>
    </w:p>
    <w:p>
      <w:pPr>
        <w:spacing w:after="0" w:line="19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business trust, joint venture, association, company, partnership, limited liability partnership, limited liability company or government, individual or family trusts or any agency or political subdivision thereof.</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Reorganization</w:t>
      </w:r>
      <w:r>
        <w:rPr>
          <w:rFonts w:ascii="Arial" w:cs="Arial" w:eastAsia="Arial" w:hAnsi="Arial"/>
          <w:sz w:val="22"/>
          <w:szCs w:val="22"/>
          <w:color w:val="auto"/>
        </w:rPr>
        <w:t>” means any plan of reorganization, scheme of arrangement, plan of arrangement or compromise, proposal, plan of liquidation, agreement for composition or other type of plan, proposal or arrangement proposed in or in connection with any Insolvency or Liquidation Proceeding.</w:t>
      </w:r>
    </w:p>
    <w:p>
      <w:pPr>
        <w:spacing w:after="0" w:line="18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Possessory Collateral</w:t>
      </w:r>
      <w:r>
        <w:rPr>
          <w:rFonts w:ascii="Arial" w:cs="Arial" w:eastAsia="Arial" w:hAnsi="Arial"/>
          <w:sz w:val="22"/>
          <w:szCs w:val="22"/>
          <w:color w:val="auto"/>
        </w:rPr>
        <w:t>” means the Collateral in the possession or control of any Collateral Agent (or its agents or bailees), to the extent that possession or control thereof (a) perfects a Lien thereon under the Uniform Commercial Code or (b) provides a substantially similar legal effects as “perfection” under the Uniform Commercial Code under other applicable legislation of any jurisdiction. Possessory Collateral includes, without limitation, any Certificated Securities, Promissory Notes, Instruments and Chattel Paper, in each case, delivered to or in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4" w:name="page835"/>
    <w:bookmarkEnd w:id="834"/>
    <w:p>
      <w:pPr>
        <w:jc w:val="both"/>
        <w:spacing w:after="0" w:line="266" w:lineRule="auto"/>
        <w:rPr>
          <w:sz w:val="20"/>
          <w:szCs w:val="20"/>
          <w:color w:val="auto"/>
        </w:rPr>
      </w:pPr>
      <w:r>
        <w:rPr>
          <w:rFonts w:ascii="Arial" w:cs="Arial" w:eastAsia="Arial" w:hAnsi="Arial"/>
          <w:sz w:val="22"/>
          <w:szCs w:val="22"/>
          <w:color w:val="auto"/>
        </w:rPr>
        <w:t>possession of any Collateral Agent under the terms of the Notes Security Documents or the LC Security Documents. All capitalized terms used in this definition and not defined elsewhere in this Agreement have the meanings assigned to them in the New York UCC.</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Possessory Collateral Agent</w:t>
      </w:r>
      <w:r>
        <w:rPr>
          <w:rFonts w:ascii="Arial" w:cs="Arial" w:eastAsia="Arial" w:hAnsi="Arial"/>
          <w:sz w:val="22"/>
          <w:szCs w:val="22"/>
          <w:color w:val="auto"/>
        </w:rPr>
        <w:t>” means, with respect to any Possessory Collateral, the Collateral Agent having possession or control (including through its agents or bailees) of same.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Preceding Foreign Collateral Agent</w:t>
      </w:r>
      <w:r>
        <w:rPr>
          <w:rFonts w:ascii="Arial" w:cs="Arial" w:eastAsia="Arial" w:hAnsi="Arial"/>
          <w:sz w:val="22"/>
          <w:szCs w:val="22"/>
          <w:color w:val="auto"/>
        </w:rPr>
        <w:t>” means Wells Fargo Bank, National Association.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Proceeds</w:t>
      </w:r>
      <w:r>
        <w:rPr>
          <w:rFonts w:ascii="Arial" w:cs="Arial" w:eastAsia="Arial" w:hAnsi="Arial"/>
          <w:sz w:val="22"/>
          <w:szCs w:val="22"/>
          <w:color w:val="auto"/>
        </w:rPr>
        <w:t>” has the meaning set forth in Section 2.01(a).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Option Event</w:t>
      </w:r>
      <w:r>
        <w:rPr>
          <w:rFonts w:ascii="Arial" w:cs="Arial" w:eastAsia="Arial" w:hAnsi="Arial"/>
          <w:sz w:val="22"/>
          <w:szCs w:val="22"/>
          <w:color w:val="auto"/>
        </w:rPr>
        <w:t>” has the meaning set forth in Section 7.19(a).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has the meaning set forth in Section 7.19(b).</w:t>
      </w:r>
    </w:p>
    <w:p>
      <w:pPr>
        <w:spacing w:after="0" w:line="233"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 Estate Asset</w:t>
      </w:r>
      <w:r>
        <w:rPr>
          <w:rFonts w:ascii="Arial" w:cs="Arial" w:eastAsia="Arial" w:hAnsi="Arial"/>
          <w:sz w:val="19"/>
          <w:szCs w:val="19"/>
          <w:color w:val="auto"/>
        </w:rPr>
        <w:t>” means, at any time of determination, any interest (fee, leasehold or otherwise) then owned by any Grantor in any real property that does not constitute Excluded Assets (as defined in the LC Credit Agreement).</w:t>
      </w:r>
    </w:p>
    <w:p>
      <w:pPr>
        <w:spacing w:after="0" w:line="10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Refinance</w:t>
      </w:r>
      <w:r>
        <w:rPr>
          <w:rFonts w:ascii="Arial" w:cs="Arial" w:eastAsia="Arial" w:hAnsi="Arial"/>
          <w:sz w:val="19"/>
          <w:szCs w:val="19"/>
          <w:color w:val="auto"/>
        </w:rPr>
        <w:t>” means to amend, restate, supplement, waive, replace (whether or not upon termination, and whether with the original parties or otherwise), restructure, repay, refund, refinance or otherwise modify from time to time (including by means of any agreement or indenture extending the maturity thereof, refinancing, replacing or otherwise restructuring all or any portion of the obligations under such agreement or agreements or indentures or any successor or replacement agreement or agreements or indentures or increasing the amount loaned or issued thereunder or altering the maturity thereof). “</w:t>
      </w:r>
      <w:r>
        <w:rPr>
          <w:rFonts w:ascii="Arial" w:cs="Arial" w:eastAsia="Arial" w:hAnsi="Arial"/>
          <w:sz w:val="19"/>
          <w:szCs w:val="19"/>
          <w:b w:val="1"/>
          <w:bCs w:val="1"/>
          <w:i w:val="1"/>
          <w:iCs w:val="1"/>
          <w:color w:val="auto"/>
        </w:rPr>
        <w:t>Refinanced</w:t>
      </w:r>
      <w:r>
        <w:rPr>
          <w:rFonts w:ascii="Arial" w:cs="Arial" w:eastAsia="Arial" w:hAnsi="Arial"/>
          <w:sz w:val="19"/>
          <w:szCs w:val="19"/>
          <w:color w:val="auto"/>
        </w:rPr>
        <w:t>” and “</w:t>
      </w:r>
      <w:r>
        <w:rPr>
          <w:rFonts w:ascii="Arial" w:cs="Arial" w:eastAsia="Arial" w:hAnsi="Arial"/>
          <w:sz w:val="19"/>
          <w:szCs w:val="19"/>
          <w:b w:val="1"/>
          <w:bCs w:val="1"/>
          <w:i w:val="1"/>
          <w:iCs w:val="1"/>
          <w:color w:val="auto"/>
        </w:rPr>
        <w:t>Refinancing</w:t>
      </w:r>
      <w:r>
        <w:rPr>
          <w:rFonts w:ascii="Arial" w:cs="Arial" w:eastAsia="Arial" w:hAnsi="Arial"/>
          <w:sz w:val="19"/>
          <w:szCs w:val="19"/>
          <w:color w:val="auto"/>
        </w:rPr>
        <w:t xml:space="preserve">” shall have correlative meanings;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that any of the foregoing that increases the principal amount of Senior Claims with respect to any Collateral shall be effective for purposes hereof only if such increase does not contravene the documents pursuant to which any Junior Claims with respect to such Collateral have been incurred, all as in effect on the date hereof or as may be amended in accordance with the terms hereof.</w:t>
      </w:r>
    </w:p>
    <w:p>
      <w:pPr>
        <w:spacing w:after="0" w:line="155"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means (a) in the case of any Notes Obligations, the Notes Collateral Agent and (b) in the case of any LC Obligations, the LC Collateral Agent.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Secured Parties</w:t>
      </w:r>
      <w:r>
        <w:rPr>
          <w:rFonts w:ascii="Arial" w:cs="Arial" w:eastAsia="Arial" w:hAnsi="Arial"/>
          <w:sz w:val="22"/>
          <w:szCs w:val="22"/>
          <w:color w:val="auto"/>
        </w:rPr>
        <w:t>” means (a) the Notes Secured Parties and (b) the LC Secured Parties.</w:t>
      </w:r>
    </w:p>
    <w:p>
      <w:pPr>
        <w:spacing w:after="0" w:line="233"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Senior Claims</w:t>
      </w:r>
      <w:r>
        <w:rPr>
          <w:rFonts w:ascii="Arial" w:cs="Arial" w:eastAsia="Arial" w:hAnsi="Arial"/>
          <w:sz w:val="21"/>
          <w:szCs w:val="21"/>
          <w:color w:val="auto"/>
        </w:rPr>
        <w:t>” means (a) with respect to the Notes Priority Collateral, the Notes Obligations secured by such Collateral and (b) with respect to the LC Priority Collateral, the LC Obligations secured by such Collateral.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5" w:name="page836"/>
    <w:bookmarkEnd w:id="835"/>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Collateral Agent</w:t>
      </w:r>
      <w:r>
        <w:rPr>
          <w:rFonts w:ascii="Arial" w:cs="Arial" w:eastAsia="Arial" w:hAnsi="Arial"/>
          <w:sz w:val="22"/>
          <w:szCs w:val="22"/>
          <w:color w:val="auto"/>
        </w:rPr>
        <w:t>” means (a) with respect to the LC Priority Collateral, the LC Collateral Agent and (b) with respect to the Notes Priority Collateral, the Notes Collateral Agent.</w:t>
      </w:r>
    </w:p>
    <w:p>
      <w:pPr>
        <w:spacing w:after="0" w:line="22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Representative</w:t>
      </w:r>
      <w:r>
        <w:rPr>
          <w:rFonts w:ascii="Arial" w:cs="Arial" w:eastAsia="Arial" w:hAnsi="Arial"/>
          <w:sz w:val="22"/>
          <w:szCs w:val="22"/>
          <w:color w:val="auto"/>
        </w:rPr>
        <w:t>” means (a) with respect to the LC Priority Collateral, the LC Collateral Agent and (b) with respect to the Notes Priority Collateral, the Notes Collateral Agent.</w:t>
      </w:r>
    </w:p>
    <w:p>
      <w:pPr>
        <w:spacing w:after="0" w:line="17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w:t>
      </w:r>
      <w:r>
        <w:rPr>
          <w:rFonts w:ascii="Arial" w:cs="Arial" w:eastAsia="Arial" w:hAnsi="Arial"/>
          <w:sz w:val="22"/>
          <w:szCs w:val="22"/>
          <w:color w:val="auto"/>
        </w:rPr>
        <w:t>” means (a) with respect to the Notes Obligations (to the extent such Obligations are secured by the LC Priority Collateral), the LC Obligations, and (b) with respect to the LC Obligations (to the extent such Obligations are secured by the Notes Priority Collateral), the Notes Obligations; the LC Obligations shall, collectively, constitute one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 and the Notes Obligations shall constitute a separate “</w:t>
      </w:r>
      <w:r>
        <w:rPr>
          <w:rFonts w:ascii="Arial" w:cs="Arial" w:eastAsia="Arial" w:hAnsi="Arial"/>
          <w:sz w:val="22"/>
          <w:szCs w:val="22"/>
          <w:b w:val="1"/>
          <w:bCs w:val="1"/>
          <w:i w:val="1"/>
          <w:iCs w:val="1"/>
          <w:color w:val="auto"/>
        </w:rPr>
        <w:t>Class</w:t>
      </w:r>
      <w:r>
        <w:rPr>
          <w:rFonts w:ascii="Arial" w:cs="Arial" w:eastAsia="Arial" w:hAnsi="Arial"/>
          <w:sz w:val="22"/>
          <w:szCs w:val="22"/>
          <w:color w:val="auto"/>
        </w:rPr>
        <w:t>” of Senior Secured Obligations.</w:t>
      </w:r>
    </w:p>
    <w:p>
      <w:pPr>
        <w:spacing w:after="0" w:line="19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w:t>
      </w:r>
      <w:r>
        <w:rPr>
          <w:rFonts w:ascii="Arial" w:cs="Arial" w:eastAsia="Arial" w:hAnsi="Arial"/>
          <w:sz w:val="22"/>
          <w:szCs w:val="22"/>
          <w:color w:val="auto"/>
        </w:rPr>
        <w:t>” means, with respect to any Obligations, the Collateral in respect of which such Obligations constitute Senior Claims. For the avoidance of doubt, notwithstanding the Foreign Collateral Agent holding any Liens on Foreign Collateral for the benefit of the Secured Parties, subject to Article VI, Foreign Collateral shall not be treated differently from other Collateral when determining whether such Collateral or its proceeds are Senior Secured Obligations Collateral.</w:t>
      </w:r>
    </w:p>
    <w:p>
      <w:pPr>
        <w:spacing w:after="0" w:line="19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Collateral Documents</w:t>
      </w:r>
      <w:r>
        <w:rPr>
          <w:rFonts w:ascii="Arial" w:cs="Arial" w:eastAsia="Arial" w:hAnsi="Arial"/>
          <w:sz w:val="22"/>
          <w:szCs w:val="22"/>
          <w:color w:val="auto"/>
        </w:rPr>
        <w:t>” means (a) with respect to the LC Obligations, the LC Security Documents and (b) with respect to the Notes Obligations, the Notes Security Documents.</w:t>
      </w:r>
    </w:p>
    <w:p>
      <w:pPr>
        <w:spacing w:after="0" w:line="17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Secured Obligations Secured Parties</w:t>
      </w:r>
      <w:r>
        <w:rPr>
          <w:rFonts w:ascii="Arial" w:cs="Arial" w:eastAsia="Arial" w:hAnsi="Arial"/>
          <w:sz w:val="22"/>
          <w:szCs w:val="22"/>
          <w:color w:val="auto"/>
        </w:rPr>
        <w:t>” means (a) with respect to the LC Priority Collateral, the LC Secured Parties (to the extent that the Obligations owing to such LC Secured Parties are secured by the LC Priority Collateral) and (b) with respect to the Notes Priority Collateral, the Notes Secured Parties (to the extent that the Obligations owing to such Notes Secured Parties are secured by the Notes Priority Collateral).</w:t>
      </w:r>
    </w:p>
    <w:p>
      <w:pPr>
        <w:spacing w:after="0" w:line="19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w:t>
      </w:r>
    </w:p>
    <w:p>
      <w:pPr>
        <w:spacing w:after="0" w:line="18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taxes, levies, imposts, duties, fees, assessments or other charges of whatever nature now or hereafter imposed by any taxing authority, and all interest, penalties or similar liabilities with respect thereto.</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b w:val="1"/>
          <w:bCs w:val="1"/>
          <w:i w:val="1"/>
          <w:iCs w:val="1"/>
          <w:color w:val="auto"/>
        </w:rPr>
        <w:t>Luxembourg Terms</w:t>
      </w:r>
      <w:r>
        <w:rPr>
          <w:rFonts w:ascii="Arial" w:cs="Arial" w:eastAsia="Arial" w:hAnsi="Arial"/>
          <w:sz w:val="22"/>
          <w:szCs w:val="22"/>
          <w:color w:val="auto"/>
        </w:rPr>
        <w:t>. In this Agreement, in respect of any Luxembourg Obligor or any other entity which is organized under the laws of the Grand-Duchy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6" w:name="page837"/>
    <w:bookmarkEnd w:id="836"/>
    <w:p>
      <w:pPr>
        <w:spacing w:after="0"/>
        <w:rPr>
          <w:sz w:val="20"/>
          <w:szCs w:val="20"/>
          <w:color w:val="auto"/>
        </w:rPr>
      </w:pPr>
      <w:r>
        <w:rPr>
          <w:rFonts w:ascii="Arial" w:cs="Arial" w:eastAsia="Arial" w:hAnsi="Arial"/>
          <w:sz w:val="19"/>
          <w:szCs w:val="19"/>
          <w:color w:val="auto"/>
        </w:rPr>
        <w:t>of Luxembourg or has its “centre of main interests” (as that term is used in Article 3(1) of the European Insolvency Regulation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Luxembourg, a reference to:</w:t>
      </w:r>
    </w:p>
    <w:p>
      <w:pPr>
        <w:spacing w:after="0" w:line="283" w:lineRule="exact"/>
        <w:rPr>
          <w:sz w:val="20"/>
          <w:szCs w:val="20"/>
          <w:color w:val="auto"/>
        </w:rPr>
      </w:pPr>
    </w:p>
    <w:p>
      <w:pPr>
        <w:ind w:firstLine="1304"/>
        <w:spacing w:after="0" w:line="276" w:lineRule="auto"/>
        <w:tabs>
          <w:tab w:leader="none" w:pos="2359" w:val="left"/>
        </w:tabs>
        <w:numPr>
          <w:ilvl w:val="0"/>
          <w:numId w:val="930"/>
        </w:numPr>
        <w:rPr>
          <w:rFonts w:ascii="Arial" w:cs="Arial" w:eastAsia="Arial" w:hAnsi="Arial"/>
          <w:sz w:val="22"/>
          <w:szCs w:val="22"/>
          <w:color w:val="auto"/>
        </w:rPr>
      </w:pPr>
      <w:r>
        <w:rPr>
          <w:rFonts w:ascii="Arial" w:cs="Arial" w:eastAsia="Arial" w:hAnsi="Arial"/>
          <w:sz w:val="22"/>
          <w:szCs w:val="22"/>
          <w:color w:val="auto"/>
        </w:rPr>
        <w:t>a “liquidator”, “trustee”, “custodian”, “compulsory manager”, “receiver”, “administrative receiver”, “administrator” or “similar officer” includes any:</w:t>
      </w:r>
    </w:p>
    <w:p>
      <w:pPr>
        <w:spacing w:after="0" w:line="174" w:lineRule="exact"/>
        <w:rPr>
          <w:rFonts w:ascii="Arial" w:cs="Arial" w:eastAsia="Arial" w:hAnsi="Arial"/>
          <w:sz w:val="22"/>
          <w:szCs w:val="22"/>
          <w:color w:val="auto"/>
        </w:rPr>
      </w:pPr>
    </w:p>
    <w:p>
      <w:pPr>
        <w:ind w:left="2700" w:hanging="748"/>
        <w:spacing w:after="0"/>
        <w:tabs>
          <w:tab w:leader="none" w:pos="2700" w:val="left"/>
        </w:tabs>
        <w:numPr>
          <w:ilvl w:val="1"/>
          <w:numId w:val="930"/>
        </w:numPr>
        <w:rPr>
          <w:rFonts w:ascii="Arial" w:cs="Arial" w:eastAsia="Arial" w:hAnsi="Arial"/>
          <w:sz w:val="19"/>
          <w:szCs w:val="19"/>
          <w:color w:val="auto"/>
        </w:rPr>
      </w:pPr>
      <w:r>
        <w:rPr>
          <w:rFonts w:ascii="Arial" w:cs="Arial" w:eastAsia="Arial" w:hAnsi="Arial"/>
          <w:sz w:val="19"/>
          <w:szCs w:val="19"/>
          <w:i w:val="1"/>
          <w:iCs w:val="1"/>
          <w:color w:val="auto"/>
        </w:rPr>
        <w:t xml:space="preserve">juge-commissaire </w:t>
      </w:r>
      <w:r>
        <w:rPr>
          <w:rFonts w:ascii="Arial" w:cs="Arial" w:eastAsia="Arial" w:hAnsi="Arial"/>
          <w:sz w:val="19"/>
          <w:szCs w:val="19"/>
          <w:color w:val="auto"/>
        </w:rPr>
        <w:t>or insolvency receiver (</w:t>
      </w:r>
      <w:r>
        <w:rPr>
          <w:rFonts w:ascii="Arial" w:cs="Arial" w:eastAsia="Arial" w:hAnsi="Arial"/>
          <w:sz w:val="19"/>
          <w:szCs w:val="19"/>
          <w:i w:val="1"/>
          <w:iCs w:val="1"/>
          <w:color w:val="auto"/>
        </w:rPr>
        <w:t>curateur</w:t>
      </w:r>
      <w:r>
        <w:rPr>
          <w:rFonts w:ascii="Arial" w:cs="Arial" w:eastAsia="Arial" w:hAnsi="Arial"/>
          <w:sz w:val="19"/>
          <w:szCs w:val="19"/>
          <w:color w:val="auto"/>
        </w:rPr>
        <w:t>) appointed under the Luxembourg Commercial</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28" w:lineRule="exact"/>
        <w:rPr>
          <w:rFonts w:ascii="Arial" w:cs="Arial" w:eastAsia="Arial" w:hAnsi="Arial"/>
          <w:sz w:val="19"/>
          <w:szCs w:val="19"/>
          <w:color w:val="auto"/>
        </w:rPr>
      </w:pPr>
    </w:p>
    <w:p>
      <w:pPr>
        <w:ind w:left="1300" w:firstLine="652"/>
        <w:spacing w:after="0" w:line="276" w:lineRule="auto"/>
        <w:tabs>
          <w:tab w:leader="none" w:pos="2819" w:val="left"/>
        </w:tabs>
        <w:numPr>
          <w:ilvl w:val="1"/>
          <w:numId w:val="930"/>
        </w:numPr>
        <w:rPr>
          <w:rFonts w:ascii="Arial" w:cs="Arial" w:eastAsia="Arial" w:hAnsi="Arial"/>
          <w:sz w:val="22"/>
          <w:szCs w:val="22"/>
          <w:color w:val="auto"/>
        </w:rPr>
      </w:pPr>
      <w:r>
        <w:rPr>
          <w:rFonts w:ascii="Arial" w:cs="Arial" w:eastAsia="Arial" w:hAnsi="Arial"/>
          <w:sz w:val="22"/>
          <w:szCs w:val="22"/>
          <w:i w:val="1"/>
          <w:iCs w:val="1"/>
          <w:color w:val="auto"/>
        </w:rPr>
        <w:t xml:space="preserve">liquidateur </w:t>
      </w:r>
      <w:r>
        <w:rPr>
          <w:rFonts w:ascii="Arial" w:cs="Arial" w:eastAsia="Arial" w:hAnsi="Arial"/>
          <w:sz w:val="22"/>
          <w:szCs w:val="22"/>
          <w:color w:val="auto"/>
        </w:rPr>
        <w:t>appointed under Articles 1100-1 to 1100-15 (inclusive) of the Luxembourg act dated</w:t>
      </w:r>
      <w:r>
        <w:rPr>
          <w:rFonts w:ascii="Arial" w:cs="Arial" w:eastAsia="Arial" w:hAnsi="Arial"/>
          <w:sz w:val="22"/>
          <w:szCs w:val="22"/>
          <w:i w:val="1"/>
          <w:iCs w:val="1"/>
          <w:color w:val="auto"/>
        </w:rPr>
        <w:t xml:space="preserve"> </w:t>
      </w:r>
      <w:r>
        <w:rPr>
          <w:rFonts w:ascii="Arial" w:cs="Arial" w:eastAsia="Arial" w:hAnsi="Arial"/>
          <w:sz w:val="22"/>
          <w:szCs w:val="22"/>
          <w:color w:val="auto"/>
        </w:rPr>
        <w:t>10 August 1915 on commercial companies, as amended;</w:t>
      </w:r>
    </w:p>
    <w:p>
      <w:pPr>
        <w:spacing w:after="0" w:line="174" w:lineRule="exact"/>
        <w:rPr>
          <w:rFonts w:ascii="Arial" w:cs="Arial" w:eastAsia="Arial" w:hAnsi="Arial"/>
          <w:sz w:val="22"/>
          <w:szCs w:val="22"/>
          <w:color w:val="auto"/>
        </w:rPr>
      </w:pPr>
    </w:p>
    <w:p>
      <w:pPr>
        <w:ind w:left="1300" w:firstLine="652"/>
        <w:spacing w:after="0" w:line="276" w:lineRule="auto"/>
        <w:tabs>
          <w:tab w:leader="none" w:pos="2839" w:val="left"/>
        </w:tabs>
        <w:numPr>
          <w:ilvl w:val="1"/>
          <w:numId w:val="930"/>
        </w:numPr>
        <w:rPr>
          <w:rFonts w:ascii="Arial" w:cs="Arial" w:eastAsia="Arial" w:hAnsi="Arial"/>
          <w:sz w:val="22"/>
          <w:szCs w:val="22"/>
          <w:color w:val="auto"/>
        </w:rPr>
      </w:pPr>
      <w:r>
        <w:rPr>
          <w:rFonts w:ascii="Arial" w:cs="Arial" w:eastAsia="Arial" w:hAnsi="Arial"/>
          <w:sz w:val="22"/>
          <w:szCs w:val="22"/>
          <w:i w:val="1"/>
          <w:iCs w:val="1"/>
          <w:color w:val="auto"/>
        </w:rPr>
        <w:t xml:space="preserve">juge-commissaire </w:t>
      </w:r>
      <w:r>
        <w:rPr>
          <w:rFonts w:ascii="Arial" w:cs="Arial" w:eastAsia="Arial" w:hAnsi="Arial"/>
          <w:sz w:val="22"/>
          <w:szCs w:val="22"/>
          <w:color w:val="auto"/>
        </w:rPr>
        <w:t>or</w:t>
      </w:r>
      <w:r>
        <w:rPr>
          <w:rFonts w:ascii="Arial" w:cs="Arial" w:eastAsia="Arial" w:hAnsi="Arial"/>
          <w:sz w:val="22"/>
          <w:szCs w:val="22"/>
          <w:i w:val="1"/>
          <w:iCs w:val="1"/>
          <w:color w:val="auto"/>
        </w:rPr>
        <w:t xml:space="preserve"> liquidateur </w:t>
      </w:r>
      <w:r>
        <w:rPr>
          <w:rFonts w:ascii="Arial" w:cs="Arial" w:eastAsia="Arial" w:hAnsi="Arial"/>
          <w:sz w:val="22"/>
          <w:szCs w:val="22"/>
          <w:color w:val="auto"/>
        </w:rPr>
        <w:t>appointed under Article 1200-1 of the Luxembourg act dated 10</w:t>
      </w:r>
      <w:r>
        <w:rPr>
          <w:rFonts w:ascii="Arial" w:cs="Arial" w:eastAsia="Arial" w:hAnsi="Arial"/>
          <w:sz w:val="22"/>
          <w:szCs w:val="22"/>
          <w:i w:val="1"/>
          <w:iCs w:val="1"/>
          <w:color w:val="auto"/>
        </w:rPr>
        <w:t xml:space="preserve"> </w:t>
      </w:r>
      <w:r>
        <w:rPr>
          <w:rFonts w:ascii="Arial" w:cs="Arial" w:eastAsia="Arial" w:hAnsi="Arial"/>
          <w:sz w:val="22"/>
          <w:szCs w:val="22"/>
          <w:color w:val="auto"/>
        </w:rPr>
        <w:t>August 1915 on commercial companies, as amended;</w:t>
      </w:r>
    </w:p>
    <w:p>
      <w:pPr>
        <w:spacing w:after="0" w:line="174" w:lineRule="exact"/>
        <w:rPr>
          <w:rFonts w:ascii="Arial" w:cs="Arial" w:eastAsia="Arial" w:hAnsi="Arial"/>
          <w:sz w:val="22"/>
          <w:szCs w:val="22"/>
          <w:color w:val="auto"/>
        </w:rPr>
      </w:pPr>
    </w:p>
    <w:p>
      <w:pPr>
        <w:ind w:left="1300" w:firstLine="652"/>
        <w:spacing w:after="0" w:line="358" w:lineRule="auto"/>
        <w:tabs>
          <w:tab w:leader="none" w:pos="3164" w:val="left"/>
        </w:tabs>
        <w:numPr>
          <w:ilvl w:val="1"/>
          <w:numId w:val="930"/>
        </w:numPr>
        <w:rPr>
          <w:rFonts w:ascii="Arial" w:cs="Arial" w:eastAsia="Arial" w:hAnsi="Arial"/>
          <w:sz w:val="19"/>
          <w:szCs w:val="19"/>
          <w:color w:val="auto"/>
        </w:rPr>
      </w:pPr>
      <w:r>
        <w:rPr>
          <w:rFonts w:ascii="Arial" w:cs="Arial" w:eastAsia="Arial" w:hAnsi="Arial"/>
          <w:sz w:val="19"/>
          <w:szCs w:val="19"/>
          <w:i w:val="1"/>
          <w:iCs w:val="1"/>
          <w:color w:val="auto"/>
        </w:rPr>
        <w:t xml:space="preserve">commissaire </w:t>
      </w:r>
      <w:r>
        <w:rPr>
          <w:rFonts w:ascii="Arial" w:cs="Arial" w:eastAsia="Arial" w:hAnsi="Arial"/>
          <w:sz w:val="19"/>
          <w:szCs w:val="19"/>
          <w:color w:val="auto"/>
        </w:rPr>
        <w:t>appointed under the Grand-Ducal decree of 24 May 1935 on the controlled</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regime or under Articles 593 to 614 (inclusive) of the Luxembourg Commercial Code; and</w:t>
      </w:r>
    </w:p>
    <w:p>
      <w:pPr>
        <w:spacing w:after="0" w:line="104" w:lineRule="exact"/>
        <w:rPr>
          <w:rFonts w:ascii="Arial" w:cs="Arial" w:eastAsia="Arial" w:hAnsi="Arial"/>
          <w:sz w:val="19"/>
          <w:szCs w:val="19"/>
          <w:color w:val="auto"/>
        </w:rPr>
      </w:pPr>
    </w:p>
    <w:p>
      <w:pPr>
        <w:ind w:left="1300" w:firstLine="652"/>
        <w:spacing w:after="0" w:line="276" w:lineRule="auto"/>
        <w:tabs>
          <w:tab w:leader="none" w:pos="2807" w:val="left"/>
        </w:tabs>
        <w:numPr>
          <w:ilvl w:val="1"/>
          <w:numId w:val="930"/>
        </w:numPr>
        <w:rPr>
          <w:rFonts w:ascii="Arial" w:cs="Arial" w:eastAsia="Arial" w:hAnsi="Arial"/>
          <w:sz w:val="22"/>
          <w:szCs w:val="22"/>
          <w:color w:val="auto"/>
        </w:rPr>
      </w:pPr>
      <w:r>
        <w:rPr>
          <w:rFonts w:ascii="Arial" w:cs="Arial" w:eastAsia="Arial" w:hAnsi="Arial"/>
          <w:sz w:val="22"/>
          <w:szCs w:val="22"/>
          <w:i w:val="1"/>
          <w:iCs w:val="1"/>
          <w:color w:val="auto"/>
        </w:rPr>
        <w:t xml:space="preserve">juge délégué </w:t>
      </w:r>
      <w:r>
        <w:rPr>
          <w:rFonts w:ascii="Arial" w:cs="Arial" w:eastAsia="Arial" w:hAnsi="Arial"/>
          <w:sz w:val="22"/>
          <w:szCs w:val="22"/>
          <w:color w:val="auto"/>
        </w:rPr>
        <w:t>appointed under the Luxembourg act of 14 April 1886 on the composition to avoid</w:t>
      </w:r>
      <w:r>
        <w:rPr>
          <w:rFonts w:ascii="Arial" w:cs="Arial" w:eastAsia="Arial" w:hAnsi="Arial"/>
          <w:sz w:val="22"/>
          <w:szCs w:val="22"/>
          <w:i w:val="1"/>
          <w:iCs w:val="1"/>
          <w:color w:val="auto"/>
        </w:rPr>
        <w:t xml:space="preserve"> </w:t>
      </w:r>
      <w:r>
        <w:rPr>
          <w:rFonts w:ascii="Arial" w:cs="Arial" w:eastAsia="Arial" w:hAnsi="Arial"/>
          <w:sz w:val="22"/>
          <w:szCs w:val="22"/>
          <w:color w:val="auto"/>
        </w:rPr>
        <w:t>bankruptcy, as amended; and</w:t>
      </w:r>
    </w:p>
    <w:p>
      <w:pPr>
        <w:spacing w:after="0" w:line="174" w:lineRule="exact"/>
        <w:rPr>
          <w:rFonts w:ascii="Arial" w:cs="Arial" w:eastAsia="Arial" w:hAnsi="Arial"/>
          <w:sz w:val="22"/>
          <w:szCs w:val="22"/>
          <w:color w:val="auto"/>
        </w:rPr>
      </w:pPr>
    </w:p>
    <w:p>
      <w:pPr>
        <w:jc w:val="both"/>
        <w:ind w:firstLine="1304"/>
        <w:spacing w:after="0" w:line="266" w:lineRule="auto"/>
        <w:tabs>
          <w:tab w:leader="none" w:pos="2115" w:val="left"/>
        </w:tabs>
        <w:numPr>
          <w:ilvl w:val="0"/>
          <w:numId w:val="930"/>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i w:val="1"/>
          <w:iCs w:val="1"/>
          <w:color w:val="auto"/>
        </w:rPr>
        <w:t>winding-up</w:t>
      </w:r>
      <w:r>
        <w:rPr>
          <w:rFonts w:ascii="Arial" w:cs="Arial" w:eastAsia="Arial" w:hAnsi="Arial"/>
          <w:sz w:val="22"/>
          <w:szCs w:val="22"/>
          <w:color w:val="auto"/>
        </w:rPr>
        <w:t>”, “</w:t>
      </w:r>
      <w:r>
        <w:rPr>
          <w:rFonts w:ascii="Arial" w:cs="Arial" w:eastAsia="Arial" w:hAnsi="Arial"/>
          <w:sz w:val="22"/>
          <w:szCs w:val="22"/>
          <w:i w:val="1"/>
          <w:iCs w:val="1"/>
          <w:color w:val="auto"/>
        </w:rPr>
        <w:t>administration</w:t>
      </w:r>
      <w:r>
        <w:rPr>
          <w:rFonts w:ascii="Arial" w:cs="Arial" w:eastAsia="Arial" w:hAnsi="Arial"/>
          <w:sz w:val="22"/>
          <w:szCs w:val="22"/>
          <w:color w:val="auto"/>
        </w:rPr>
        <w:t>”, “</w:t>
      </w:r>
      <w:r>
        <w:rPr>
          <w:rFonts w:ascii="Arial" w:cs="Arial" w:eastAsia="Arial" w:hAnsi="Arial"/>
          <w:sz w:val="22"/>
          <w:szCs w:val="22"/>
          <w:i w:val="1"/>
          <w:iCs w:val="1"/>
          <w:color w:val="auto"/>
        </w:rPr>
        <w:t>liquidation</w:t>
      </w:r>
      <w:r>
        <w:rPr>
          <w:rFonts w:ascii="Arial" w:cs="Arial" w:eastAsia="Arial" w:hAnsi="Arial"/>
          <w:sz w:val="22"/>
          <w:szCs w:val="22"/>
          <w:color w:val="auto"/>
        </w:rPr>
        <w:t>” or “</w:t>
      </w:r>
      <w:r>
        <w:rPr>
          <w:rFonts w:ascii="Arial" w:cs="Arial" w:eastAsia="Arial" w:hAnsi="Arial"/>
          <w:sz w:val="22"/>
          <w:szCs w:val="22"/>
          <w:i w:val="1"/>
          <w:iCs w:val="1"/>
          <w:color w:val="auto"/>
        </w:rPr>
        <w:t>dissolution</w:t>
      </w:r>
      <w:r>
        <w:rPr>
          <w:rFonts w:ascii="Arial" w:cs="Arial" w:eastAsia="Arial" w:hAnsi="Arial"/>
          <w:sz w:val="22"/>
          <w:szCs w:val="22"/>
          <w:color w:val="auto"/>
        </w:rPr>
        <w:t>” includes, without limitation, bankruptcy (</w:t>
      </w:r>
      <w:r>
        <w:rPr>
          <w:rFonts w:ascii="Arial" w:cs="Arial" w:eastAsia="Arial" w:hAnsi="Arial"/>
          <w:sz w:val="22"/>
          <w:szCs w:val="22"/>
          <w:i w:val="1"/>
          <w:iCs w:val="1"/>
          <w:color w:val="auto"/>
        </w:rPr>
        <w:t>faillite</w:t>
      </w:r>
      <w:r>
        <w:rPr>
          <w:rFonts w:ascii="Arial" w:cs="Arial" w:eastAsia="Arial" w:hAnsi="Arial"/>
          <w:sz w:val="22"/>
          <w:szCs w:val="22"/>
          <w:color w:val="auto"/>
        </w:rPr>
        <w:t>), liquidation, composition with creditors (</w:t>
      </w:r>
      <w:r>
        <w:rPr>
          <w:rFonts w:ascii="Arial" w:cs="Arial" w:eastAsia="Arial" w:hAnsi="Arial"/>
          <w:sz w:val="22"/>
          <w:szCs w:val="22"/>
          <w:i w:val="1"/>
          <w:iCs w:val="1"/>
          <w:color w:val="auto"/>
        </w:rPr>
        <w:t>concordat préventif de faillite</w:t>
      </w:r>
      <w:r>
        <w:rPr>
          <w:rFonts w:ascii="Arial" w:cs="Arial" w:eastAsia="Arial" w:hAnsi="Arial"/>
          <w:sz w:val="22"/>
          <w:szCs w:val="22"/>
          <w:color w:val="auto"/>
        </w:rPr>
        <w:t>), moratorium or reprieve from payment (</w:t>
      </w:r>
      <w:r>
        <w:rPr>
          <w:rFonts w:ascii="Arial" w:cs="Arial" w:eastAsia="Arial" w:hAnsi="Arial"/>
          <w:sz w:val="22"/>
          <w:szCs w:val="22"/>
          <w:i w:val="1"/>
          <w:iCs w:val="1"/>
          <w:color w:val="auto"/>
        </w:rPr>
        <w:t>sursis de</w:t>
      </w:r>
      <w:r>
        <w:rPr>
          <w:rFonts w:ascii="Arial" w:cs="Arial" w:eastAsia="Arial" w:hAnsi="Arial"/>
          <w:sz w:val="22"/>
          <w:szCs w:val="22"/>
          <w:color w:val="auto"/>
        </w:rPr>
        <w:t xml:space="preserve"> </w:t>
      </w:r>
      <w:r>
        <w:rPr>
          <w:rFonts w:ascii="Arial" w:cs="Arial" w:eastAsia="Arial" w:hAnsi="Arial"/>
          <w:sz w:val="22"/>
          <w:szCs w:val="22"/>
          <w:i w:val="1"/>
          <w:iCs w:val="1"/>
          <w:color w:val="auto"/>
        </w:rPr>
        <w:t>paiement</w:t>
      </w:r>
      <w:r>
        <w:rPr>
          <w:rFonts w:ascii="Arial" w:cs="Arial" w:eastAsia="Arial" w:hAnsi="Arial"/>
          <w:sz w:val="22"/>
          <w:szCs w:val="22"/>
          <w:color w:val="auto"/>
        </w:rPr>
        <w:t>) and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2080" w:hanging="776"/>
        <w:spacing w:after="0"/>
        <w:tabs>
          <w:tab w:leader="none" w:pos="2080" w:val="left"/>
        </w:tabs>
        <w:numPr>
          <w:ilvl w:val="0"/>
          <w:numId w:val="930"/>
        </w:numPr>
        <w:rPr>
          <w:rFonts w:ascii="Arial" w:cs="Arial" w:eastAsia="Arial" w:hAnsi="Arial"/>
          <w:sz w:val="21"/>
          <w:szCs w:val="21"/>
          <w:color w:val="auto"/>
        </w:rPr>
      </w:pPr>
      <w:r>
        <w:rPr>
          <w:rFonts w:ascii="Arial" w:cs="Arial" w:eastAsia="Arial" w:hAnsi="Arial"/>
          <w:sz w:val="21"/>
          <w:szCs w:val="21"/>
          <w:color w:val="auto"/>
        </w:rPr>
        <w:t>an officer, a manager or a director includes a manager (</w:t>
      </w:r>
      <w:r>
        <w:rPr>
          <w:rFonts w:ascii="Arial" w:cs="Arial" w:eastAsia="Arial" w:hAnsi="Arial"/>
          <w:sz w:val="21"/>
          <w:szCs w:val="21"/>
          <w:i w:val="1"/>
          <w:iCs w:val="1"/>
          <w:color w:val="auto"/>
        </w:rPr>
        <w:t>gérant</w:t>
      </w:r>
      <w:r>
        <w:rPr>
          <w:rFonts w:ascii="Arial" w:cs="Arial" w:eastAsia="Arial" w:hAnsi="Arial"/>
          <w:sz w:val="21"/>
          <w:szCs w:val="21"/>
          <w:color w:val="auto"/>
        </w:rPr>
        <w:t>) and a director (</w:t>
      </w:r>
      <w:r>
        <w:rPr>
          <w:rFonts w:ascii="Arial" w:cs="Arial" w:eastAsia="Arial" w:hAnsi="Arial"/>
          <w:sz w:val="21"/>
          <w:szCs w:val="21"/>
          <w:i w:val="1"/>
          <w:iCs w:val="1"/>
          <w:color w:val="auto"/>
        </w:rPr>
        <w:t>administrateur</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5080"/>
        <w:spacing w:after="0"/>
        <w:rPr>
          <w:rFonts w:ascii="Arial" w:cs="Arial" w:eastAsia="Arial" w:hAnsi="Arial"/>
          <w:sz w:val="21"/>
          <w:szCs w:val="21"/>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Priorities and Agreements with Respect to Collateral</w:t>
      </w:r>
    </w:p>
    <w:p>
      <w:pPr>
        <w:spacing w:after="0" w:line="239"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b w:val="1"/>
          <w:bCs w:val="1"/>
          <w:i w:val="1"/>
          <w:iCs w:val="1"/>
          <w:color w:val="auto"/>
        </w:rPr>
        <w:t>Priority of Claims</w:t>
      </w:r>
      <w:r>
        <w:rPr>
          <w:rFonts w:ascii="Arial" w:cs="Arial" w:eastAsia="Arial" w:hAnsi="Arial"/>
          <w:sz w:val="19"/>
          <w:szCs w:val="19"/>
          <w:color w:val="auto"/>
        </w:rPr>
        <w:t>. (a) Anything contained herein or in any of the Notes Documents or the LC Documents to the contrary notwithstanding, if an Event of Default has occurred and is continuing, and any Collateral Agent is taking action to enforce rights in respect of any Collateral (whether in an Insolvency or Liquidation Proceeding or otherwise), or any distribution is made in respect of any Collateral in any Insolvency or Liquidation Proceeding with respect to any Grantor, the Proceeds (subject, in the case of any such distribution, to Section 2.06 hereof) (all proceeds of any sale, collection or other liquidation of any Collateral and all proceeds of any such distribution, including adequate protection or similar payments under any Debtor Relief Law, being collectively referred to as “</w:t>
      </w:r>
      <w:r>
        <w:rPr>
          <w:rFonts w:ascii="Arial" w:cs="Arial" w:eastAsia="Arial" w:hAnsi="Arial"/>
          <w:sz w:val="19"/>
          <w:szCs w:val="19"/>
          <w:b w:val="1"/>
          <w:bCs w:val="1"/>
          <w:i w:val="1"/>
          <w:iCs w:val="1"/>
          <w:color w:val="auto"/>
        </w:rPr>
        <w:t>Proceeds</w:t>
      </w:r>
      <w:r>
        <w:rPr>
          <w:rFonts w:ascii="Arial" w:cs="Arial" w:eastAsia="Arial" w:hAnsi="Arial"/>
          <w:sz w:val="19"/>
          <w:szCs w:val="19"/>
          <w:color w:val="auto"/>
        </w:rPr>
        <w:t>”) shall be applied as follows:</w:t>
      </w:r>
    </w:p>
    <w:p>
      <w:pPr>
        <w:spacing w:after="0" w:line="156" w:lineRule="exact"/>
        <w:rPr>
          <w:sz w:val="20"/>
          <w:szCs w:val="20"/>
          <w:color w:val="auto"/>
        </w:rPr>
      </w:pPr>
    </w:p>
    <w:p>
      <w:pPr>
        <w:ind w:left="5520" w:right="5380" w:hanging="3568"/>
        <w:spacing w:after="0" w:line="580" w:lineRule="auto"/>
        <w:tabs>
          <w:tab w:leader="none" w:pos="2700" w:val="left"/>
        </w:tabs>
        <w:numPr>
          <w:ilvl w:val="0"/>
          <w:numId w:val="931"/>
        </w:numPr>
        <w:rPr>
          <w:rFonts w:ascii="Arial" w:cs="Arial" w:eastAsia="Arial" w:hAnsi="Arial"/>
          <w:sz w:val="19"/>
          <w:szCs w:val="19"/>
          <w:color w:val="auto"/>
        </w:rPr>
      </w:pPr>
      <w:r>
        <w:rPr>
          <w:rFonts w:ascii="Arial" w:cs="Arial" w:eastAsia="Arial" w:hAnsi="Arial"/>
          <w:sz w:val="19"/>
          <w:szCs w:val="19"/>
          <w:color w:val="auto"/>
        </w:rPr>
        <w:t>In the case of LC Priority Collateral,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7" w:name="page838"/>
    <w:bookmarkEnd w:id="837"/>
    <w:p>
      <w:pPr>
        <w:jc w:val="both"/>
        <w:ind w:left="2600"/>
        <w:spacing w:after="0" w:line="266" w:lineRule="auto"/>
        <w:rPr>
          <w:sz w:val="20"/>
          <w:szCs w:val="20"/>
          <w:color w:val="auto"/>
        </w:rPr>
      </w:pPr>
      <w:r>
        <w:rPr>
          <w:rFonts w:ascii="Arial" w:cs="Arial" w:eastAsia="Arial" w:hAnsi="Arial"/>
          <w:sz w:val="22"/>
          <w:szCs w:val="22"/>
          <w:color w:val="auto"/>
        </w:rPr>
        <w:t>FIRST, to the payment in full of the LC Obligations (including the cash collateralization thereof) in accordance with Section 9.04 of the LC Credit Agreement and the other applicable provisions of the LC Documents, and</w:t>
      </w:r>
    </w:p>
    <w:p>
      <w:pPr>
        <w:spacing w:after="0" w:line="239" w:lineRule="exact"/>
        <w:rPr>
          <w:sz w:val="20"/>
          <w:szCs w:val="20"/>
          <w:color w:val="auto"/>
        </w:rPr>
      </w:pPr>
    </w:p>
    <w:p>
      <w:pPr>
        <w:jc w:val="both"/>
        <w:ind w:left="2600"/>
        <w:spacing w:after="0" w:line="276" w:lineRule="auto"/>
        <w:rPr>
          <w:sz w:val="20"/>
          <w:szCs w:val="20"/>
          <w:color w:val="auto"/>
        </w:rPr>
      </w:pPr>
      <w:r>
        <w:rPr>
          <w:rFonts w:ascii="Arial" w:cs="Arial" w:eastAsia="Arial" w:hAnsi="Arial"/>
          <w:sz w:val="22"/>
          <w:szCs w:val="22"/>
          <w:color w:val="auto"/>
        </w:rPr>
        <w:t>SECOND, to the payment in full of the Notes Obligations in accordance with Section 506 of the Notes Indenture and the other applicable provisions of the Notes Documents.</w:t>
      </w:r>
    </w:p>
    <w:p>
      <w:pPr>
        <w:spacing w:after="0" w:line="174"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If any Notes Obligations remain outstanding after the Discharge of the LC Obligations, all proceeds of the LC Priority Collateral will be applied to the repayment of any outstanding Notes Obligations.</w:t>
      </w:r>
    </w:p>
    <w:p>
      <w:pPr>
        <w:spacing w:after="0" w:line="174" w:lineRule="exact"/>
        <w:rPr>
          <w:sz w:val="20"/>
          <w:szCs w:val="20"/>
          <w:color w:val="auto"/>
        </w:rPr>
      </w:pPr>
    </w:p>
    <w:p>
      <w:pPr>
        <w:ind w:left="2760" w:hanging="808"/>
        <w:spacing w:after="0"/>
        <w:tabs>
          <w:tab w:leader="none" w:pos="2760" w:val="left"/>
        </w:tabs>
        <w:numPr>
          <w:ilvl w:val="0"/>
          <w:numId w:val="932"/>
        </w:numPr>
        <w:rPr>
          <w:rFonts w:ascii="Arial" w:cs="Arial" w:eastAsia="Arial" w:hAnsi="Arial"/>
          <w:sz w:val="22"/>
          <w:szCs w:val="22"/>
          <w:color w:val="auto"/>
        </w:rPr>
      </w:pPr>
      <w:r>
        <w:rPr>
          <w:rFonts w:ascii="Arial" w:cs="Arial" w:eastAsia="Arial" w:hAnsi="Arial"/>
          <w:sz w:val="22"/>
          <w:szCs w:val="22"/>
          <w:color w:val="auto"/>
        </w:rPr>
        <w:t>In the case of Notes Priority Collateral,</w:t>
      </w:r>
    </w:p>
    <w:p>
      <w:pPr>
        <w:spacing w:after="0" w:line="233" w:lineRule="exact"/>
        <w:rPr>
          <w:sz w:val="20"/>
          <w:szCs w:val="20"/>
          <w:color w:val="auto"/>
        </w:rPr>
      </w:pPr>
    </w:p>
    <w:p>
      <w:pPr>
        <w:jc w:val="both"/>
        <w:ind w:left="2600" w:right="20"/>
        <w:spacing w:after="0" w:line="276" w:lineRule="auto"/>
        <w:rPr>
          <w:sz w:val="20"/>
          <w:szCs w:val="20"/>
          <w:color w:val="auto"/>
        </w:rPr>
      </w:pPr>
      <w:r>
        <w:rPr>
          <w:rFonts w:ascii="Arial" w:cs="Arial" w:eastAsia="Arial" w:hAnsi="Arial"/>
          <w:sz w:val="22"/>
          <w:szCs w:val="22"/>
          <w:color w:val="auto"/>
        </w:rPr>
        <w:t>FIRST, to the payment in full of the Notes Obligations in accordance with Section 506 of the Notes Indenture and the other applicable provisions of the Notes Documents, and</w:t>
      </w:r>
    </w:p>
    <w:p>
      <w:pPr>
        <w:spacing w:after="0" w:line="174" w:lineRule="exact"/>
        <w:rPr>
          <w:sz w:val="20"/>
          <w:szCs w:val="20"/>
          <w:color w:val="auto"/>
        </w:rPr>
      </w:pPr>
    </w:p>
    <w:p>
      <w:pPr>
        <w:jc w:val="both"/>
        <w:ind w:left="2600"/>
        <w:spacing w:after="0" w:line="266" w:lineRule="auto"/>
        <w:rPr>
          <w:sz w:val="20"/>
          <w:szCs w:val="20"/>
          <w:color w:val="auto"/>
        </w:rPr>
      </w:pPr>
      <w:r>
        <w:rPr>
          <w:rFonts w:ascii="Arial" w:cs="Arial" w:eastAsia="Arial" w:hAnsi="Arial"/>
          <w:sz w:val="22"/>
          <w:szCs w:val="22"/>
          <w:color w:val="auto"/>
        </w:rPr>
        <w:t>SECOND, to the payment in full of the LC Obligations (including the cash collateralization thereof) in accordance with Section 9.04 of the LC Credit Agreement and the other applicable provisions of the LC Documents.</w:t>
      </w:r>
    </w:p>
    <w:p>
      <w:pPr>
        <w:spacing w:after="0" w:line="18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If any LC Obligations remain outstanding after the Discharge of the Notes Obligations, all proceeds of the Notes Priority Collateral will be applied to the repayment (including the cash collateralization thereof) of any outstanding LC Obligations.</w:t>
      </w:r>
    </w:p>
    <w:p>
      <w:pPr>
        <w:spacing w:after="0" w:line="185" w:lineRule="exact"/>
        <w:rPr>
          <w:sz w:val="20"/>
          <w:szCs w:val="20"/>
          <w:color w:val="auto"/>
        </w:rPr>
      </w:pPr>
    </w:p>
    <w:p>
      <w:pPr>
        <w:jc w:val="both"/>
        <w:ind w:firstLine="1304"/>
        <w:spacing w:after="0" w:line="271" w:lineRule="auto"/>
        <w:tabs>
          <w:tab w:leader="none" w:pos="2182" w:val="left"/>
        </w:tabs>
        <w:numPr>
          <w:ilvl w:val="0"/>
          <w:numId w:val="933"/>
        </w:numPr>
        <w:rPr>
          <w:rFonts w:ascii="Arial" w:cs="Arial" w:eastAsia="Arial" w:hAnsi="Arial"/>
          <w:sz w:val="21"/>
          <w:szCs w:val="21"/>
          <w:color w:val="auto"/>
        </w:rPr>
      </w:pPr>
      <w:r>
        <w:rPr>
          <w:rFonts w:ascii="Arial" w:cs="Arial" w:eastAsia="Arial" w:hAnsi="Arial"/>
          <w:sz w:val="21"/>
          <w:szCs w:val="21"/>
          <w:color w:val="auto"/>
        </w:rPr>
        <w:t>It is acknowledged that (i) the aggregate amount of any Senior Secured Obligations may, subject to the limitations set forth in the Notes Indenture and the LC Credit Agreement, both as in effect on the date hereof, be Refinanced from time to time, all without affecting the priorities set forth in Section 2.01(a) or the provisions of this Agreement defining the relative rights of the Notes Secured Parties and the LC Secured Parties and (ii) the Senior Secured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Secured Obligations (or any part thereof) or the Senior Secured Obligations (or any part thereof), by the release of any Collateral or of any guarantees for any Junior Secured Obligations or Senior Secured Obligations or by any action that any Representative or Secured Party may take or fail to take in respect of any Collateral.</w:t>
      </w:r>
    </w:p>
    <w:p>
      <w:pPr>
        <w:spacing w:after="0" w:line="189" w:lineRule="exact"/>
        <w:rPr>
          <w:rFonts w:ascii="Arial" w:cs="Arial" w:eastAsia="Arial" w:hAnsi="Arial"/>
          <w:sz w:val="21"/>
          <w:szCs w:val="21"/>
          <w:color w:val="auto"/>
        </w:rPr>
      </w:pPr>
    </w:p>
    <w:p>
      <w:pPr>
        <w:jc w:val="both"/>
        <w:ind w:firstLine="1304"/>
        <w:spacing w:after="0" w:line="260" w:lineRule="auto"/>
        <w:tabs>
          <w:tab w:leader="none" w:pos="2130" w:val="left"/>
        </w:tabs>
        <w:numPr>
          <w:ilvl w:val="0"/>
          <w:numId w:val="933"/>
        </w:numPr>
        <w:rPr>
          <w:rFonts w:ascii="Arial" w:cs="Arial" w:eastAsia="Arial" w:hAnsi="Arial"/>
          <w:sz w:val="22"/>
          <w:szCs w:val="22"/>
          <w:color w:val="auto"/>
        </w:rPr>
      </w:pPr>
      <w:r>
        <w:rPr>
          <w:rFonts w:ascii="Arial" w:cs="Arial" w:eastAsia="Arial" w:hAnsi="Arial"/>
          <w:sz w:val="22"/>
          <w:szCs w:val="22"/>
          <w:color w:val="auto"/>
        </w:rPr>
        <w:t>Notwithstanding the date, time, method, manner or order of grant, attachment or perfection of any Liens securing the LC Obligations granted on the Collateral or of any Liens securing the Notes Obligations granted on the Collateral and notwithstanding any provision of the Uniform Commercial Code or other applicable legislation of any jurisdiction, or any other applicable law or the Notes Documents or the LC Documents, or any defect or deficiencies in or failure to perfect any such Liens or any other circumstance whatsoever (1) the Liens on the LC Priority Collateral securing the LC Obligations will rank senior to any Liens 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8" w:name="page839"/>
    <w:bookmarkEnd w:id="838"/>
    <w:p>
      <w:pPr>
        <w:spacing w:after="0" w:line="276" w:lineRule="auto"/>
        <w:rPr>
          <w:sz w:val="20"/>
          <w:szCs w:val="20"/>
          <w:color w:val="auto"/>
        </w:rPr>
      </w:pPr>
      <w:r>
        <w:rPr>
          <w:rFonts w:ascii="Arial" w:cs="Arial" w:eastAsia="Arial" w:hAnsi="Arial"/>
          <w:sz w:val="22"/>
          <w:szCs w:val="22"/>
          <w:color w:val="auto"/>
        </w:rPr>
        <w:t>the LC Priority Collateral securing the Notes Obligations and (2) the Liens on the Notes Priority Collateral securing the Notes Obligations will rank senior to any Liens on the Notes Priority Collateral securing the LC Obligations.</w:t>
      </w:r>
    </w:p>
    <w:p>
      <w:pPr>
        <w:spacing w:after="0" w:line="228" w:lineRule="exact"/>
        <w:rPr>
          <w:sz w:val="20"/>
          <w:szCs w:val="20"/>
          <w:color w:val="auto"/>
        </w:rPr>
      </w:pPr>
    </w:p>
    <w:p>
      <w:pPr>
        <w:jc w:val="both"/>
        <w:ind w:firstLine="1304"/>
        <w:spacing w:after="0" w:line="259" w:lineRule="auto"/>
        <w:tabs>
          <w:tab w:leader="none" w:pos="2317" w:val="left"/>
        </w:tabs>
        <w:numPr>
          <w:ilvl w:val="0"/>
          <w:numId w:val="934"/>
        </w:numPr>
        <w:rPr>
          <w:rFonts w:ascii="Arial" w:cs="Arial" w:eastAsia="Arial" w:hAnsi="Arial"/>
          <w:sz w:val="22"/>
          <w:szCs w:val="22"/>
          <w:color w:val="auto"/>
        </w:rPr>
      </w:pPr>
      <w:r>
        <w:rPr>
          <w:rFonts w:ascii="Arial" w:cs="Arial" w:eastAsia="Arial" w:hAnsi="Arial"/>
          <w:sz w:val="22"/>
          <w:szCs w:val="22"/>
          <w:color w:val="auto"/>
        </w:rPr>
        <w:t>For the avoidance of doubt, notwithstanding that Liens granted to the Foreign Collateral Agent, LC Collateral Agent, or Notes Collateral Agent on the Collateral governed by the laws of a jurisdiction located outside of the United States of America (the “</w:t>
      </w:r>
      <w:r>
        <w:rPr>
          <w:rFonts w:ascii="Arial" w:cs="Arial" w:eastAsia="Arial" w:hAnsi="Arial"/>
          <w:sz w:val="22"/>
          <w:szCs w:val="22"/>
          <w:u w:val="single" w:color="auto"/>
          <w:color w:val="auto"/>
        </w:rPr>
        <w:t>Foreign Collateral</w:t>
      </w:r>
      <w:r>
        <w:rPr>
          <w:rFonts w:ascii="Arial" w:cs="Arial" w:eastAsia="Arial" w:hAnsi="Arial"/>
          <w:sz w:val="22"/>
          <w:szCs w:val="22"/>
          <w:color w:val="auto"/>
        </w:rPr>
        <w:t xml:space="preserve">”) may (A) have legally the same or different ranking due to mandatory legal provisions governing such Foreign Collateral; (B) have been granted or perfected in an order contrary to the contemplated ranking as set forth in this Agreement or (C) not have been granted to Notes Collateral Agent or LC Collateral Agent, the contractual ranking of the Liens on such Foreign Collateral shall be consistent with the ranking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Article VI</w:t>
      </w:r>
      <w:r>
        <w:rPr>
          <w:rFonts w:ascii="Arial" w:cs="Arial" w:eastAsia="Arial" w:hAnsi="Arial"/>
          <w:sz w:val="22"/>
          <w:szCs w:val="22"/>
          <w:color w:val="auto"/>
        </w:rPr>
        <w:t>, all other terms and provisions of this Agreement with respect to Collateral shall be applicable to such Foreign Collateral.</w:t>
      </w:r>
    </w:p>
    <w:p>
      <w:pPr>
        <w:spacing w:after="0" w:line="192"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8"/>
          <w:szCs w:val="18"/>
          <w:b w:val="1"/>
          <w:bCs w:val="1"/>
          <w:i w:val="1"/>
          <w:iCs w:val="1"/>
          <w:color w:val="auto"/>
        </w:rPr>
        <w:t>Actions With Respect to Collateral; Prohibition on Contesting Liens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99" w:lineRule="auto"/>
        <w:tabs>
          <w:tab w:leader="none" w:pos="2116" w:val="left"/>
        </w:tabs>
        <w:numPr>
          <w:ilvl w:val="1"/>
          <w:numId w:val="935"/>
        </w:numPr>
        <w:rPr>
          <w:rFonts w:ascii="Arial" w:cs="Arial" w:eastAsia="Arial" w:hAnsi="Arial"/>
          <w:sz w:val="19"/>
          <w:szCs w:val="19"/>
          <w:color w:val="auto"/>
        </w:rPr>
      </w:pPr>
      <w:r>
        <w:rPr>
          <w:rFonts w:ascii="Arial" w:cs="Arial" w:eastAsia="Arial" w:hAnsi="Arial"/>
          <w:sz w:val="19"/>
          <w:szCs w:val="19"/>
          <w:color w:val="auto"/>
        </w:rPr>
        <w:t>Until the Discharge of all of the Senior Secured Obligations of a particular Class, (i) only the Applicable Senior Collateral Agent shall act or refrain from acting with respect to the Senior Secured Obligations Collateral of such Class,</w:t>
      </w:r>
    </w:p>
    <w:p>
      <w:pPr>
        <w:jc w:val="both"/>
        <w:ind w:firstLine="8"/>
        <w:spacing w:after="0" w:line="300" w:lineRule="auto"/>
        <w:tabs>
          <w:tab w:leader="none" w:pos="325" w:val="left"/>
        </w:tabs>
        <w:numPr>
          <w:ilvl w:val="0"/>
          <w:numId w:val="936"/>
        </w:numPr>
        <w:rPr>
          <w:rFonts w:ascii="Arial" w:cs="Arial" w:eastAsia="Arial" w:hAnsi="Arial"/>
          <w:sz w:val="19"/>
          <w:szCs w:val="19"/>
          <w:color w:val="auto"/>
        </w:rPr>
      </w:pPr>
      <w:r>
        <w:rPr>
          <w:rFonts w:ascii="Arial" w:cs="Arial" w:eastAsia="Arial" w:hAnsi="Arial"/>
          <w:sz w:val="19"/>
          <w:szCs w:val="19"/>
          <w:color w:val="auto"/>
        </w:rPr>
        <w:t>no Collateral Agent shall follow any instructions with respect to such Senior Secured Obligations Collateral from any Junior Representative or from any Junior Secured Obligations Secured Parties and (iii) each Junior Representative and the Junior Secured Obligations Secured Parties shall not, and shall not instruct any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Junior Secured Obligations Collateral, whether under any Notes Security Document or any LC Security Document, as applicable, applicable law or otherwise, it being agreed that (A) only the Applicable Senior Collateral Agent, acting in accordance with the Notes Security Documents or the LC Security Documents, as applicable, shall be entitled to take any such actions or exercise any such remedies, or to cause any Collateral Agent to do so and (B) notwithstanding the foregoing, each Junior Representative may take Permitted Remedies. Each Senior Collateral Agent may deal with the Senior Secured Obligations Collateral as if they had a senior Lien on such Collateral. No Junior Collateral Agent, Junior Representative or Junior Secured Obligations Secured Party will contest, protest or object to any foreclosure proceeding or action brought by any Senior Collateral Agent, Senior Representative or Senior Secured Obligations Secured Party or any other exercise by such Senior Collateral Agent, Senior Representative or Senior Secured Obligations Secured Party of any rights and remedies relating to the Senior Secured Obligations Collateral.</w:t>
      </w:r>
    </w:p>
    <w:p>
      <w:pPr>
        <w:spacing w:after="0" w:line="161" w:lineRule="exact"/>
        <w:rPr>
          <w:rFonts w:ascii="Arial" w:cs="Arial" w:eastAsia="Arial" w:hAnsi="Arial"/>
          <w:sz w:val="19"/>
          <w:szCs w:val="19"/>
          <w:color w:val="auto"/>
        </w:rPr>
      </w:pPr>
    </w:p>
    <w:p>
      <w:pPr>
        <w:jc w:val="both"/>
        <w:ind w:firstLine="1304"/>
        <w:spacing w:after="0" w:line="327" w:lineRule="auto"/>
        <w:tabs>
          <w:tab w:leader="none" w:pos="2101" w:val="left"/>
        </w:tabs>
        <w:numPr>
          <w:ilvl w:val="1"/>
          <w:numId w:val="936"/>
        </w:numPr>
        <w:rPr>
          <w:rFonts w:ascii="Arial" w:cs="Arial" w:eastAsia="Arial" w:hAnsi="Arial"/>
          <w:sz w:val="19"/>
          <w:szCs w:val="19"/>
          <w:color w:val="auto"/>
        </w:rPr>
      </w:pPr>
      <w:r>
        <w:rPr>
          <w:rFonts w:ascii="Arial" w:cs="Arial" w:eastAsia="Arial" w:hAnsi="Arial"/>
          <w:sz w:val="19"/>
          <w:szCs w:val="19"/>
          <w:color w:val="auto"/>
        </w:rPr>
        <w:t>Each of the Junior Collateral Agent and the Junior Secured Obligations Secured Parties agrees that it will not (and hereby waives any right to) directly or indirectly contest or support any other Person in contesting, in any proceeding (including any Insolvency or Liquidation Proceeding), the creation, extent, attachment, perfection, priority, validity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9" w:name="page840"/>
    <w:bookmarkEnd w:id="839"/>
    <w:p>
      <w:pPr>
        <w:jc w:val="both"/>
        <w:spacing w:after="0" w:line="327" w:lineRule="auto"/>
        <w:rPr>
          <w:sz w:val="20"/>
          <w:szCs w:val="20"/>
          <w:color w:val="auto"/>
        </w:rPr>
      </w:pPr>
      <w:r>
        <w:rPr>
          <w:rFonts w:ascii="Arial" w:cs="Arial" w:eastAsia="Arial" w:hAnsi="Arial"/>
          <w:sz w:val="19"/>
          <w:szCs w:val="19"/>
          <w:color w:val="auto"/>
        </w:rPr>
        <w:t xml:space="preserve">enforceability of a Lien or Senior Secured Obligations held by or on behalf of any of the Senior Secured Obligations Secured Parties in all or any part of the Collateral or the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of the Collateral Agents or the Secured Parties to enforce this Agreement.</w:t>
      </w:r>
    </w:p>
    <w:p>
      <w:pPr>
        <w:spacing w:after="0" w:line="187" w:lineRule="exact"/>
        <w:rPr>
          <w:sz w:val="20"/>
          <w:szCs w:val="20"/>
          <w:color w:val="auto"/>
        </w:rPr>
      </w:pPr>
    </w:p>
    <w:p>
      <w:pPr>
        <w:jc w:val="both"/>
        <w:ind w:firstLine="1304"/>
        <w:spacing w:after="0" w:line="270" w:lineRule="auto"/>
        <w:tabs>
          <w:tab w:leader="none" w:pos="2413" w:val="left"/>
        </w:tabs>
        <w:numPr>
          <w:ilvl w:val="0"/>
          <w:numId w:val="937"/>
        </w:numPr>
        <w:rPr>
          <w:rFonts w:ascii="Arial" w:cs="Arial" w:eastAsia="Arial" w:hAnsi="Arial"/>
          <w:sz w:val="21"/>
          <w:szCs w:val="21"/>
          <w:color w:val="auto"/>
        </w:rPr>
      </w:pPr>
      <w:r>
        <w:rPr>
          <w:rFonts w:ascii="Arial" w:cs="Arial" w:eastAsia="Arial" w:hAnsi="Arial"/>
          <w:sz w:val="21"/>
          <w:szCs w:val="21"/>
          <w:color w:val="auto"/>
        </w:rPr>
        <w:t>(i) Only the Foreign Collateral Agent shall act or refrain from acting with respect to the Foreign Collateral, (ii) Foreign Collateral Agent shall not follow any instructions with respect to Foreign Collateral except from the Controlling Party (in accordance with Article VI) and (iii) other than the Controlling Parties, no Secured Party will, or will instruct Foreign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Foreign Collateral, whether under any Notes Security Document or any LC Security Document, applicable law or otherwise, it being agreed that (A) only the Foreign Collateral Agent, acting in accordance with the Foreign Collateral Documents and the terms of Article VI, shall be entitled to take any such actions or exercise any such remedies and (B) notwithstanding the foregoing, each Representative may take Permitted Remedies with regard to the Foreign Collateral. No Secured Party will contest, protest or object to any foreclosure or other proceeding or action brought by Foreign Collateral Agent acting upon instructions of a Controlling Party, and the Controlling Parties may make such instructions as if they had a senior Lien on such Foreign Collateral.</w:t>
      </w:r>
    </w:p>
    <w:p>
      <w:pPr>
        <w:spacing w:after="0" w:line="192" w:lineRule="exact"/>
        <w:rPr>
          <w:rFonts w:ascii="Arial" w:cs="Arial" w:eastAsia="Arial" w:hAnsi="Arial"/>
          <w:sz w:val="21"/>
          <w:szCs w:val="21"/>
          <w:color w:val="auto"/>
        </w:rPr>
      </w:pPr>
    </w:p>
    <w:p>
      <w:pPr>
        <w:jc w:val="both"/>
        <w:ind w:firstLine="1304"/>
        <w:spacing w:after="0" w:line="271" w:lineRule="auto"/>
        <w:tabs>
          <w:tab w:leader="none" w:pos="2115" w:val="left"/>
        </w:tabs>
        <w:numPr>
          <w:ilvl w:val="0"/>
          <w:numId w:val="937"/>
        </w:numPr>
        <w:rPr>
          <w:rFonts w:ascii="Arial" w:cs="Arial" w:eastAsia="Arial" w:hAnsi="Arial"/>
          <w:sz w:val="21"/>
          <w:szCs w:val="21"/>
          <w:color w:val="auto"/>
        </w:rPr>
      </w:pPr>
      <w:r>
        <w:rPr>
          <w:rFonts w:ascii="Arial" w:cs="Arial" w:eastAsia="Arial" w:hAnsi="Arial"/>
          <w:sz w:val="21"/>
          <w:szCs w:val="21"/>
          <w:color w:val="auto"/>
        </w:rPr>
        <w:t xml:space="preserve">(i) With respect to any payments or distributions in cash, property or other assets that any Junior Secured Obligations Secured Party pays over to any Senior Secured Obligations Secured Party under the terms of this Agreement, such Junior Secured Obligations Secured Party shall be subrogated to the rights of the Senior Secured Party Obligations Secured Party and (ii) any Secured Party may assert its rights of subrogation under applicable law resulting from any draw or other payment under any letter of credit issued under or secured by the Notes Documents or LC Documents,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that (x) the LC Facility Secured Parties shall not assert or enforce any such rights of subrogation they may acquire as described in clauses (i) or (ii) above with respect to the Notes Documents or Notes Priority Collateral until the Discharge of all Notes Obligations has occurred and (y) the Notes Secured Parties shall not assert or enforce any such rights of subrogation they may acquire as described in clauses (i) or (ii) above with respect to the LC Documents or LC Priority Collateral until the Discharge of all LC Obligations has occurred.</w:t>
      </w:r>
    </w:p>
    <w:p>
      <w:pPr>
        <w:spacing w:after="0" w:line="189" w:lineRule="exact"/>
        <w:rPr>
          <w:rFonts w:ascii="Arial" w:cs="Arial" w:eastAsia="Arial" w:hAnsi="Arial"/>
          <w:sz w:val="21"/>
          <w:szCs w:val="21"/>
          <w:color w:val="auto"/>
        </w:rPr>
      </w:pPr>
    </w:p>
    <w:p>
      <w:pPr>
        <w:jc w:val="both"/>
        <w:ind w:firstLine="1304"/>
        <w:spacing w:after="0" w:line="311" w:lineRule="auto"/>
        <w:tabs>
          <w:tab w:leader="none" w:pos="2103" w:val="left"/>
        </w:tabs>
        <w:numPr>
          <w:ilvl w:val="0"/>
          <w:numId w:val="937"/>
        </w:numPr>
        <w:rPr>
          <w:rFonts w:ascii="Arial" w:cs="Arial" w:eastAsia="Arial" w:hAnsi="Arial"/>
          <w:sz w:val="19"/>
          <w:szCs w:val="19"/>
          <w:color w:val="auto"/>
        </w:rPr>
      </w:pPr>
      <w:r>
        <w:rPr>
          <w:rFonts w:ascii="Arial" w:cs="Arial" w:eastAsia="Arial" w:hAnsi="Arial"/>
          <w:sz w:val="19"/>
          <w:szCs w:val="19"/>
          <w:color w:val="auto"/>
        </w:rPr>
        <w:t>The parties hereto agree to execute, acknowledge and deliver a Memorandum of Intercreditor Agreement (“</w:t>
      </w:r>
      <w:r>
        <w:rPr>
          <w:rFonts w:ascii="Arial" w:cs="Arial" w:eastAsia="Arial" w:hAnsi="Arial"/>
          <w:sz w:val="19"/>
          <w:szCs w:val="19"/>
          <w:b w:val="1"/>
          <w:bCs w:val="1"/>
          <w:i w:val="1"/>
          <w:iCs w:val="1"/>
          <w:color w:val="auto"/>
        </w:rPr>
        <w:t>Memorandum</w:t>
      </w:r>
      <w:r>
        <w:rPr>
          <w:rFonts w:ascii="Arial" w:cs="Arial" w:eastAsia="Arial" w:hAnsi="Arial"/>
          <w:sz w:val="19"/>
          <w:szCs w:val="19"/>
          <w:color w:val="auto"/>
        </w:rPr>
        <w:t>”), together with such other documents in furtherance hereof or thereof, in each case, in proper form for recording in connection with any Mortgages and in form and substance reasonably satisfactory to the Collateral Agents, in those jurisdictions where such recording is reasonably recommended or requested by local real estate counsel and/or the title insurance company, or as otherwise deemed reasonably necessary or proper by the parties hereto.</w:t>
      </w:r>
    </w:p>
    <w:p>
      <w:pPr>
        <w:spacing w:after="0" w:line="15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8"/>
          <w:szCs w:val="18"/>
          <w:b w:val="1"/>
          <w:bCs w:val="1"/>
          <w:i w:val="1"/>
          <w:iCs w:val="1"/>
          <w:color w:val="auto"/>
        </w:rPr>
        <w:t>No Duties of Senior Representative; Provision of Notice</w:t>
      </w:r>
      <w:r>
        <w:rPr>
          <w:rFonts w:ascii="Arial" w:cs="Arial" w:eastAsia="Arial" w:hAnsi="Arial"/>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0" w:name="page841"/>
    <w:bookmarkEnd w:id="840"/>
    <w:p>
      <w:pPr>
        <w:jc w:val="both"/>
        <w:ind w:firstLine="1304"/>
        <w:spacing w:after="0" w:line="298" w:lineRule="auto"/>
        <w:tabs>
          <w:tab w:leader="none" w:pos="2413" w:val="left"/>
        </w:tabs>
        <w:numPr>
          <w:ilvl w:val="0"/>
          <w:numId w:val="938"/>
        </w:numPr>
        <w:rPr>
          <w:rFonts w:ascii="Arial" w:cs="Arial" w:eastAsia="Arial" w:hAnsi="Arial"/>
          <w:sz w:val="19"/>
          <w:szCs w:val="19"/>
          <w:color w:val="auto"/>
        </w:rPr>
      </w:pPr>
      <w:r>
        <w:rPr>
          <w:rFonts w:ascii="Arial" w:cs="Arial" w:eastAsia="Arial" w:hAnsi="Arial"/>
          <w:sz w:val="19"/>
          <w:szCs w:val="19"/>
          <w:color w:val="auto"/>
        </w:rPr>
        <w:t>Each Junior Secured Obligations Secured Party acknowledges and agrees that none of the Senior Collateral Agents, the Senior Representative nor any other Senior Secured Obligations Secured Party shall have any duties or other obligations to such Junior Secured Obligations Secured Party with respect to any Senior Secured Obligations Collateral, other than to transfer to the Applicable Junior Collateral Agent any proceeds of any such Senior Secured Obligations Collateral remaining in its possession or under its control following any sale, transfer or other disposition of such Collateral (in each case, unless the Junior Secured Obligations have been Discharged prior to or concurrently with such sale, transfer, disposition, payment or satisfaction) and the Discharge of the Senior Secured Obligations secured thereby, or if a Senior Collateral Agent shall be in possession or control of all or any part of such Collateral after such payment and satisfaction in full and termination, such Collateral or any part thereof remaining, in each case without representation or warranty on the part of any Senior Collateral Agent, any Senior Representative or any Senior Secured Obligations Secured Party and at the sole cost and expense of the Grantors. In furtherance of the foregoing, each Junior Secured Obligations Secured Party acknowledges and agrees that, until the Senior Secured Obligations secured by any Collateral shall have been Discharged, the Applicable Senior Collateral Agent shall be entitled, for the benefit of the holders of such Senior Secured Obligations, to sell, transfer or otherwise dispose of, or cause the sale, transfer or other disposition of, such Senior Secured Obligations Collateral as provided herein and in the Notes Documents and the LC Documents, as applicable, without regard to any Junior Claims or any rights to which the holders of the Junior Secured Obligations would otherwise be entitled as a result of such Junior Claims. Without limiting the foregoing, each Junior Secured Obligations Secured Party agrees that none of the Senior Collateral Agents, the Senior Representatives nor any other Senior Secured Obligations Secured Party shall have any duty or obligation first to marshal or realize upon any type of Senior Secured Obligations Collateral (or any other collateral securing the Senior Secured Obligations), or to sell, dispose of, realize on or liquidate all or any portion of such Senior Secured Obligations Collateral (or any other collateral securing the Senior Secured Obligations), in any manner that would maximize the return to the Junior Secured Obligations Secured Parties, notwithstanding that the order and timing of any such realization, sale, disposition or liquidation may affect the amount of proceeds actually received by the Junior Secured Obligations Secured Parties from such realization, sale, disposition or liquidation. Each of the Junior Secured Obligations Secured Parties waives any claim such Junior Secured Obligations Secured Party may now or hereafter have against any Senior Collateral Agent, any Senior Representative or any other Senior Secured Obligations Secured Party (or their representatives, including any receiver, receiver and manager, interim receiver, administrator, delegate or agent they may appoint) arising out of (i) any actions which any Senior Collateral Agent, any Senior Representative or the Senior Secured Obligations Secured Parties (or their representatives, including any receiver, receiver and manager, interim receiver, administrator, delegate or agent they may appoint) take or omit to take (including, actions with respect to the creation, attachment, perfection or continuation of Liens on any Senior Secured Obligations Collateral, actions with respect to the preservation, foreclosure upon, realization, sale, release or depreciation of, or failure to realize upon, any of the Senior Secured Obligations Collateral and actions with respect to the collection of any claim for all or any part of the Senior Secured Obligations from any account debtor, guarantor or any other party) in accordance with the Notes Documents and the LC Documents or any other agreement related thereto or to the collection of the Senior Secured Obligations or the valuation, use, protection or release of any security for the Senior Secured Obligations, (ii) any election by any Applicable Senior Collateral Agent, 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1" w:name="page842"/>
    <w:bookmarkEnd w:id="841"/>
    <w:p>
      <w:pPr>
        <w:jc w:val="both"/>
        <w:spacing w:after="0" w:line="261" w:lineRule="auto"/>
        <w:rPr>
          <w:sz w:val="20"/>
          <w:szCs w:val="20"/>
          <w:color w:val="auto"/>
        </w:rPr>
      </w:pPr>
      <w:r>
        <w:rPr>
          <w:rFonts w:ascii="Arial" w:cs="Arial" w:eastAsia="Arial" w:hAnsi="Arial"/>
          <w:sz w:val="22"/>
          <w:szCs w:val="22"/>
          <w:color w:val="auto"/>
        </w:rPr>
        <w:t>Senior Representative or any Senior Secured Obligations Secured Parties, in any proceeding instituted under the Bankruptcy Code, of the application of Section 1111(b) of the Bankruptcy Code (or any equivalent proceeding under any other Debtor Relief Law) or (iii) subject to Section 2.06, any borrowing by, or grant of a security interest or administrative expense priority under Section 364 of the Bankruptcy Code by, the Parent or any of its Subsidiaries, as debtor-in-possession (or any equivalent action under any other Debtor Relief Law).</w:t>
      </w:r>
    </w:p>
    <w:p>
      <w:pPr>
        <w:spacing w:after="0" w:line="244"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b w:val="1"/>
          <w:bCs w:val="1"/>
          <w:i w:val="1"/>
          <w:iCs w:val="1"/>
          <w:color w:val="auto"/>
        </w:rPr>
        <w:t>No Interference; Payment Over; Reinstatement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8" w:lineRule="auto"/>
        <w:tabs>
          <w:tab w:leader="none" w:pos="2211" w:val="left"/>
        </w:tabs>
        <w:numPr>
          <w:ilvl w:val="0"/>
          <w:numId w:val="939"/>
        </w:numPr>
        <w:rPr>
          <w:rFonts w:ascii="Arial" w:cs="Arial" w:eastAsia="Arial" w:hAnsi="Arial"/>
          <w:sz w:val="19"/>
          <w:szCs w:val="19"/>
          <w:color w:val="auto"/>
        </w:rPr>
      </w:pPr>
      <w:r>
        <w:rPr>
          <w:rFonts w:ascii="Arial" w:cs="Arial" w:eastAsia="Arial" w:hAnsi="Arial"/>
          <w:sz w:val="19"/>
          <w:szCs w:val="19"/>
          <w:color w:val="auto"/>
        </w:rPr>
        <w:t xml:space="preserve">Each Junior Secured Obligations Secured Party, each Junior Representative and each Junior Collateral Agent agrees that (i) it will not take or cause to be taken any action the purpose or effect of which is, or could be, to make any Junior Claim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to give such Junior Secured Obligations Secured Party any preference or priority relative to, any Senior Claim with respect to the Senior Secured Obligations Collateral or any part thereof, (ii) it will not challenge or question in any proceeding the validity or enforceability of any Foreign Collateral Document, Notes Security Document, or LC Security Document or the extent, validity, attachment, perfection, priority, or enforceability of any Lien under the Foreign Collateral Documents, Notes Security Documents or the LC Security Documents, or the validity or enforceability of the priorities, rights or duties established by or other provisions of this Agreement, (iii) it will not take or cause to be taken any action the purpose or intent of which is, or could be, to interfere, hinder or delay, in any manner, whether by judicial proceedings or otherwise, any sale, transfer or other disposition of the Senior Secured Obligations Collateral by the Applicable Senior Collateral Agent or any Senior Secured Obligations Secured Parties or any Senior Representative acting on their behalf (or their respective representatives, including any receiver, receiver and manager, interim receiver, administrator, delegate or agent they may appoint), including with respect to the Foreign Collateral by the Foreign Collateral Agent following the instructions of a Controlling Party, (iv) it shall have no right to (A) direct the Applicable Senior Collateral Agent, any Senior Representative or any holder of Senior Secured Obligations (or their respective representatives, including any receiver, receiver and manager, interim receiver, administrator, delegate or agent they may appoint) to exercise any right, remedy or power with respect to any Senior Secured Obligations Collateral or (B) consent to the exercise by the Applicable Senior Collateral Agent, any Senior Representative or any other Senior Secured Obligations Secured Party (or their respective representatives, including any receiver, receiver and manager, interim receiver, administrator, delegate or agent they may appoint) of any right, remedy or power with respect to any Senior Secured Obligations Collateral, (v) it will not institute any suit or assert in any Insolvency or Liquidation Proceeding any claim against the Applicable Senior Collateral Agent, any Senior Representative or other Senior Secured Obligations Secured Party seeking damages from or other relief by way of specific performance, injunction, directions, instructions or otherwise with respect to, and none of the Applicable Senior Collateral Agent, any Senior Representative or any other Senior Secured Obligations Secured Party shall be liable for, any action taken or omitted to be taken by such Senior Collateral Agent, such Senior Representative or other Senior Secured Obligations Secured Party with respect to any Senior Secured Obligations Collateral, (vi) it will not seek, and hereby waives any right, to have any Senior Secured Obligations Collateral, Foreign Collateral or any part thereof marshaled upon any foreclosure or other disposition of such Senior Secured Obligations Collateral or Foreign Collateral and (vii) it will not attempt, directly or indirectly, whether by judicial proceedings or otherwise, to challenge the enforceability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2" w:name="page843"/>
    <w:bookmarkEnd w:id="842"/>
    <w:p>
      <w:pPr>
        <w:spacing w:after="0" w:line="276" w:lineRule="auto"/>
        <w:rPr>
          <w:sz w:val="20"/>
          <w:szCs w:val="20"/>
          <w:color w:val="auto"/>
        </w:rPr>
      </w:pPr>
      <w:r>
        <w:rPr>
          <w:rFonts w:ascii="Arial" w:cs="Arial" w:eastAsia="Arial" w:hAnsi="Arial"/>
          <w:sz w:val="22"/>
          <w:szCs w:val="22"/>
          <w:color w:val="auto"/>
        </w:rPr>
        <w:t>nothing in this Agreement shall be construed to prevent or impair the rights of any of the Collateral Agents, or the Secured Parties to enforce this Agreement.</w:t>
      </w:r>
    </w:p>
    <w:p>
      <w:pPr>
        <w:spacing w:after="0" w:line="228" w:lineRule="exact"/>
        <w:rPr>
          <w:sz w:val="20"/>
          <w:szCs w:val="20"/>
          <w:color w:val="auto"/>
        </w:rPr>
      </w:pPr>
    </w:p>
    <w:p>
      <w:pPr>
        <w:jc w:val="both"/>
        <w:ind w:firstLine="1304"/>
        <w:spacing w:after="0" w:line="300" w:lineRule="auto"/>
        <w:tabs>
          <w:tab w:leader="none" w:pos="2182" w:val="left"/>
        </w:tabs>
        <w:numPr>
          <w:ilvl w:val="0"/>
          <w:numId w:val="940"/>
        </w:numPr>
        <w:rPr>
          <w:rFonts w:ascii="Arial" w:cs="Arial" w:eastAsia="Arial" w:hAnsi="Arial"/>
          <w:sz w:val="19"/>
          <w:szCs w:val="19"/>
          <w:color w:val="auto"/>
        </w:rPr>
      </w:pPr>
      <w:r>
        <w:rPr>
          <w:rFonts w:ascii="Arial" w:cs="Arial" w:eastAsia="Arial" w:hAnsi="Arial"/>
          <w:sz w:val="19"/>
          <w:szCs w:val="19"/>
          <w:color w:val="auto"/>
        </w:rPr>
        <w:t>Each Junior Collateral Agent, each Junior Representative and each Junior Secured Obligations Secured Party hereby agrees that, if it shall obtain possession or control of any Senior Secured Obligations Collateral, or shall receive any Proceeds or payment in respect of any Senior Secured Obligations Collateral, pursuant to any Notes Security Document or LC Security Document or by the exercise of any rights available to it under any applicable law or in any Insolvency or Liquidation Proceeding or through any other exercise of rights or remedies, at any time prior to the Discharge of the Senior Secured Obligations, then it shall hold such Senior Secured Obligations Collateral proceeds or payment in trust for the Senior Secured Obligations Secured Parties and transfer such Senior Secured Obligations Collateral, proceeds or payment, as the case may be, to the Applicable Senior Collateral Agent reasonably promptly after obtaining actual knowledge, or notice from the Applicable Senior Collateral Agent, that it is in possession or control of such Senior Secured Obligations Collateral, proceeds or payment. Each Junior Secured Obligations Secured Party agrees that if, at any time, it receives notice or obtains actual knowledge that all or part of any payment with respect to any Senior Secured Obligations previously made shall be rescinded for any reason whatsoever, such Junior Secured Obligations Secured Party shall promptly pay over to the Applicable Senior Collateral Agent any payment received by it and then in its possession or under its control in respect of any Senior Secured Obligations Collateral and shall promptly turn over any Senior Secured Obligations Collateral then held by it over to the Applicable Senior Collateral Agent, and the provisions set forth in this Agreement shall be reinstated as if such payment had not been made, until the payment and satisfaction in full of the Senior Secured Obligations.</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1304"/>
        <w:spacing w:after="0" w:line="306" w:lineRule="auto"/>
        <w:tabs>
          <w:tab w:leader="none" w:pos="2211" w:val="left"/>
        </w:tabs>
        <w:numPr>
          <w:ilvl w:val="0"/>
          <w:numId w:val="940"/>
        </w:numPr>
        <w:rPr>
          <w:rFonts w:ascii="Arial" w:cs="Arial" w:eastAsia="Arial" w:hAnsi="Arial"/>
          <w:sz w:val="19"/>
          <w:szCs w:val="19"/>
          <w:color w:val="auto"/>
        </w:rPr>
      </w:pPr>
      <w:r>
        <w:rPr>
          <w:rFonts w:ascii="Arial" w:cs="Arial" w:eastAsia="Arial" w:hAnsi="Arial"/>
          <w:sz w:val="19"/>
          <w:szCs w:val="19"/>
          <w:color w:val="auto"/>
        </w:rPr>
        <w:t>Prior to the Discharge of Senior Secured Obligations, if any Junior Secured Obligations Secured Party holds any Lien on any assets of the Parent or any other Grantor securing any Junior Claims that are intended to secure the Senior Claims pursuant to the Senior Secured Obligations Collateral Documents but are not already subject to a senior Lien in favor of the Senior Secured Obligations Secured Parties, such Junior Secured Obligations Secured Party, upon demand by any Senior Secured Obligations Secured Party, will assign such Lien to the applicable Senior Representative, at the sole cost and expense of the Grantors, as security for such Senior Secured Obligations (in which case the Junior Secured Obligations Secured Parties may retain a junior Lien on such assets subject to the terms hereof).</w:t>
      </w:r>
    </w:p>
    <w:p>
      <w:pPr>
        <w:spacing w:after="0" w:line="156"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8"/>
          <w:szCs w:val="18"/>
          <w:b w:val="1"/>
          <w:bCs w:val="1"/>
          <w:i w:val="1"/>
          <w:iCs w:val="1"/>
          <w:color w:val="auto"/>
        </w:rPr>
        <w:t>Automatic Release of Junior Liens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73" w:lineRule="auto"/>
        <w:tabs>
          <w:tab w:leader="none" w:pos="2143" w:val="left"/>
        </w:tabs>
        <w:numPr>
          <w:ilvl w:val="0"/>
          <w:numId w:val="941"/>
        </w:numPr>
        <w:rPr>
          <w:rFonts w:ascii="Arial" w:cs="Arial" w:eastAsia="Arial" w:hAnsi="Arial"/>
          <w:sz w:val="21"/>
          <w:szCs w:val="21"/>
          <w:color w:val="auto"/>
        </w:rPr>
      </w:pPr>
      <w:r>
        <w:rPr>
          <w:rFonts w:ascii="Arial" w:cs="Arial" w:eastAsia="Arial" w:hAnsi="Arial"/>
          <w:sz w:val="21"/>
          <w:szCs w:val="21"/>
          <w:color w:val="auto"/>
        </w:rPr>
        <w:t xml:space="preserve">The LC Collateral Agent and each other LC Secured Party agrees that, in the event of a sale, transfer or other disposition of any Notes Priority Collateral in connection with the foreclosure upon or other exercise of rights and remedies with respect to such Notes Priority Collateral that results in the release by the Notes Collateral Agent of the Lien held by the Notes Collateral Agent on such Notes Priority Collateral, the Lien held by the LC Collateral Agent on such Notes Priority Collateral shall be automatically released;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all holders of the LC Obligations shall be entitled to any proceeds of a sale, transfer or other disposition under this clause (a) that remain after Discharge of the Notes Obligations, and the Liens on such remaining proceeds securing the LC Obligations shall not be automatically released pursuant to this Section 2.05(a).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3" w:name="page844"/>
    <w:bookmarkEnd w:id="843"/>
    <w:p>
      <w:pPr>
        <w:jc w:val="both"/>
        <w:ind w:firstLine="1304"/>
        <w:spacing w:after="0" w:line="259" w:lineRule="auto"/>
        <w:tabs>
          <w:tab w:leader="none" w:pos="2344" w:val="left"/>
        </w:tabs>
        <w:numPr>
          <w:ilvl w:val="0"/>
          <w:numId w:val="942"/>
        </w:numPr>
        <w:rPr>
          <w:rFonts w:ascii="Arial" w:cs="Arial" w:eastAsia="Arial" w:hAnsi="Arial"/>
          <w:sz w:val="22"/>
          <w:szCs w:val="22"/>
          <w:color w:val="auto"/>
        </w:rPr>
      </w:pPr>
      <w:r>
        <w:rPr>
          <w:rFonts w:ascii="Arial" w:cs="Arial" w:eastAsia="Arial" w:hAnsi="Arial"/>
          <w:sz w:val="22"/>
          <w:szCs w:val="22"/>
          <w:color w:val="auto"/>
        </w:rPr>
        <w:t xml:space="preserve">The Notes Collateral Agent and each other Notes Secured Party agrees that, in the event of a sale, transfer or other disposition of any LC Priority Collateral in connection with the foreclosure upon or other exercise of rights and remedies with respect to such LC Priority Collateral that results in the release by the LC Collateral Agent of the Lien held by the LC Collateral Agent on such LC Priority Collateral, the Lien held by the Notes Collateral Agent on such LC Priority Collateral shall be automatically released;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all holders of the Notes Obligations shall be entitled to any proceeds of a sale, transfer or other disposition under this clause (b) that remain after Discharge of all LC Obligations, and the Liens on such remaining proceeds securing the Notes Obligations shall not be automatically released pursuant to this Section 2.05(b).</w:t>
      </w:r>
    </w:p>
    <w:p>
      <w:pPr>
        <w:spacing w:after="0" w:line="246" w:lineRule="exact"/>
        <w:rPr>
          <w:rFonts w:ascii="Arial" w:cs="Arial" w:eastAsia="Arial" w:hAnsi="Arial"/>
          <w:sz w:val="22"/>
          <w:szCs w:val="22"/>
          <w:color w:val="auto"/>
        </w:rPr>
      </w:pPr>
    </w:p>
    <w:p>
      <w:pPr>
        <w:jc w:val="both"/>
        <w:ind w:firstLine="1304"/>
        <w:spacing w:after="0" w:line="308" w:lineRule="auto"/>
        <w:tabs>
          <w:tab w:leader="none" w:pos="2089" w:val="left"/>
        </w:tabs>
        <w:numPr>
          <w:ilvl w:val="0"/>
          <w:numId w:val="942"/>
        </w:numPr>
        <w:rPr>
          <w:rFonts w:ascii="Arial" w:cs="Arial" w:eastAsia="Arial" w:hAnsi="Arial"/>
          <w:sz w:val="19"/>
          <w:szCs w:val="19"/>
          <w:color w:val="auto"/>
        </w:rPr>
      </w:pPr>
      <w:r>
        <w:rPr>
          <w:rFonts w:ascii="Arial" w:cs="Arial" w:eastAsia="Arial" w:hAnsi="Arial"/>
          <w:sz w:val="19"/>
          <w:szCs w:val="19"/>
          <w:color w:val="auto"/>
        </w:rPr>
        <w:t xml:space="preserve">In the event of a Default Disposition, the Liens of Junior Collateral Agent shall be automatically released so long as (i) such Default Disposition is conducted by the applicable Grantor(s) in a commercially reasonable manner (as if such Default Disposition were a disposition of collateral by a secured party in accordance with the UCC or similar law under the applicable jurisdiction) and in accordance with applicable law, (ii) Senior Collateral Agent also releases its Liens on such Senior Secured Obligations Collateral and (iii) the net cash proceeds of any such Default Disposition are applied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hereof (as if they were proceeds received in connection with an enforcement action).</w:t>
      </w:r>
    </w:p>
    <w:p>
      <w:pPr>
        <w:spacing w:after="0" w:line="153" w:lineRule="exact"/>
        <w:rPr>
          <w:rFonts w:ascii="Arial" w:cs="Arial" w:eastAsia="Arial" w:hAnsi="Arial"/>
          <w:sz w:val="19"/>
          <w:szCs w:val="19"/>
          <w:color w:val="auto"/>
        </w:rPr>
      </w:pPr>
    </w:p>
    <w:p>
      <w:pPr>
        <w:jc w:val="both"/>
        <w:ind w:firstLine="1304"/>
        <w:spacing w:after="0" w:line="262" w:lineRule="auto"/>
        <w:tabs>
          <w:tab w:leader="none" w:pos="2209" w:val="left"/>
        </w:tabs>
        <w:numPr>
          <w:ilvl w:val="0"/>
          <w:numId w:val="942"/>
        </w:numPr>
        <w:rPr>
          <w:rFonts w:ascii="Arial" w:cs="Arial" w:eastAsia="Arial" w:hAnsi="Arial"/>
          <w:sz w:val="22"/>
          <w:szCs w:val="22"/>
          <w:color w:val="auto"/>
        </w:rPr>
      </w:pPr>
      <w:r>
        <w:rPr>
          <w:rFonts w:ascii="Arial" w:cs="Arial" w:eastAsia="Arial" w:hAnsi="Arial"/>
          <w:sz w:val="22"/>
          <w:szCs w:val="22"/>
          <w:color w:val="auto"/>
        </w:rPr>
        <w:t>Each Junior Representative and each Junior Collateral Agent agrees to execute and deliver (at the sole cost and expense of the applicable Grantors) all such authorizations and other instruments as shall reasonably be requested by the applicable Senior Representative or the Applicable Senior Collateral Agent to evidence and confirm any release of Junior Secured Obligations Collateral provided for in this Section.</w:t>
      </w:r>
    </w:p>
    <w:p>
      <w:pPr>
        <w:spacing w:after="0" w:line="191" w:lineRule="exact"/>
        <w:rPr>
          <w:rFonts w:ascii="Arial" w:cs="Arial" w:eastAsia="Arial" w:hAnsi="Arial"/>
          <w:sz w:val="22"/>
          <w:szCs w:val="22"/>
          <w:color w:val="auto"/>
        </w:rPr>
      </w:pPr>
    </w:p>
    <w:p>
      <w:pPr>
        <w:jc w:val="both"/>
        <w:ind w:firstLine="1304"/>
        <w:spacing w:after="0" w:line="301" w:lineRule="auto"/>
        <w:tabs>
          <w:tab w:leader="none" w:pos="2116" w:val="left"/>
        </w:tabs>
        <w:numPr>
          <w:ilvl w:val="0"/>
          <w:numId w:val="942"/>
        </w:numPr>
        <w:rPr>
          <w:rFonts w:ascii="Arial" w:cs="Arial" w:eastAsia="Arial" w:hAnsi="Arial"/>
          <w:sz w:val="19"/>
          <w:szCs w:val="19"/>
          <w:color w:val="auto"/>
        </w:rPr>
      </w:pPr>
      <w:r>
        <w:rPr>
          <w:rFonts w:ascii="Arial" w:cs="Arial" w:eastAsia="Arial" w:hAnsi="Arial"/>
          <w:sz w:val="19"/>
          <w:szCs w:val="19"/>
          <w:color w:val="auto"/>
        </w:rPr>
        <w:t xml:space="preserve">If at any time any Grantor or the holder of any Senior Secured Obligations delivers notice to each Junior Collateral Agent that any specified Senior Secured Obligations Collateral (including all or substantially all of the Capital Stock of a Grantor or any of its Subsidiaries) is sold, transferred or otherwise disposed of (i) by the owner of such Collateral in a transaction permitted under the LC Documents and the Notes Documents, or (ii) during the existence of any Event of Default under the Notes Documents or the LC Documents, in each case in connection with the foreclosure upon (or exercise of rights and remedies with respect to) such Collateral, to the extent that the Applicable Senior Collateral Agent has consented to such sale, transfer or disposition, then the Liens in favor of the Junior Secured Obligations Secured Parties upon such Collateral will automatically be released and discharged as and when, but only to the extent, such Liens on such Senior Secured Obligations Collateral are released and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proceeds of such sale, transfer or disposition shall be applied in accordance with </w:t>
      </w:r>
      <w:r>
        <w:rPr>
          <w:rFonts w:ascii="Arial" w:cs="Arial" w:eastAsia="Arial" w:hAnsi="Arial"/>
          <w:sz w:val="19"/>
          <w:szCs w:val="19"/>
          <w:u w:val="single" w:color="auto"/>
          <w:color w:val="auto"/>
        </w:rPr>
        <w:t>Section 2.01(a)</w:t>
      </w:r>
      <w:r>
        <w:rPr>
          <w:rFonts w:ascii="Arial" w:cs="Arial" w:eastAsia="Arial" w:hAnsi="Arial"/>
          <w:sz w:val="19"/>
          <w:szCs w:val="19"/>
          <w:color w:val="auto"/>
        </w:rPr>
        <w:t>. Upon delivery to each Junior Collateral Agent of a notice from the Applicable Senior Collateral Agent stating that any release of Liens securing or supporting the Senior Secured Obligations has become effective (or shall become effective upon each Junior Collateral Agent’s release), each Junior Collateral Agent will promptly execute and deliver (at the sole cost and expense of the Grantors) such instruments, releases, terminations statements or other documents confirming such release on customary terms.</w:t>
      </w:r>
    </w:p>
    <w:p>
      <w:pPr>
        <w:spacing w:after="0" w:line="200" w:lineRule="exact"/>
        <w:rPr>
          <w:sz w:val="20"/>
          <w:szCs w:val="20"/>
          <w:color w:val="auto"/>
        </w:rPr>
      </w:pPr>
    </w:p>
    <w:p>
      <w:pPr>
        <w:spacing w:after="0" w:line="234"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8"/>
          <w:szCs w:val="18"/>
          <w:b w:val="1"/>
          <w:bCs w:val="1"/>
          <w:i w:val="1"/>
          <w:iCs w:val="1"/>
          <w:color w:val="auto"/>
        </w:rPr>
        <w:t>Certain Agreements With Respect to Insolvency or Liquidation Proceedings</w:t>
      </w:r>
      <w:r>
        <w:rPr>
          <w:rFonts w:ascii="Arial" w:cs="Arial" w:eastAsia="Arial" w:hAnsi="Arial"/>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4" w:name="page845"/>
    <w:bookmarkEnd w:id="844"/>
    <w:p>
      <w:pPr>
        <w:jc w:val="both"/>
        <w:ind w:firstLine="1304"/>
        <w:spacing w:after="0" w:line="308" w:lineRule="auto"/>
        <w:tabs>
          <w:tab w:leader="none" w:pos="2386" w:val="left"/>
        </w:tabs>
        <w:numPr>
          <w:ilvl w:val="0"/>
          <w:numId w:val="943"/>
        </w:numPr>
        <w:rPr>
          <w:rFonts w:ascii="Arial" w:cs="Arial" w:eastAsia="Arial" w:hAnsi="Arial"/>
          <w:sz w:val="19"/>
          <w:szCs w:val="19"/>
          <w:color w:val="auto"/>
        </w:rPr>
      </w:pPr>
      <w:r>
        <w:rPr>
          <w:rFonts w:ascii="Arial" w:cs="Arial" w:eastAsia="Arial" w:hAnsi="Arial"/>
          <w:sz w:val="19"/>
          <w:szCs w:val="19"/>
          <w:color w:val="auto"/>
        </w:rPr>
        <w:t>This Agreement shall continue in full force and effect notwithstanding the commencement of any proceeding under the Bankruptcy Code or any other Debtor Relief Law by or against the Parent or any of its Subsidiaries. Without limiting the generality of the foregoing, the provisions of this Agreement are intended to be and shall be enforceable as a “Subordination Agreement” under Section 510(a) of the Bankruptcy Code. All references to the Parent or any other Grantor shall include such Parent or Grantor as a debtor-in-possession and any receiver, trustee, liquidator (whether provisional or permanent, as the case may be) or court-appointed officer for such person in any Insolvency or Liquidation Proceeding.</w:t>
      </w:r>
    </w:p>
    <w:p>
      <w:pPr>
        <w:spacing w:after="0" w:line="207" w:lineRule="exact"/>
        <w:rPr>
          <w:rFonts w:ascii="Arial" w:cs="Arial" w:eastAsia="Arial" w:hAnsi="Arial"/>
          <w:sz w:val="19"/>
          <w:szCs w:val="19"/>
          <w:color w:val="auto"/>
        </w:rPr>
      </w:pPr>
    </w:p>
    <w:p>
      <w:pPr>
        <w:ind w:left="2180" w:hanging="876"/>
        <w:spacing w:after="0"/>
        <w:tabs>
          <w:tab w:leader="none" w:pos="2180" w:val="left"/>
        </w:tabs>
        <w:numPr>
          <w:ilvl w:val="0"/>
          <w:numId w:val="943"/>
        </w:numPr>
        <w:rPr>
          <w:rFonts w:ascii="Arial" w:cs="Arial" w:eastAsia="Arial" w:hAnsi="Arial"/>
          <w:sz w:val="19"/>
          <w:szCs w:val="19"/>
          <w:color w:val="auto"/>
        </w:rPr>
      </w:pPr>
      <w:r>
        <w:rPr>
          <w:rFonts w:ascii="Arial" w:cs="Arial" w:eastAsia="Arial" w:hAnsi="Arial"/>
          <w:sz w:val="19"/>
          <w:szCs w:val="19"/>
          <w:color w:val="auto"/>
        </w:rPr>
        <w:t>If the Parent or any of its Subsidiaries shall become subject to a case (a “</w:t>
      </w:r>
      <w:r>
        <w:rPr>
          <w:rFonts w:ascii="Arial" w:cs="Arial" w:eastAsia="Arial" w:hAnsi="Arial"/>
          <w:sz w:val="19"/>
          <w:szCs w:val="19"/>
          <w:b w:val="1"/>
          <w:bCs w:val="1"/>
          <w:i w:val="1"/>
          <w:iCs w:val="1"/>
          <w:color w:val="auto"/>
        </w:rPr>
        <w:t>Bankruptcy Case</w:t>
      </w:r>
      <w:r>
        <w:rPr>
          <w:rFonts w:ascii="Arial" w:cs="Arial" w:eastAsia="Arial" w:hAnsi="Arial"/>
          <w:sz w:val="19"/>
          <w:szCs w:val="19"/>
          <w:color w:val="auto"/>
        </w:rPr>
        <w:t>”) under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Debtor Relief Law:</w:t>
      </w:r>
    </w:p>
    <w:p>
      <w:pPr>
        <w:spacing w:after="0" w:line="228" w:lineRule="exact"/>
        <w:rPr>
          <w:rFonts w:ascii="Arial" w:cs="Arial" w:eastAsia="Arial" w:hAnsi="Arial"/>
          <w:sz w:val="19"/>
          <w:szCs w:val="19"/>
          <w:color w:val="auto"/>
        </w:rPr>
      </w:pPr>
    </w:p>
    <w:p>
      <w:pPr>
        <w:jc w:val="both"/>
        <w:ind w:left="1300" w:firstLine="652"/>
        <w:spacing w:after="0" w:line="296" w:lineRule="auto"/>
        <w:tabs>
          <w:tab w:leader="none" w:pos="2732" w:val="left"/>
        </w:tabs>
        <w:numPr>
          <w:ilvl w:val="1"/>
          <w:numId w:val="943"/>
        </w:numPr>
        <w:rPr>
          <w:rFonts w:ascii="Arial" w:cs="Arial" w:eastAsia="Arial" w:hAnsi="Arial"/>
          <w:sz w:val="19"/>
          <w:szCs w:val="19"/>
          <w:color w:val="auto"/>
        </w:rPr>
      </w:pPr>
      <w:r>
        <w:rPr>
          <w:rFonts w:ascii="Arial" w:cs="Arial" w:eastAsia="Arial" w:hAnsi="Arial"/>
          <w:sz w:val="19"/>
          <w:szCs w:val="19"/>
          <w:color w:val="auto"/>
        </w:rPr>
        <w:t>if the Notes Collateral Agent desires to permit debtor-in-possession financing (“</w:t>
      </w:r>
      <w:r>
        <w:rPr>
          <w:rFonts w:ascii="Arial" w:cs="Arial" w:eastAsia="Arial" w:hAnsi="Arial"/>
          <w:sz w:val="19"/>
          <w:szCs w:val="19"/>
          <w:b w:val="1"/>
          <w:bCs w:val="1"/>
          <w:i w:val="1"/>
          <w:iCs w:val="1"/>
          <w:color w:val="auto"/>
        </w:rPr>
        <w:t>DIP Financing</w:t>
      </w:r>
      <w:r>
        <w:rPr>
          <w:rFonts w:ascii="Arial" w:cs="Arial" w:eastAsia="Arial" w:hAnsi="Arial"/>
          <w:sz w:val="19"/>
          <w:szCs w:val="19"/>
          <w:color w:val="auto"/>
        </w:rPr>
        <w:t>”) secured by a Lien on the Notes Priority Collateral, to be provided by one or more lenders (the “</w:t>
      </w:r>
      <w:r>
        <w:rPr>
          <w:rFonts w:ascii="Arial" w:cs="Arial" w:eastAsia="Arial" w:hAnsi="Arial"/>
          <w:sz w:val="19"/>
          <w:szCs w:val="19"/>
          <w:b w:val="1"/>
          <w:bCs w:val="1"/>
          <w:i w:val="1"/>
          <w:iCs w:val="1"/>
          <w:color w:val="auto"/>
        </w:rPr>
        <w:t>DIP Lenders</w:t>
      </w:r>
      <w:r>
        <w:rPr>
          <w:rFonts w:ascii="Arial" w:cs="Arial" w:eastAsia="Arial" w:hAnsi="Arial"/>
          <w:sz w:val="19"/>
          <w:szCs w:val="19"/>
          <w:color w:val="auto"/>
        </w:rPr>
        <w:t>”) under Section 364 of the Bankruptcy Code (or any similar provision of any other Debtor Relief Laws) or the use of cash collateral under Section 363 of the Bankruptcy Code (or any similar provision of any other Debtor Relief Laws), then the LC Collateral Agent and the LC Secured Parties hereby agree to consent to and not to object to any such financing or to the Liens on the Notes Priority Collateral securing the same (“</w:t>
      </w:r>
      <w:r>
        <w:rPr>
          <w:rFonts w:ascii="Arial" w:cs="Arial" w:eastAsia="Arial" w:hAnsi="Arial"/>
          <w:sz w:val="19"/>
          <w:szCs w:val="19"/>
          <w:b w:val="1"/>
          <w:bCs w:val="1"/>
          <w:i w:val="1"/>
          <w:iCs w:val="1"/>
          <w:color w:val="auto"/>
        </w:rPr>
        <w:t>DIP Financing Liens</w:t>
      </w:r>
      <w:r>
        <w:rPr>
          <w:rFonts w:ascii="Arial" w:cs="Arial" w:eastAsia="Arial" w:hAnsi="Arial"/>
          <w:sz w:val="19"/>
          <w:szCs w:val="19"/>
          <w:color w:val="auto"/>
        </w:rPr>
        <w:t>”) or to any use of cash collateral that constitutes Notes Priority Collateral, unless the Notes Collateral Agent shall then oppose or object to such DIP Financing or such DIP Financing Liens or use of cash collateral that constitutes Notes Priority Collateral (and (i) to the extent that such DIP Financing Liens are senior to the Liens on any such Notes Priority Collateral for the benefit of the Notes Secured Parties, each LC Secured Party will subordinate its Liens with respect to such Notes Priority Collateral on the same terms as the Liens of the Notes Secured Parties (other than any Liens of any LC Secured Party constituting DIP Financing Liens) are subordinated thereto and to any “carve out” for the payment of professional fees, clerk fees, and United States trustee fees (or any other administration charge, directors’ and officers’ charge or similar court ordered priority charge under applicable Debtor Relief Laws) and (ii) to the extent that such DIP Financing Liens rank pari passu with the Liens on any such Notes Priority Collateral granted to secure the Notes Obligations of the Notes Secured Parties, each LC Secured Party will confirm the priorities with respect to such Notes Priority Collateral as set forth herein, in each case so long as (A) the Notes Secured Parties retain the benefit of their Liens on all such Notes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LC Secured Parties are granted junior Liens on any additional collateral pledged to any Notes Secured Party as adequate protection or otherwise in connection with such DIP Financing or use of cash collateral, (C) if any amount of such DIP Financing or cash collateral is applied to repay any of the Notes Obligations, such amount is applied pursuant to Section 2.01(a) of this Agreement, and</w:t>
      </w:r>
    </w:p>
    <w:p>
      <w:pPr>
        <w:spacing w:after="0" w:line="17" w:lineRule="exact"/>
        <w:rPr>
          <w:rFonts w:ascii="Arial" w:cs="Arial" w:eastAsia="Arial" w:hAnsi="Arial"/>
          <w:sz w:val="19"/>
          <w:szCs w:val="19"/>
          <w:color w:val="auto"/>
        </w:rPr>
      </w:pPr>
    </w:p>
    <w:p>
      <w:pPr>
        <w:ind w:left="1300"/>
        <w:spacing w:after="0" w:line="272" w:lineRule="auto"/>
        <w:rPr>
          <w:rFonts w:ascii="Arial" w:cs="Arial" w:eastAsia="Arial" w:hAnsi="Arial"/>
          <w:sz w:val="19"/>
          <w:szCs w:val="19"/>
          <w:color w:val="auto"/>
        </w:rPr>
      </w:pPr>
      <w:r>
        <w:rPr>
          <w:rFonts w:ascii="Arial" w:cs="Arial" w:eastAsia="Arial" w:hAnsi="Arial"/>
          <w:sz w:val="22"/>
          <w:szCs w:val="22"/>
          <w:color w:val="auto"/>
        </w:rPr>
        <w:t>(D) if any Notes Secured Parties are granted adequate protection, including in the form of periodic payments, in connection with such DIP Financing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5" w:name="page846"/>
    <w:bookmarkEnd w:id="845"/>
    <w:p>
      <w:pPr>
        <w:jc w:val="both"/>
        <w:ind w:left="180"/>
        <w:spacing w:after="0" w:line="308" w:lineRule="auto"/>
        <w:rPr>
          <w:sz w:val="20"/>
          <w:szCs w:val="20"/>
          <w:color w:val="auto"/>
        </w:rPr>
      </w:pPr>
      <w:r>
        <w:rPr>
          <w:rFonts w:ascii="Arial" w:cs="Arial" w:eastAsia="Arial" w:hAnsi="Arial"/>
          <w:sz w:val="19"/>
          <w:szCs w:val="19"/>
          <w:color w:val="auto"/>
        </w:rPr>
        <w:t xml:space="preserve">or use of cash collateral, the proceeds of such adequate protection are applied pursuant to Section 2.01(a)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LC Secured Parties shall have a right to object to the grant of a Lien (i) to secure the DIP Financing over any Collateral that shall not constitute Notes Priority Collateral and (ii) in respect of any additional Collateral that would not constitute Notes Priority Collateral hereunder were it pledged for the benefit of the Notes Secured Parties pursuant to the Notes Security Documents to any Notes Secured Party as adequate protection, for use of cash collateral, or otherwise, as set forth in clause (B) above; and</w:t>
      </w:r>
    </w:p>
    <w:p>
      <w:pPr>
        <w:spacing w:after="0" w:line="208" w:lineRule="exact"/>
        <w:rPr>
          <w:sz w:val="20"/>
          <w:szCs w:val="20"/>
          <w:color w:val="auto"/>
        </w:rPr>
      </w:pPr>
    </w:p>
    <w:p>
      <w:pPr>
        <w:jc w:val="both"/>
        <w:ind w:left="180" w:firstLine="652"/>
        <w:spacing w:after="0" w:line="299" w:lineRule="auto"/>
        <w:tabs>
          <w:tab w:leader="none" w:pos="1753" w:val="left"/>
        </w:tabs>
        <w:numPr>
          <w:ilvl w:val="0"/>
          <w:numId w:val="944"/>
        </w:numPr>
        <w:rPr>
          <w:rFonts w:ascii="Arial" w:cs="Arial" w:eastAsia="Arial" w:hAnsi="Arial"/>
          <w:sz w:val="19"/>
          <w:szCs w:val="19"/>
          <w:color w:val="auto"/>
        </w:rPr>
      </w:pPr>
      <w:r>
        <w:rPr>
          <w:rFonts w:ascii="Arial" w:cs="Arial" w:eastAsia="Arial" w:hAnsi="Arial"/>
          <w:sz w:val="19"/>
          <w:szCs w:val="19"/>
          <w:color w:val="auto"/>
        </w:rPr>
        <w:t xml:space="preserve">if the LC Collateral Agent desires to permit a DIP Financing secured by a Lien on LC Priority Collateral, to be provided by DIP Lenders under Section 364 of the Bankruptcy Code (or any similar provision of any other Debtor Relief Laws) or the use of cash collateral under Section 363 of the Bankruptcy Code (or any similar provision of any other Debtor Relief Laws), then the Notes Collateral Agent and the Notes Secured Parties hereby agree not to object to any such financing or to the DIP Financing Liens on the LC Priority Collateral securing the same or to any use of cash collateral that constitutes LC Priority Collateral, unless the LC Collateral Agent shall then oppose or object to such DIP Financing or such DIP Financing Liens or use of cash collateral that constitutes LC Priority Collateral (and (i) to the extent that such DIP Financing Liens are senior to the Liens on any such LC Priority Collateral for the benefit of the LC Secured Parties, each Notes Secured Party will subordinate its Liens with respect to such LC Priority Collateral on the same terms as the Liens of the LC Secured Parties (other than any Liens of any Notes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on any such LC Priority Collateral granted to secure the LC Obligations of the LC Secured Parties, each Notes Secured Party will confirm the priorities with respect to such LC Priority Collateral as set forth herein), in each case so long as (A) the Notes Secured Parties retain the benefit of their Liens on all such LC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Notes Secured Parties are granted Liens on any additional collateral pledged to any LC Secured Party as adequate protection or otherwise in connection with such DIP Financing or use of cash collateral, (C) if any amount of such DIP Financing or cash collateral is applied to repay any of the LC Obligations, such amount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and (D) if any LC Secured Parties are granted adequate protection, including in the form of periodic payments, in connection with such DIP Financing or use of cash collateral, the proceeds of such adequate protection is applied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Notes Secured Parties shall have a right to object to the grant of a Lien (i) to secure the DIP Financing over any Collateral that shall not constitute LC</w:t>
      </w:r>
    </w:p>
    <w:p>
      <w:pPr>
        <w:spacing w:after="0" w:line="200" w:lineRule="exact"/>
        <w:rPr>
          <w:sz w:val="20"/>
          <w:szCs w:val="20"/>
          <w:color w:val="auto"/>
        </w:rPr>
      </w:pPr>
    </w:p>
    <w:p>
      <w:pPr>
        <w:spacing w:after="0" w:line="21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846" w:name="page847"/>
    <w:bookmarkEnd w:id="846"/>
    <w:p>
      <w:pPr>
        <w:jc w:val="both"/>
        <w:ind w:left="1300"/>
        <w:spacing w:after="0" w:line="262" w:lineRule="auto"/>
        <w:rPr>
          <w:sz w:val="20"/>
          <w:szCs w:val="20"/>
          <w:color w:val="auto"/>
        </w:rPr>
      </w:pPr>
      <w:r>
        <w:rPr>
          <w:rFonts w:ascii="Arial" w:cs="Arial" w:eastAsia="Arial" w:hAnsi="Arial"/>
          <w:sz w:val="22"/>
          <w:szCs w:val="22"/>
          <w:color w:val="auto"/>
        </w:rPr>
        <w:t>Priority Collateral and (ii) in respect of any additional Collateral that would not constitute LC Priority Collateral hereunder were it pledged for the benefit of the LC Secured Parties pursuant to the LC Security Documents to any LC Facility Secured Party as adequate protection, for use of cash collateral, or otherwise, as set forth in clause (B) above).</w:t>
      </w:r>
    </w:p>
    <w:p>
      <w:pPr>
        <w:spacing w:after="0" w:line="245" w:lineRule="exact"/>
        <w:rPr>
          <w:sz w:val="20"/>
          <w:szCs w:val="20"/>
          <w:color w:val="auto"/>
        </w:rPr>
      </w:pPr>
    </w:p>
    <w:p>
      <w:pPr>
        <w:jc w:val="both"/>
        <w:ind w:left="1300" w:firstLine="652"/>
        <w:spacing w:after="0" w:line="262" w:lineRule="auto"/>
        <w:tabs>
          <w:tab w:leader="none" w:pos="2906" w:val="left"/>
        </w:tabs>
        <w:numPr>
          <w:ilvl w:val="1"/>
          <w:numId w:val="945"/>
        </w:numPr>
        <w:rPr>
          <w:rFonts w:ascii="Arial" w:cs="Arial" w:eastAsia="Arial" w:hAnsi="Arial"/>
          <w:sz w:val="22"/>
          <w:szCs w:val="22"/>
          <w:color w:val="auto"/>
        </w:rPr>
      </w:pPr>
      <w:r>
        <w:rPr>
          <w:rFonts w:ascii="Arial" w:cs="Arial" w:eastAsia="Arial" w:hAnsi="Arial"/>
          <w:sz w:val="22"/>
          <w:szCs w:val="22"/>
          <w:color w:val="auto"/>
        </w:rPr>
        <w:t>No Junior Secured Obligations Secured Party will directly or indirectly propose or support any DIP Financing secured by a Lien senior or prior to the Liens of the Senior Secured Obligations Secured Parties on the Senior Secured Obligations Collateral unless such DIP Financing provides for the Discharge of the Senior Secured Obligations.</w:t>
      </w:r>
    </w:p>
    <w:p>
      <w:pPr>
        <w:spacing w:after="0" w:line="191" w:lineRule="exact"/>
        <w:rPr>
          <w:rFonts w:ascii="Arial" w:cs="Arial" w:eastAsia="Arial" w:hAnsi="Arial"/>
          <w:sz w:val="22"/>
          <w:szCs w:val="22"/>
          <w:color w:val="auto"/>
        </w:rPr>
      </w:pPr>
    </w:p>
    <w:p>
      <w:pPr>
        <w:jc w:val="both"/>
        <w:ind w:firstLine="1304"/>
        <w:spacing w:after="0" w:line="300" w:lineRule="auto"/>
        <w:tabs>
          <w:tab w:leader="none" w:pos="2116" w:val="left"/>
        </w:tabs>
        <w:numPr>
          <w:ilvl w:val="0"/>
          <w:numId w:val="946"/>
        </w:numPr>
        <w:rPr>
          <w:rFonts w:ascii="Arial" w:cs="Arial" w:eastAsia="Arial" w:hAnsi="Arial"/>
          <w:sz w:val="19"/>
          <w:szCs w:val="19"/>
          <w:color w:val="auto"/>
        </w:rPr>
      </w:pPr>
      <w:r>
        <w:rPr>
          <w:rFonts w:ascii="Arial" w:cs="Arial" w:eastAsia="Arial" w:hAnsi="Arial"/>
          <w:sz w:val="19"/>
          <w:szCs w:val="19"/>
          <w:color w:val="auto"/>
        </w:rPr>
        <w:t>The Applicable Junior Collateral Agent and each Junior Secured Obligations Secured Party agrees that it will not object to and will not otherwise contest: (i) any motion for relief from the automatic stay or any other stay in any Insolvency or Liquidation Proceeding (including by way of moratorium) or from any injunction against foreclosure or enforcement in respect of the Senior Secured Obligations made by the Applicable Senior Collateral Agent or any Senior Secured Obligations Secured Party; (ii) any lawful exercise by any holder of Senior Claims of the right to credit bid Senior Claims in any sale of Collateral that is Senior Secured Obligations Collateral with respect to such Senior Claims; (iii) any other request for judicial relief made in any court by the Applicable Senior Collateral Agent or any Senior Secured Obligations Secured Party relating to the lawful enforcement of any Lien on the Senior Secured Obligations Collateral; (iv) and will consent to any sale or other disposition (or related order) of any Senior Secured Obligations Collateral (or any portion thereof) under Section 363 of the Bankruptcy Code or any other provision of the Bankruptcy Code (or any equivalent action under any other Debtor Relief Law) if the Senior Secured Obligations Secured Parties shall have consented to such sale or disposition (or related order) of such Senior Secured Obligations Collateral if such sale or other disposition is not free and clear of the Liens securing the Junior Secured Obligations or (v) any sale or other disposition (or related order) of any Senior Secured Obligations Collateral (or any portion thereof) under Section 363 of the Bankruptcy Code or any other equivalent provision of the Bankruptcy Code (or any other provision under any other Debtor Relief Law) if the Senior Secured Obligations Secured Parties shall have consented, and the related court order provides that, to the extent the sale is to be free and clear of Liens, the Liens securing the Senior Secured Obligations and the Junior Secured Obligations will attach to the proceeds of the sale on the same basis of priority as the Liens securing such Obligations on the assets being sold, in accordance with this Agreement.</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304"/>
        <w:spacing w:after="0" w:line="274" w:lineRule="auto"/>
        <w:tabs>
          <w:tab w:leader="none" w:pos="2115" w:val="left"/>
        </w:tabs>
        <w:numPr>
          <w:ilvl w:val="0"/>
          <w:numId w:val="946"/>
        </w:numPr>
        <w:rPr>
          <w:rFonts w:ascii="Arial" w:cs="Arial" w:eastAsia="Arial" w:hAnsi="Arial"/>
          <w:sz w:val="21"/>
          <w:szCs w:val="21"/>
          <w:color w:val="auto"/>
        </w:rPr>
      </w:pPr>
      <w:r>
        <w:rPr>
          <w:rFonts w:ascii="Arial" w:cs="Arial" w:eastAsia="Arial" w:hAnsi="Arial"/>
          <w:sz w:val="21"/>
          <w:szCs w:val="21"/>
          <w:color w:val="auto"/>
        </w:rPr>
        <w:t>The Applicable Junior Collateral Agent and each Junior Secured Obligations Secured Party agrees that it will not seek relief from the automatic stay or any other stay in any Insolvency or Liquidation Proceeding (including by way of moratorium) with respect to Senior Secured Obligations Collateral without the prior consent of the Applicable Senior Collateral Agent, unless, and solely to the extent that, the Applicable Senior Collateral Agent or Senior Secured Obligations Secured Party shall obtain relief from the automatic stay (or any other stay in any Insolvency or Liquidation Proceeding) with respect to such collateral to commence a lien enforcement 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7" w:name="page848"/>
    <w:bookmarkEnd w:id="847"/>
    <w:p>
      <w:pPr>
        <w:jc w:val="both"/>
        <w:ind w:firstLine="1304"/>
        <w:spacing w:after="0" w:line="298" w:lineRule="auto"/>
        <w:tabs>
          <w:tab w:leader="none" w:pos="2076" w:val="left"/>
        </w:tabs>
        <w:numPr>
          <w:ilvl w:val="0"/>
          <w:numId w:val="947"/>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it will not, other than as set forth in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object to and will not otherwise contest (or support any other Person contesting): (i) any request by the Applicable Senior Collateral Agent or any Senior Secured Obligations Secured Party for adequate protection;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Notes Secured Party, solely in its capacity as a Senior Secured Obligations Secured Party, may object to adequate protection in the form of cash payments to the extent such payment is sought to be paid from Notes Priority Collateral, any DIP Financing under </w:t>
      </w:r>
      <w:r>
        <w:rPr>
          <w:rFonts w:ascii="Arial" w:cs="Arial" w:eastAsia="Arial" w:hAnsi="Arial"/>
          <w:sz w:val="19"/>
          <w:szCs w:val="19"/>
          <w:u w:val="single" w:color="auto"/>
          <w:color w:val="auto"/>
        </w:rPr>
        <w:t>Section 2.06(b)(i)</w:t>
      </w:r>
      <w:r>
        <w:rPr>
          <w:rFonts w:ascii="Arial" w:cs="Arial" w:eastAsia="Arial" w:hAnsi="Arial"/>
          <w:sz w:val="19"/>
          <w:szCs w:val="19"/>
          <w:color w:val="auto"/>
        </w:rPr>
        <w:t xml:space="preserve"> or the proceeds thereof and (2) any LC Secured Party, solely in its capacity as a Senior Secured Obligations Secured Party, may object to adequate protection in the form of cash payments to the extent such payment is sought to be paid from LC Priority Collateral, any DIP Financing under </w:t>
      </w:r>
      <w:r>
        <w:rPr>
          <w:rFonts w:ascii="Arial" w:cs="Arial" w:eastAsia="Arial" w:hAnsi="Arial"/>
          <w:sz w:val="19"/>
          <w:szCs w:val="19"/>
          <w:u w:val="single" w:color="auto"/>
          <w:color w:val="auto"/>
        </w:rPr>
        <w:t>Section 2.06(b)(ii)</w:t>
      </w:r>
      <w:r>
        <w:rPr>
          <w:rFonts w:ascii="Arial" w:cs="Arial" w:eastAsia="Arial" w:hAnsi="Arial"/>
          <w:sz w:val="19"/>
          <w:szCs w:val="19"/>
          <w:color w:val="auto"/>
        </w:rPr>
        <w:t xml:space="preserve"> or the proceeds thereof or (ii) any objection by the Applicable Senior Collateral Agent or any Senior Secured Obligations Secured Party to any motion, relief, action or proceeding based on the Applicable Senior Collateral Agent or any Senior Secured Obligations Secured Party claiming a lack of adequate protection. Notwithstanding the foregoing, in any Insolvency or Liquidation Proceeding, (x) if the Senior Secured Obligations Secured Parties (or any subset thereof) are granted adequate protection in the form of a replacement lien or additional collateral in connection with any DIP Financing or use of cash collateral under Section 363 or Section 364 of the Bankruptcy Code or any similar law, then the Applicable Junior Collateral Agent may seek or request adequate protection in the form of a replacement Lien on such additional collateral, so long as, with respect to the Senior Secured Obligations Collateral, such Lien is subordinated to the Liens securing the Senior Secured Obligations and such DIP Financing (and all obligations relating thereto), on the same basis as the other Liens securing Junior Secured Obligations on the Senior Secured Obligations Collateral are subordinated to the Liens on Senior Secured Obligations Collateral securing the Senior Secured Obligations under this Agreement; (y) in the event the Applicable Junior Collateral Agent seeks or requests adequate protection and such adequate protection is granted in the form of a replacement lien or additional collateral, then the Applicable Junior Collateral Agent and the Junior Secured Obligations Secured Parties hereby agree that the Senior Secured Obligations Secured Parties shall also be granted a Lien on such additional collateral as security for the Senior Secured Obligations and any such DIP Financing and that any Lien on such additional collateral that constitutes Senior Secured Obligations Collateral securing the Junior Secured Obligations shall be subordinated to the Liens on such collateral securing the Senior Secured Obligations and any such DIP Financing (and all obligations relating thereto) and any other Liens on Senior Secured Obligations Collateral granted to the holders of Senior Secured Obligations as adequate protection on the same basis as the Liens securing Junior Secured Obligations are so subordinated to the Liens securing the Senior Secured Obligations under this Agreement; (z) any adequate protection granted in favor of any Senior Secured Obligations Secured Party in the form of a superpriority or other administrative expense claim and any claim in favor of any Senior Secured Obligations Secured Party arising under Section 507(b) of the Bankruptcy Code (or similar Debtor Relief Laws) (collectively, “</w:t>
      </w:r>
      <w:r>
        <w:rPr>
          <w:rFonts w:ascii="Arial" w:cs="Arial" w:eastAsia="Arial" w:hAnsi="Arial"/>
          <w:sz w:val="19"/>
          <w:szCs w:val="19"/>
          <w:u w:val="single" w:color="auto"/>
          <w:color w:val="auto"/>
        </w:rPr>
        <w:t>Senior 507(b) Claims</w:t>
      </w:r>
      <w:r>
        <w:rPr>
          <w:rFonts w:ascii="Arial" w:cs="Arial" w:eastAsia="Arial" w:hAnsi="Arial"/>
          <w:sz w:val="19"/>
          <w:szCs w:val="19"/>
          <w:color w:val="auto"/>
        </w:rPr>
        <w:t>”) shall be senior to and have priority of payment over any superpriority or other administrative expense claim and any claim arising under Section 507(b) of the Bankruptcy Code (or similar Debtor Relief Laws) in favor of any Junior Secured Obligations Secured Party (collectively, “</w:t>
      </w:r>
      <w:r>
        <w:rPr>
          <w:rFonts w:ascii="Arial" w:cs="Arial" w:eastAsia="Arial" w:hAnsi="Arial"/>
          <w:sz w:val="19"/>
          <w:szCs w:val="19"/>
          <w:u w:val="single" w:color="auto"/>
          <w:color w:val="auto"/>
        </w:rPr>
        <w:t>Junior 507(b) Claims</w:t>
      </w:r>
      <w:r>
        <w:rPr>
          <w:rFonts w:ascii="Arial" w:cs="Arial" w:eastAsia="Arial" w:hAnsi="Arial"/>
          <w:sz w:val="19"/>
          <w:szCs w:val="19"/>
          <w:color w:val="auto"/>
        </w:rPr>
        <w:t>”). The holders of the Junior 507(b) Claims agree that, in connection with any Plan of Reorganization in any Insolvency or Liquidation Proceeding, such Junior 507(b) Claims may be paid in any combination of cash, securities, or other property having a present value equal to the amount of such Junior 507(b) Claims as of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8" w:name="page849"/>
    <w:bookmarkEnd w:id="848"/>
    <w:p>
      <w:pPr>
        <w:jc w:val="both"/>
        <w:spacing w:after="0" w:line="266" w:lineRule="auto"/>
        <w:rPr>
          <w:sz w:val="20"/>
          <w:szCs w:val="20"/>
          <w:color w:val="auto"/>
        </w:rPr>
      </w:pPr>
      <w:r>
        <w:rPr>
          <w:rFonts w:ascii="Arial" w:cs="Arial" w:eastAsia="Arial" w:hAnsi="Arial"/>
          <w:sz w:val="22"/>
          <w:szCs w:val="22"/>
          <w:color w:val="auto"/>
        </w:rPr>
        <w:t xml:space="preserve">effective date of such plan. For the avoidance of doubt, as between the Notes Secured Parties and LC Secured Parties, all Senior 507(b) Claims shall be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Senior 507(b) Claims held by the other Class, and all Junior 507(b) Claims shall be </w:t>
      </w:r>
      <w:r>
        <w:rPr>
          <w:rFonts w:ascii="Arial" w:cs="Arial" w:eastAsia="Arial" w:hAnsi="Arial"/>
          <w:sz w:val="22"/>
          <w:szCs w:val="22"/>
          <w:i w:val="1"/>
          <w:iCs w:val="1"/>
          <w:color w:val="auto"/>
        </w:rPr>
        <w:t xml:space="preserve">pari passu </w:t>
      </w:r>
      <w:r>
        <w:rPr>
          <w:rFonts w:ascii="Arial" w:cs="Arial" w:eastAsia="Arial" w:hAnsi="Arial"/>
          <w:sz w:val="22"/>
          <w:szCs w:val="22"/>
          <w:color w:val="auto"/>
        </w:rPr>
        <w:t>with the Junior 507(b) Claims held by the other Class.</w:t>
      </w:r>
    </w:p>
    <w:p>
      <w:pPr>
        <w:spacing w:after="0" w:line="239" w:lineRule="exact"/>
        <w:rPr>
          <w:sz w:val="20"/>
          <w:szCs w:val="20"/>
          <w:color w:val="auto"/>
        </w:rPr>
      </w:pPr>
    </w:p>
    <w:p>
      <w:pPr>
        <w:jc w:val="both"/>
        <w:ind w:firstLine="1304"/>
        <w:spacing w:after="0" w:line="304" w:lineRule="auto"/>
        <w:tabs>
          <w:tab w:leader="none" w:pos="2065" w:val="left"/>
        </w:tabs>
        <w:numPr>
          <w:ilvl w:val="0"/>
          <w:numId w:val="948"/>
        </w:numPr>
        <w:rPr>
          <w:rFonts w:ascii="Arial" w:cs="Arial" w:eastAsia="Arial" w:hAnsi="Arial"/>
          <w:sz w:val="19"/>
          <w:szCs w:val="19"/>
          <w:color w:val="auto"/>
        </w:rPr>
      </w:pPr>
      <w:r>
        <w:rPr>
          <w:rFonts w:ascii="Arial" w:cs="Arial" w:eastAsia="Arial" w:hAnsi="Arial"/>
          <w:sz w:val="19"/>
          <w:szCs w:val="19"/>
          <w:color w:val="auto"/>
        </w:rPr>
        <w:t xml:space="preserve">The Applicable Junior Collateral Agent and each Junior Secured Obligations Secured Party hereby agrees that (i) it will not oppose or seek to challenge any claim by the Applicable Senior Collateral Agent or any Senior Secured Obligations Secured Party for allowance of Senior Secured Obligations consisting of post-petition interest, costs, fees, charges, or expenses and (ii) until the Discharge of Senior Secured Obligations has occurred, the Applicable Junior Collateral Agent, on behalf of itself and the Junior Secured Obligations Secured Parties, will not assert or enforce any claim under Section 506(c) of the Bankruptcy Code (or any similar provision of any other Debtor Relief Laws) senior to or on a parity with the Liens on Senior Secured Obligations Collateral securing the Senior Secured Obligations for costs or expenses of preserving or disposing of any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any amounts received by the Applicable Senior Collateral Agent pursuant to such a claim shall in all cases be subject to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299" w:lineRule="auto"/>
        <w:tabs>
          <w:tab w:leader="none" w:pos="2115" w:val="left"/>
        </w:tabs>
        <w:numPr>
          <w:ilvl w:val="0"/>
          <w:numId w:val="948"/>
        </w:numPr>
        <w:rPr>
          <w:rFonts w:ascii="Arial" w:cs="Arial" w:eastAsia="Arial" w:hAnsi="Arial"/>
          <w:sz w:val="19"/>
          <w:szCs w:val="19"/>
          <w:color w:val="auto"/>
        </w:rPr>
      </w:pPr>
      <w:r>
        <w:rPr>
          <w:rFonts w:ascii="Arial" w:cs="Arial" w:eastAsia="Arial" w:hAnsi="Arial"/>
          <w:sz w:val="19"/>
          <w:szCs w:val="19"/>
          <w:color w:val="auto"/>
        </w:rPr>
        <w:t>The LC Collateral Agent, on behalf of the LC Secured Parties, and the Notes Collateral Agent, on behalf of the Notes Secured Parties, acknowledge and intend that the grants of Liens pursuant to the LC Security Documents, on the one hand, and the Notes Security Documents, on the other hand, constitute separate and distinct grants of Liens, and because of, among other things, their differing rights in the Collateral, the LC Obligations are fundamentally different from the Notes Obligations and must be separately classified in any Plan of Reorganization proposed or confirmed (or approved) in an Insolvency or Liquidation Proceeding. To further effectuate the intent of the parties as provided in the immediately preceding sentence, if it is held that the claims of the Notes Secured Parties and the LC Secured Parties in respect of any Collateral constitute claims in the same class (rather than separate classes of senior and junior secured claims), then the Notes Secured Parties and the LC Secured Parties hereby acknowledge and agree that all distributions shall be made as if there were separate classes of Notes Obligations and LC Obligations against the Grantors (with the effect being that, to the extent that the aggregate value of the Notes Priority Collateral or the LC Priority Collateral is sufficient (for this purpose ignoring all claims held by the other Secured Parties for whom such Collateral is Junior Secured Obligations Collateral), the Notes Secured Parties or the LC Secured Parties, respectively, shall be entitled to receive, in addition to amounts distributed to them in respect of principal, pre-petition interest and other claims, all amounts owing in respect of post-petition interest, costs, fees, charges, or expenses that are available from the Senior Secured Obligations Collateral for each of the Notes Secured Parties and the LC Secured Parties, respectively, before any distribution is made in respect of the Junior Claims with respect to such Collateral, with the holder of such Junior Claims hereby acknowledging and agreeing to turn over to the Junior Secured Obligations Secured Parties amounts otherwise received or receivable by them to the extent necessary to effectuate the intent of this sentence, even if such turnover has the effect of reducing the aggregate recoveries). Additionally, to further effectuate the intent of the parties as provided in this subsection, if it is held that the claims of any of the LC Secured Parties, on the one hand, and the Notes Secured Parties, on the other hand, constitute claims in the same class (rather than separate classes of secured claims), then the Notes Secured Parties hereby acknowledge and agree to vote to reject such plan of reorganization or similar dispositive restructuring plan unless LC Secured Parties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9" w:name="page850"/>
    <w:bookmarkEnd w:id="849"/>
    <w:p>
      <w:pPr>
        <w:jc w:val="both"/>
        <w:spacing w:after="0" w:line="304" w:lineRule="auto"/>
        <w:rPr>
          <w:sz w:val="20"/>
          <w:szCs w:val="20"/>
          <w:color w:val="auto"/>
        </w:rPr>
      </w:pPr>
      <w:r>
        <w:rPr>
          <w:rFonts w:ascii="Arial" w:cs="Arial" w:eastAsia="Arial" w:hAnsi="Arial"/>
          <w:sz w:val="19"/>
          <w:szCs w:val="19"/>
          <w:color w:val="auto"/>
        </w:rPr>
        <w:t>greater than half in number and holding greater than two-thirds in amount of the LC Obligations agree to accept such plan or such plan provides for the Discharge of LC Obligations. The Notes Collateral Agent (on behalf of all the Notes Secured Parties) agrees it shall not object to or contest (or support any other party in objection or contesting) a plan of reorganization or other dispositive restructuring plan on the grounds that the LC Obligations and Notes Obligations are classified separately. The Notes Collateral Agent (on behalf of all the Notes Secured Parties) agrees that in any Insolvency or Liquidation Proceeding, neither it nor any other Notes Secured Party shall support or vote to accept any plan of reorganization of the Borrower or any other Grantor unless the plan of reorganization is accepted by the LC Secured Parties in accordance with Section 1126(e) of the Bankruptcy Code or otherwise provides for the Discharge of LC Obligations on the effective date of such plan of reorganization. Except as provided herein, the Notes Secured Parties shall remain entitled to vote their claims in any such Insolvency or Liquidation Proceeding.</w:t>
      </w:r>
    </w:p>
    <w:p>
      <w:pPr>
        <w:spacing w:after="0" w:line="209" w:lineRule="exact"/>
        <w:rPr>
          <w:sz w:val="20"/>
          <w:szCs w:val="20"/>
          <w:color w:val="auto"/>
        </w:rPr>
      </w:pPr>
    </w:p>
    <w:p>
      <w:pPr>
        <w:jc w:val="both"/>
        <w:ind w:firstLine="1304"/>
        <w:spacing w:after="0" w:line="273" w:lineRule="auto"/>
        <w:tabs>
          <w:tab w:leader="none" w:pos="2223" w:val="left"/>
        </w:tabs>
        <w:numPr>
          <w:ilvl w:val="0"/>
          <w:numId w:val="949"/>
        </w:numPr>
        <w:rPr>
          <w:rFonts w:ascii="Arial" w:cs="Arial" w:eastAsia="Arial" w:hAnsi="Arial"/>
          <w:sz w:val="21"/>
          <w:szCs w:val="21"/>
          <w:color w:val="auto"/>
        </w:rPr>
      </w:pPr>
      <w:r>
        <w:rPr>
          <w:rFonts w:ascii="Arial" w:cs="Arial" w:eastAsia="Arial" w:hAnsi="Arial"/>
          <w:sz w:val="21"/>
          <w:szCs w:val="21"/>
          <w:color w:val="auto"/>
        </w:rPr>
        <w:t>If, in any Insolvency or Liquidation Proceeding, debt obligations of the reorganized debtor secured by Liens upon any property of the reorganized debtor are distributed pursuant to a Plan of Reorganization (or any form of Court-sanctioned restructuring permitted under any applicable law), both on account of the Notes Obligations and on account of the LC Obligations, then, to the extent the debt obligations distributed on account of the Notes Obligations and on account of the LC Obligations are secured by Liens upon the Collateral, the provisions of this Agreement will survive the distribution of such debt obligations pursuant to such plan and will apply with like effect to the debt obligations so distributed, to the Liens securing such debt obligations and the distribution of proceeds thereof.</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Notwithstanding anything to the contrary contained herein, if in any Insolvency or Liquidation Proceeding a determination is made that any Lien encumbering any Collateral is not enforceable for any reason, then each of the LC Collateral Agent and the Notes Collateral Agent for themselves and on behalf of their respective Secured Parties agrees that, any distribution or recovery they may receive in respect of any Collateral (including assets that would constitute Collateral but for such determination) shall be segregated and held in trust and forthwith paid over to the LC Collateral Agent or the Notes Collateral Agent, as the case may be, in the same form as received without recourse, representation or warranty (other than a representation of such Collateral Agent that it has not otherwise sold, assigned, transferred or pledged any right, title or interest in and to such distribution or recovery) but with any necessary endorsements or as a court of competent jurisdiction may otherwise direct in order to comply with the priority provisions set forth in Section 2.01</w:t>
      </w:r>
    </w:p>
    <w:p>
      <w:pPr>
        <w:spacing w:after="0" w:line="183" w:lineRule="exact"/>
        <w:rPr>
          <w:sz w:val="20"/>
          <w:szCs w:val="20"/>
          <w:color w:val="auto"/>
        </w:rPr>
      </w:pPr>
    </w:p>
    <w:p>
      <w:pPr>
        <w:jc w:val="both"/>
        <w:ind w:firstLine="1304"/>
        <w:spacing w:after="0" w:line="272" w:lineRule="auto"/>
        <w:tabs>
          <w:tab w:leader="none" w:pos="2215" w:val="left"/>
        </w:tabs>
        <w:numPr>
          <w:ilvl w:val="0"/>
          <w:numId w:val="950"/>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Sections 2.02(a) and 2.02(b), 2.04(a) and 2.06(b), (c) (e) and (f) or otherwise, both before and during an Insolvency or Liquidation Proceeding, any of the Junior Secured Obligations Secured Parties may take any actions and exercise any and all rights that would be available to a holder of unsecured claims, including, without limitation, the commencement of an Insolvency or Liquidation Proceeding against any Grantor in accordance with applicable law (including the Debtor Relief Laws of any applicable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Junior Secured Obligations Secured Parties may not take any of the actions that is inconsistent with the terms of this Agreement, including without limitation, such actions prohibited by Sections 2.02(a) and 2.02(b), Section 2.04(a) or Section 2.06(b), (c), (e) and (f);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in the event that any of the Junior Secured Obligations Secured Parties becomes a judgment lien creditor in respect of any Collateral as a result of its enforcement of its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0" w:name="page851"/>
    <w:bookmarkEnd w:id="850"/>
    <w:p>
      <w:pPr>
        <w:jc w:val="both"/>
        <w:spacing w:after="0" w:line="266" w:lineRule="auto"/>
        <w:rPr>
          <w:sz w:val="20"/>
          <w:szCs w:val="20"/>
          <w:color w:val="auto"/>
        </w:rPr>
      </w:pPr>
      <w:r>
        <w:rPr>
          <w:rFonts w:ascii="Arial" w:cs="Arial" w:eastAsia="Arial" w:hAnsi="Arial"/>
          <w:sz w:val="22"/>
          <w:szCs w:val="22"/>
          <w:color w:val="auto"/>
        </w:rPr>
        <w:t>rights as an unsecured creditor with respect to the Junior Secured Obligations, such judgment lien shall be subject to the terms of this Agreement for all purposes (including in relation to the Senior Secured Obligations) as the other Liens securing the Junior Secured Obligations are subject to this Agreement.</w:t>
      </w:r>
    </w:p>
    <w:p>
      <w:pPr>
        <w:spacing w:after="0" w:line="23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b w:val="1"/>
          <w:bCs w:val="1"/>
          <w:i w:val="1"/>
          <w:iCs w:val="1"/>
          <w:color w:val="auto"/>
        </w:rPr>
        <w:t>Reinstatement</w:t>
      </w:r>
      <w:r>
        <w:rPr>
          <w:rFonts w:ascii="Arial" w:cs="Arial" w:eastAsia="Arial" w:hAnsi="Arial"/>
          <w:sz w:val="22"/>
          <w:szCs w:val="22"/>
          <w:color w:val="auto"/>
        </w:rPr>
        <w:t>. In the event that any of the Senior Secured Obligations shall be paid in full and such payment or any part thereof shall subsequently, for whatever reason (including an order or judgment for disgorgement of a preference under any Debtor Relief Law, or the settlement of any claim in respect thereof), be required to be returned or repaid, the terms and conditions of this Article II shall be fully applicable thereto until all such Senior Secured Obligations shall again have been irrevocably paid in full in cash.</w:t>
      </w:r>
    </w:p>
    <w:p>
      <w:pPr>
        <w:spacing w:after="0" w:line="19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8"/>
          <w:szCs w:val="18"/>
          <w:b w:val="1"/>
          <w:bCs w:val="1"/>
          <w:i w:val="1"/>
          <w:iCs w:val="1"/>
          <w:color w:val="auto"/>
        </w:rPr>
        <w:t>[Reserved]</w:t>
      </w:r>
      <w:r>
        <w:rPr>
          <w:rFonts w:ascii="Arial" w:cs="Arial" w:eastAsia="Arial" w:hAnsi="Arial"/>
          <w:sz w:val="18"/>
          <w:szCs w:val="18"/>
          <w:color w:val="auto"/>
        </w:rPr>
        <w:t>.</w:t>
      </w:r>
    </w:p>
    <w:p>
      <w:pPr>
        <w:spacing w:after="0" w:line="23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b w:val="1"/>
          <w:bCs w:val="1"/>
          <w:i w:val="1"/>
          <w:iCs w:val="1"/>
          <w:color w:val="auto"/>
        </w:rPr>
        <w:t>Insurance</w:t>
      </w:r>
      <w:r>
        <w:rPr>
          <w:rFonts w:ascii="Arial" w:cs="Arial" w:eastAsia="Arial" w:hAnsi="Arial"/>
          <w:sz w:val="19"/>
          <w:szCs w:val="19"/>
          <w:color w:val="auto"/>
        </w:rPr>
        <w:t>. Unless and until the Notes Obligations have been Discharged, as between the Notes Collateral Agent, on the one hand, and the LC Collateral Agent, on the other hand, only the Notes Collateral Agent will have the right (subject to the rights of the Grantors under the Notes Documents and the LC Documents) to adjust or settle any insurance policy or claim covering or constituting Notes Priority Collateral in the event of any loss thereunder and to approve any award granted in any condemnation or similar proceeding affecting the Notes Priority Collateral. Unless and until the LC Obligations have been Discharged, as between the Notes Collateral Agent, on the one hand, and the LC Collateral Agent, on the other hand, only the LC Collateral Agent will have the right (subject to the rights of the Grantors under the Notes Documents and the LC Documents) to adjust or settle any insurance policy covering or constituting LC Priority Collateral in the event of any loss thereunder and to approve any award granted in any condemnation or similar proceeding solely affecting the LC Priority Collateral. To the extent that an insured loss covers or constitutes Notes Priority Collateral and LC Priority Collateral, then the Notes Collateral Agent and the LC Collateral Agent will work jointly and in good faith to collect, adjust or settle (subject to the rights of the Grantors under the Notes Documents and the LC Obligations Documents) under the relevant insurance policy.</w:t>
      </w:r>
    </w:p>
    <w:p>
      <w:pPr>
        <w:spacing w:after="0" w:line="15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b w:val="1"/>
          <w:bCs w:val="1"/>
          <w:i w:val="1"/>
          <w:iCs w:val="1"/>
          <w:color w:val="auto"/>
        </w:rPr>
        <w:t>Refinancings</w:t>
      </w:r>
      <w:r>
        <w:rPr>
          <w:rFonts w:ascii="Arial" w:cs="Arial" w:eastAsia="Arial" w:hAnsi="Arial"/>
          <w:sz w:val="21"/>
          <w:szCs w:val="21"/>
          <w:color w:val="auto"/>
        </w:rPr>
        <w:t xml:space="preserve">. Each of the Notes Obligations and the LC Obligations and the agreements governing them may be Refinanced, in each case without notice to, or the consent (except to the extent a consent is otherwise required to permit the Refinancing transaction under any Notes Document or any LC Obligations Document, as in effect on the date hereof or as may be amended in accordance with the terms hereof) of, any Notes Secured Party or any LC Secured Party, all without affecting the priorities provided for herein or the other provisions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the holders of any such Refinancing indebtedness (or an authorized agent or trustee on their behalf) bind themselves in writing (to the extent they are not already so bound) to the terms of this Agreement pursuant to a joinder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and such other Refinancing documents or agreements (including amendments or supplements to this Agreement) as each Applicable Senior Collateral Agent, shall reasonably request and in form and substance reasonably acceptable to such Applicable Senior Collateral Agent. In connection with any Refinancing contemplated by this Section 2.10, this Agreement may be amended at the request and sole expense of the Parent, and without the consent (except to the extent a consent is otherwise required to permit such Refinancing transaction under any Notes Document or any LC Obligations Document, and other than the consent of each Applicable Senior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1" w:name="page852"/>
    <w:bookmarkEnd w:id="851"/>
    <w:p>
      <w:pPr>
        <w:jc w:val="both"/>
        <w:spacing w:after="0" w:line="299" w:lineRule="auto"/>
        <w:rPr>
          <w:sz w:val="20"/>
          <w:szCs w:val="20"/>
          <w:color w:val="auto"/>
        </w:rPr>
      </w:pPr>
      <w:r>
        <w:rPr>
          <w:rFonts w:ascii="Arial" w:cs="Arial" w:eastAsia="Arial" w:hAnsi="Arial"/>
          <w:sz w:val="19"/>
          <w:szCs w:val="19"/>
          <w:color w:val="auto"/>
        </w:rPr>
        <w:t>Collateral Agent, whose consent shall still be required to the extent set forth in the proviso of the immediately preceding sentence) of any Representative, (a) to add parties (or any authorized agent or trustee therefor) providing any such Refinancing,</w:t>
      </w:r>
    </w:p>
    <w:p>
      <w:pPr>
        <w:jc w:val="both"/>
        <w:ind w:firstLine="8"/>
        <w:spacing w:after="0" w:line="302" w:lineRule="auto"/>
        <w:tabs>
          <w:tab w:leader="none" w:pos="322" w:val="left"/>
        </w:tabs>
        <w:numPr>
          <w:ilvl w:val="0"/>
          <w:numId w:val="951"/>
        </w:numPr>
        <w:rPr>
          <w:rFonts w:ascii="Arial" w:cs="Arial" w:eastAsia="Arial" w:hAnsi="Arial"/>
          <w:sz w:val="19"/>
          <w:szCs w:val="19"/>
          <w:color w:val="auto"/>
        </w:rPr>
      </w:pPr>
      <w:r>
        <w:rPr>
          <w:rFonts w:ascii="Arial" w:cs="Arial" w:eastAsia="Arial" w:hAnsi="Arial"/>
          <w:sz w:val="19"/>
          <w:szCs w:val="19"/>
          <w:color w:val="auto"/>
        </w:rPr>
        <w:t xml:space="preserve">to confirm that such Refinancing indebtedness in respect of any LC Obligations shall have the same rights and priorities in respect of any LC Priority Collateral as the indebtedness being Refinanced and (c) to confirm that such Refinancing indebtedness in respect of any Notes Obligations shall have the same rights and priorities in respect of any Notes Priority Collateral as the indebtedness being Refinanced, all on the terms provided for herein immediately prior to such Refinancing. Any such additional party and each Applicable Senior Collateral Agent shall be entitled to rely on the determination of officers of the Parent that such modifications do not violate the Notes Documents or the LC Documents if such determination is set forth in an officers’ certificate delivered to such party and each Applicable Senior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such determination will not affect whether or not the Parent and the Grantors have complied with their undertakings in any such document or this Agreement. In connection with the delivery of a joinder as set forth above, the Parent shall deliver an officer’s certificate to each Collateral Agent certifying that the Refinancing, including the incurrence of indebtedness and the incurrence of liens in respect thereof, qualifies as a Refinancing as defined herein.</w:t>
      </w:r>
    </w:p>
    <w:p>
      <w:pPr>
        <w:spacing w:after="0" w:line="211"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8"/>
          <w:szCs w:val="18"/>
          <w:b w:val="1"/>
          <w:bCs w:val="1"/>
          <w:i w:val="1"/>
          <w:iCs w:val="1"/>
          <w:color w:val="auto"/>
        </w:rPr>
        <w:t>Amendments to Security Documents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61" w:lineRule="auto"/>
        <w:tabs>
          <w:tab w:leader="none" w:pos="2076" w:val="left"/>
        </w:tabs>
        <w:numPr>
          <w:ilvl w:val="0"/>
          <w:numId w:val="952"/>
        </w:numPr>
        <w:rPr>
          <w:rFonts w:ascii="Arial" w:cs="Arial" w:eastAsia="Arial" w:hAnsi="Arial"/>
          <w:sz w:val="22"/>
          <w:szCs w:val="22"/>
          <w:color w:val="auto"/>
        </w:rPr>
      </w:pPr>
      <w:r>
        <w:rPr>
          <w:rFonts w:ascii="Arial" w:cs="Arial" w:eastAsia="Arial" w:hAnsi="Arial"/>
          <w:sz w:val="22"/>
          <w:szCs w:val="22"/>
          <w:color w:val="auto"/>
        </w:rPr>
        <w:t>Subject to paragraph (c) below, each of the LC Collateral Agent and other LC Secured Parties agrees that, without the prior written consent of the Notes Collateral Agent, no LC Security Document to which such LC Collateral Agent or LC Secured Party is party may be amended, supplemented or otherwise modified or entered into to the extent such amendment, supplement or modification or the terms of any new LC Security Document would be prohibited by or inconsistent with any of the terms of this Agreement.</w:t>
      </w:r>
    </w:p>
    <w:p>
      <w:pPr>
        <w:spacing w:after="0" w:line="190" w:lineRule="exact"/>
        <w:rPr>
          <w:rFonts w:ascii="Arial" w:cs="Arial" w:eastAsia="Arial" w:hAnsi="Arial"/>
          <w:sz w:val="22"/>
          <w:szCs w:val="22"/>
          <w:color w:val="auto"/>
        </w:rPr>
      </w:pPr>
    </w:p>
    <w:p>
      <w:pPr>
        <w:jc w:val="both"/>
        <w:ind w:firstLine="1304"/>
        <w:spacing w:after="0" w:line="311" w:lineRule="auto"/>
        <w:tabs>
          <w:tab w:leader="none" w:pos="2317" w:val="left"/>
        </w:tabs>
        <w:numPr>
          <w:ilvl w:val="0"/>
          <w:numId w:val="952"/>
        </w:numPr>
        <w:rPr>
          <w:rFonts w:ascii="Arial" w:cs="Arial" w:eastAsia="Arial" w:hAnsi="Arial"/>
          <w:sz w:val="19"/>
          <w:szCs w:val="19"/>
          <w:color w:val="auto"/>
        </w:rPr>
      </w:pPr>
      <w:r>
        <w:rPr>
          <w:rFonts w:ascii="Arial" w:cs="Arial" w:eastAsia="Arial" w:hAnsi="Arial"/>
          <w:sz w:val="19"/>
          <w:szCs w:val="19"/>
          <w:color w:val="auto"/>
        </w:rPr>
        <w:t>Subject to paragraph (c) below, each of the Notes Collateral Agent and other Notes Secured Parties agrees that, without the prior written consent of the LC Collateral Agent and each LC Collateral Agent, no Notes Security Document to which the Notes Collateral Agent or Notes Secured Parties are party may be amended, supplemented or otherwise modified or entered into to the extent such amendment, supplement or modification or the terms of any new Notes Security Document would be prohibited by or inconsistent with any of the terms of this Agreement.</w:t>
      </w:r>
    </w:p>
    <w:p>
      <w:pPr>
        <w:spacing w:after="0" w:line="150" w:lineRule="exact"/>
        <w:rPr>
          <w:rFonts w:ascii="Arial" w:cs="Arial" w:eastAsia="Arial" w:hAnsi="Arial"/>
          <w:sz w:val="19"/>
          <w:szCs w:val="19"/>
          <w:color w:val="auto"/>
        </w:rPr>
      </w:pPr>
    </w:p>
    <w:p>
      <w:pPr>
        <w:jc w:val="both"/>
        <w:ind w:firstLine="1304"/>
        <w:spacing w:after="0" w:line="304" w:lineRule="auto"/>
        <w:tabs>
          <w:tab w:leader="none" w:pos="2211" w:val="left"/>
        </w:tabs>
        <w:numPr>
          <w:ilvl w:val="0"/>
          <w:numId w:val="952"/>
        </w:numPr>
        <w:rPr>
          <w:rFonts w:ascii="Arial" w:cs="Arial" w:eastAsia="Arial" w:hAnsi="Arial"/>
          <w:sz w:val="19"/>
          <w:szCs w:val="19"/>
          <w:color w:val="auto"/>
        </w:rPr>
      </w:pPr>
      <w:r>
        <w:rPr>
          <w:rFonts w:ascii="Arial" w:cs="Arial" w:eastAsia="Arial" w:hAnsi="Arial"/>
          <w:sz w:val="19"/>
          <w:szCs w:val="19"/>
          <w:color w:val="auto"/>
        </w:rPr>
        <w:t xml:space="preserve">In the event that any Senior Collateral Agent or Senior Secured Obligations Secured Parties enter into any amendment, waiver or consent in respect of or replace any of the Senior Secured Obligations Collateral Documents for the purpose of adding to, or deleting from, or waiving or consenting to any departures from any provisions of, such Senior Secured Obligations Collateral Document or changing in any manner the rights of such Senior Collateral Agent, such Senior Secured Obligations Secured Parties, the Grantors thereunder (including the release of any Liens in the applicable Senior Secured Obligations Collateral), then such amendment, waiver or consent shall apply automatically to any comparable provision of each Comparable Junior Priority Collateral Document without the consent of any Junior Collateral Agent or any Junior Secured Obligations Secured Party and without any action by any Junior Collateral Agent, any Junior Secured Obligations Secured Party, the Parent or any other Grantor;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such amendment, waiver or consent does not materially adversely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2" w:name="page853"/>
    <w:bookmarkEnd w:id="852"/>
    <w:p>
      <w:pPr>
        <w:jc w:val="both"/>
        <w:spacing w:after="0" w:line="261" w:lineRule="auto"/>
        <w:rPr>
          <w:sz w:val="20"/>
          <w:szCs w:val="20"/>
          <w:color w:val="auto"/>
        </w:rPr>
      </w:pPr>
      <w:r>
        <w:rPr>
          <w:rFonts w:ascii="Arial" w:cs="Arial" w:eastAsia="Arial" w:hAnsi="Arial"/>
          <w:sz w:val="22"/>
          <w:szCs w:val="22"/>
          <w:color w:val="auto"/>
        </w:rPr>
        <w:t>affect the rights of the applicable Junior Secured Obligations Secured Parties or the interests of the applicable Junior Secured Obligations Secured Parties in the applicable Junior Secured Obligations Collateral and not the Senior Collateral Agent or the Senior Secured Obligations Secured Parties, as the case may be, that have a security interest in the affected collateral in a like or similar manner, and (B) written notice of such amendment, waiver or consent shall have been given by the Parent to the Applicable Junior Collateral Agent.</w:t>
      </w:r>
    </w:p>
    <w:p>
      <w:pPr>
        <w:spacing w:after="0" w:line="244" w:lineRule="exact"/>
        <w:rPr>
          <w:sz w:val="20"/>
          <w:szCs w:val="20"/>
          <w:color w:val="auto"/>
        </w:rPr>
      </w:pPr>
    </w:p>
    <w:p>
      <w:pPr>
        <w:jc w:val="both"/>
        <w:ind w:firstLine="1304"/>
        <w:spacing w:after="0" w:line="260" w:lineRule="auto"/>
        <w:tabs>
          <w:tab w:leader="none" w:pos="2385" w:val="left"/>
        </w:tabs>
        <w:numPr>
          <w:ilvl w:val="0"/>
          <w:numId w:val="953"/>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LC Collateral Agent and other LC Secured Parties and the Notes Collateral Agent and other Notes Secured Parties hereby agree that they will not amend or otherwise modify the provisions of the LC Documents or the Notes Documents related to the Refinancing or payment of any Obligations (including ordinary course payments) in a manner that makes them more restrictive to Grantors or otherwise prohibits or restricts a Refinancing or payment permitted under the LC Documents or Notes Documents as in effect on the date hereof.</w:t>
      </w:r>
    </w:p>
    <w:p>
      <w:pPr>
        <w:spacing w:after="0" w:line="192"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8"/>
          <w:szCs w:val="18"/>
          <w:b w:val="1"/>
          <w:bCs w:val="1"/>
          <w:i w:val="1"/>
          <w:iCs w:val="1"/>
          <w:color w:val="auto"/>
        </w:rPr>
        <w:t>Possessory Collateral Agent as Gratuitous Bailee for Perfection</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01" w:lineRule="auto"/>
        <w:tabs>
          <w:tab w:leader="none" w:pos="2265" w:val="left"/>
        </w:tabs>
        <w:numPr>
          <w:ilvl w:val="0"/>
          <w:numId w:val="954"/>
        </w:numPr>
        <w:rPr>
          <w:rFonts w:ascii="Arial" w:cs="Arial" w:eastAsia="Arial" w:hAnsi="Arial"/>
          <w:sz w:val="19"/>
          <w:szCs w:val="19"/>
          <w:color w:val="auto"/>
        </w:rPr>
      </w:pPr>
      <w:r>
        <w:rPr>
          <w:rFonts w:ascii="Arial" w:cs="Arial" w:eastAsia="Arial" w:hAnsi="Arial"/>
          <w:sz w:val="19"/>
          <w:szCs w:val="19"/>
          <w:color w:val="auto"/>
        </w:rPr>
        <w:t>Each Possessory Collateral Agent agrees to hold the Possessory Collateral that is in its possession or control (or in the possession or control of its agents or bailees) as gratuitous bailee for, or, as applicable, on trust for, the benefit of each Secured Party and any assignee solely for the purpose of perfecting the security interest granted in such Possessory Collateral pursuant to the Notes Security Documents or the LC Security Documents, subject to the terms and conditions of this Section 2.12. To the extent any Possessory Collateral is possessed by or is under the control of a Collateral Agent (either directly or through its agents or bailees) other than the Applicable Possessory Collateral Agent, such Collateral Agent shall deliver such Possessory Collateral to (or shall cause such Possessory Collateral to be delivered to) the Applicable Possessory Collateral Agent and shall take all actions reasonably requested in writing by the Applicable Possessory Collateral Agent to cause the Applicable Possessory Collateral Agent to have possession or control of same. Pending such delivery to the Applicable Possessory Collateral Agent, each other Collateral Agent agrees to hold any Possessory Collateral as gratuitous bailee, or, as applicable, on trust for, for the benefit of each other Secured Party and any assignee, solely for the purpose of perfecting the security interest granted in such Possessory Collateral, if any, pursuant to the applicable Notes Security Documents or LC Security Documents, in each case subject to the terms and conditions of this Section 2.12.</w:t>
      </w:r>
    </w:p>
    <w:p>
      <w:pPr>
        <w:spacing w:after="0" w:line="163" w:lineRule="exact"/>
        <w:rPr>
          <w:rFonts w:ascii="Arial" w:cs="Arial" w:eastAsia="Arial" w:hAnsi="Arial"/>
          <w:sz w:val="19"/>
          <w:szCs w:val="19"/>
          <w:color w:val="auto"/>
        </w:rPr>
      </w:pPr>
    </w:p>
    <w:p>
      <w:pPr>
        <w:jc w:val="both"/>
        <w:ind w:firstLine="1304"/>
        <w:spacing w:after="0" w:line="327" w:lineRule="auto"/>
        <w:tabs>
          <w:tab w:leader="none" w:pos="2128" w:val="left"/>
        </w:tabs>
        <w:numPr>
          <w:ilvl w:val="0"/>
          <w:numId w:val="954"/>
        </w:numPr>
        <w:rPr>
          <w:rFonts w:ascii="Arial" w:cs="Arial" w:eastAsia="Arial" w:hAnsi="Arial"/>
          <w:sz w:val="19"/>
          <w:szCs w:val="19"/>
          <w:color w:val="auto"/>
        </w:rPr>
      </w:pPr>
      <w:r>
        <w:rPr>
          <w:rFonts w:ascii="Arial" w:cs="Arial" w:eastAsia="Arial" w:hAnsi="Arial"/>
          <w:sz w:val="19"/>
          <w:szCs w:val="19"/>
          <w:color w:val="auto"/>
        </w:rPr>
        <w:t>The duties or responsibilities of each Possessory Collateral Agent and each other Collateral Agent under this Section 2.12 shall be limited solely to holding the Possessory Collateral as gratuitous bailee, or, as applicable, on trust for, for the benefit of each Secured Party for purposes of perfecting the security interest held by the Secured Parties therein.</w:t>
      </w:r>
    </w:p>
    <w:p>
      <w:pPr>
        <w:spacing w:after="0" w:line="132" w:lineRule="exact"/>
        <w:rPr>
          <w:rFonts w:ascii="Arial" w:cs="Arial" w:eastAsia="Arial" w:hAnsi="Arial"/>
          <w:sz w:val="19"/>
          <w:szCs w:val="19"/>
          <w:color w:val="auto"/>
        </w:rPr>
      </w:pPr>
    </w:p>
    <w:p>
      <w:pPr>
        <w:jc w:val="both"/>
        <w:ind w:firstLine="1304"/>
        <w:spacing w:after="0" w:line="276" w:lineRule="auto"/>
        <w:tabs>
          <w:tab w:leader="none" w:pos="2157" w:val="left"/>
        </w:tabs>
        <w:numPr>
          <w:ilvl w:val="0"/>
          <w:numId w:val="954"/>
        </w:numPr>
        <w:rPr>
          <w:rFonts w:ascii="Arial" w:cs="Arial" w:eastAsia="Arial" w:hAnsi="Arial"/>
          <w:sz w:val="21"/>
          <w:szCs w:val="21"/>
          <w:color w:val="auto"/>
        </w:rPr>
      </w:pPr>
      <w:r>
        <w:rPr>
          <w:rFonts w:ascii="Arial" w:cs="Arial" w:eastAsia="Arial" w:hAnsi="Arial"/>
          <w:sz w:val="21"/>
          <w:szCs w:val="21"/>
          <w:color w:val="auto"/>
        </w:rPr>
        <w:t>Upon the Discharge of all LC Obligations, the LC Collateral Agent shall deliver to the Notes Collateral Agent (at the sole expense of the Grantors), to the extent that it is legally permitted to do so, the remaining Possessory Collateral (if any) held by it, together with any necessary endorsements (or otherwise allow the Notes Collateral Agent to obtain control of such Possessory Collateral) or as a court of competent jurisdiction may otherwise direct. The Grantors shall take such further action as is required to effectuate the transfer contemplated hereby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3" w:name="page854"/>
    <w:bookmarkEnd w:id="853"/>
    <w:p>
      <w:pPr>
        <w:jc w:val="both"/>
        <w:spacing w:after="0" w:line="262" w:lineRule="auto"/>
        <w:rPr>
          <w:sz w:val="20"/>
          <w:szCs w:val="20"/>
          <w:color w:val="auto"/>
        </w:rPr>
      </w:pPr>
      <w:r>
        <w:rPr>
          <w:rFonts w:ascii="Arial" w:cs="Arial" w:eastAsia="Arial" w:hAnsi="Arial"/>
          <w:sz w:val="22"/>
          <w:szCs w:val="22"/>
          <w:color w:val="auto"/>
        </w:rPr>
        <w:t>and shall indemnify the Possessory Collateral Agent for loss or damage suffered by the Possessory Collateral Agent as a result of such transfer except for loss or damage suffered by the Possessory Collateral Agent as a result of its own willful misconduct or gross negligence. No LC Collateral Agent shall be obligated to follow instructions from the Notes Collateral Agent in contravention of this Agreement.</w:t>
      </w:r>
    </w:p>
    <w:p>
      <w:pPr>
        <w:spacing w:after="0" w:line="245" w:lineRule="exact"/>
        <w:rPr>
          <w:sz w:val="20"/>
          <w:szCs w:val="20"/>
          <w:color w:val="auto"/>
        </w:rPr>
      </w:pPr>
    </w:p>
    <w:p>
      <w:pPr>
        <w:jc w:val="both"/>
        <w:ind w:firstLine="1304"/>
        <w:spacing w:after="0" w:line="305" w:lineRule="auto"/>
        <w:tabs>
          <w:tab w:leader="none" w:pos="2439" w:val="left"/>
        </w:tabs>
        <w:numPr>
          <w:ilvl w:val="0"/>
          <w:numId w:val="955"/>
        </w:numPr>
        <w:rPr>
          <w:rFonts w:ascii="Arial" w:cs="Arial" w:eastAsia="Arial" w:hAnsi="Arial"/>
          <w:sz w:val="19"/>
          <w:szCs w:val="19"/>
          <w:color w:val="auto"/>
        </w:rPr>
      </w:pPr>
      <w:r>
        <w:rPr>
          <w:rFonts w:ascii="Arial" w:cs="Arial" w:eastAsia="Arial" w:hAnsi="Arial"/>
          <w:sz w:val="19"/>
          <w:szCs w:val="19"/>
          <w:color w:val="auto"/>
        </w:rPr>
        <w:t>Upon the Discharge of all Notes Obligations, the Notes Collateral Agent shall deliver to the LC Collateral Agent (at the sole expense of the Grantors), to the extent that it is legally permitted to do so, the remaining Possessory Collateral (if any) held by it, together with any necessary endorsements (or otherwise allow the LC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or gross negligence. The Notes Collateral Agent shall not be obligated to follow instructions from any LC Collateral Agent in contravention of this Agreement.</w:t>
      </w:r>
    </w:p>
    <w:p>
      <w:pPr>
        <w:spacing w:after="0" w:line="15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b w:val="1"/>
          <w:bCs w:val="1"/>
          <w:i w:val="1"/>
          <w:iCs w:val="1"/>
          <w:color w:val="auto"/>
        </w:rPr>
        <w:t>Control Agreements</w:t>
      </w:r>
      <w:r>
        <w:rPr>
          <w:rFonts w:ascii="Arial" w:cs="Arial" w:eastAsia="Arial" w:hAnsi="Arial"/>
          <w:sz w:val="21"/>
          <w:szCs w:val="21"/>
          <w:color w:val="auto"/>
        </w:rPr>
        <w:t>. The LC Collateral Agent hereby agrees to act as collateral agent of the Notes Secured Parties under each control agreement solely for the purpose of perfecting the Lien of the Notes Secured Parties in the deposit accounts and securities accounts subject to such control agreements by control. The Notes Collateral Agent, on behalf of the Notes Secured Parties, hereby appoints the LC Collateral Agent to act as its collateral agent under each such control agreement, as applicable. The duties or responsibilities of the LC Collateral Agent under this Section 2.13 shall be limited solely to acting as agent for the benefit of each Notes Secured Party for purposes of perfecting the security interest held by the Secured Parties in the deposit accounts and securities accounts subject to such control agreements by control, in each case prior to the Discharge of all LC Obligations</w:t>
      </w:r>
    </w:p>
    <w:p>
      <w:pPr>
        <w:spacing w:after="0" w:line="179"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b w:val="1"/>
          <w:bCs w:val="1"/>
          <w:i w:val="1"/>
          <w:iCs w:val="1"/>
          <w:color w:val="auto"/>
        </w:rPr>
        <w:t>Rights under Permits and Licenses</w:t>
      </w:r>
      <w:r>
        <w:rPr>
          <w:rFonts w:ascii="Arial" w:cs="Arial" w:eastAsia="Arial" w:hAnsi="Arial"/>
          <w:sz w:val="19"/>
          <w:szCs w:val="19"/>
          <w:color w:val="auto"/>
        </w:rPr>
        <w:t>. The LC Collateral Agent agrees that if the Notes Collateral Agent shall require rights available under any permit or license controlled by the LC Collateral Agent (as certified to the LC Collateral Agent by the Notes Collateral Agent, upon which the LC Collateral Agent may rely) in order to realize on any Notes Priority Collateral, the LC Collateral Agent shall (subject to the terms of the LC Documents, including the LC Collateral Agent’s rights to indemnification thereunder) take all such actions as shall be available to it (at the sole expense of the Grantors), consistent with applicable law and reasonably requested by the Notes Collateral Agent in writing, to make such rights available to the Notes Collateral Agent, subject to the Liens held by the LC Collateral Agent for the benefit of the LC Secured Parties. The Notes Collateral Agent agrees that if the LC Collateral Agent shall require rights available under any permit or license controlled by the Notes Collateral Agent (as certified to the Notes Collateral Agent by the LC Collateral Agent, upon which the Notes Collateral Agent may rely) in order to realize on any LC Priority Collateral, the Notes Collateral Agent shall (subject to the terms of the Notes Documents, including such Notes Collateral Agent’s rights to indemnification thereunder) take all such actions as shall be available to it (at the sole expense of the Grantors), consistent with applicable law and reasonably requested by the LC Collateral Agent in writing, to make such rights available to the LC Collateral Agent, subject to the Liens held by the Notes Collateral Agent for the benefit of the Notes Secured Parties.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4" w:name="page855"/>
    <w:bookmarkEnd w:id="854"/>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Existence and Amounts of Liens and Obligations</w:t>
      </w:r>
    </w:p>
    <w:p>
      <w:pPr>
        <w:spacing w:after="0" w:line="293"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9"/>
          <w:szCs w:val="19"/>
          <w:color w:val="auto"/>
        </w:rPr>
        <w:t xml:space="preserve">Whenever a Representative shall be required, in connection with the exercise of its rights or the performance of its obligations hereunder, to determine the existence or amount of any Senior Secured Obligations (or the existence of any commitment to extend credit that would constitute Senior Secured Obligations) or Junior Secured Obligations, or the Collateral subject to any such Lien, it may, acting reasonably, request that such information be furnished to it in writing by the other Representatives and shall be entitled to make such determination on the basis of the information so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Parent. Each Representative may rely conclusively, and shall be fully protected in so relying, on any determination made by it in accordance with the provisions of the preceding sentence (or as otherwise directed by a court of competent jurisdiction) and shall have no liability to the Parent or any of its subsidiaries, any Secured Party or any other Person as a result of such determination.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Grantors</w:t>
      </w:r>
    </w:p>
    <w:p>
      <w:pPr>
        <w:spacing w:after="0" w:line="23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Each Grantor hereby consents to the provisions of this Agreement and the intercreditor arrangements provided for herein and agrees that the obligations of the Grantors under the Notes Security Documents, the LC Security Documents or the Foreign Collateral Documents will in no way be diminished or otherwise affected by such provisions or arrangements.</w:t>
      </w:r>
    </w:p>
    <w:p>
      <w:pPr>
        <w:spacing w:after="0" w:line="133"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Notwithstanding any other provision of this Agreement to the contrary, the obligations and liabilities of any Grantor incorporated in Norway shall be limited by such mandatory provisions of sections 8-7 and/or 8-10 of the Norwegian Limited Liability Companies Act of 13 June 1997 regarding restrictions on a Norwegian limited liability company’s ability to grant guarantees, loans, security or other financial assistance.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b w:val="1"/>
          <w:bCs w:val="1"/>
          <w:i w:val="1"/>
          <w:iCs w:val="1"/>
          <w:color w:val="auto"/>
        </w:rPr>
        <w:t>Representations and Warranties of Each Party</w:t>
      </w:r>
      <w:r>
        <w:rPr>
          <w:rFonts w:ascii="Arial" w:cs="Arial" w:eastAsia="Arial" w:hAnsi="Arial"/>
          <w:sz w:val="22"/>
          <w:szCs w:val="22"/>
          <w:color w:val="auto"/>
        </w:rPr>
        <w:t>. Each party hereto represents and warrants to the other parties hereto as follows:</w:t>
      </w:r>
    </w:p>
    <w:p>
      <w:pPr>
        <w:spacing w:after="0" w:line="174" w:lineRule="exact"/>
        <w:rPr>
          <w:sz w:val="20"/>
          <w:szCs w:val="20"/>
          <w:color w:val="auto"/>
        </w:rPr>
      </w:pPr>
    </w:p>
    <w:p>
      <w:pPr>
        <w:jc w:val="both"/>
        <w:ind w:firstLine="1304"/>
        <w:spacing w:after="0" w:line="262" w:lineRule="auto"/>
        <w:tabs>
          <w:tab w:leader="none" w:pos="2157" w:val="left"/>
        </w:tabs>
        <w:numPr>
          <w:ilvl w:val="0"/>
          <w:numId w:val="956"/>
        </w:numPr>
        <w:rPr>
          <w:rFonts w:ascii="Arial" w:cs="Arial" w:eastAsia="Arial" w:hAnsi="Arial"/>
          <w:sz w:val="22"/>
          <w:szCs w:val="22"/>
          <w:color w:val="auto"/>
        </w:rPr>
      </w:pPr>
      <w:r>
        <w:rPr>
          <w:rFonts w:ascii="Arial" w:cs="Arial" w:eastAsia="Arial" w:hAnsi="Arial"/>
          <w:sz w:val="22"/>
          <w:szCs w:val="22"/>
          <w:color w:val="auto"/>
        </w:rPr>
        <w:t>Such party is duly organized or incorporated (as the case may be), validly existing and, if applicable, in good standing (or the equivalent status under the laws of any foreign jurisdiction) under the laws of the jurisdiction of its organization or incorporation (as the case may be) and has all requisite power and authority to enter into and perform its obligations under this Agreement.</w:t>
      </w:r>
    </w:p>
    <w:p>
      <w:pPr>
        <w:spacing w:after="0" w:line="191" w:lineRule="exact"/>
        <w:rPr>
          <w:rFonts w:ascii="Arial" w:cs="Arial" w:eastAsia="Arial" w:hAnsi="Arial"/>
          <w:sz w:val="22"/>
          <w:szCs w:val="22"/>
          <w:color w:val="auto"/>
        </w:rPr>
      </w:pPr>
    </w:p>
    <w:p>
      <w:pPr>
        <w:ind w:left="2100" w:hanging="796"/>
        <w:spacing w:after="0"/>
        <w:tabs>
          <w:tab w:leader="none" w:pos="2100" w:val="left"/>
        </w:tabs>
        <w:numPr>
          <w:ilvl w:val="0"/>
          <w:numId w:val="956"/>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such party.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5" w:name="page856"/>
    <w:bookmarkEnd w:id="855"/>
    <w:p>
      <w:pPr>
        <w:jc w:val="both"/>
        <w:ind w:firstLine="1304"/>
        <w:spacing w:after="0" w:line="298" w:lineRule="auto"/>
        <w:tabs>
          <w:tab w:leader="none" w:pos="2130" w:val="left"/>
        </w:tabs>
        <w:numPr>
          <w:ilvl w:val="1"/>
          <w:numId w:val="957"/>
        </w:numPr>
        <w:rPr>
          <w:rFonts w:ascii="Arial" w:cs="Arial" w:eastAsia="Arial" w:hAnsi="Arial"/>
          <w:sz w:val="19"/>
          <w:szCs w:val="19"/>
          <w:color w:val="auto"/>
        </w:rPr>
      </w:pPr>
      <w:r>
        <w:rPr>
          <w:rFonts w:ascii="Arial" w:cs="Arial" w:eastAsia="Arial" w:hAnsi="Arial"/>
          <w:sz w:val="19"/>
          <w:szCs w:val="19"/>
          <w:color w:val="auto"/>
        </w:rPr>
        <w:t>The execution, delivery and performance by such party of this Agreement (i) do not require any consent or approval of, registration or filing with or any other action by any governmental authority, (ii) will not violate any applicable law or regulation governing the powers of such party or any order of any governmental authority having jurisdiction over it and</w:t>
      </w:r>
    </w:p>
    <w:p>
      <w:pPr>
        <w:ind w:left="380" w:hanging="372"/>
        <w:spacing w:after="0"/>
        <w:tabs>
          <w:tab w:leader="none" w:pos="380" w:val="left"/>
        </w:tabs>
        <w:numPr>
          <w:ilvl w:val="0"/>
          <w:numId w:val="958"/>
        </w:numPr>
        <w:rPr>
          <w:rFonts w:ascii="Arial" w:cs="Arial" w:eastAsia="Arial" w:hAnsi="Arial"/>
          <w:sz w:val="22"/>
          <w:szCs w:val="22"/>
          <w:color w:val="auto"/>
        </w:rPr>
      </w:pPr>
      <w:r>
        <w:rPr>
          <w:rFonts w:ascii="Arial" w:cs="Arial" w:eastAsia="Arial" w:hAnsi="Arial"/>
          <w:sz w:val="22"/>
          <w:szCs w:val="22"/>
          <w:color w:val="auto"/>
        </w:rPr>
        <w:t>will not violate the charter, by-laws or other organizational documents of such party.</w:t>
      </w:r>
    </w:p>
    <w:p>
      <w:pPr>
        <w:spacing w:after="0" w:line="28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b w:val="1"/>
          <w:bCs w:val="1"/>
          <w:i w:val="1"/>
          <w:iCs w:val="1"/>
          <w:color w:val="auto"/>
        </w:rPr>
        <w:t>Representations and Warranties of Each Representative</w:t>
      </w:r>
      <w:r>
        <w:rPr>
          <w:rFonts w:ascii="Arial" w:cs="Arial" w:eastAsia="Arial" w:hAnsi="Arial"/>
          <w:sz w:val="22"/>
          <w:szCs w:val="22"/>
          <w:color w:val="auto"/>
        </w:rPr>
        <w:t>. Each Collateral Agent and Representative represents and warrants to the other parties hereto that it is authorized under the Notes Indenture or the LC Obligations Credit Agreement, as applicable, to enter into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Collateral Agency for Foreign Collateral</w:t>
      </w:r>
    </w:p>
    <w:p>
      <w:pPr>
        <w:spacing w:after="0" w:line="239"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b w:val="1"/>
          <w:bCs w:val="1"/>
          <w:i w:val="1"/>
          <w:iCs w:val="1"/>
          <w:color w:val="auto"/>
        </w:rPr>
        <w:t>Appointment of Foreign Collateral Agent</w:t>
      </w:r>
      <w:r>
        <w:rPr>
          <w:rFonts w:ascii="Arial" w:cs="Arial" w:eastAsia="Arial" w:hAnsi="Arial"/>
          <w:sz w:val="19"/>
          <w:szCs w:val="19"/>
          <w:color w:val="auto"/>
        </w:rPr>
        <w:t xml:space="preserve">. It is acknowledged that, in certain jurisdictions outside of the United State of America, applicable law prevents both the Notes Collateral Agent and the LC Collateral Agent from obtaining liens on the Collateral. In such circumstances, solely for Foreign Collateral, the parties hereto agree that with effect as of the resignation of the Preceding Foreign Collateral Agent (i) the LC Collateral Agent, who may appoint any sub-agent in its sole discretion and upon written notice to the Notes Collateral Agent to act in such capacity, is hereby appointed as Foreign Collateral Agent and sub-agent for the Collateral Agents in respect of any LC Priority Collateral, (ii) the Notes Collateral Agent, or any sub-agent that it may in its sole discretion and upon written notice to the LC Collateral Agent designate to act in such capacity, is hereby appointed as Foreign Collateral Agent and sub-agent for the Collateral Agents in respect of any Notes Priority Collateral, and (iii) notwithstanding anything to the contrary contained herein, Foreign Collateral Agent is permitted to hold Liens on such Foreign Collateral in trust for the Secured Parties notwithstanding the inability of any other Collateral Agent to hold similar Liens. In recognition of the foregoing, each other Collateral Agent hereby irrevocably appoints the LC Collateral Agent or the Notes Collateral Agent, as applicable, to act as the “collateral agent” under any Foreign Collateral Documents, pursuant to Section 6.01(i) and (ii), and each other Collateral Agent hereby irrevocably appoints and authorizes the LC Collateral Agent or the Notes Collateral Agent, as applicable, to act as the agent of such Secured Party for purposes of acquiring, holding and enforcing any and all Liens on Foreign Collateral, pursuant to </w:t>
      </w:r>
      <w:r>
        <w:rPr>
          <w:rFonts w:ascii="Arial" w:cs="Arial" w:eastAsia="Arial" w:hAnsi="Arial"/>
          <w:sz w:val="19"/>
          <w:szCs w:val="19"/>
          <w:u w:val="single" w:color="auto"/>
          <w:color w:val="auto"/>
        </w:rPr>
        <w:t>Section 6.01(i) and (ii)</w:t>
      </w:r>
      <w:r>
        <w:rPr>
          <w:rFonts w:ascii="Arial" w:cs="Arial" w:eastAsia="Arial" w:hAnsi="Arial"/>
          <w:sz w:val="19"/>
          <w:szCs w:val="19"/>
          <w:color w:val="auto"/>
        </w:rPr>
        <w:t xml:space="preserve">, granted by any of the Grantors to secure any of the Notes Obligations or LC Obligations, together with such powers and discretion as are reasonably incidental thereto (including, without limitation, to enter into additional Foreign Collateral Documents or supplements to existing Foreign Collateral Documents on behalf of the Secured Parties). In this connection, the Foreign Collateral Agent, as “collateral agent” and any co-agents, sub-agents and attorneys-in-fact appointed by the Foreign Collateral Agent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for purposes of holding or enforcing any Lien on the Foreign Collateral (or any portion thereof) granted under the Foreign Collateral Documents, or for exercising any rights and remedies thereunder at the direction of the Foreign Collateral Agent, shall be entitled to the benefits of all provisions of this Agreement, as though such co-agents, sub-agents and attorneys-in-fact were the “collateral agent” under this agreement and the Foreign Collateral Documents as if set forth in full herein with respect thereto. It is understood and agreed that the use of the term “agent” herein or in any other Foreign Collateral Documents (or any other similar term) with reference to the Foreign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6" w:name="page857"/>
    <w:bookmarkEnd w:id="856"/>
    <w:p>
      <w:pPr>
        <w:jc w:val="both"/>
        <w:spacing w:after="0" w:line="266" w:lineRule="auto"/>
        <w:rPr>
          <w:sz w:val="20"/>
          <w:szCs w:val="20"/>
          <w:color w:val="auto"/>
        </w:rPr>
      </w:pPr>
      <w:r>
        <w:rPr>
          <w:rFonts w:ascii="Arial" w:cs="Arial" w:eastAsia="Arial" w:hAnsi="Arial"/>
          <w:sz w:val="22"/>
          <w:szCs w:val="22"/>
          <w:color w:val="auto"/>
        </w:rPr>
        <w:t>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39"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b w:val="1"/>
          <w:bCs w:val="1"/>
          <w:i w:val="1"/>
          <w:iCs w:val="1"/>
          <w:color w:val="auto"/>
        </w:rPr>
        <w:t>Rights as a Secured Party</w:t>
      </w:r>
      <w:r>
        <w:rPr>
          <w:rFonts w:ascii="Arial" w:cs="Arial" w:eastAsia="Arial" w:hAnsi="Arial"/>
          <w:sz w:val="19"/>
          <w:szCs w:val="19"/>
          <w:color w:val="auto"/>
        </w:rPr>
        <w:t>. The Person serving as the Foreign Collateral Agent hereunder shall have the same rights and powers in its capacity as a Secured Party as any other Secured Party and may exercise the same as though it were not the Foreign Collateral Agent and the term “Secured Party” or “Secured Parties” (or, as applicable, Notes Secured Party or LC Secured Party) shall, unless otherwise expressly indicated or unless the context otherwise requires, include the Person serving as the Foreign Collateral Agent hereunder in its individual capacity. Such Person and its affiliates may accept deposits from, lend money to, own securities of, act as the financial advisor or in any other advisory capacity for and generally engage in any kind of business with any Grantor or any Grantor’s Subsidiary or other affiliate thereof as if such Person were not the Foreign Collateral Agent hereunder and without any duty to account therefor to the Secured Parties.</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8"/>
          <w:szCs w:val="18"/>
          <w:b w:val="1"/>
          <w:bCs w:val="1"/>
          <w:i w:val="1"/>
          <w:iCs w:val="1"/>
          <w:color w:val="auto"/>
        </w:rPr>
        <w:t>Exculpatory Provisions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27" w:lineRule="auto"/>
        <w:tabs>
          <w:tab w:leader="none" w:pos="2224" w:val="left"/>
        </w:tabs>
        <w:numPr>
          <w:ilvl w:val="0"/>
          <w:numId w:val="959"/>
        </w:numPr>
        <w:rPr>
          <w:rFonts w:ascii="Arial" w:cs="Arial" w:eastAsia="Arial" w:hAnsi="Arial"/>
          <w:sz w:val="19"/>
          <w:szCs w:val="19"/>
          <w:color w:val="auto"/>
        </w:rPr>
      </w:pPr>
      <w:r>
        <w:rPr>
          <w:rFonts w:ascii="Arial" w:cs="Arial" w:eastAsia="Arial" w:hAnsi="Arial"/>
          <w:sz w:val="19"/>
          <w:szCs w:val="19"/>
          <w:color w:val="auto"/>
        </w:rPr>
        <w:t>The Foreign Collateral Agent shall not have any duties or obligations except those expressly set forth herein and in the other Foreign Collateral Documents to which Foreign Collateral Agent is a party, and its duties hereunder and thereunder shall be administrative in nature. Without limiting the generality of the foregoing, the Foreign Collateral Agent:</w:t>
      </w:r>
    </w:p>
    <w:p>
      <w:pPr>
        <w:spacing w:after="0" w:line="132" w:lineRule="exact"/>
        <w:rPr>
          <w:rFonts w:ascii="Arial" w:cs="Arial" w:eastAsia="Arial" w:hAnsi="Arial"/>
          <w:sz w:val="19"/>
          <w:szCs w:val="19"/>
          <w:color w:val="auto"/>
        </w:rPr>
      </w:pPr>
    </w:p>
    <w:p>
      <w:pPr>
        <w:ind w:left="1300" w:firstLine="652"/>
        <w:spacing w:after="0" w:line="301" w:lineRule="auto"/>
        <w:tabs>
          <w:tab w:leader="none" w:pos="2854" w:val="left"/>
        </w:tabs>
        <w:numPr>
          <w:ilvl w:val="1"/>
          <w:numId w:val="959"/>
        </w:numPr>
        <w:rPr>
          <w:rFonts w:ascii="Arial" w:cs="Arial" w:eastAsia="Arial" w:hAnsi="Arial"/>
          <w:sz w:val="21"/>
          <w:szCs w:val="21"/>
          <w:color w:val="auto"/>
        </w:rPr>
      </w:pPr>
      <w:r>
        <w:rPr>
          <w:rFonts w:ascii="Arial" w:cs="Arial" w:eastAsia="Arial" w:hAnsi="Arial"/>
          <w:sz w:val="21"/>
          <w:szCs w:val="21"/>
          <w:color w:val="auto"/>
        </w:rPr>
        <w:t>shall not be subject to any fiduciary or other implied duties, regardless of whether a default or Event of Default under the Notes Documents or LC Documents has occurred and is continuing;</w:t>
      </w:r>
    </w:p>
    <w:p>
      <w:pPr>
        <w:spacing w:after="0" w:line="150" w:lineRule="exact"/>
        <w:rPr>
          <w:rFonts w:ascii="Arial" w:cs="Arial" w:eastAsia="Arial" w:hAnsi="Arial"/>
          <w:sz w:val="21"/>
          <w:szCs w:val="21"/>
          <w:color w:val="auto"/>
        </w:rPr>
      </w:pPr>
    </w:p>
    <w:p>
      <w:pPr>
        <w:jc w:val="both"/>
        <w:ind w:left="1300" w:firstLine="652"/>
        <w:spacing w:after="0" w:line="304" w:lineRule="auto"/>
        <w:tabs>
          <w:tab w:leader="none" w:pos="2954" w:val="left"/>
        </w:tabs>
        <w:numPr>
          <w:ilvl w:val="1"/>
          <w:numId w:val="959"/>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(though it hereby is authorized to take such actions in its Permitted Discretion), except discretionary rights and powers expressly contemplated hereby or by the Foreign Collateral Documents that the Foreign Collateral Agent is required to exercise as directed in writing by the Controlling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Foreign Collateral Agent shall not be required to take any action that, in its good faith, based upon the advice of counsel or upon the written opinion of its counsel, may expose the Foreign Collateral Agent to liability, or for which it is not indemnified to its satisfaction or that is contrary to any Foreign Collateral Document or applicable law, including, for the avoidance of doubt, any action that may be in violation of the automatic stay under any Debtor Relief Law or that may effect a forfeiture, modification or termination of property in violation of any Debtor Relief Law; and</w:t>
      </w:r>
    </w:p>
    <w:p>
      <w:pPr>
        <w:spacing w:after="0" w:line="155" w:lineRule="exact"/>
        <w:rPr>
          <w:rFonts w:ascii="Arial" w:cs="Arial" w:eastAsia="Arial" w:hAnsi="Arial"/>
          <w:sz w:val="19"/>
          <w:szCs w:val="19"/>
          <w:color w:val="auto"/>
        </w:rPr>
      </w:pPr>
    </w:p>
    <w:p>
      <w:pPr>
        <w:jc w:val="both"/>
        <w:ind w:left="1300" w:firstLine="652"/>
        <w:spacing w:after="0" w:line="262" w:lineRule="auto"/>
        <w:tabs>
          <w:tab w:leader="none" w:pos="2839" w:val="left"/>
        </w:tabs>
        <w:numPr>
          <w:ilvl w:val="1"/>
          <w:numId w:val="959"/>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Foreign Collateral Documents, have any duty to disclose, and shall not be liable for the failure to disclose, any information relating to the Grantors or any of their Subsidiaries or affiliates that is communicated to or obtained by the Person serving as the Foreign Collateral Agent or any of its affiliates in any capacity.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7" w:name="page858"/>
    <w:bookmarkEnd w:id="857"/>
    <w:p>
      <w:pPr>
        <w:jc w:val="both"/>
        <w:ind w:firstLine="1304"/>
        <w:spacing w:after="0" w:line="260" w:lineRule="auto"/>
        <w:tabs>
          <w:tab w:leader="none" w:pos="2317" w:val="left"/>
        </w:tabs>
        <w:numPr>
          <w:ilvl w:val="0"/>
          <w:numId w:val="960"/>
        </w:numPr>
        <w:rPr>
          <w:rFonts w:ascii="Arial" w:cs="Arial" w:eastAsia="Arial" w:hAnsi="Arial"/>
          <w:sz w:val="22"/>
          <w:szCs w:val="22"/>
          <w:color w:val="auto"/>
        </w:rPr>
      </w:pPr>
      <w:r>
        <w:rPr>
          <w:rFonts w:ascii="Arial" w:cs="Arial" w:eastAsia="Arial" w:hAnsi="Arial"/>
          <w:sz w:val="22"/>
          <w:szCs w:val="22"/>
          <w:color w:val="auto"/>
        </w:rPr>
        <w:t>The Foreign Collateral Agent shall not be liable for any action taken or not taken by it (i) with the consent or at the request of the Controlling Parties or (ii) in the absence of its own willful misconduct or gross negligence as determined by a court of competent jurisdiction by final nonappealable judgment. The Foreign Collateral Agent shall be deemed not to have knowledge of any default or Event of Default under the Notes Documents or LC Documents unless and until written notice describing such default or Event of Default is given to the Foreign Collateral Agent by the Grantors, LC Collateral Agent, or Notes Collateral Agent.</w:t>
      </w:r>
    </w:p>
    <w:p>
      <w:pPr>
        <w:spacing w:after="0" w:line="245" w:lineRule="exact"/>
        <w:rPr>
          <w:rFonts w:ascii="Arial" w:cs="Arial" w:eastAsia="Arial" w:hAnsi="Arial"/>
          <w:sz w:val="22"/>
          <w:szCs w:val="22"/>
          <w:color w:val="auto"/>
        </w:rPr>
      </w:pPr>
    </w:p>
    <w:p>
      <w:pPr>
        <w:jc w:val="both"/>
        <w:ind w:firstLine="1304"/>
        <w:spacing w:after="0" w:line="308" w:lineRule="auto"/>
        <w:tabs>
          <w:tab w:leader="none" w:pos="2116" w:val="left"/>
        </w:tabs>
        <w:numPr>
          <w:ilvl w:val="0"/>
          <w:numId w:val="960"/>
        </w:numPr>
        <w:rPr>
          <w:rFonts w:ascii="Arial" w:cs="Arial" w:eastAsia="Arial" w:hAnsi="Arial"/>
          <w:sz w:val="19"/>
          <w:szCs w:val="19"/>
          <w:color w:val="auto"/>
        </w:rPr>
      </w:pPr>
      <w:r>
        <w:rPr>
          <w:rFonts w:ascii="Arial" w:cs="Arial" w:eastAsia="Arial" w:hAnsi="Arial"/>
          <w:sz w:val="19"/>
          <w:szCs w:val="19"/>
          <w:color w:val="auto"/>
        </w:rPr>
        <w:t>The Foreign Collateral Agent shall not be responsible for or have any duty to ascertain or inquire into (i) any statement, warranty or representation made in or in connection with this Agreement or any other Foreign Collateral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or (iv) the validity, enforceability, effectiveness or genuineness of this Agreement, any other Foreign Collateral Document or any other agreement, instrument or document.</w:t>
      </w:r>
    </w:p>
    <w:p>
      <w:pPr>
        <w:spacing w:after="0" w:line="154"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b w:val="1"/>
          <w:bCs w:val="1"/>
          <w:i w:val="1"/>
          <w:iCs w:val="1"/>
          <w:color w:val="auto"/>
        </w:rPr>
        <w:t>Reliance by the Foreign Collateral Agent</w:t>
      </w:r>
      <w:r>
        <w:rPr>
          <w:rFonts w:ascii="Arial" w:cs="Arial" w:eastAsia="Arial" w:hAnsi="Arial"/>
          <w:sz w:val="19"/>
          <w:szCs w:val="19"/>
          <w:color w:val="auto"/>
        </w:rPr>
        <w:t>. The Foreign Collateral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Foreign Collateral Agent also may rely upon any statement made to it orally or by telephone and reasonably believed by it to have been made by the proper Person, and shall not incur any liability for relying thereon. The Foreign Collateral Agent may consult with legal counsel, independent accountants and other experts selected by it, and shall not be liable for any action taken or not taken by it in accordance with the written advice of any such counsel, accountants or experts.</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b w:val="1"/>
          <w:bCs w:val="1"/>
          <w:i w:val="1"/>
          <w:iCs w:val="1"/>
          <w:color w:val="auto"/>
        </w:rPr>
        <w:t>Delegation of Duties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2" w:lineRule="auto"/>
        <w:tabs>
          <w:tab w:leader="none" w:pos="2211" w:val="left"/>
        </w:tabs>
        <w:numPr>
          <w:ilvl w:val="0"/>
          <w:numId w:val="961"/>
        </w:numPr>
        <w:rPr>
          <w:rFonts w:ascii="Arial" w:cs="Arial" w:eastAsia="Arial" w:hAnsi="Arial"/>
          <w:sz w:val="21"/>
          <w:szCs w:val="21"/>
          <w:color w:val="auto"/>
        </w:rPr>
      </w:pPr>
      <w:r>
        <w:rPr>
          <w:rFonts w:ascii="Arial" w:cs="Arial" w:eastAsia="Arial" w:hAnsi="Arial"/>
          <w:sz w:val="21"/>
          <w:szCs w:val="21"/>
          <w:color w:val="auto"/>
        </w:rPr>
        <w:t>The Foreign Collateral Agent may perform any and all of its duties and exercise its rights and powers hereunder or under any Foreign Collateral Document by or through any one or more sub-agents appointed by the Foreign Collateral Agent. The Foreign Collateral Agent and any such sub-agent may perform any and all of its duties and exercise its rights and powers by or through their respective Related Parties. The exculpatory provisions of this Article VI shall apply to any such sub-agent and to the Related Parties of the Foreign Collateral Agent and any such sub-agent, and shall apply to their respective activities in connection with the Foreign Collateral. The Foreign Collateral Agent shall not be responsible for the negligence or misconduct of any sub-agents except to the extent that a court of competent jurisdiction determines in a final and nonappealable judgment that the Foreign Collateral Agent acted with willful misconduct or gross negligence in the selection of such sub agents.</w:t>
      </w:r>
    </w:p>
    <w:p>
      <w:pPr>
        <w:spacing w:after="0" w:line="182" w:lineRule="exact"/>
        <w:rPr>
          <w:rFonts w:ascii="Arial" w:cs="Arial" w:eastAsia="Arial" w:hAnsi="Arial"/>
          <w:sz w:val="21"/>
          <w:szCs w:val="21"/>
          <w:color w:val="auto"/>
        </w:rPr>
      </w:pPr>
    </w:p>
    <w:p>
      <w:pPr>
        <w:jc w:val="both"/>
        <w:ind w:firstLine="1304"/>
        <w:spacing w:after="0" w:line="262" w:lineRule="auto"/>
        <w:tabs>
          <w:tab w:leader="none" w:pos="2344" w:val="left"/>
        </w:tabs>
        <w:numPr>
          <w:ilvl w:val="0"/>
          <w:numId w:val="961"/>
        </w:numPr>
        <w:rPr>
          <w:rFonts w:ascii="Arial" w:cs="Arial" w:eastAsia="Arial" w:hAnsi="Arial"/>
          <w:sz w:val="22"/>
          <w:szCs w:val="22"/>
          <w:color w:val="auto"/>
        </w:rPr>
      </w:pPr>
      <w:r>
        <w:rPr>
          <w:rFonts w:ascii="Arial" w:cs="Arial" w:eastAsia="Arial" w:hAnsi="Arial"/>
          <w:sz w:val="22"/>
          <w:szCs w:val="22"/>
          <w:color w:val="auto"/>
        </w:rPr>
        <w:t>Should any instrument in writing from any Grantor be required by any sub-agent appointed by the Foreign Collateral Agent to more fully or certainly vest in and confirm to such sub-agent such rights, powers, privileges and duties, such Grantor shall execute, acknowledge and deliver any and all such instruments promptly upon request by the Foreign Collateral Agent. If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8" w:name="page859"/>
    <w:bookmarkEnd w:id="858"/>
    <w:p>
      <w:pPr>
        <w:jc w:val="both"/>
        <w:spacing w:after="0" w:line="276" w:lineRule="auto"/>
        <w:rPr>
          <w:sz w:val="20"/>
          <w:szCs w:val="20"/>
          <w:color w:val="auto"/>
        </w:rPr>
      </w:pPr>
      <w:r>
        <w:rPr>
          <w:rFonts w:ascii="Arial" w:cs="Arial" w:eastAsia="Arial" w:hAnsi="Arial"/>
          <w:sz w:val="21"/>
          <w:szCs w:val="21"/>
          <w:color w:val="auto"/>
        </w:rPr>
        <w:t>any such sub-agent, or successor thereto, shall resign or be removed, all rights, powers, privileges and duties of such sub-agent, to the extent permitted by law, shall automatically vest in and be exercised by the Foreign Collateral Agent until the appointment of a new sub-agent. All references in this Agreement or in any other Foreign Collateral Document to any Lien or Foreign Collateral Document granted or delivered in favour of the Foreign Collateral Agent shall include any Lien or Foreign Collateral Document granted to any sub-agent of the Foreign Collateral Agent.</w:t>
      </w:r>
    </w:p>
    <w:p>
      <w:pPr>
        <w:spacing w:after="0" w:line="231"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b w:val="1"/>
          <w:bCs w:val="1"/>
          <w:i w:val="1"/>
          <w:iCs w:val="1"/>
          <w:color w:val="auto"/>
        </w:rPr>
        <w:t>Resignation of Foreign Collateral Agent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3" w:lineRule="auto"/>
        <w:tabs>
          <w:tab w:leader="none" w:pos="2076" w:val="left"/>
        </w:tabs>
        <w:numPr>
          <w:ilvl w:val="0"/>
          <w:numId w:val="962"/>
        </w:numPr>
        <w:rPr>
          <w:rFonts w:ascii="Arial" w:cs="Arial" w:eastAsia="Arial" w:hAnsi="Arial"/>
          <w:sz w:val="19"/>
          <w:szCs w:val="19"/>
          <w:color w:val="auto"/>
        </w:rPr>
      </w:pPr>
      <w:r>
        <w:rPr>
          <w:rFonts w:ascii="Arial" w:cs="Arial" w:eastAsia="Arial" w:hAnsi="Arial"/>
          <w:sz w:val="19"/>
          <w:szCs w:val="19"/>
          <w:color w:val="auto"/>
        </w:rPr>
        <w:t>The Foreign Collateral Agent may at any time give notice of its resignation to the Representatives and the Grantors. Upon receipt of any such notice of resignation, the Secured Parties, acting through their Collateral Agents, shall have the right (provided no Event of Default has occurred and is continuing under any LC Document or Notes Document at the time of such resignation) to appoint a successor, which shall be as jointly designated by Notes Collateral Agent and LC Collateral Agent. If no such successor shall have been so appointed in accordance with the preceding sentence and shall have accepted such appointment within 30 days after the retiring Foreign Collateral Agent gives notice of its resignation (or such earlier day as shall be agreed by the Representatives)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Foreign Collateral Agent may (but shall not be obligated to), on behalf of the Secured Parties, appoint a successor Foreign Collateral Agent meeting the qualifications set forth above. Whether or not a successor has been appointed, such resignation shall become effective in accordance with such notice on the Resignation Effective Date.</w:t>
      </w:r>
    </w:p>
    <w:p>
      <w:pPr>
        <w:spacing w:after="0" w:line="157" w:lineRule="exact"/>
        <w:rPr>
          <w:rFonts w:ascii="Arial" w:cs="Arial" w:eastAsia="Arial" w:hAnsi="Arial"/>
          <w:sz w:val="19"/>
          <w:szCs w:val="19"/>
          <w:color w:val="auto"/>
        </w:rPr>
      </w:pPr>
    </w:p>
    <w:p>
      <w:pPr>
        <w:jc w:val="both"/>
        <w:ind w:firstLine="1304"/>
        <w:spacing w:after="0" w:line="300" w:lineRule="auto"/>
        <w:tabs>
          <w:tab w:leader="none" w:pos="2371" w:val="left"/>
        </w:tabs>
        <w:numPr>
          <w:ilvl w:val="0"/>
          <w:numId w:val="962"/>
        </w:numPr>
        <w:rPr>
          <w:rFonts w:ascii="Arial" w:cs="Arial" w:eastAsia="Arial" w:hAnsi="Arial"/>
          <w:sz w:val="19"/>
          <w:szCs w:val="19"/>
          <w:color w:val="auto"/>
        </w:rPr>
      </w:pPr>
      <w:r>
        <w:rPr>
          <w:rFonts w:ascii="Arial" w:cs="Arial" w:eastAsia="Arial" w:hAnsi="Arial"/>
          <w:sz w:val="19"/>
          <w:szCs w:val="19"/>
          <w:color w:val="auto"/>
        </w:rPr>
        <w:t>With effect from the Resignation Effective Date, (1) the retiring Foreign Collateral Agent shall be discharged from its duties and obligations hereunder and under the other Foreign Collateral Documents (except that in the case of any collateral security held by the Foreign Collateral Agent on behalf of the Secured Parties under any of the Foreign Collateral Documents, the retiring Foreign Collateral Agent shall continue to hold such collateral security until such time as a successor Foreign Collateral Agent is appointed but in any event, no more than sixty (60) days following the Resignation Effective Date) and (2) except for any indemnity payments owed to the retiring Foreign Collateral Agent, all payments, communications and determinations provided to be made by, to or through the Foreign Collateral Agent shall instead be made by or to each Representative directly, until such time, if any, the relevant Collateral Agents appoint a successor Foreign Collateral Agent as provided for above. Upon the acceptance of a successor’s appointment as Foreign Collateral Agent hereunder, such successor shall succeed to and become vested with all of the rights, powers, privileges and duties of the retiring Foreign Collateral Agent (other than any rights to indemnity payments owed to the retiring Foreign Collateral Agent), and the retiring Foreign Collateral Agent shall be discharged from all of its duties and obligations hereunder or under the other Foreign Collateral Documents. After the retiring Foreign Collateral Agent’s resignation or removal hereunder and under the other Foreign Collateral Documents, the provisions of this Article shall continue in effect for the benefit of such retiring Foreign Collateral Agent, its sub-agents and their respective Related Parties in respect of any actions taken or omitted to be taken by any of them while the retiring Foreign Collateral Agent was acting as Foreign Collateral Agent.</w:t>
      </w:r>
    </w:p>
    <w:p>
      <w:pPr>
        <w:spacing w:after="0" w:line="200" w:lineRule="exact"/>
        <w:rPr>
          <w:sz w:val="20"/>
          <w:szCs w:val="20"/>
          <w:color w:val="auto"/>
        </w:rPr>
      </w:pPr>
    </w:p>
    <w:p>
      <w:pPr>
        <w:spacing w:after="0" w:line="239"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b w:val="1"/>
          <w:bCs w:val="1"/>
          <w:i w:val="1"/>
          <w:iCs w:val="1"/>
          <w:color w:val="auto"/>
        </w:rPr>
        <w:t>Non-Reliance on Foreign Collateral Agent and Other Secured Parties</w:t>
      </w:r>
      <w:r>
        <w:rPr>
          <w:rFonts w:ascii="Arial" w:cs="Arial" w:eastAsia="Arial" w:hAnsi="Arial"/>
          <w:sz w:val="22"/>
          <w:szCs w:val="22"/>
          <w:color w:val="auto"/>
        </w:rPr>
        <w:t>. Each Collateral Agent acknowledges that it has, independently and without reliance upon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9" w:name="page860"/>
    <w:bookmarkEnd w:id="859"/>
    <w:p>
      <w:pPr>
        <w:jc w:val="both"/>
        <w:spacing w:after="0" w:line="308" w:lineRule="auto"/>
        <w:rPr>
          <w:sz w:val="20"/>
          <w:szCs w:val="20"/>
          <w:color w:val="auto"/>
        </w:rPr>
      </w:pPr>
      <w:r>
        <w:rPr>
          <w:rFonts w:ascii="Arial" w:cs="Arial" w:eastAsia="Arial" w:hAnsi="Arial"/>
          <w:sz w:val="19"/>
          <w:szCs w:val="19"/>
          <w:color w:val="auto"/>
        </w:rPr>
        <w:t>the Foreign Collateral Agent or any of its related parties and based on such documents and information as it has deemed appropriate, made its own credit analysis and decision to enter into this Agreement, the LC Documents, and the Notes Documents, as applicable. Each Collateral Agent also acknowledges that it will, independently and without reliance upon the Foreign Collateral Agent or its related parties and based on such documents and information as it shall from time to time deem appropriate, continue to make its own decisions in taking or not taking action under or based upon this Agreement, any Foreign Collateral Document or any related agreement or any document furnished hereunder or thereunder.</w:t>
      </w:r>
    </w:p>
    <w:p>
      <w:pPr>
        <w:spacing w:after="0" w:line="208"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b w:val="1"/>
          <w:bCs w:val="1"/>
          <w:i w:val="1"/>
          <w:iCs w:val="1"/>
          <w:color w:val="auto"/>
        </w:rPr>
        <w:t>Collateral Matters</w:t>
      </w:r>
      <w:r>
        <w:rPr>
          <w:rFonts w:ascii="Arial" w:cs="Arial" w:eastAsia="Arial" w:hAnsi="Arial"/>
          <w:sz w:val="19"/>
          <w:szCs w:val="19"/>
          <w:color w:val="auto"/>
        </w:rPr>
        <w:t>.</w:t>
      </w:r>
    </w:p>
    <w:p>
      <w:pPr>
        <w:spacing w:after="0" w:line="233" w:lineRule="exact"/>
        <w:rPr>
          <w:sz w:val="20"/>
          <w:szCs w:val="20"/>
          <w:color w:val="auto"/>
        </w:rPr>
      </w:pPr>
    </w:p>
    <w:p>
      <w:pPr>
        <w:jc w:val="both"/>
        <w:ind w:left="1300"/>
        <w:spacing w:after="0" w:line="273" w:lineRule="auto"/>
        <w:rPr>
          <w:sz w:val="20"/>
          <w:szCs w:val="20"/>
          <w:color w:val="auto"/>
        </w:rPr>
      </w:pPr>
      <w:r>
        <w:rPr>
          <w:rFonts w:ascii="Arial" w:cs="Arial" w:eastAsia="Arial" w:hAnsi="Arial"/>
          <w:sz w:val="21"/>
          <w:szCs w:val="21"/>
          <w:color w:val="auto"/>
        </w:rPr>
        <w:t xml:space="preserve">Each of the Collateral Agents irrevocably authorize the Foreign Collateral Agent, at its option and in its Permitted Discretion;to release any Lien or any other claim on any Foreign Collateral granted to or held by the Foreign Collateral Agent, for the benefit of the Secured Parties, under any Foreign Collateral Document (A) upon the Discharge of the Notes Obligations and the Discharge of the LC Obligations, as applicable, in which case such Lien shall only be released with respect to the Obligations so Discharged; (B) that is sold or otherwise disposed of or to be sold or otherwise disposed of as part of or in connection with any sale or other disposition permitted hereunder or under the Foreign Collateral Documents, Notes Documents and LC Documents or (C) if approved, authorized or ratified in writing in accordance with </w:t>
      </w:r>
      <w:r>
        <w:rPr>
          <w:rFonts w:ascii="Arial" w:cs="Arial" w:eastAsia="Arial" w:hAnsi="Arial"/>
          <w:sz w:val="21"/>
          <w:szCs w:val="21"/>
          <w:u w:val="single" w:color="auto"/>
          <w:color w:val="auto"/>
        </w:rPr>
        <w:t>Section 6.08(b)</w:t>
      </w:r>
      <w:r>
        <w:rPr>
          <w:rFonts w:ascii="Arial" w:cs="Arial" w:eastAsia="Arial" w:hAnsi="Arial"/>
          <w:sz w:val="21"/>
          <w:szCs w:val="21"/>
          <w:color w:val="auto"/>
        </w:rPr>
        <w:t>.</w:t>
      </w:r>
    </w:p>
    <w:p>
      <w:pPr>
        <w:spacing w:after="0" w:line="179" w:lineRule="exact"/>
        <w:rPr>
          <w:sz w:val="20"/>
          <w:szCs w:val="20"/>
          <w:color w:val="auto"/>
        </w:rPr>
      </w:pPr>
    </w:p>
    <w:p>
      <w:pPr>
        <w:jc w:val="both"/>
        <w:ind w:firstLine="1304"/>
        <w:spacing w:after="0" w:line="273" w:lineRule="auto"/>
        <w:tabs>
          <w:tab w:leader="none" w:pos="2103" w:val="left"/>
        </w:tabs>
        <w:numPr>
          <w:ilvl w:val="0"/>
          <w:numId w:val="963"/>
        </w:numPr>
        <w:rPr>
          <w:rFonts w:ascii="Arial" w:cs="Arial" w:eastAsia="Arial" w:hAnsi="Arial"/>
          <w:sz w:val="21"/>
          <w:szCs w:val="21"/>
          <w:color w:val="auto"/>
        </w:rPr>
      </w:pPr>
      <w:r>
        <w:rPr>
          <w:rFonts w:ascii="Arial" w:cs="Arial" w:eastAsia="Arial" w:hAnsi="Arial"/>
          <w:sz w:val="21"/>
          <w:szCs w:val="21"/>
          <w:color w:val="auto"/>
        </w:rPr>
        <w:t xml:space="preserve">Upon request by the Foreign Collateral Agent at any time, the Controlling Parties will confirm in writing the Foreign Collateral Agent’s authority to release or subordinate its interest in particular types or items of property or take any other action necessary to administer the Foreign Collateral. In each case, as specified in this </w:t>
      </w:r>
      <w:r>
        <w:rPr>
          <w:rFonts w:ascii="Arial" w:cs="Arial" w:eastAsia="Arial" w:hAnsi="Arial"/>
          <w:sz w:val="21"/>
          <w:szCs w:val="21"/>
          <w:u w:val="single" w:color="auto"/>
          <w:color w:val="auto"/>
        </w:rPr>
        <w:t>Section 6.08</w:t>
      </w:r>
      <w:r>
        <w:rPr>
          <w:rFonts w:ascii="Arial" w:cs="Arial" w:eastAsia="Arial" w:hAnsi="Arial"/>
          <w:sz w:val="21"/>
          <w:szCs w:val="21"/>
          <w:color w:val="auto"/>
        </w:rPr>
        <w:t>, the Foreign Collateral Agent will, at the Grantors’ joint and several expense, execute and deliver to the applicable Grantor such documents as such Grantor may reasonably request to evidence the release of such item of Foreign Collateral from the assignment and security interest granted under the Foreign Collateral Documents or to subordinate its interest in such item, or to release such Grantor from its obligations under the Foreign Collateral Documents, in each case in accordance with the terms hereof and the terms of the Foreign Collateral Documents.</w:t>
      </w:r>
    </w:p>
    <w:p>
      <w:pPr>
        <w:spacing w:after="0" w:line="178" w:lineRule="exact"/>
        <w:rPr>
          <w:rFonts w:ascii="Arial" w:cs="Arial" w:eastAsia="Arial" w:hAnsi="Arial"/>
          <w:sz w:val="21"/>
          <w:szCs w:val="21"/>
          <w:color w:val="auto"/>
        </w:rPr>
      </w:pPr>
    </w:p>
    <w:p>
      <w:pPr>
        <w:jc w:val="both"/>
        <w:ind w:firstLine="1304"/>
        <w:spacing w:after="0" w:line="261" w:lineRule="auto"/>
        <w:tabs>
          <w:tab w:leader="none" w:pos="2155" w:val="left"/>
        </w:tabs>
        <w:numPr>
          <w:ilvl w:val="0"/>
          <w:numId w:val="963"/>
        </w:numPr>
        <w:rPr>
          <w:rFonts w:ascii="Arial" w:cs="Arial" w:eastAsia="Arial" w:hAnsi="Arial"/>
          <w:sz w:val="22"/>
          <w:szCs w:val="22"/>
          <w:color w:val="auto"/>
        </w:rPr>
      </w:pPr>
      <w:r>
        <w:rPr>
          <w:rFonts w:ascii="Arial" w:cs="Arial" w:eastAsia="Arial" w:hAnsi="Arial"/>
          <w:sz w:val="22"/>
          <w:szCs w:val="22"/>
          <w:color w:val="auto"/>
        </w:rPr>
        <w:t>The Foreign Collateral Agent shall not be responsible for or have a duty to ascertain or inquire into any representation or warranty regarding the existence, value or collectability of the Foreign Collateral, the existence, priority or perfection of the Foreign Collateral Agent’s Lien thereon, or any certificate prepared by any Grantor in connection therewith, nor shall the Foreign Collateral Agent be responsible or liable to the Secured Parties for any failure to monitor or maintain any portion of the Foreign Collateral.</w:t>
      </w:r>
    </w:p>
    <w:p>
      <w:pPr>
        <w:spacing w:after="0" w:line="19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b w:val="1"/>
          <w:bCs w:val="1"/>
          <w:i w:val="1"/>
          <w:iCs w:val="1"/>
          <w:color w:val="auto"/>
        </w:rPr>
        <w:t>Discretionary Rights</w:t>
      </w:r>
      <w:r>
        <w:rPr>
          <w:rFonts w:ascii="Arial" w:cs="Arial" w:eastAsia="Arial" w:hAnsi="Arial"/>
          <w:sz w:val="19"/>
          <w:szCs w:val="19"/>
          <w:color w:val="auto"/>
        </w:rPr>
        <w:t>. The Foreign Collateral Agent may:</w:t>
      </w:r>
    </w:p>
    <w:p>
      <w:pPr>
        <w:spacing w:after="0" w:line="233" w:lineRule="exact"/>
        <w:rPr>
          <w:sz w:val="20"/>
          <w:szCs w:val="20"/>
          <w:color w:val="auto"/>
        </w:rPr>
      </w:pPr>
    </w:p>
    <w:p>
      <w:pPr>
        <w:jc w:val="both"/>
        <w:ind w:firstLine="1304"/>
        <w:spacing w:after="0" w:line="327" w:lineRule="auto"/>
        <w:tabs>
          <w:tab w:leader="none" w:pos="2103" w:val="left"/>
        </w:tabs>
        <w:numPr>
          <w:ilvl w:val="0"/>
          <w:numId w:val="964"/>
        </w:numPr>
        <w:rPr>
          <w:rFonts w:ascii="Arial" w:cs="Arial" w:eastAsia="Arial" w:hAnsi="Arial"/>
          <w:sz w:val="19"/>
          <w:szCs w:val="19"/>
          <w:color w:val="auto"/>
        </w:rPr>
      </w:pPr>
      <w:r>
        <w:rPr>
          <w:rFonts w:ascii="Arial" w:cs="Arial" w:eastAsia="Arial" w:hAnsi="Arial"/>
          <w:sz w:val="19"/>
          <w:szCs w:val="19"/>
          <w:color w:val="auto"/>
        </w:rPr>
        <w:t>assume (unless it has received actual notice to the contrary from the Collateral Agents) that (i) no default or Event of Default has occurred and no Grantor is in breach of or default under its obligations under any of the Foreign Collateral Documents, Notes Documents, or LC Documents, and (ii) any right, power, authority or discretion vested by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0" w:name="page861"/>
    <w:bookmarkEnd w:id="860"/>
    <w:p>
      <w:pPr>
        <w:spacing w:after="0"/>
        <w:rPr>
          <w:sz w:val="20"/>
          <w:szCs w:val="20"/>
          <w:color w:val="auto"/>
        </w:rPr>
      </w:pPr>
      <w:r>
        <w:rPr>
          <w:rFonts w:ascii="Arial" w:cs="Arial" w:eastAsia="Arial" w:hAnsi="Arial"/>
          <w:sz w:val="22"/>
          <w:szCs w:val="22"/>
          <w:color w:val="auto"/>
        </w:rPr>
        <w:t>Foreign Collateral Documents, Notes Documents, or LC Documents in any person has not been exercised;</w:t>
      </w:r>
    </w:p>
    <w:p>
      <w:pPr>
        <w:spacing w:after="0" w:line="287" w:lineRule="exact"/>
        <w:rPr>
          <w:sz w:val="20"/>
          <w:szCs w:val="20"/>
          <w:color w:val="auto"/>
        </w:rPr>
      </w:pPr>
    </w:p>
    <w:p>
      <w:pPr>
        <w:jc w:val="both"/>
        <w:ind w:firstLine="1304"/>
        <w:spacing w:after="0" w:line="266" w:lineRule="auto"/>
        <w:tabs>
          <w:tab w:leader="none" w:pos="2115" w:val="left"/>
        </w:tabs>
        <w:numPr>
          <w:ilvl w:val="0"/>
          <w:numId w:val="965"/>
        </w:numPr>
        <w:rPr>
          <w:rFonts w:ascii="Arial" w:cs="Arial" w:eastAsia="Arial" w:hAnsi="Arial"/>
          <w:sz w:val="22"/>
          <w:szCs w:val="22"/>
          <w:color w:val="auto"/>
        </w:rPr>
      </w:pPr>
      <w:r>
        <w:rPr>
          <w:rFonts w:ascii="Arial" w:cs="Arial" w:eastAsia="Arial" w:hAnsi="Arial"/>
          <w:sz w:val="22"/>
          <w:szCs w:val="22"/>
          <w:color w:val="auto"/>
        </w:rPr>
        <w:t>if it receives any instructions or directions to take any action in relation to the Foreign Collateral, assume that all applicable conditions under this Agreement, LC Documents and Notes Documents for taking that action have been satisfied;</w:t>
      </w:r>
    </w:p>
    <w:p>
      <w:pPr>
        <w:spacing w:after="0" w:line="184" w:lineRule="exact"/>
        <w:rPr>
          <w:rFonts w:ascii="Arial" w:cs="Arial" w:eastAsia="Arial" w:hAnsi="Arial"/>
          <w:sz w:val="22"/>
          <w:szCs w:val="22"/>
          <w:color w:val="auto"/>
        </w:rPr>
      </w:pPr>
    </w:p>
    <w:p>
      <w:pPr>
        <w:jc w:val="both"/>
        <w:ind w:firstLine="1304"/>
        <w:spacing w:after="0" w:line="266" w:lineRule="auto"/>
        <w:tabs>
          <w:tab w:leader="none" w:pos="2211" w:val="left"/>
        </w:tabs>
        <w:numPr>
          <w:ilvl w:val="0"/>
          <w:numId w:val="965"/>
        </w:numPr>
        <w:rPr>
          <w:rFonts w:ascii="Arial" w:cs="Arial" w:eastAsia="Arial" w:hAnsi="Arial"/>
          <w:sz w:val="22"/>
          <w:szCs w:val="22"/>
          <w:color w:val="auto"/>
        </w:rPr>
      </w:pPr>
      <w:r>
        <w:rPr>
          <w:rFonts w:ascii="Arial" w:cs="Arial" w:eastAsia="Arial" w:hAnsi="Arial"/>
          <w:sz w:val="22"/>
          <w:szCs w:val="22"/>
          <w:color w:val="auto"/>
        </w:rPr>
        <w:t>engage and pay for the advice or services of accountants, tax advisers, surveyors or other professional advisers or experts and a single legal counsel in each applicable jurisdiction (in addition to the Foreign Collateral Agent’s general outside counsel);</w:t>
      </w:r>
    </w:p>
    <w:p>
      <w:pPr>
        <w:spacing w:after="0" w:line="184" w:lineRule="exact"/>
        <w:rPr>
          <w:rFonts w:ascii="Arial" w:cs="Arial" w:eastAsia="Arial" w:hAnsi="Arial"/>
          <w:sz w:val="22"/>
          <w:szCs w:val="22"/>
          <w:color w:val="auto"/>
        </w:rPr>
      </w:pPr>
    </w:p>
    <w:p>
      <w:pPr>
        <w:jc w:val="both"/>
        <w:ind w:firstLine="1304"/>
        <w:spacing w:after="0" w:line="308" w:lineRule="auto"/>
        <w:tabs>
          <w:tab w:leader="none" w:pos="2169" w:val="left"/>
        </w:tabs>
        <w:numPr>
          <w:ilvl w:val="0"/>
          <w:numId w:val="965"/>
        </w:numPr>
        <w:rPr>
          <w:rFonts w:ascii="Arial" w:cs="Arial" w:eastAsia="Arial" w:hAnsi="Arial"/>
          <w:sz w:val="19"/>
          <w:szCs w:val="19"/>
          <w:color w:val="auto"/>
        </w:rPr>
      </w:pPr>
      <w:r>
        <w:rPr>
          <w:rFonts w:ascii="Arial" w:cs="Arial" w:eastAsia="Arial" w:hAnsi="Arial"/>
          <w:sz w:val="19"/>
          <w:szCs w:val="19"/>
          <w:color w:val="auto"/>
        </w:rPr>
        <w:t>without prejudice for the generality of paragraph (c) above, at any time engage and pay for the services of a single additional counsel in each applicable jurisdiction to act as independent counsel to the Foreign Collateral Agent (in addition to the Foreign Collateral Agent’s general outside counsel) (and so separate from any lawyers instructed by the other Secured Parties) if the Foreign Collateral Agent in its reasonable opinion deems this to be desirable and the Collateral Agent shall not be liable for any damages, costs or losses to any person, any diminution in value or any liability whatsoever arising as a result of its so relying on the advice or services of any professional engaged under this Section 6.09; and</w:t>
      </w:r>
    </w:p>
    <w:p>
      <w:pPr>
        <w:spacing w:after="0" w:line="153" w:lineRule="exact"/>
        <w:rPr>
          <w:rFonts w:ascii="Arial" w:cs="Arial" w:eastAsia="Arial" w:hAnsi="Arial"/>
          <w:sz w:val="19"/>
          <w:szCs w:val="19"/>
          <w:color w:val="auto"/>
        </w:rPr>
      </w:pPr>
    </w:p>
    <w:p>
      <w:pPr>
        <w:jc w:val="both"/>
        <w:ind w:firstLine="1304"/>
        <w:spacing w:after="0" w:line="305" w:lineRule="auto"/>
        <w:tabs>
          <w:tab w:leader="none" w:pos="2400" w:val="left"/>
        </w:tabs>
        <w:numPr>
          <w:ilvl w:val="0"/>
          <w:numId w:val="965"/>
        </w:numPr>
        <w:rPr>
          <w:rFonts w:ascii="Arial" w:cs="Arial" w:eastAsia="Arial" w:hAnsi="Arial"/>
          <w:sz w:val="19"/>
          <w:szCs w:val="19"/>
          <w:color w:val="auto"/>
        </w:rPr>
      </w:pPr>
      <w:r>
        <w:rPr>
          <w:rFonts w:ascii="Arial" w:cs="Arial" w:eastAsia="Arial" w:hAnsi="Arial"/>
          <w:sz w:val="19"/>
          <w:szCs w:val="19"/>
          <w:color w:val="auto"/>
        </w:rPr>
        <w:t>refrain from acting in accordance with the instructions of any Secured Party or Controlling Party (including bringing any legal action or proceeding arising out of or in connection with the Foreign Collateral Documents) until it has received any indemnification and/or security that it may in its reasonable discretion require which may be greater in extent than that contained for the benefit of any Representative in the Notes Documents or LC Documents. Notwithstanding any provision of any Notes Documents or LC Documents to the contrary, the Foreign Collateral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b w:val="1"/>
          <w:bCs w:val="1"/>
          <w:i w:val="1"/>
          <w:iCs w:val="1"/>
          <w:color w:val="auto"/>
        </w:rPr>
        <w:t>Indemnification of Foreign Collateral Agent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02" w:lineRule="auto"/>
        <w:tabs>
          <w:tab w:leader="none" w:pos="2103" w:val="left"/>
        </w:tabs>
        <w:numPr>
          <w:ilvl w:val="0"/>
          <w:numId w:val="966"/>
        </w:numPr>
        <w:rPr>
          <w:rFonts w:ascii="Arial" w:cs="Arial" w:eastAsia="Arial" w:hAnsi="Arial"/>
          <w:sz w:val="19"/>
          <w:szCs w:val="19"/>
          <w:color w:val="auto"/>
        </w:rPr>
      </w:pPr>
      <w:r>
        <w:rPr>
          <w:rFonts w:ascii="Arial" w:cs="Arial" w:eastAsia="Arial" w:hAnsi="Arial"/>
          <w:sz w:val="19"/>
          <w:szCs w:val="19"/>
          <w:color w:val="auto"/>
        </w:rPr>
        <w:t>The Secured Parties (other than the LC Australian Collateral Agent and the Notes Collateral Agent) shall jointly and severally indemnify the Foreign Collateral Agent within three Business Days of demand, and keep the Foreign Collateral Agent indemnified against any demands, damages, expenses, costs, losses or liabilities made against or incurred by it in acting as Foreign Collateral Agent on behalf of the Secured Parties under this Agreement, the Foreign Collateral Documents, the LC Documents, or the Notes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indemnification obligations arising solely due to the instructions of a Controlling Party shall be borne solely by the Class represented by such Controlling Party), unless the Foreign Collateral Agent (i) has been reimbursed by a Grantor pursuant to any of the Foreign Collateral Documents or (ii) such liabilities, losses, demands, damages, expenses or costs are incurred by or made against the Foreign Collateral Agent as a result of willful misconduct or gross negligence as determined by a court of competent jurisdiction by a final nonappealable judgment. The Grantors hereby jointly and severally indemnify the Secured Parties against any payment made by them under this Section 6.10(a) and agree that any payments made by or costs attributable to any Notes Secured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1" w:name="page862"/>
    <w:bookmarkEnd w:id="861"/>
    <w:p>
      <w:pPr>
        <w:spacing w:after="0" w:line="358" w:lineRule="auto"/>
        <w:rPr>
          <w:sz w:val="20"/>
          <w:szCs w:val="20"/>
          <w:color w:val="auto"/>
        </w:rPr>
      </w:pPr>
      <w:r>
        <w:rPr>
          <w:rFonts w:ascii="Arial" w:cs="Arial" w:eastAsia="Arial" w:hAnsi="Arial"/>
          <w:sz w:val="19"/>
          <w:szCs w:val="19"/>
          <w:color w:val="auto"/>
        </w:rPr>
        <w:t>Party on account of the Foreign Collateral Agent shall be added to the Notes Obligations and any payments made by or costs attributable to any LC Secured Party on account of the Foreign Collateral Agent shall be added to the LC Obligations.</w:t>
      </w:r>
    </w:p>
    <w:p>
      <w:pPr>
        <w:spacing w:after="0" w:line="158" w:lineRule="exact"/>
        <w:rPr>
          <w:sz w:val="20"/>
          <w:szCs w:val="20"/>
          <w:color w:val="auto"/>
        </w:rPr>
      </w:pPr>
    </w:p>
    <w:p>
      <w:pPr>
        <w:jc w:val="both"/>
        <w:ind w:firstLine="1304"/>
        <w:spacing w:after="0" w:line="302" w:lineRule="auto"/>
        <w:tabs>
          <w:tab w:leader="none" w:pos="2182" w:val="left"/>
        </w:tabs>
        <w:numPr>
          <w:ilvl w:val="0"/>
          <w:numId w:val="967"/>
        </w:numPr>
        <w:rPr>
          <w:rFonts w:ascii="Arial" w:cs="Arial" w:eastAsia="Arial" w:hAnsi="Arial"/>
          <w:sz w:val="19"/>
          <w:szCs w:val="19"/>
          <w:color w:val="auto"/>
        </w:rPr>
      </w:pPr>
      <w:r>
        <w:rPr>
          <w:rFonts w:ascii="Arial" w:cs="Arial" w:eastAsia="Arial" w:hAnsi="Arial"/>
          <w:sz w:val="19"/>
          <w:szCs w:val="19"/>
          <w:color w:val="auto"/>
        </w:rPr>
        <w:t>The Grantors covenant and agree that they shall defend and be jointly and severally liable to reimburse and indemnify the Foreign Collateral Agent (and its Affiliates, officers, directors, employees, attorneys and agents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Agent Related Persons</w:t>
      </w:r>
      <w:r>
        <w:rPr>
          <w:rFonts w:ascii="Arial" w:cs="Arial" w:eastAsia="Arial" w:hAnsi="Arial"/>
          <w:sz w:val="19"/>
          <w:szCs w:val="19"/>
          <w:color w:val="auto"/>
        </w:rPr>
        <w:t>”)) for any and all reasonable expenses and other charges actually incurred by the Foreign Collateral Agent on behalf of the Secured Parties in connection with the execution, delivery, administration and enforcement of this Agreement and the Foreign Collateral Documents (or any of them) and from and against any and all liabilities, obligations, losses, damages, penalties, actions, judgments, suits, costs, actual reasonable expenses or disbursements of any kind and nature whatsoever that may be imposed on, incurred by or asserted against the Foreign Collateral Agent, in any way relating to or arising out of this Agreement, any Foreign Collateral Document, or any other document delivered in connection herewith or therewith or the transactions contemplated hereby or thereby, or the enforcement of any of the terms hereof or thereof, in each case, except to the extent caused by the Foreign Collateral Agent’s or the Foreign Collateral Agent Related Person’s willful misconduct or gross negligence as determined by a court of competent jurisdiction by a final nonappealable judgment.</w:t>
      </w:r>
    </w:p>
    <w:p>
      <w:pPr>
        <w:spacing w:after="0" w:line="161" w:lineRule="exact"/>
        <w:rPr>
          <w:rFonts w:ascii="Arial" w:cs="Arial" w:eastAsia="Arial" w:hAnsi="Arial"/>
          <w:sz w:val="19"/>
          <w:szCs w:val="19"/>
          <w:color w:val="auto"/>
        </w:rPr>
      </w:pPr>
    </w:p>
    <w:p>
      <w:pPr>
        <w:jc w:val="both"/>
        <w:ind w:firstLine="1304"/>
        <w:spacing w:after="0" w:line="266" w:lineRule="auto"/>
        <w:tabs>
          <w:tab w:leader="none" w:pos="2413" w:val="left"/>
        </w:tabs>
        <w:numPr>
          <w:ilvl w:val="0"/>
          <w:numId w:val="967"/>
        </w:numPr>
        <w:rPr>
          <w:rFonts w:ascii="Arial" w:cs="Arial" w:eastAsia="Arial" w:hAnsi="Arial"/>
          <w:sz w:val="22"/>
          <w:szCs w:val="22"/>
          <w:color w:val="auto"/>
        </w:rPr>
      </w:pPr>
      <w:r>
        <w:rPr>
          <w:rFonts w:ascii="Arial" w:cs="Arial" w:eastAsia="Arial" w:hAnsi="Arial"/>
          <w:sz w:val="22"/>
          <w:szCs w:val="22"/>
          <w:color w:val="auto"/>
        </w:rPr>
        <w:t>The obligations under this Section 6.10 shall survive the Discharge of the Notes Obligations, the Discharge of the LC Obligations, the resignation of any Foreign Collateral Agent, and termination of this Agreement and all of the Foreign Collateral Documents.</w:t>
      </w:r>
    </w:p>
    <w:p>
      <w:pPr>
        <w:spacing w:after="0" w:line="184" w:lineRule="exact"/>
        <w:rPr>
          <w:rFonts w:ascii="Arial" w:cs="Arial" w:eastAsia="Arial" w:hAnsi="Arial"/>
          <w:sz w:val="22"/>
          <w:szCs w:val="22"/>
          <w:color w:val="auto"/>
        </w:rPr>
      </w:pPr>
    </w:p>
    <w:p>
      <w:pPr>
        <w:jc w:val="both"/>
        <w:ind w:firstLine="1304"/>
        <w:spacing w:after="0" w:line="266" w:lineRule="auto"/>
        <w:tabs>
          <w:tab w:leader="none" w:pos="2115" w:val="left"/>
        </w:tabs>
        <w:numPr>
          <w:ilvl w:val="0"/>
          <w:numId w:val="967"/>
        </w:numPr>
        <w:rPr>
          <w:rFonts w:ascii="Arial" w:cs="Arial" w:eastAsia="Arial" w:hAnsi="Arial"/>
          <w:sz w:val="22"/>
          <w:szCs w:val="22"/>
          <w:color w:val="auto"/>
        </w:rPr>
      </w:pPr>
      <w:r>
        <w:rPr>
          <w:rFonts w:ascii="Arial" w:cs="Arial" w:eastAsia="Arial" w:hAnsi="Arial"/>
          <w:sz w:val="22"/>
          <w:szCs w:val="22"/>
          <w:color w:val="auto"/>
        </w:rPr>
        <w:t>Notwithstanding anything else in this Section 6.10, the Grantors shall have no obligation to indemnify or reimburse any Person for any Taxes unless such Taxes would be subject to indemnification or reimbursement under the LC Credit Agreement or Notes Indenture.</w:t>
      </w:r>
    </w:p>
    <w:p>
      <w:pPr>
        <w:spacing w:after="0" w:line="18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b w:val="1"/>
          <w:bCs w:val="1"/>
          <w:i w:val="1"/>
          <w:iCs w:val="1"/>
          <w:color w:val="auto"/>
        </w:rPr>
        <w:t>Treatment of Proceeds of Foreign Collateral</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2" w:lineRule="auto"/>
        <w:tabs>
          <w:tab w:leader="none" w:pos="2251" w:val="left"/>
        </w:tabs>
        <w:numPr>
          <w:ilvl w:val="0"/>
          <w:numId w:val="968"/>
        </w:numPr>
        <w:rPr>
          <w:rFonts w:ascii="Arial" w:cs="Arial" w:eastAsia="Arial" w:hAnsi="Arial"/>
          <w:sz w:val="22"/>
          <w:szCs w:val="22"/>
          <w:color w:val="auto"/>
        </w:rPr>
      </w:pPr>
      <w:r>
        <w:rPr>
          <w:rFonts w:ascii="Arial" w:cs="Arial" w:eastAsia="Arial" w:hAnsi="Arial"/>
          <w:sz w:val="22"/>
          <w:szCs w:val="22"/>
          <w:color w:val="auto"/>
        </w:rPr>
        <w:t>All amounts from time to time received or recovered by the Foreign Collateral Agent pursuant to the terms of any Foreign Collateral Document or in connection with the realization or enforcement of all or any part of the Foreign Collateral (the “</w:t>
      </w:r>
      <w:r>
        <w:rPr>
          <w:rFonts w:ascii="Arial" w:cs="Arial" w:eastAsia="Arial" w:hAnsi="Arial"/>
          <w:sz w:val="22"/>
          <w:szCs w:val="22"/>
          <w:u w:val="single" w:color="auto"/>
          <w:color w:val="auto"/>
        </w:rPr>
        <w:t>Foreign Recoveries</w:t>
      </w:r>
      <w:r>
        <w:rPr>
          <w:rFonts w:ascii="Arial" w:cs="Arial" w:eastAsia="Arial" w:hAnsi="Arial"/>
          <w:sz w:val="22"/>
          <w:szCs w:val="22"/>
          <w:color w:val="auto"/>
        </w:rPr>
        <w:t>”) shall be held by the Foreign Collateral Agent in trust and applied, to the extent permitted by applicable law, in the following order:</w:t>
      </w:r>
    </w:p>
    <w:p>
      <w:pPr>
        <w:spacing w:after="0" w:line="191" w:lineRule="exact"/>
        <w:rPr>
          <w:sz w:val="20"/>
          <w:szCs w:val="20"/>
          <w:color w:val="auto"/>
        </w:rPr>
      </w:pPr>
    </w:p>
    <w:p>
      <w:pPr>
        <w:jc w:val="both"/>
        <w:ind w:left="1300"/>
        <w:spacing w:after="0" w:line="258"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in discharging any sums owing to the Foreign Collateral Agent (in its capacity as such), including (i) amounts owing to Foreign Collateral Agent to indemnify Foreign Collateral Agent for claims against it or claims that, in the reasonable discretion of Foreign Collateral Agent, may be asserted against Foreign Collateral Agent and are subject to the indemnification provisions of this Agreement and (ii) any deductions and withholdings (on account of taxes or otherwise) which Foreign Collateral Agent is or may be required by any applicable law to make from any distribution or payment made by it under this Agreement and to pay all taxes which may be assessed against it in respect of any of the Foreign Collateral Documents, or as a consequence of performing its duties, or by virtue of its capacity as Foreign Collateral Agent (other than in connection with its remuneration for performing 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2" w:name="page863"/>
    <w:bookmarkEnd w:id="862"/>
    <w:p>
      <w:pPr>
        <w:ind w:left="1300"/>
        <w:spacing w:after="0" w:line="274" w:lineRule="auto"/>
        <w:rPr>
          <w:sz w:val="20"/>
          <w:szCs w:val="20"/>
          <w:color w:val="auto"/>
        </w:rPr>
      </w:pPr>
      <w:r>
        <w:rPr>
          <w:rFonts w:ascii="Arial" w:cs="Arial" w:eastAsia="Arial" w:hAnsi="Arial"/>
          <w:sz w:val="21"/>
          <w:szCs w:val="21"/>
          <w:color w:val="auto"/>
        </w:rPr>
        <w:t xml:space="preserve">duties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Foreign Collateral or proceeds thereof that is LC Priority Collateral may only be applied or retained by Foreign Collateral Agent to secure indemnification obligations or other amounts owing (or potentially owing) by the LC Secured Parties and Foreign Collateral or proceeds thereof that is Notes Priority Collateral may only be applied or retained by Foreign Collateral Agent to secure indemnification obligations or other amounts owing (or potentially owing) by the Notes Secured Parties; </w:t>
      </w:r>
      <w:r>
        <w:rPr>
          <w:rFonts w:ascii="Arial" w:cs="Arial" w:eastAsia="Arial" w:hAnsi="Arial"/>
          <w:sz w:val="21"/>
          <w:szCs w:val="21"/>
          <w:u w:val="single" w:color="auto"/>
          <w:color w:val="auto"/>
        </w:rPr>
        <w:t>Second</w:t>
      </w:r>
      <w:r>
        <w:rPr>
          <w:rFonts w:ascii="Arial" w:cs="Arial" w:eastAsia="Arial" w:hAnsi="Arial"/>
          <w:sz w:val="21"/>
          <w:szCs w:val="21"/>
          <w:color w:val="auto"/>
        </w:rPr>
        <w:t>, to the Representatives to be applied in accordance with Section 2.01(a) hereof.</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For the avoidance of doubt, following acceleration of any of the Notes Obligations or the LC Obligations, Foreign Collateral Agent may, in its Permitted Discretion, hold any amount of the Foreign Recoveries (subject to the proviso set forth in subclause “first” above) in a non-interest bearing account(s) in the name of the Foreign Collateral Agent with such financial institution as it may select (including itself) and for so long as the Foreign Collateral Agent shall think appropriate in its Permitted Discretion for later application as set forth herein in respect of any sum owing to the Foreign Collateral Agent that the Foreign Collateral Agent reasonably considers might become due or owing at any time in the future.</w:t>
      </w:r>
    </w:p>
    <w:p>
      <w:pPr>
        <w:spacing w:after="0" w:line="15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b w:val="1"/>
          <w:bCs w:val="1"/>
          <w:i w:val="1"/>
          <w:iCs w:val="1"/>
          <w:color w:val="auto"/>
        </w:rPr>
        <w:t>Currency Conversion</w:t>
      </w:r>
      <w:r>
        <w:rPr>
          <w:rFonts w:ascii="Arial" w:cs="Arial" w:eastAsia="Arial" w:hAnsi="Arial"/>
          <w:sz w:val="22"/>
          <w:szCs w:val="22"/>
          <w:color w:val="auto"/>
        </w:rPr>
        <w:t>. The Foreign Collateral Agent is under no obligation to make the payments to the Secured Parties above in the same currency as that in which the obligations and liabilities owing to the Secured Parties are denominated. To the extent any payment from Foreign Collateral Agent to a Representative causes a currency conversion, the provisions of the Notes Documents or the LC Documents (as applicable, based on the Representative receiving payment) relating to currency conversions shall apply.</w:t>
      </w:r>
    </w:p>
    <w:p>
      <w:pPr>
        <w:spacing w:after="0" w:line="19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8"/>
          <w:szCs w:val="18"/>
          <w:b w:val="1"/>
          <w:bCs w:val="1"/>
          <w:i w:val="1"/>
          <w:iCs w:val="1"/>
          <w:color w:val="auto"/>
        </w:rPr>
        <w:t>Swiss Collateral</w:t>
      </w:r>
      <w:r>
        <w:rPr>
          <w:rFonts w:ascii="Arial" w:cs="Arial" w:eastAsia="Arial" w:hAnsi="Arial"/>
          <w:sz w:val="18"/>
          <w:szCs w:val="18"/>
          <w:color w:val="auto"/>
        </w:rPr>
        <w:t>.</w:t>
      </w:r>
    </w:p>
    <w:p>
      <w:pPr>
        <w:spacing w:after="0" w:line="233" w:lineRule="exact"/>
        <w:rPr>
          <w:sz w:val="20"/>
          <w:szCs w:val="20"/>
          <w:color w:val="auto"/>
        </w:rPr>
      </w:pPr>
    </w:p>
    <w:p>
      <w:pPr>
        <w:ind w:firstLine="1304"/>
        <w:spacing w:after="0" w:line="276" w:lineRule="auto"/>
        <w:tabs>
          <w:tab w:leader="none" w:pos="2143" w:val="left"/>
        </w:tabs>
        <w:numPr>
          <w:ilvl w:val="0"/>
          <w:numId w:val="969"/>
        </w:numPr>
        <w:rPr>
          <w:rFonts w:ascii="Arial" w:cs="Arial" w:eastAsia="Arial" w:hAnsi="Arial"/>
          <w:sz w:val="22"/>
          <w:szCs w:val="22"/>
          <w:color w:val="auto"/>
        </w:rPr>
      </w:pPr>
      <w:r>
        <w:rPr>
          <w:rFonts w:ascii="Arial" w:cs="Arial" w:eastAsia="Arial" w:hAnsi="Arial"/>
          <w:sz w:val="22"/>
          <w:szCs w:val="22"/>
          <w:color w:val="auto"/>
        </w:rPr>
        <w:t>In relation to Foreign Collateral which is subject to a security document governed by Swiss law, the LC Collateral Agent in its capacity as Foreign Collateral Agent shall:</w:t>
      </w:r>
    </w:p>
    <w:p>
      <w:pPr>
        <w:spacing w:after="0" w:line="174" w:lineRule="exact"/>
        <w:rPr>
          <w:rFonts w:ascii="Arial" w:cs="Arial" w:eastAsia="Arial" w:hAnsi="Arial"/>
          <w:sz w:val="22"/>
          <w:szCs w:val="22"/>
          <w:color w:val="auto"/>
        </w:rPr>
      </w:pPr>
    </w:p>
    <w:p>
      <w:pPr>
        <w:ind w:left="1300" w:firstLine="652"/>
        <w:spacing w:after="0" w:line="358" w:lineRule="auto"/>
        <w:tabs>
          <w:tab w:leader="none" w:pos="2854" w:val="left"/>
        </w:tabs>
        <w:numPr>
          <w:ilvl w:val="1"/>
          <w:numId w:val="969"/>
        </w:numPr>
        <w:rPr>
          <w:rFonts w:ascii="Arial" w:cs="Arial" w:eastAsia="Arial" w:hAnsi="Arial"/>
          <w:sz w:val="19"/>
          <w:szCs w:val="19"/>
          <w:color w:val="auto"/>
        </w:rPr>
      </w:pPr>
      <w:r>
        <w:rPr>
          <w:rFonts w:ascii="Arial" w:cs="Arial" w:eastAsia="Arial" w:hAnsi="Arial"/>
          <w:sz w:val="19"/>
          <w:szCs w:val="19"/>
          <w:color w:val="auto"/>
        </w:rPr>
        <w:t>hold and administer any non-accessory Collateral (</w:t>
      </w:r>
      <w:r>
        <w:rPr>
          <w:rFonts w:ascii="Arial" w:cs="Arial" w:eastAsia="Arial" w:hAnsi="Arial"/>
          <w:sz w:val="19"/>
          <w:szCs w:val="19"/>
          <w:i w:val="1"/>
          <w:iCs w:val="1"/>
          <w:color w:val="auto"/>
        </w:rPr>
        <w:t>nicht-akzessorische Sicherheit</w:t>
      </w:r>
      <w:r>
        <w:rPr>
          <w:rFonts w:ascii="Arial" w:cs="Arial" w:eastAsia="Arial" w:hAnsi="Arial"/>
          <w:sz w:val="19"/>
          <w:szCs w:val="19"/>
          <w:color w:val="auto"/>
        </w:rPr>
        <w:t>) governed by Swiss law as fiduciary (</w:t>
      </w:r>
      <w:r>
        <w:rPr>
          <w:rFonts w:ascii="Arial" w:cs="Arial" w:eastAsia="Arial" w:hAnsi="Arial"/>
          <w:sz w:val="19"/>
          <w:szCs w:val="19"/>
          <w:i w:val="1"/>
          <w:iCs w:val="1"/>
          <w:color w:val="auto"/>
        </w:rPr>
        <w:t>treuhänderisch</w:t>
      </w:r>
      <w:r>
        <w:rPr>
          <w:rFonts w:ascii="Arial" w:cs="Arial" w:eastAsia="Arial" w:hAnsi="Arial"/>
          <w:sz w:val="19"/>
          <w:szCs w:val="19"/>
          <w:color w:val="auto"/>
        </w:rPr>
        <w:t>) in its own name but for the benefit of the Secured Parties; and</w:t>
      </w:r>
    </w:p>
    <w:p>
      <w:pPr>
        <w:spacing w:after="0" w:line="104" w:lineRule="exact"/>
        <w:rPr>
          <w:rFonts w:ascii="Arial" w:cs="Arial" w:eastAsia="Arial" w:hAnsi="Arial"/>
          <w:sz w:val="19"/>
          <w:szCs w:val="19"/>
          <w:color w:val="auto"/>
        </w:rPr>
      </w:pPr>
    </w:p>
    <w:p>
      <w:pPr>
        <w:ind w:left="1300" w:firstLine="652"/>
        <w:spacing w:after="0" w:line="358" w:lineRule="auto"/>
        <w:tabs>
          <w:tab w:leader="none" w:pos="2752" w:val="left"/>
        </w:tabs>
        <w:numPr>
          <w:ilvl w:val="1"/>
          <w:numId w:val="969"/>
        </w:numPr>
        <w:rPr>
          <w:rFonts w:ascii="Arial" w:cs="Arial" w:eastAsia="Arial" w:hAnsi="Arial"/>
          <w:sz w:val="19"/>
          <w:szCs w:val="19"/>
          <w:color w:val="auto"/>
        </w:rPr>
      </w:pPr>
      <w:r>
        <w:rPr>
          <w:rFonts w:ascii="Arial" w:cs="Arial" w:eastAsia="Arial" w:hAnsi="Arial"/>
          <w:sz w:val="19"/>
          <w:szCs w:val="19"/>
          <w:color w:val="auto"/>
        </w:rPr>
        <w:t>hold and administer any accessory Collateral (</w:t>
      </w:r>
      <w:r>
        <w:rPr>
          <w:rFonts w:ascii="Arial" w:cs="Arial" w:eastAsia="Arial" w:hAnsi="Arial"/>
          <w:sz w:val="19"/>
          <w:szCs w:val="19"/>
          <w:i w:val="1"/>
          <w:iCs w:val="1"/>
          <w:color w:val="auto"/>
        </w:rPr>
        <w:t>akzessorische Sicherheit</w:t>
      </w:r>
      <w:r>
        <w:rPr>
          <w:rFonts w:ascii="Arial" w:cs="Arial" w:eastAsia="Arial" w:hAnsi="Arial"/>
          <w:sz w:val="19"/>
          <w:szCs w:val="19"/>
          <w:color w:val="auto"/>
        </w:rPr>
        <w:t>) governed by Swiss law as direct representative (</w:t>
      </w:r>
      <w:r>
        <w:rPr>
          <w:rFonts w:ascii="Arial" w:cs="Arial" w:eastAsia="Arial" w:hAnsi="Arial"/>
          <w:sz w:val="19"/>
          <w:szCs w:val="19"/>
          <w:i w:val="1"/>
          <w:iCs w:val="1"/>
          <w:color w:val="auto"/>
        </w:rPr>
        <w:t>direkter Stellvertreter</w:t>
      </w:r>
      <w:r>
        <w:rPr>
          <w:rFonts w:ascii="Arial" w:cs="Arial" w:eastAsia="Arial" w:hAnsi="Arial"/>
          <w:sz w:val="19"/>
          <w:szCs w:val="19"/>
          <w:color w:val="auto"/>
        </w:rPr>
        <w:t>) in the name and on behalf of the Secured Parties.</w:t>
      </w:r>
    </w:p>
    <w:p>
      <w:pPr>
        <w:spacing w:after="0" w:line="104" w:lineRule="exact"/>
        <w:rPr>
          <w:rFonts w:ascii="Arial" w:cs="Arial" w:eastAsia="Arial" w:hAnsi="Arial"/>
          <w:sz w:val="19"/>
          <w:szCs w:val="19"/>
          <w:color w:val="auto"/>
        </w:rPr>
      </w:pPr>
    </w:p>
    <w:p>
      <w:pPr>
        <w:ind w:left="2100" w:hanging="796"/>
        <w:spacing w:after="0"/>
        <w:tabs>
          <w:tab w:leader="none" w:pos="2100" w:val="left"/>
        </w:tabs>
        <w:numPr>
          <w:ilvl w:val="0"/>
          <w:numId w:val="969"/>
        </w:numPr>
        <w:rPr>
          <w:rFonts w:ascii="Arial" w:cs="Arial" w:eastAsia="Arial" w:hAnsi="Arial"/>
          <w:sz w:val="22"/>
          <w:szCs w:val="22"/>
          <w:color w:val="auto"/>
        </w:rPr>
      </w:pPr>
      <w:r>
        <w:rPr>
          <w:rFonts w:ascii="Arial" w:cs="Arial" w:eastAsia="Arial" w:hAnsi="Arial"/>
          <w:sz w:val="22"/>
          <w:szCs w:val="22"/>
          <w:color w:val="auto"/>
        </w:rPr>
        <w:t>The LC Collateral Agent in its capacity as Foreign Collateral Agent shall be empowered to:</w:t>
      </w:r>
    </w:p>
    <w:p>
      <w:pPr>
        <w:spacing w:after="0" w:line="233" w:lineRule="exact"/>
        <w:rPr>
          <w:rFonts w:ascii="Arial" w:cs="Arial" w:eastAsia="Arial" w:hAnsi="Arial"/>
          <w:sz w:val="22"/>
          <w:szCs w:val="22"/>
          <w:color w:val="auto"/>
        </w:rPr>
      </w:pPr>
    </w:p>
    <w:p>
      <w:pPr>
        <w:jc w:val="both"/>
        <w:ind w:left="1300" w:firstLine="652"/>
        <w:spacing w:after="0" w:line="266" w:lineRule="auto"/>
        <w:tabs>
          <w:tab w:leader="none" w:pos="2705" w:val="left"/>
        </w:tabs>
        <w:numPr>
          <w:ilvl w:val="1"/>
          <w:numId w:val="969"/>
        </w:numPr>
        <w:rPr>
          <w:rFonts w:ascii="Arial" w:cs="Arial" w:eastAsia="Arial" w:hAnsi="Arial"/>
          <w:sz w:val="22"/>
          <w:szCs w:val="22"/>
          <w:color w:val="auto"/>
        </w:rPr>
      </w:pPr>
      <w:r>
        <w:rPr>
          <w:rFonts w:ascii="Arial" w:cs="Arial" w:eastAsia="Arial" w:hAnsi="Arial"/>
          <w:sz w:val="22"/>
          <w:szCs w:val="22"/>
          <w:color w:val="auto"/>
        </w:rPr>
        <w:t>exercise such rights, remedies, powers and discretions as are specifically delegated to or conferred upon the Foreign Collateral Agent under the relevant security documents governed by Swiss law together with such powers and discretions as are reasonably incidental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3" w:name="page864"/>
    <w:bookmarkEnd w:id="863"/>
    <w:p>
      <w:pPr>
        <w:ind w:left="1300" w:firstLine="652"/>
        <w:spacing w:after="0" w:line="276" w:lineRule="auto"/>
        <w:tabs>
          <w:tab w:leader="none" w:pos="2941" w:val="left"/>
        </w:tabs>
        <w:numPr>
          <w:ilvl w:val="0"/>
          <w:numId w:val="970"/>
        </w:numPr>
        <w:rPr>
          <w:rFonts w:ascii="Arial" w:cs="Arial" w:eastAsia="Arial" w:hAnsi="Arial"/>
          <w:sz w:val="22"/>
          <w:szCs w:val="22"/>
          <w:color w:val="auto"/>
        </w:rPr>
      </w:pPr>
      <w:r>
        <w:rPr>
          <w:rFonts w:ascii="Arial" w:cs="Arial" w:eastAsia="Arial" w:hAnsi="Arial"/>
          <w:sz w:val="22"/>
          <w:szCs w:val="22"/>
          <w:color w:val="auto"/>
        </w:rPr>
        <w:t>take such action on its behalf as may from time to time be authorized under or in accordance with the relevant Foreign Collateral Documents governed by Swiss law; and</w:t>
      </w:r>
    </w:p>
    <w:p>
      <w:pPr>
        <w:spacing w:after="0" w:line="228" w:lineRule="exact"/>
        <w:rPr>
          <w:rFonts w:ascii="Arial" w:cs="Arial" w:eastAsia="Arial" w:hAnsi="Arial"/>
          <w:sz w:val="22"/>
          <w:szCs w:val="22"/>
          <w:color w:val="auto"/>
        </w:rPr>
      </w:pPr>
    </w:p>
    <w:p>
      <w:pPr>
        <w:jc w:val="both"/>
        <w:ind w:left="1300" w:firstLine="652"/>
        <w:spacing w:after="0" w:line="259" w:lineRule="auto"/>
        <w:tabs>
          <w:tab w:leader="none" w:pos="2906" w:val="left"/>
        </w:tabs>
        <w:numPr>
          <w:ilvl w:val="0"/>
          <w:numId w:val="970"/>
        </w:numPr>
        <w:rPr>
          <w:rFonts w:ascii="Arial" w:cs="Arial" w:eastAsia="Arial" w:hAnsi="Arial"/>
          <w:sz w:val="22"/>
          <w:szCs w:val="22"/>
          <w:color w:val="auto"/>
        </w:rPr>
      </w:pPr>
      <w:r>
        <w:rPr>
          <w:rFonts w:ascii="Arial" w:cs="Arial" w:eastAsia="Arial" w:hAnsi="Arial"/>
          <w:sz w:val="22"/>
          <w:szCs w:val="22"/>
          <w:color w:val="auto"/>
        </w:rPr>
        <w:t>accept, enter into and execute,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pledge or other creation of any accessory security right granted in favor of any Secured Party under Swiss law in connection with the Notes Documents and/or the LC Documents and to agree to and execute in its name and on its behalf as its direct representative (</w:t>
      </w:r>
      <w:r>
        <w:rPr>
          <w:rFonts w:ascii="Arial" w:cs="Arial" w:eastAsia="Arial" w:hAnsi="Arial"/>
          <w:sz w:val="22"/>
          <w:szCs w:val="22"/>
          <w:i w:val="1"/>
          <w:iCs w:val="1"/>
          <w:color w:val="auto"/>
        </w:rPr>
        <w:t>direkter Stellvertreter</w:t>
      </w:r>
      <w:r>
        <w:rPr>
          <w:rFonts w:ascii="Arial" w:cs="Arial" w:eastAsia="Arial" w:hAnsi="Arial"/>
          <w:sz w:val="22"/>
          <w:szCs w:val="22"/>
          <w:color w:val="auto"/>
        </w:rPr>
        <w:t>) any amendments, confirmations and/or alterations to any security document governed by Swiss law which creates a pledge or any other accessory security right (</w:t>
      </w:r>
      <w:r>
        <w:rPr>
          <w:rFonts w:ascii="Arial" w:cs="Arial" w:eastAsia="Arial" w:hAnsi="Arial"/>
          <w:sz w:val="22"/>
          <w:szCs w:val="22"/>
          <w:i w:val="1"/>
          <w:iCs w:val="1"/>
          <w:color w:val="auto"/>
        </w:rPr>
        <w:t>akzessorische</w:t>
      </w:r>
      <w:r>
        <w:rPr>
          <w:rFonts w:ascii="Arial" w:cs="Arial" w:eastAsia="Arial" w:hAnsi="Arial"/>
          <w:sz w:val="22"/>
          <w:szCs w:val="22"/>
          <w:color w:val="auto"/>
        </w:rPr>
        <w:t xml:space="preserve"> </w:t>
      </w:r>
      <w:r>
        <w:rPr>
          <w:rFonts w:ascii="Arial" w:cs="Arial" w:eastAsia="Arial" w:hAnsi="Arial"/>
          <w:sz w:val="22"/>
          <w:szCs w:val="22"/>
          <w:i w:val="1"/>
          <w:iCs w:val="1"/>
          <w:color w:val="auto"/>
        </w:rPr>
        <w:t>Sicherheit</w:t>
      </w:r>
      <w:r>
        <w:rPr>
          <w:rFonts w:ascii="Arial" w:cs="Arial" w:eastAsia="Arial" w:hAnsi="Arial"/>
          <w:sz w:val="22"/>
          <w:szCs w:val="22"/>
          <w:color w:val="auto"/>
        </w:rPr>
        <w:t>) including the release or confirmation of release of such Collateral, all subject to the provisions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19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8"/>
          <w:szCs w:val="18"/>
          <w:b w:val="1"/>
          <w:bCs w:val="1"/>
          <w:i w:val="1"/>
          <w:iCs w:val="1"/>
          <w:color w:val="auto"/>
        </w:rPr>
        <w:t>Scottish Collateral</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71" w:lineRule="auto"/>
        <w:tabs>
          <w:tab w:leader="none" w:pos="2400" w:val="left"/>
        </w:tabs>
        <w:numPr>
          <w:ilvl w:val="0"/>
          <w:numId w:val="971"/>
        </w:numPr>
        <w:rPr>
          <w:rFonts w:ascii="Arial" w:cs="Arial" w:eastAsia="Arial" w:hAnsi="Arial"/>
          <w:sz w:val="21"/>
          <w:szCs w:val="21"/>
          <w:color w:val="auto"/>
        </w:rPr>
      </w:pPr>
      <w:r>
        <w:rPr>
          <w:rFonts w:ascii="Arial" w:cs="Arial" w:eastAsia="Arial" w:hAnsi="Arial"/>
          <w:sz w:val="21"/>
          <w:szCs w:val="21"/>
          <w:color w:val="auto"/>
        </w:rPr>
        <w:t xml:space="preserve">The Foreign Collateral Agent declares that it holds on trust for the Secured Parties, on the terms contained in this </w:t>
      </w:r>
      <w:r>
        <w:rPr>
          <w:rFonts w:ascii="Arial" w:cs="Arial" w:eastAsia="Arial" w:hAnsi="Arial"/>
          <w:sz w:val="21"/>
          <w:szCs w:val="21"/>
          <w:u w:val="single" w:color="auto"/>
          <w:color w:val="auto"/>
        </w:rPr>
        <w:t>Article VI</w:t>
      </w:r>
      <w:r>
        <w:rPr>
          <w:rFonts w:ascii="Arial" w:cs="Arial" w:eastAsia="Arial" w:hAnsi="Arial"/>
          <w:sz w:val="21"/>
          <w:szCs w:val="21"/>
          <w:color w:val="auto"/>
        </w:rPr>
        <w:t>: (i) the Foreign Collateral expressed to be subject to the Liens created in favor of the Foreign Collateral Agent as trustee for the Secured Parties by or pursuant to each Foreign Collateral Document which is governed by or subject to the laws of Scotland, and all proceeds of that Foreign Collateral; (ii) all obligations expressed to be undertaken by any Grantor to pay amounts in respect of the Obligations to the Foreign Collateral Agent as trustee for the Secured Parties and secured by any Foreign Collateral Document which is governed by or subject to the laws of Scotland together with all representations and warranties expressed to be given by any Grantor or any other person in favour of the Foreign Collateral Agent as trustee for the Secured Parties; and (iii) any other amounts or property, whether rights, entitlements, choses in action or otherwise, actual or contingent, which the Foreign Collateral Agent is required by the terms of the Notes Documents or the LC Documents to hold as trustee on trust for the Secured Parties.</w:t>
      </w:r>
    </w:p>
    <w:p>
      <w:pPr>
        <w:spacing w:after="0" w:line="189" w:lineRule="exact"/>
        <w:rPr>
          <w:rFonts w:ascii="Arial" w:cs="Arial" w:eastAsia="Arial" w:hAnsi="Arial"/>
          <w:sz w:val="21"/>
          <w:szCs w:val="21"/>
          <w:color w:val="auto"/>
        </w:rPr>
      </w:pPr>
    </w:p>
    <w:p>
      <w:pPr>
        <w:jc w:val="both"/>
        <w:ind w:firstLine="1304"/>
        <w:spacing w:after="0" w:line="273" w:lineRule="auto"/>
        <w:tabs>
          <w:tab w:leader="none" w:pos="2466" w:val="left"/>
        </w:tabs>
        <w:numPr>
          <w:ilvl w:val="0"/>
          <w:numId w:val="971"/>
        </w:numPr>
        <w:rPr>
          <w:rFonts w:ascii="Arial" w:cs="Arial" w:eastAsia="Arial" w:hAnsi="Arial"/>
          <w:sz w:val="21"/>
          <w:szCs w:val="21"/>
          <w:color w:val="auto"/>
        </w:rPr>
      </w:pPr>
      <w:r>
        <w:rPr>
          <w:rFonts w:ascii="Arial" w:cs="Arial" w:eastAsia="Arial" w:hAnsi="Arial"/>
          <w:sz w:val="21"/>
          <w:szCs w:val="21"/>
          <w:color w:val="auto"/>
        </w:rPr>
        <w:t xml:space="preserve">Without prejudice to the other provisions of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each other Collateral Agent hereby irrevocably authorizes the Foreign Collateral Agent to perform the duties, obligations and responsibilities and to exercise the rights, powers, authorities and discretions specifically given to the Foreign Collateral Agent as trustee for the Secured Parties under or in connection with the Notes Documents and the LC Documents together with any other incidental rights, powers, authorities and discretions. For the avoidance of doubt, the Foreign Collateral Agent in its capacity as trustee for the Secured Parties shall have the same rights, powers, immunities, indemnities and exclusions from liability as are prescribed in favor of the Foreign Collateral Agent in this Agreement, which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83"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6.15</w:t>
      </w:r>
      <w:r>
        <w:rPr>
          <w:sz w:val="20"/>
          <w:szCs w:val="20"/>
          <w:color w:val="auto"/>
        </w:rPr>
        <w:tab/>
      </w:r>
      <w:r>
        <w:rPr>
          <w:rFonts w:ascii="Arial" w:cs="Arial" w:eastAsia="Arial" w:hAnsi="Arial"/>
          <w:sz w:val="19"/>
          <w:szCs w:val="19"/>
          <w:b w:val="1"/>
          <w:bCs w:val="1"/>
          <w:i w:val="1"/>
          <w:iCs w:val="1"/>
          <w:color w:val="auto"/>
        </w:rPr>
        <w:t>Benefits of Foreign Collateral Agent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provisions of this Article VI granting rights, privileges, immunities and indemnities to the LC Collateral Agent or Notes Collateral Agent, as applicable, when acting as Foreign Collateral Agent, are intended to be in addition to, and shall not impair, the rights, privileges, immunities and indemnities granted to the LC Collateral Agent and Notes Collateral Agent, as applicable, under the LC Documents and Notes Documents, as the case may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4" w:name="page865"/>
    <w:bookmarkEnd w:id="864"/>
    <w:p>
      <w:pPr>
        <w:jc w:val="center"/>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93"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b w:val="1"/>
          <w:bCs w:val="1"/>
          <w:i w:val="1"/>
          <w:iCs w:val="1"/>
          <w:color w:val="auto"/>
        </w:rPr>
        <w:t>Legends</w:t>
      </w:r>
      <w:r>
        <w:rPr>
          <w:rFonts w:ascii="Arial" w:cs="Arial" w:eastAsia="Arial" w:hAnsi="Arial"/>
          <w:sz w:val="21"/>
          <w:szCs w:val="21"/>
          <w:i w:val="1"/>
          <w:iCs w:val="1"/>
          <w:color w:val="auto"/>
        </w:rPr>
        <w:t>.</w:t>
      </w:r>
      <w:r>
        <w:rPr>
          <w:rFonts w:ascii="Arial" w:cs="Arial" w:eastAsia="Arial" w:hAnsi="Arial"/>
          <w:sz w:val="21"/>
          <w:szCs w:val="21"/>
          <w:color w:val="auto"/>
        </w:rPr>
        <w:t xml:space="preserve"> Each Security Document shall (and, to the extent already in existence, shall be amended to) include a legend, substantially similar to the form provided below, describing this Agreement (except in the case of any foreign jurisdiction, where such legend is not customary or where otherwise prohibited by applicable law):</w:t>
      </w:r>
    </w:p>
    <w:p>
      <w:pPr>
        <w:spacing w:after="0" w:line="163" w:lineRule="exact"/>
        <w:rPr>
          <w:sz w:val="20"/>
          <w:szCs w:val="20"/>
          <w:color w:val="auto"/>
        </w:rPr>
      </w:pPr>
    </w:p>
    <w:p>
      <w:pPr>
        <w:jc w:val="both"/>
        <w:ind w:left="1300"/>
        <w:spacing w:after="0" w:line="299" w:lineRule="auto"/>
        <w:rPr>
          <w:sz w:val="20"/>
          <w:szCs w:val="20"/>
          <w:color w:val="auto"/>
        </w:rPr>
      </w:pPr>
      <w:r>
        <w:rPr>
          <w:rFonts w:ascii="Arial" w:cs="Arial" w:eastAsia="Arial" w:hAnsi="Arial"/>
          <w:sz w:val="19"/>
          <w:szCs w:val="19"/>
          <w:b w:val="1"/>
          <w:bCs w:val="1"/>
          <w:color w:val="auto"/>
        </w:rPr>
        <w:t>Reference is made to the Intercreditor Agreement (the “Intercreditor Agreement”), dated as of August 28, 2020, among BTA Institutional Services Australia Limited (ABN 48 002 916 396), in its capacity as trustee of the LC Australian Security Trust referred to herein (when joined to such agreement, in such capacity, together with its successors in substantially the same capacity as may from time to time be appointed, the “LC Australian Collateral Agent”), Deutsche Bank Trust Company Americas (“DBTCA”), as administrative agent and collateral 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“LC Collateral Agent”), Wilmington Trust, National Association (“Wilmington Trust”), as collateral agent for the Notes Secured Parties referred to herein (in such capacity, together with its successors and co-agents and, as applicable, sub-agents, in substantially the same capacity as may from time to time be appointed, the “Notes Collateral Agent”), Weatherford International plc (“Parent”) and the other Subsidiaries of the Parent from time to time party thereto. Each [Notes Secured Party] [LC Secured Party], through its Collateral Agent, by obtaining the benefits of this Agreement, (a) consents to the subordination of Liens provided for in the Intercreditor Agreement, (b) agrees that it will be bound by, and will take no actions contrary to, the provisions of the Intercreditor Agreement and (c) authorizes and instructs the [Notes Collateral Agent] [LC Collateral Agent] to enter into the Intercreditor Agreement as [Notes Collateral Agent ] [LC Collateral Agent] on behalf of such Secured Party. The foregoing provisions are intended as an inducement to the [Notes Secured Parties] [LC Secured Parties] to extend credit to [LC Borrowers] [Notes Issuer] or to acquire any notes or other evidence of any debt obligation owing from the [LC Borrowers] [Notes Issuer] and such [Notes Secured Parties] [LC Secured Parties] are intended third party beneficiaries of such provisions and the provisions of the Intercreditor Agreement.</w:t>
      </w:r>
    </w:p>
    <w:p>
      <w:pPr>
        <w:spacing w:after="0" w:line="200" w:lineRule="exact"/>
        <w:rPr>
          <w:sz w:val="20"/>
          <w:szCs w:val="20"/>
          <w:color w:val="auto"/>
        </w:rPr>
      </w:pPr>
    </w:p>
    <w:p>
      <w:pPr>
        <w:spacing w:after="0" w:line="238" w:lineRule="exact"/>
        <w:rPr>
          <w:sz w:val="20"/>
          <w:szCs w:val="20"/>
          <w:color w:val="auto"/>
        </w:rPr>
      </w:pPr>
    </w:p>
    <w:p>
      <w:pPr>
        <w:jc w:val="both"/>
        <w:ind w:left="1300"/>
        <w:spacing w:after="0" w:line="262" w:lineRule="auto"/>
        <w:rPr>
          <w:sz w:val="20"/>
          <w:szCs w:val="20"/>
          <w:color w:val="auto"/>
        </w:rPr>
      </w:pPr>
      <w:r>
        <w:rPr>
          <w:rFonts w:ascii="Arial" w:cs="Arial" w:eastAsia="Arial" w:hAnsi="Arial"/>
          <w:sz w:val="22"/>
          <w:szCs w:val="22"/>
          <w:b w:val="1"/>
          <w:bCs w:val="1"/>
          <w:color w:val="auto"/>
        </w:rPr>
        <w:t>Notwithstanding any other provision contained herein, this Agreement, the Liens created hereby and the rights, remedies, duties and obligations provided for herein are subject in all respects to the provisions of the Intercreditor Agreement and, to the extent provided therein, the applicable Notes Security Documents and LC Security Documents (as defined in the ntercreditor Agreement). In the event of any conflict or inconsistency between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5" w:name="page866"/>
    <w:bookmarkEnd w:id="865"/>
    <w:p>
      <w:pPr>
        <w:ind w:left="1300"/>
        <w:spacing w:after="0" w:line="282" w:lineRule="auto"/>
        <w:rPr>
          <w:sz w:val="20"/>
          <w:szCs w:val="20"/>
          <w:color w:val="auto"/>
        </w:rPr>
      </w:pPr>
      <w:r>
        <w:rPr>
          <w:rFonts w:ascii="Arial" w:cs="Arial" w:eastAsia="Arial" w:hAnsi="Arial"/>
          <w:sz w:val="22"/>
          <w:szCs w:val="22"/>
          <w:b w:val="1"/>
          <w:bCs w:val="1"/>
          <w:color w:val="auto"/>
        </w:rPr>
        <w:t>provisions of this Agreement and the Intercreditor Agreement, the provisions of the Intercreditor Agreement shall control.</w:t>
      </w:r>
    </w:p>
    <w:p>
      <w:pPr>
        <w:spacing w:after="0" w:line="222" w:lineRule="exact"/>
        <w:rPr>
          <w:sz w:val="20"/>
          <w:szCs w:val="20"/>
          <w:color w:val="auto"/>
        </w:rPr>
      </w:pPr>
    </w:p>
    <w:p>
      <w:pPr>
        <w:ind w:firstLine="1296"/>
        <w:spacing w:after="0" w:line="358"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b w:val="1"/>
          <w:bCs w:val="1"/>
          <w:i w:val="1"/>
          <w:iCs w:val="1"/>
          <w:color w:val="auto"/>
        </w:rPr>
        <w:t>Notices</w:t>
      </w:r>
      <w:r>
        <w:rPr>
          <w:rFonts w:ascii="Arial" w:cs="Arial" w:eastAsia="Arial" w:hAnsi="Arial"/>
          <w:sz w:val="19"/>
          <w:szCs w:val="19"/>
          <w:color w:val="auto"/>
        </w:rPr>
        <w:t>. All notices and other communications provided for herein shall be in writing and shall be delivered by hand or overnight courier service, mailed by certified or registered mail or sent by telecopy, as follows:</w:t>
      </w:r>
    </w:p>
    <w:p>
      <w:pPr>
        <w:spacing w:after="0" w:line="104" w:lineRule="exact"/>
        <w:rPr>
          <w:sz w:val="20"/>
          <w:szCs w:val="20"/>
          <w:color w:val="auto"/>
        </w:rPr>
      </w:pPr>
    </w:p>
    <w:p>
      <w:pPr>
        <w:ind w:left="2080" w:hanging="776"/>
        <w:spacing w:after="0"/>
        <w:tabs>
          <w:tab w:leader="none" w:pos="2080" w:val="left"/>
        </w:tabs>
        <w:numPr>
          <w:ilvl w:val="0"/>
          <w:numId w:val="972"/>
        </w:numPr>
        <w:rPr>
          <w:rFonts w:ascii="Arial" w:cs="Arial" w:eastAsia="Arial" w:hAnsi="Arial"/>
          <w:sz w:val="22"/>
          <w:szCs w:val="22"/>
          <w:color w:val="auto"/>
        </w:rPr>
      </w:pPr>
      <w:r>
        <w:rPr>
          <w:rFonts w:ascii="Arial" w:cs="Arial" w:eastAsia="Arial" w:hAnsi="Arial"/>
          <w:sz w:val="22"/>
          <w:szCs w:val="22"/>
          <w:color w:val="auto"/>
        </w:rPr>
        <w:t>if to the Notes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Global Capital Markets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50 South Sixth Street, Suite 1290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Minneapolis, Minnesota 55402</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Weatherford International Notes Administrator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612-217-5651</w:t>
      </w:r>
    </w:p>
    <w:p>
      <w:pPr>
        <w:spacing w:after="0" w:line="229" w:lineRule="exact"/>
        <w:rPr>
          <w:sz w:val="20"/>
          <w:szCs w:val="20"/>
          <w:color w:val="auto"/>
        </w:rPr>
      </w:pPr>
    </w:p>
    <w:p>
      <w:pPr>
        <w:ind w:left="2140" w:hanging="836"/>
        <w:spacing w:after="0"/>
        <w:tabs>
          <w:tab w:leader="none" w:pos="2140" w:val="left"/>
        </w:tabs>
        <w:numPr>
          <w:ilvl w:val="0"/>
          <w:numId w:val="973"/>
        </w:numPr>
        <w:rPr>
          <w:rFonts w:ascii="Arial" w:cs="Arial" w:eastAsia="Arial" w:hAnsi="Arial"/>
          <w:sz w:val="22"/>
          <w:szCs w:val="22"/>
          <w:color w:val="auto"/>
        </w:rPr>
      </w:pPr>
      <w:r>
        <w:rPr>
          <w:rFonts w:ascii="Arial" w:cs="Arial" w:eastAsia="Arial" w:hAnsi="Arial"/>
          <w:sz w:val="22"/>
          <w:szCs w:val="22"/>
          <w:color w:val="auto"/>
        </w:rPr>
        <w:t>if to the LC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and Agency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24th Floor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NYC60 - 2410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10005</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Project Finance Agency Services, Weatherford, SF0580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(646) 961-3317</w:t>
      </w:r>
    </w:p>
    <w:p>
      <w:pPr>
        <w:spacing w:after="0" w:line="229" w:lineRule="exact"/>
        <w:rPr>
          <w:sz w:val="20"/>
          <w:szCs w:val="20"/>
          <w:color w:val="auto"/>
        </w:rPr>
      </w:pPr>
    </w:p>
    <w:p>
      <w:pPr>
        <w:ind w:left="2080" w:hanging="776"/>
        <w:spacing w:after="0"/>
        <w:tabs>
          <w:tab w:leader="none" w:pos="2080" w:val="left"/>
        </w:tabs>
        <w:numPr>
          <w:ilvl w:val="0"/>
          <w:numId w:val="974"/>
        </w:numPr>
        <w:rPr>
          <w:rFonts w:ascii="Arial" w:cs="Arial" w:eastAsia="Arial" w:hAnsi="Arial"/>
          <w:sz w:val="22"/>
          <w:szCs w:val="22"/>
          <w:color w:val="auto"/>
        </w:rPr>
      </w:pPr>
      <w:r>
        <w:rPr>
          <w:rFonts w:ascii="Arial" w:cs="Arial" w:eastAsia="Arial" w:hAnsi="Arial"/>
          <w:sz w:val="22"/>
          <w:szCs w:val="22"/>
          <w:color w:val="auto"/>
        </w:rPr>
        <w:t>if to the LC Australian Collateral Agent,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BTA Institutional Services Australia Limited</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Level 2, 1 Bligh Street</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Sydney NSW 2000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Australia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Global Client Services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+61 2 9260 6009</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BNYM_CT_Aus_RMG@bnymellon.com</w:t>
      </w:r>
    </w:p>
    <w:p>
      <w:pPr>
        <w:spacing w:after="0" w:line="229" w:lineRule="exact"/>
        <w:rPr>
          <w:sz w:val="20"/>
          <w:szCs w:val="20"/>
          <w:color w:val="auto"/>
        </w:rPr>
      </w:pPr>
    </w:p>
    <w:p>
      <w:pPr>
        <w:ind w:left="2100" w:hanging="796"/>
        <w:spacing w:after="0"/>
        <w:tabs>
          <w:tab w:leader="none" w:pos="2100" w:val="left"/>
        </w:tabs>
        <w:numPr>
          <w:ilvl w:val="0"/>
          <w:numId w:val="975"/>
        </w:numPr>
        <w:rPr>
          <w:rFonts w:ascii="Arial" w:cs="Arial" w:eastAsia="Arial" w:hAnsi="Arial"/>
          <w:sz w:val="22"/>
          <w:szCs w:val="22"/>
          <w:color w:val="auto"/>
        </w:rPr>
      </w:pPr>
      <w:r>
        <w:rPr>
          <w:rFonts w:ascii="Arial" w:cs="Arial" w:eastAsia="Arial" w:hAnsi="Arial"/>
          <w:sz w:val="22"/>
          <w:szCs w:val="22"/>
          <w:color w:val="auto"/>
        </w:rPr>
        <w:t>if to the Grantors, to them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836-4000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LegalWeatherford@weatherford.com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6" w:name="page867"/>
    <w:bookmarkEnd w:id="866"/>
    <w:p>
      <w:pPr>
        <w:ind w:left="1960"/>
        <w:spacing w:after="0"/>
        <w:rPr>
          <w:sz w:val="20"/>
          <w:szCs w:val="20"/>
          <w:color w:val="auto"/>
        </w:rPr>
      </w:pPr>
      <w:r>
        <w:rPr>
          <w:rFonts w:ascii="Arial" w:cs="Arial" w:eastAsia="Arial" w:hAnsi="Arial"/>
          <w:sz w:val="22"/>
          <w:szCs w:val="22"/>
          <w:color w:val="auto"/>
        </w:rPr>
        <w:t>with a copy to:</w:t>
      </w:r>
    </w:p>
    <w:p>
      <w:pPr>
        <w:spacing w:after="0" w:line="28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TX 77056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836-7460</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Mark.Rothleitner@weatherford.com; Josh.Silverman@weatherford.com</w:t>
      </w:r>
    </w:p>
    <w:p>
      <w:pPr>
        <w:spacing w:after="0" w:line="22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Any party hereto may change its address or telecopy number for notices and other communications hereunder by notice to the other parties hereto (and for this purpose a notice to the Parent shall be deemed to be a notice to each Grantor).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five Business Days after dispatch by certified or registered mail if mailed, in each case delivered, sent or mailed (properly addressed) to such party as provided in this Section 7.02 or in accordance with the latest unrevoked direction from such party given in accordance with this Section 7.02. As agreed to in writing among the Parent, the Notes Collateral Agent, the LC Collateral Agent, notices and other communications may also be delivered by e-mail to the e-mail address of a representative of the applicable Person provided from time to time by such Person.</w:t>
      </w:r>
    </w:p>
    <w:p>
      <w:pPr>
        <w:spacing w:after="0" w:line="15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8"/>
          <w:szCs w:val="18"/>
          <w:b w:val="1"/>
          <w:bCs w:val="1"/>
          <w:i w:val="1"/>
          <w:iCs w:val="1"/>
          <w:color w:val="auto"/>
        </w:rPr>
        <w:t>Waivers; Amendment</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305" w:lineRule="auto"/>
        <w:tabs>
          <w:tab w:leader="none" w:pos="2305" w:val="left"/>
        </w:tabs>
        <w:numPr>
          <w:ilvl w:val="0"/>
          <w:numId w:val="976"/>
        </w:numPr>
        <w:rPr>
          <w:rFonts w:ascii="Arial" w:cs="Arial" w:eastAsia="Arial" w:hAnsi="Arial"/>
          <w:sz w:val="19"/>
          <w:szCs w:val="19"/>
          <w:color w:val="auto"/>
        </w:rPr>
      </w:pPr>
      <w:r>
        <w:rPr>
          <w:rFonts w:ascii="Arial" w:cs="Arial" w:eastAsia="Arial" w:hAnsi="Arial"/>
          <w:sz w:val="19"/>
          <w:szCs w:val="19"/>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7.03,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54" w:lineRule="exact"/>
        <w:rPr>
          <w:rFonts w:ascii="Arial" w:cs="Arial" w:eastAsia="Arial" w:hAnsi="Arial"/>
          <w:sz w:val="19"/>
          <w:szCs w:val="19"/>
          <w:color w:val="auto"/>
        </w:rPr>
      </w:pPr>
    </w:p>
    <w:p>
      <w:pPr>
        <w:jc w:val="both"/>
        <w:ind w:firstLine="1304"/>
        <w:spacing w:after="0" w:line="262" w:lineRule="auto"/>
        <w:tabs>
          <w:tab w:leader="none" w:pos="2209" w:val="left"/>
        </w:tabs>
        <w:numPr>
          <w:ilvl w:val="0"/>
          <w:numId w:val="976"/>
        </w:numPr>
        <w:rPr>
          <w:rFonts w:ascii="Arial" w:cs="Arial" w:eastAsia="Arial" w:hAnsi="Arial"/>
          <w:sz w:val="22"/>
          <w:szCs w:val="22"/>
          <w:color w:val="auto"/>
        </w:rPr>
      </w:pPr>
      <w:r>
        <w:rPr>
          <w:rFonts w:ascii="Arial" w:cs="Arial" w:eastAsia="Arial" w:hAnsi="Arial"/>
          <w:sz w:val="22"/>
          <w:szCs w:val="22"/>
          <w:color w:val="auto"/>
        </w:rPr>
        <w:t>Subject to Sections 2.03, 2.10, 2.11, Article 6 and 7.15 hereof, and except as set forth in Section 7.18, neither this Agreement nor any provision hereof may be terminated, waived, amended or modified except pursuant to an agreement or agreements in writing entered into by each Representative, each Collateral Agent and the Parent (for and on behalf of each of the other Grantors).</w:t>
      </w:r>
    </w:p>
    <w:p>
      <w:pPr>
        <w:spacing w:after="0" w:line="191" w:lineRule="exact"/>
        <w:rPr>
          <w:sz w:val="20"/>
          <w:szCs w:val="20"/>
          <w:color w:val="auto"/>
        </w:rPr>
      </w:pPr>
    </w:p>
    <w:p>
      <w:pPr>
        <w:ind w:firstLine="1296"/>
        <w:spacing w:after="0" w:line="301"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b w:val="1"/>
          <w:bCs w:val="1"/>
          <w:i w:val="1"/>
          <w:iCs w:val="1"/>
          <w:color w:val="auto"/>
        </w:rPr>
        <w:t>Parties in Interest</w:t>
      </w:r>
      <w:r>
        <w:rPr>
          <w:rFonts w:ascii="Arial" w:cs="Arial" w:eastAsia="Arial" w:hAnsi="Arial"/>
          <w:sz w:val="21"/>
          <w:szCs w:val="21"/>
          <w:color w:val="auto"/>
        </w:rPr>
        <w:t>. This Agreement shall be binding upon and inure to the benefit of the parties hereto and their respective successors and assigns, all of whom are intended to be bound by this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7" w:name="page868"/>
    <w:bookmarkEnd w:id="867"/>
    <w:p>
      <w:pPr>
        <w:jc w:val="both"/>
        <w:ind w:firstLine="1296"/>
        <w:spacing w:after="0" w:line="26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b w:val="1"/>
          <w:bCs w:val="1"/>
          <w:i w:val="1"/>
          <w:iCs w:val="1"/>
          <w:color w:val="auto"/>
        </w:rPr>
        <w:t>Survival of Agreement</w:t>
      </w:r>
      <w:r>
        <w:rPr>
          <w:rFonts w:ascii="Arial" w:cs="Arial" w:eastAsia="Arial" w:hAnsi="Arial"/>
          <w:sz w:val="22"/>
          <w:szCs w:val="22"/>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9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b w:val="1"/>
          <w:bCs w:val="1"/>
          <w:i w:val="1"/>
          <w:iCs w:val="1"/>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2"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b w:val="1"/>
          <w:bCs w:val="1"/>
          <w:i w:val="1"/>
          <w:iCs w:val="1"/>
          <w:color w:val="auto"/>
        </w:rPr>
        <w:t>Governing Law; Jurisdiction; Consent to Service of Process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71" w:lineRule="exact"/>
        <w:tabs>
          <w:tab w:leader="none" w:pos="2170" w:val="left"/>
        </w:tabs>
        <w:numPr>
          <w:ilvl w:val="0"/>
          <w:numId w:val="977"/>
        </w:numPr>
        <w:rPr>
          <w:rFonts w:ascii="Arial" w:cs="Arial" w:eastAsia="Arial" w:hAnsi="Arial"/>
          <w:sz w:val="22"/>
          <w:szCs w:val="22"/>
          <w:color w:val="auto"/>
        </w:rPr>
      </w:pPr>
      <w:r>
        <w:rPr>
          <w:rFonts w:ascii="Arial" w:cs="Arial" w:eastAsia="Arial" w:hAnsi="Arial"/>
          <w:sz w:val="22"/>
          <w:szCs w:val="22"/>
          <w:color w:val="auto"/>
        </w:rPr>
        <w:t>This Agreement and any claim, controversy or dispute arising under or related to such Agreement shall be governed by, and construed in accordance with, the law of the State of New York, without giving effect to conflict of law provisions, other than 5-1401 and 5</w:t>
      </w:r>
      <w:r>
        <w:rPr>
          <w:rFonts w:ascii="MS PGothic" w:cs="MS PGothic" w:eastAsia="MS PGothic" w:hAnsi="MS PGothic"/>
          <w:sz w:val="22"/>
          <w:szCs w:val="22"/>
          <w:color w:val="auto"/>
        </w:rPr>
        <w:t>‑</w:t>
      </w:r>
      <w:r>
        <w:rPr>
          <w:rFonts w:ascii="Arial" w:cs="Arial" w:eastAsia="Arial" w:hAnsi="Arial"/>
          <w:sz w:val="22"/>
          <w:szCs w:val="22"/>
          <w:color w:val="auto"/>
        </w:rPr>
        <w:t>1402 of the New York General Obligations Law.</w:t>
      </w:r>
    </w:p>
    <w:p>
      <w:pPr>
        <w:spacing w:after="0" w:line="213" w:lineRule="exact"/>
        <w:rPr>
          <w:rFonts w:ascii="Arial" w:cs="Arial" w:eastAsia="Arial" w:hAnsi="Arial"/>
          <w:sz w:val="22"/>
          <w:szCs w:val="22"/>
          <w:color w:val="auto"/>
        </w:rPr>
      </w:pPr>
    </w:p>
    <w:p>
      <w:pPr>
        <w:jc w:val="both"/>
        <w:ind w:firstLine="1304"/>
        <w:spacing w:after="0" w:line="304" w:lineRule="auto"/>
        <w:tabs>
          <w:tab w:leader="none" w:pos="2331" w:val="left"/>
        </w:tabs>
        <w:numPr>
          <w:ilvl w:val="0"/>
          <w:numId w:val="977"/>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in the courts of any jurisdiction.</w:t>
      </w:r>
    </w:p>
    <w:p>
      <w:pPr>
        <w:spacing w:after="0" w:line="155" w:lineRule="exact"/>
        <w:rPr>
          <w:rFonts w:ascii="Arial" w:cs="Arial" w:eastAsia="Arial" w:hAnsi="Arial"/>
          <w:sz w:val="19"/>
          <w:szCs w:val="19"/>
          <w:color w:val="auto"/>
        </w:rPr>
      </w:pPr>
    </w:p>
    <w:p>
      <w:pPr>
        <w:jc w:val="both"/>
        <w:ind w:firstLine="1304"/>
        <w:spacing w:after="0" w:line="261" w:lineRule="auto"/>
        <w:tabs>
          <w:tab w:leader="none" w:pos="2130" w:val="left"/>
        </w:tabs>
        <w:numPr>
          <w:ilvl w:val="0"/>
          <w:numId w:val="977"/>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7.08. Each of the parties hereto hereby irrevocably waives, to the fullest extent permitted by law, the defense of an inconvenient forum to the maintenance of such action or proceeding in any such court.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8" w:name="page869"/>
    <w:bookmarkEnd w:id="868"/>
    <w:p>
      <w:pPr>
        <w:jc w:val="both"/>
        <w:ind w:firstLine="1304"/>
        <w:spacing w:after="0" w:line="266" w:lineRule="auto"/>
        <w:tabs>
          <w:tab w:leader="none" w:pos="2317" w:val="left"/>
        </w:tabs>
        <w:numPr>
          <w:ilvl w:val="0"/>
          <w:numId w:val="978"/>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7.02. Nothing in this Agreement will affect the right of any party to this Agreement to serve process in any other manner permitted by law.</w:t>
      </w:r>
    </w:p>
    <w:p>
      <w:pPr>
        <w:spacing w:after="0" w:line="23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b w:val="1"/>
          <w:bCs w:val="1"/>
          <w:i w:val="1"/>
          <w:iCs w:val="1"/>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b w:val="1"/>
          <w:bCs w:val="1"/>
          <w:i w:val="1"/>
          <w:iCs w:val="1"/>
          <w:color w:val="auto"/>
        </w:rPr>
        <w:t>Headings</w:t>
      </w:r>
      <w:r>
        <w:rPr>
          <w:rFonts w:ascii="Arial" w:cs="Arial" w:eastAsia="Arial" w:hAnsi="Arial"/>
          <w:sz w:val="22"/>
          <w:szCs w:val="22"/>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8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b w:val="1"/>
          <w:bCs w:val="1"/>
          <w:i w:val="1"/>
          <w:iCs w:val="1"/>
          <w:color w:val="auto"/>
        </w:rPr>
        <w:t>Conflicts</w:t>
      </w:r>
      <w:r>
        <w:rPr>
          <w:rFonts w:ascii="Arial" w:cs="Arial" w:eastAsia="Arial" w:hAnsi="Arial"/>
          <w:sz w:val="22"/>
          <w:szCs w:val="22"/>
          <w:color w:val="auto"/>
        </w:rPr>
        <w:t>. In the event of any conflict or inconsistency between the provisions of this Agreement and the provisions of any of the Notes Documents and/or any of the LC Documents, the provisions of this Agreement shall control, except with respect to provisions governing the rights, privileges, immunities and indemnities of the Collateral Agents and Representatives, in their capacities as such, in which case the applicable Notes Documents or LC Documents shall control.</w:t>
      </w:r>
    </w:p>
    <w:p>
      <w:pPr>
        <w:spacing w:after="0" w:line="19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b w:val="1"/>
          <w:bCs w:val="1"/>
          <w:i w:val="1"/>
          <w:iCs w:val="1"/>
          <w:color w:val="auto"/>
        </w:rPr>
        <w:t>Provisions Solely to Define Relative Rights</w:t>
      </w:r>
      <w:r>
        <w:rPr>
          <w:rFonts w:ascii="Arial" w:cs="Arial" w:eastAsia="Arial" w:hAnsi="Arial"/>
          <w:sz w:val="19"/>
          <w:szCs w:val="19"/>
          <w:color w:val="auto"/>
        </w:rPr>
        <w:t>. The provisions of this Agreement are and are intended solely for the purpose of defining the relative rights of the Notes Secured Parties and the LC Secured Parties in relation to one another. None of the Grantors shall have any rights or obligations hereunder, except as expressly provided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(other than Sections 2.05, 2.06, 2.10, 2.11, Article V and Article VI) is intended to or will amend, waive or otherwise modify the provisions of the Notes Documents or any LC Documents), and none of the Grantors may rely on the terms hereof. Nothing in this Agreement is intended to or shall impair or relieve the obligations of the Grantors, which are absolute and unconditional, to pay the Obligations as and when the same shall become due and payable in accordance with their terms. Notwithstanding anything to the contrary herein or in any Notes Document or any LC Obligations Document, the Grantors shall not be required to act or refrain from acting (a) pursuant to this Agreement or any LC Obligations Document with respect to any Notes Priority Collateral in any manner that would cause a default under any Notes Document, or (b) pursuant to this Agreement or any Notes Document with respect to any LC Priority Collateral in any manner that would cause a default under any LC Obligations Document. For the avoidance of doubt, the provisions of this agreement shall apply to the Notes Secured Parties solely in their capacity as Notes Secured Parties and not in any other capacity.</w:t>
      </w:r>
    </w:p>
    <w:p>
      <w:pPr>
        <w:spacing w:after="0" w:line="16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b w:val="1"/>
          <w:bCs w:val="1"/>
          <w:i w:val="1"/>
          <w:iCs w:val="1"/>
          <w:color w:val="auto"/>
        </w:rPr>
        <w:t>Agent Capacities</w:t>
      </w:r>
      <w:r>
        <w:rPr>
          <w:rFonts w:ascii="Arial" w:cs="Arial" w:eastAsia="Arial" w:hAnsi="Arial"/>
          <w:sz w:val="22"/>
          <w:szCs w:val="22"/>
          <w:color w:val="auto"/>
        </w:rPr>
        <w:t>. Except as expressly set forth herein, neither the Notes Collateral Agent, nor the LC Collateral Agent (including the LC Australian Collateral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9" w:name="page870"/>
    <w:bookmarkEnd w:id="869"/>
    <w:p>
      <w:pPr>
        <w:jc w:val="both"/>
        <w:spacing w:after="0" w:line="258" w:lineRule="auto"/>
        <w:rPr>
          <w:sz w:val="20"/>
          <w:szCs w:val="20"/>
          <w:color w:val="auto"/>
        </w:rPr>
      </w:pPr>
      <w:r>
        <w:rPr>
          <w:rFonts w:ascii="Arial" w:cs="Arial" w:eastAsia="Arial" w:hAnsi="Arial"/>
          <w:sz w:val="22"/>
          <w:szCs w:val="22"/>
          <w:color w:val="auto"/>
        </w:rPr>
        <w:t>Agent), shall have (i) any duties or obligations in respect of any of the Collateral, all of such duties and obligations, if any, being subject to and governed by the Notes Documents and the LC Documents, as the case may be, or (ii) any liability or responsibility for the actions or omissions of any other Secured Party or for any other Secured Party’s compliance with (or failure to comply with) the terms of this Agreement. Neither the Notes Collateral Agent, nor the LC Collateral Agent (including the LC Australian Collateral Agent) shall have individual liability to any Person if it shall mistakenly pay over or distribute to any Secured Party (or Grantor) any amounts in violation of the terms of this Agreement, so long as such Person is acting in good faith and without willful misconduct. Furthermore, and notwithstanding anything to the contrary contained herein, the LC Australian Collateral Agent shall act or refrain from acting with respect to the LC Australian Collateral only at the direction of the LC Administrative Agent.</w:t>
      </w:r>
    </w:p>
    <w:p>
      <w:pPr>
        <w:spacing w:after="0" w:line="253"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b w:val="1"/>
          <w:bCs w:val="1"/>
          <w:i w:val="1"/>
          <w:iCs w:val="1"/>
          <w:color w:val="auto"/>
        </w:rPr>
        <w:t>Supplements</w:t>
      </w:r>
      <w:r>
        <w:rPr>
          <w:rFonts w:ascii="Arial" w:cs="Arial" w:eastAsia="Arial" w:hAnsi="Arial"/>
          <w:sz w:val="22"/>
          <w:szCs w:val="22"/>
          <w:color w:val="auto"/>
        </w:rPr>
        <w:t>. Upon the execution by any Subsidiary of Parent of a supplement hereto in form and substance satisfactory to the Collateral Agents, such subsidiary shall be a party to this Agreement and shall be bound by the provisions hereof to the same extent as each Grantor are so bound. The Parent shall cause any Subsidiary that becomes a Grantor to execute and deliver such supplement.</w:t>
      </w:r>
    </w:p>
    <w:p>
      <w:pPr>
        <w:spacing w:after="0" w:line="191"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7.15</w:t>
      </w:r>
      <w:r>
        <w:rPr>
          <w:sz w:val="20"/>
          <w:szCs w:val="20"/>
          <w:color w:val="auto"/>
        </w:rPr>
        <w:tab/>
      </w:r>
      <w:r>
        <w:rPr>
          <w:rFonts w:ascii="Arial" w:cs="Arial" w:eastAsia="Arial" w:hAnsi="Arial"/>
          <w:sz w:val="18"/>
          <w:szCs w:val="18"/>
          <w:b w:val="1"/>
          <w:bCs w:val="1"/>
          <w:i w:val="1"/>
          <w:iCs w:val="1"/>
          <w:color w:val="auto"/>
        </w:rPr>
        <w:t>Collateral Agent Rights, Protections and Immunities</w:t>
      </w:r>
      <w:r>
        <w:rPr>
          <w:rFonts w:ascii="Arial" w:cs="Arial" w:eastAsia="Arial" w:hAnsi="Arial"/>
          <w:sz w:val="18"/>
          <w:szCs w:val="18"/>
          <w:color w:val="auto"/>
        </w:rPr>
        <w:t>.</w:t>
      </w:r>
    </w:p>
    <w:p>
      <w:pPr>
        <w:spacing w:after="0" w:line="23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9"/>
          <w:szCs w:val="19"/>
          <w:color w:val="auto"/>
        </w:rPr>
        <w:t xml:space="preserve">In acting under or by virtue of this Agreement, the LC Collateral Agent and the LC Australian Collateral Agent shall have the rights, protections, immunities and indemnities granted to the “Administrative Agent” and its respective sub-agents under the LC Credit Agreement, all of which are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 acting under or by virtue of this Agreement, the Notes Collateral Agent shall have the rights, protections, immunities and indemnities granted to the “Collateral Agent” under the Notes Indenture, all of which are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In acting under or by virtue of this Agreement, the LC Australian Collateral Agent shall have the rights, protections and immunities granted to the “LC Australian Collateral Agent” under the LC Australian Security Trust Deed.</w:t>
      </w:r>
    </w:p>
    <w:p>
      <w:pPr>
        <w:spacing w:after="0" w:line="156"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7.16</w:t>
      </w:r>
      <w:r>
        <w:rPr>
          <w:sz w:val="20"/>
          <w:szCs w:val="20"/>
          <w:color w:val="auto"/>
        </w:rPr>
        <w:tab/>
      </w:r>
      <w:r>
        <w:rPr>
          <w:rFonts w:ascii="Arial" w:cs="Arial" w:eastAsia="Arial" w:hAnsi="Arial"/>
          <w:sz w:val="19"/>
          <w:szCs w:val="19"/>
          <w:b w:val="1"/>
          <w:bCs w:val="1"/>
          <w:i w:val="1"/>
          <w:iCs w:val="1"/>
          <w:color w:val="auto"/>
        </w:rPr>
        <w:t>Other Junior Intercreditor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In addition, in the event that the Parent or any Subsidiary incurs any obligations secured by a lien on any Collateral that is junior to the LC Obligations or the Notes Obligations, then the Notes Collateral Agent and the LC Collateral Agent shall enter into an intercreditor agreement (at the sole cost and expense of the Grantors) with the agent or trustee for the secured parties with respect to such secured obligation to reflect the relative lien priorities of such parties with respect to the Collateral and governing the relative rights, benefits and privileges as among such parties in respect of the Collateral, including as to application of proceeds of the Collateral, voting rights, control of the Collateral and waivers with respect to the Collateral, in each case so long as such secured obligations are permitted under, and the terms of such intercreditor agreement do not violate or conflict with, the provisions of this Agreement or the other Notes Documents or LC Documents, as the case may be. Each party hereto agrees that the Notes Secured Parties (as among themselves) and the LC Secured Parties (as among themselves) may each enter into intercreditor agreements (or similar arrangements) with the Applicable Senior Collateral Agent governing the rights, benefits and privileges as among the Notes Secured Parties or the LC Secured Parties, as the case may be, in respect of the Collateral, this Agreement and the applicable Senior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0" w:name="page871"/>
    <w:bookmarkEnd w:id="870"/>
    <w:p>
      <w:pPr>
        <w:jc w:val="both"/>
        <w:spacing w:after="0" w:line="272" w:lineRule="auto"/>
        <w:rPr>
          <w:sz w:val="20"/>
          <w:szCs w:val="20"/>
          <w:color w:val="auto"/>
        </w:rPr>
      </w:pPr>
      <w:r>
        <w:rPr>
          <w:rFonts w:ascii="Arial" w:cs="Arial" w:eastAsia="Arial" w:hAnsi="Arial"/>
          <w:sz w:val="21"/>
          <w:szCs w:val="21"/>
          <w:color w:val="auto"/>
        </w:rPr>
        <w:t>Secured Obligations Collateral Documents, as the case may be, including as to the application of proceeds of the Collateral, voting rights, control of the Collateral and waivers with respect to the Collateral, in each case so long as the terms thereof do not violate or conflict with the provisions of this Agreement or the other applicable Senior Secured Obligations Collateral Documents, as the case may be. If any such intercreditor agreement (or similar arrangement) is entered into, the provisions thereof shall not be (or be construed to be) an amendment, modification or other change to this Agreement or any other Notes Document or LC Document, and the provisions of this Agreement and the other Notes Documents and LC Documents shall remain in full force and effect in accordance with the terms hereof and thereof (as such provisions may be amended, modified or otherwise supplemented from time to time in accordance with the terms thereof, including to give effect to any intercreditor agreement (or similar arrangement)).</w:t>
      </w:r>
    </w:p>
    <w:p>
      <w:pPr>
        <w:spacing w:after="0" w:line="237"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7.17</w:t>
      </w:r>
      <w:r>
        <w:rPr>
          <w:sz w:val="20"/>
          <w:szCs w:val="20"/>
          <w:color w:val="auto"/>
        </w:rPr>
        <w:tab/>
      </w:r>
      <w:r>
        <w:rPr>
          <w:rFonts w:ascii="Arial" w:cs="Arial" w:eastAsia="Arial" w:hAnsi="Arial"/>
          <w:sz w:val="19"/>
          <w:szCs w:val="19"/>
          <w:b w:val="1"/>
          <w:bCs w:val="1"/>
          <w:i w:val="1"/>
          <w:iCs w:val="1"/>
          <w:color w:val="auto"/>
        </w:rPr>
        <w:t>Additional Grantors</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2"/>
          <w:szCs w:val="22"/>
          <w:color w:val="auto"/>
        </w:rPr>
        <w:t xml:space="preserve">Promptly upon request by any Collateral Agent, any Person that becomes a Grantor after the date hereof will provide to the Collateral Agents a fully signed acknowledgement,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consenting to the provisions of this Agreement and the intercreditor arrangements provided for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failure on the part of any Collateral Agent to request or obtain such acknowledgement will in any way diminish or impair any of the rights of the Secured Parties hereunder.</w:t>
      </w:r>
    </w:p>
    <w:p>
      <w:pPr>
        <w:spacing w:after="0" w:line="190"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7.18</w:t>
      </w:r>
      <w:r>
        <w:rPr>
          <w:sz w:val="20"/>
          <w:szCs w:val="20"/>
          <w:color w:val="auto"/>
        </w:rPr>
        <w:tab/>
      </w:r>
      <w:r>
        <w:rPr>
          <w:rFonts w:ascii="Arial" w:cs="Arial" w:eastAsia="Arial" w:hAnsi="Arial"/>
          <w:sz w:val="19"/>
          <w:szCs w:val="19"/>
          <w:b w:val="1"/>
          <w:bCs w:val="1"/>
          <w:i w:val="1"/>
          <w:iCs w:val="1"/>
          <w:color w:val="auto"/>
        </w:rPr>
        <w:t>Joinder of LC Australian Collateral Agent</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 xml:space="preserve">Substantially concurrently with its entry into the LC Australian Security Trust Deed, BTA Institutional Services Australia Limited shall, without requiring the consent of any other party hereto, join to this Agreement by executing and delivering a joinder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8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7.19</w:t>
      </w:r>
      <w:r>
        <w:rPr>
          <w:sz w:val="20"/>
          <w:szCs w:val="20"/>
          <w:color w:val="auto"/>
        </w:rPr>
        <w:tab/>
      </w:r>
      <w:r>
        <w:rPr>
          <w:rFonts w:ascii="Arial" w:cs="Arial" w:eastAsia="Arial" w:hAnsi="Arial"/>
          <w:sz w:val="18"/>
          <w:szCs w:val="18"/>
          <w:b w:val="1"/>
          <w:bCs w:val="1"/>
          <w:i w:val="1"/>
          <w:iCs w:val="1"/>
          <w:u w:val="single" w:color="auto"/>
          <w:color w:val="auto"/>
        </w:rPr>
        <w:t>Purchase Right</w:t>
      </w:r>
      <w:r>
        <w:rPr>
          <w:rFonts w:ascii="Arial" w:cs="Arial" w:eastAsia="Arial" w:hAnsi="Arial"/>
          <w:sz w:val="18"/>
          <w:szCs w:val="18"/>
          <w:b w:val="1"/>
          <w:bCs w:val="1"/>
          <w:i w:val="1"/>
          <w:iCs w:val="1"/>
          <w:color w:val="auto"/>
        </w:rPr>
        <w:t>.</w:t>
      </w:r>
    </w:p>
    <w:p>
      <w:pPr>
        <w:spacing w:after="0" w:line="233" w:lineRule="exact"/>
        <w:rPr>
          <w:sz w:val="20"/>
          <w:szCs w:val="20"/>
          <w:color w:val="auto"/>
        </w:rPr>
      </w:pPr>
    </w:p>
    <w:p>
      <w:pPr>
        <w:jc w:val="both"/>
        <w:ind w:firstLine="1304"/>
        <w:spacing w:after="0" w:line="296" w:lineRule="auto"/>
        <w:tabs>
          <w:tab w:leader="none" w:pos="2224" w:val="left"/>
        </w:tabs>
        <w:numPr>
          <w:ilvl w:val="1"/>
          <w:numId w:val="979"/>
        </w:numPr>
        <w:rPr>
          <w:rFonts w:ascii="Arial" w:cs="Arial" w:eastAsia="Arial" w:hAnsi="Arial"/>
          <w:sz w:val="19"/>
          <w:szCs w:val="19"/>
          <w:color w:val="auto"/>
        </w:rPr>
      </w:pPr>
      <w:r>
        <w:rPr>
          <w:rFonts w:ascii="Arial" w:cs="Arial" w:eastAsia="Arial" w:hAnsi="Arial"/>
          <w:sz w:val="19"/>
          <w:szCs w:val="19"/>
          <w:color w:val="auto"/>
        </w:rPr>
        <w:t>Without prejudice to the enforcement of the LC Secured Parties’ rights and remedies, the LC Secured Parties agree that following the occurrence of (i) the occurrence of an Event of Default and acceleration of the LC Obligations in accordance with the terms of the LC Documents, (ii) any enforcement action by any LC Secured Party with respect to any material portion of the Collateral, (iii) any Insolvency or Liquidation Proceeding, or (iv) any bankruptcy or payment default under the Notes Indenture (each such event, a “</w:t>
      </w:r>
      <w:r>
        <w:rPr>
          <w:rFonts w:ascii="Arial" w:cs="Arial" w:eastAsia="Arial" w:hAnsi="Arial"/>
          <w:sz w:val="19"/>
          <w:szCs w:val="19"/>
          <w:u w:val="single" w:color="auto"/>
          <w:color w:val="auto"/>
        </w:rPr>
        <w:t>Purchase Option Event</w:t>
      </w:r>
      <w:r>
        <w:rPr>
          <w:rFonts w:ascii="Arial" w:cs="Arial" w:eastAsia="Arial" w:hAnsi="Arial"/>
          <w:sz w:val="19"/>
          <w:szCs w:val="19"/>
          <w:color w:val="auto"/>
        </w:rPr>
        <w:t xml:space="preserve">”), then some or all of the Notes Secured Parties shall have the right to elect to purchase all but not less than all of the outstanding LC Obligations, at par, without regard to any prepayment penalty or premium and without warranty, representation or recourse, for the Purchase Price (defined below); provided, with respect to any LC Obligations constituting Bank Product Obligations, at the time of any such purchase pursuant to this Section 7.19, the Bank Product Obligations shall have been terminated in accordance with their terms. The participating Notes Secured Parties shall irrevocably exercise each such purchase right by delivery of written notice of their intent to purchase the LC Obligations to the LC Collateral Agent at any time following the Purchase Option Event;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unless the LC Collateral Agent otherwise consents, such written notice must be received by the LC Collateral Agent no later than the earlier to occur of</w:t>
      </w:r>
    </w:p>
    <w:p>
      <w:pPr>
        <w:spacing w:after="0" w:line="10" w:lineRule="exact"/>
        <w:rPr>
          <w:rFonts w:ascii="Arial" w:cs="Arial" w:eastAsia="Arial" w:hAnsi="Arial"/>
          <w:sz w:val="19"/>
          <w:szCs w:val="19"/>
          <w:color w:val="auto"/>
        </w:rPr>
      </w:pPr>
    </w:p>
    <w:p>
      <w:pPr>
        <w:ind w:left="360" w:hanging="352"/>
        <w:spacing w:after="0"/>
        <w:tabs>
          <w:tab w:leader="none" w:pos="360" w:val="left"/>
        </w:tabs>
        <w:numPr>
          <w:ilvl w:val="0"/>
          <w:numId w:val="980"/>
        </w:numPr>
        <w:rPr>
          <w:rFonts w:ascii="Arial" w:cs="Arial" w:eastAsia="Arial" w:hAnsi="Arial"/>
          <w:sz w:val="21"/>
          <w:szCs w:val="21"/>
          <w:color w:val="auto"/>
        </w:rPr>
      </w:pPr>
      <w:r>
        <w:rPr>
          <w:rFonts w:ascii="Arial" w:cs="Arial" w:eastAsia="Arial" w:hAnsi="Arial"/>
          <w:sz w:val="21"/>
          <w:szCs w:val="21"/>
          <w:color w:val="auto"/>
        </w:rPr>
        <w:t>10 Business Days after the LC Collateral Agent delivers to the Notes Trustee written notice of the occurrence of any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1" w:name="page872"/>
    <w:bookmarkEnd w:id="871"/>
    <w:p>
      <w:pPr>
        <w:jc w:val="both"/>
        <w:spacing w:after="0" w:line="304" w:lineRule="auto"/>
        <w:rPr>
          <w:sz w:val="20"/>
          <w:szCs w:val="20"/>
          <w:color w:val="auto"/>
        </w:rPr>
      </w:pPr>
      <w:r>
        <w:rPr>
          <w:rFonts w:ascii="Arial" w:cs="Arial" w:eastAsia="Arial" w:hAnsi="Arial"/>
          <w:sz w:val="19"/>
          <w:szCs w:val="19"/>
          <w:color w:val="auto"/>
        </w:rPr>
        <w:t xml:space="preserve">Purchase Option Event described in clause (i), (ii) or (iii) above, or (B) if any bankruptcy or payment default under the Notes Indenture has occurred and is continuing, 10 Business Days after LC Collateral Agent delivers written notice to the Notes Trustee that the LC Facility Secured Parties desire to sell or assign the LC Obligations and are actively seeking to identify one or more Persons to purchase and acquire its LC Obligations from such LC Facility Secured Parties. The parties shall close such purchase and sale within 20 Business Days (or such shorter time as reasonably specified by the participating Notes Secured Parties in such notice) after such delivery of such notice. To the extent that more than one Notes Secured Party elects to purchase the LC Obligations in accordance with this </w:t>
      </w:r>
      <w:r>
        <w:rPr>
          <w:rFonts w:ascii="Arial" w:cs="Arial" w:eastAsia="Arial" w:hAnsi="Arial"/>
          <w:sz w:val="19"/>
          <w:szCs w:val="19"/>
          <w:u w:val="single" w:color="auto"/>
          <w:color w:val="auto"/>
        </w:rPr>
        <w:t>Section 7.19</w:t>
      </w:r>
      <w:r>
        <w:rPr>
          <w:rFonts w:ascii="Arial" w:cs="Arial" w:eastAsia="Arial" w:hAnsi="Arial"/>
          <w:sz w:val="19"/>
          <w:szCs w:val="19"/>
          <w:color w:val="auto"/>
        </w:rPr>
        <w:t xml:space="preserve">, unless otherwise agreed upon by such Notes Secured Parties electing to purchase the LC Obligations, such Notes Secured Parties shall purchase all of the LC Obligations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7.19</w:t>
      </w:r>
      <w:r>
        <w:rPr>
          <w:rFonts w:ascii="Arial" w:cs="Arial" w:eastAsia="Arial" w:hAnsi="Arial"/>
          <w:sz w:val="19"/>
          <w:szCs w:val="19"/>
          <w:color w:val="auto"/>
        </w:rPr>
        <w:t xml:space="preserve"> on a ratable basis based on their outstanding Notes Obligations.</w:t>
      </w:r>
    </w:p>
    <w:p>
      <w:pPr>
        <w:spacing w:after="0" w:line="209" w:lineRule="exact"/>
        <w:rPr>
          <w:sz w:val="20"/>
          <w:szCs w:val="20"/>
          <w:color w:val="auto"/>
        </w:rPr>
      </w:pPr>
    </w:p>
    <w:p>
      <w:pPr>
        <w:ind w:left="2100" w:hanging="796"/>
        <w:spacing w:after="0"/>
        <w:tabs>
          <w:tab w:leader="none" w:pos="2100" w:val="left"/>
        </w:tabs>
        <w:numPr>
          <w:ilvl w:val="1"/>
          <w:numId w:val="981"/>
        </w:numPr>
        <w:rPr>
          <w:rFonts w:ascii="Arial" w:cs="Arial" w:eastAsia="Arial" w:hAnsi="Arial"/>
          <w:sz w:val="19"/>
          <w:szCs w:val="19"/>
          <w:color w:val="auto"/>
        </w:rPr>
      </w:pPr>
      <w:r>
        <w:rPr>
          <w:rFonts w:ascii="Arial" w:cs="Arial" w:eastAsia="Arial" w:hAnsi="Arial"/>
          <w:sz w:val="19"/>
          <w:szCs w:val="19"/>
          <w:color w:val="auto"/>
        </w:rPr>
        <w:t>On the date of such purchase and sale (the “</w:t>
      </w:r>
      <w:r>
        <w:rPr>
          <w:rFonts w:ascii="Arial" w:cs="Arial" w:eastAsia="Arial" w:hAnsi="Arial"/>
          <w:sz w:val="19"/>
          <w:szCs w:val="19"/>
          <w:u w:val="single" w:color="auto"/>
          <w:color w:val="auto"/>
        </w:rPr>
        <w:t>Purchase Date</w:t>
      </w:r>
      <w:r>
        <w:rPr>
          <w:rFonts w:ascii="Arial" w:cs="Arial" w:eastAsia="Arial" w:hAnsi="Arial"/>
          <w:sz w:val="19"/>
          <w:szCs w:val="19"/>
          <w:color w:val="auto"/>
        </w:rPr>
        <w:t>”), the participating Notes Secured Parties shall</w:t>
      </w:r>
    </w:p>
    <w:p>
      <w:pPr>
        <w:spacing w:after="0" w:line="55" w:lineRule="exact"/>
        <w:rPr>
          <w:rFonts w:ascii="Arial" w:cs="Arial" w:eastAsia="Arial" w:hAnsi="Arial"/>
          <w:sz w:val="19"/>
          <w:szCs w:val="19"/>
          <w:color w:val="auto"/>
        </w:rPr>
      </w:pPr>
    </w:p>
    <w:p>
      <w:pPr>
        <w:jc w:val="both"/>
        <w:ind w:firstLine="8"/>
        <w:spacing w:after="0" w:line="271" w:lineRule="auto"/>
        <w:tabs>
          <w:tab w:leader="none" w:pos="264" w:val="left"/>
        </w:tabs>
        <w:numPr>
          <w:ilvl w:val="0"/>
          <w:numId w:val="982"/>
        </w:numPr>
        <w:rPr>
          <w:rFonts w:ascii="Arial" w:cs="Arial" w:eastAsia="Arial" w:hAnsi="Arial"/>
          <w:sz w:val="21"/>
          <w:szCs w:val="21"/>
          <w:color w:val="auto"/>
        </w:rPr>
      </w:pPr>
      <w:r>
        <w:rPr>
          <w:rFonts w:ascii="Arial" w:cs="Arial" w:eastAsia="Arial" w:hAnsi="Arial"/>
          <w:sz w:val="21"/>
          <w:szCs w:val="21"/>
          <w:color w:val="auto"/>
        </w:rPr>
        <w:t>pay to LC Collateral Agent (on behalf of all LC Facility Secured Parties) as the purchase price therefor, the full amount of all the LC Obligations (other than LC Obligations cash collateralized in accordance with clause (b)(ii) below) then outstanding and unpaid, and (ii) furnish cash collateral to the LC Collateral Agent in such amounts as the LC Collateral Agent determines is reasonably necessary to secure the LC Secured Parties in connection with any issued and outstanding Letters of Credit (as defined in the LC Credit Agreement) (but not in any event in an amount greater than (I) 105% of the face amount of letters of credit denominated in a currency other than U.S. dollars and (II) 103% of the face amount with respect to letters of credit denominated in U.S. dollars. Such purchase price and cash collateral (collectively, the “</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be remitted by wire transfer in federal funds to such bank account of the LC Collateral Agent as the LC Collateral Agent may designate in writing to the participating Notes Secured Parties for such purpose. Interest shall be calculated to but exclude the Business Day on which such purchase and sale shall occur.</w:t>
      </w:r>
    </w:p>
    <w:p>
      <w:pPr>
        <w:spacing w:after="0" w:line="184" w:lineRule="exact"/>
        <w:rPr>
          <w:rFonts w:ascii="Arial" w:cs="Arial" w:eastAsia="Arial" w:hAnsi="Arial"/>
          <w:sz w:val="21"/>
          <w:szCs w:val="21"/>
          <w:color w:val="auto"/>
        </w:rPr>
      </w:pPr>
    </w:p>
    <w:p>
      <w:pPr>
        <w:jc w:val="both"/>
        <w:ind w:firstLine="1304"/>
        <w:spacing w:after="0" w:line="311" w:lineRule="auto"/>
        <w:tabs>
          <w:tab w:leader="none" w:pos="2089" w:val="left"/>
        </w:tabs>
        <w:numPr>
          <w:ilvl w:val="1"/>
          <w:numId w:val="982"/>
        </w:numPr>
        <w:rPr>
          <w:rFonts w:ascii="Arial" w:cs="Arial" w:eastAsia="Arial" w:hAnsi="Arial"/>
          <w:sz w:val="19"/>
          <w:szCs w:val="19"/>
          <w:color w:val="auto"/>
        </w:rPr>
      </w:pPr>
      <w:r>
        <w:rPr>
          <w:rFonts w:ascii="Arial" w:cs="Arial" w:eastAsia="Arial" w:hAnsi="Arial"/>
          <w:sz w:val="19"/>
          <w:szCs w:val="19"/>
          <w:color w:val="auto"/>
        </w:rPr>
        <w:t>Such purchase shall be expressly made without representation or warranty of any kind by the LC Secured Parties as to the LC Obligations or LC Documents so purchased or otherwise and without recourse to any LC Secured Party; except that each LC Secured Party shall represent and warrant: (i) the amount of the LC Obligations being purchased from such LC Secured Party, (ii) that such LC Secured Party owns the LC Obligations free and clear of any Liens, and (iii) that such LC Secured Party has the right to assign such LC Obligations and the assignment is duly authorized.</w:t>
      </w:r>
    </w:p>
    <w:p>
      <w:pPr>
        <w:spacing w:after="0" w:line="150" w:lineRule="exact"/>
        <w:rPr>
          <w:rFonts w:ascii="Arial" w:cs="Arial" w:eastAsia="Arial" w:hAnsi="Arial"/>
          <w:sz w:val="19"/>
          <w:szCs w:val="19"/>
          <w:color w:val="auto"/>
        </w:rPr>
      </w:pPr>
    </w:p>
    <w:p>
      <w:pPr>
        <w:jc w:val="both"/>
        <w:ind w:firstLine="1304"/>
        <w:spacing w:after="0" w:line="317" w:lineRule="auto"/>
        <w:tabs>
          <w:tab w:leader="none" w:pos="2088" w:val="left"/>
        </w:tabs>
        <w:numPr>
          <w:ilvl w:val="1"/>
          <w:numId w:val="982"/>
        </w:numPr>
        <w:rPr>
          <w:rFonts w:ascii="Arial" w:cs="Arial" w:eastAsia="Arial" w:hAnsi="Arial"/>
          <w:sz w:val="19"/>
          <w:szCs w:val="19"/>
          <w:color w:val="auto"/>
        </w:rPr>
      </w:pPr>
      <w:r>
        <w:rPr>
          <w:rFonts w:ascii="Arial" w:cs="Arial" w:eastAsia="Arial" w:hAnsi="Arial"/>
          <w:sz w:val="19"/>
          <w:szCs w:val="19"/>
          <w:color w:val="auto"/>
        </w:rPr>
        <w:t xml:space="preserve">In the event that the participating Notes Secured Parties exercise and consummate the purchase option set forth in this </w:t>
      </w:r>
      <w:r>
        <w:rPr>
          <w:rFonts w:ascii="Arial" w:cs="Arial" w:eastAsia="Arial" w:hAnsi="Arial"/>
          <w:sz w:val="19"/>
          <w:szCs w:val="19"/>
          <w:u w:val="single" w:color="auto"/>
          <w:color w:val="auto"/>
        </w:rPr>
        <w:t>Section 7.19</w:t>
      </w:r>
      <w:r>
        <w:rPr>
          <w:rFonts w:ascii="Arial" w:cs="Arial" w:eastAsia="Arial" w:hAnsi="Arial"/>
          <w:sz w:val="19"/>
          <w:szCs w:val="19"/>
          <w:color w:val="auto"/>
        </w:rPr>
        <w:t>, (i) LC Collateral Agent and any other agent under the LC Documents shall have the right, but not the obligation, to immediately resign under the LC Documents, and (ii) the participating Notes Secured Parties shall have the right, but not the obligation, to require LC Collateral Agent and such other agent to immediately resign under the LC Documents.</w:t>
      </w:r>
    </w:p>
    <w:p>
      <w:pPr>
        <w:spacing w:after="0" w:line="141" w:lineRule="exact"/>
        <w:rPr>
          <w:rFonts w:ascii="Arial" w:cs="Arial" w:eastAsia="Arial" w:hAnsi="Arial"/>
          <w:sz w:val="19"/>
          <w:szCs w:val="19"/>
          <w:color w:val="auto"/>
        </w:rPr>
      </w:pPr>
    </w:p>
    <w:p>
      <w:pPr>
        <w:jc w:val="both"/>
        <w:ind w:firstLine="1304"/>
        <w:spacing w:after="0" w:line="262" w:lineRule="auto"/>
        <w:tabs>
          <w:tab w:leader="none" w:pos="2089" w:val="left"/>
        </w:tabs>
        <w:numPr>
          <w:ilvl w:val="1"/>
          <w:numId w:val="982"/>
        </w:numPr>
        <w:rPr>
          <w:rFonts w:ascii="Arial" w:cs="Arial" w:eastAsia="Arial" w:hAnsi="Arial"/>
          <w:sz w:val="22"/>
          <w:szCs w:val="22"/>
          <w:color w:val="auto"/>
        </w:rPr>
      </w:pPr>
      <w:r>
        <w:rPr>
          <w:rFonts w:ascii="Arial" w:cs="Arial" w:eastAsia="Arial" w:hAnsi="Arial"/>
          <w:sz w:val="22"/>
          <w:szCs w:val="22"/>
          <w:color w:val="auto"/>
        </w:rPr>
        <w:t xml:space="preserve">With respect to any cash collateral held under </w:t>
      </w:r>
      <w:r>
        <w:rPr>
          <w:rFonts w:ascii="Arial" w:cs="Arial" w:eastAsia="Arial" w:hAnsi="Arial"/>
          <w:sz w:val="22"/>
          <w:szCs w:val="22"/>
          <w:u w:val="single" w:color="auto"/>
          <w:color w:val="auto"/>
        </w:rPr>
        <w:t>Section 7.4(b)(ii)</w:t>
      </w:r>
      <w:r>
        <w:rPr>
          <w:rFonts w:ascii="Arial" w:cs="Arial" w:eastAsia="Arial" w:hAnsi="Arial"/>
          <w:sz w:val="22"/>
          <w:szCs w:val="22"/>
          <w:color w:val="auto"/>
        </w:rPr>
        <w:t xml:space="preserve"> above, after giving effect to any payment made and applied to amounts coming due with respect to any letters of credit (or termination thereof without a drawing thereon), the amount of any cash collateral then on deposit with the LC Collateral Agent with respect to such obligations which exceeds the sum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2" w:name="page873"/>
    <w:bookmarkEnd w:id="872"/>
    <w:p>
      <w:pPr>
        <w:jc w:val="both"/>
        <w:spacing w:after="0" w:line="266" w:lineRule="auto"/>
        <w:rPr>
          <w:sz w:val="20"/>
          <w:szCs w:val="20"/>
          <w:color w:val="auto"/>
        </w:rPr>
      </w:pPr>
      <w:r>
        <w:rPr>
          <w:rFonts w:ascii="Arial" w:cs="Arial" w:eastAsia="Arial" w:hAnsi="Arial"/>
          <w:sz w:val="22"/>
          <w:szCs w:val="22"/>
          <w:color w:val="auto"/>
        </w:rPr>
        <w:t>of (x) 105% of the face amount of letters of credit denominated in a currency other than U.S. dollars and (y) 103% of the face amount with respect to letters of credit denominated in U.S. dollars, shall promptly be returned to the Notes Collateral Agent (for the benefit of the applicable Notes Secured Parties).</w:t>
      </w:r>
    </w:p>
    <w:p>
      <w:pPr>
        <w:spacing w:after="0" w:line="239" w:lineRule="exact"/>
        <w:rPr>
          <w:sz w:val="20"/>
          <w:szCs w:val="20"/>
          <w:color w:val="auto"/>
        </w:rPr>
      </w:pPr>
    </w:p>
    <w:p>
      <w:pPr>
        <w:jc w:val="both"/>
        <w:ind w:firstLine="1304"/>
        <w:spacing w:after="0" w:line="260" w:lineRule="auto"/>
        <w:tabs>
          <w:tab w:leader="none" w:pos="2065" w:val="left"/>
        </w:tabs>
        <w:numPr>
          <w:ilvl w:val="0"/>
          <w:numId w:val="983"/>
        </w:numPr>
        <w:rPr>
          <w:rFonts w:ascii="Arial" w:cs="Arial" w:eastAsia="Arial" w:hAnsi="Arial"/>
          <w:sz w:val="22"/>
          <w:szCs w:val="22"/>
          <w:color w:val="auto"/>
        </w:rPr>
      </w:pPr>
      <w:r>
        <w:rPr>
          <w:rFonts w:ascii="Arial" w:cs="Arial" w:eastAsia="Arial" w:hAnsi="Arial"/>
          <w:sz w:val="22"/>
          <w:szCs w:val="22"/>
          <w:color w:val="auto"/>
        </w:rPr>
        <w:t xml:space="preserve">For the avoidance of doubt, notwithstanding anything to the contrary herein, (i) any obligations to pay the purchase price or furnish cash collateral in connection with the exercise of the purchase option set forth herein shall be obligations of the participating Notes Secured Parties (and not the Notes Trustee or the Notes Collateral Agent) and (ii) the Notes Trustee and the Notes Collateral Agent shall have no obligations under this </w:t>
      </w:r>
      <w:r>
        <w:rPr>
          <w:rFonts w:ascii="Arial" w:cs="Arial" w:eastAsia="Arial" w:hAnsi="Arial"/>
          <w:sz w:val="22"/>
          <w:szCs w:val="22"/>
          <w:u w:val="single" w:color="auto"/>
          <w:color w:val="auto"/>
        </w:rPr>
        <w:t>Section 7.19</w:t>
      </w:r>
      <w:r>
        <w:rPr>
          <w:rFonts w:ascii="Arial" w:cs="Arial" w:eastAsia="Arial" w:hAnsi="Arial"/>
          <w:sz w:val="22"/>
          <w:szCs w:val="22"/>
          <w:color w:val="auto"/>
        </w:rPr>
        <w:t xml:space="preserve"> except to the extent they are required to act in an administrative agent capacity for the applicable Notes Secured Parties in accordance with the applicable Notes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 signatures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3" w:name="page874"/>
    <w:bookmarkEnd w:id="873"/>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3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Notes Collateral Agent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494280"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Jane Y. Schweiger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DEUTSCHE BANK TRUST COMPANY AMERICAS, as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LC Collateral Agent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494280"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Robert Peschler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Bridgette Casasnovas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494280"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Bridgette Casasnovas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4" w:name="page875"/>
    <w:bookmarkEnd w:id="874"/>
    <w:p>
      <w:pPr>
        <w:spacing w:after="0"/>
        <w:rPr>
          <w:sz w:val="20"/>
          <w:szCs w:val="20"/>
          <w:color w:val="auto"/>
        </w:rPr>
      </w:pPr>
      <w:r>
        <w:rPr>
          <w:rFonts w:ascii="Arial" w:cs="Arial" w:eastAsia="Arial" w:hAnsi="Arial"/>
          <w:sz w:val="22"/>
          <w:szCs w:val="22"/>
          <w:b w:val="1"/>
          <w:bCs w:val="1"/>
          <w:color w:val="auto"/>
        </w:rPr>
        <w:t>AUSTRALIA INITIAL GUARANTOR</w:t>
      </w:r>
    </w:p>
    <w:p>
      <w:pPr>
        <w:spacing w:after="0" w:line="28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WEATHERFORD AUSTRALIA PTY LIMITED ACN 008 947 395 </w:t>
      </w:r>
      <w:r>
        <w:rPr>
          <w:rFonts w:ascii="Arial" w:cs="Arial" w:eastAsia="Arial" w:hAnsi="Arial"/>
          <w:sz w:val="18"/>
          <w:szCs w:val="18"/>
          <w:color w:val="auto"/>
        </w:rPr>
        <w:t>in accordance with section 127 of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 2001 (Cth):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Bruno Teixeira Bezarra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Bruno Teixeira Bezarra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Full name of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/s/ Robert Antonio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-655955</wp:posOffset>
            </wp:positionV>
            <wp:extent cx="3522980" cy="9772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522980" cy="97726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Signature of company secretary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Robert Antonio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3265805"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26580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Full name of company secretary</w:t>
      </w:r>
    </w:p>
    <w:p>
      <w:pPr>
        <w:spacing w:after="0" w:line="222" w:lineRule="exact"/>
        <w:rPr>
          <w:sz w:val="20"/>
          <w:szCs w:val="20"/>
          <w:color w:val="auto"/>
        </w:rPr>
      </w:pPr>
    </w:p>
    <w:p>
      <w:pPr>
        <w:sectPr>
          <w:pgSz w:w="11900" w:h="16838" w:orient="portrait"/>
          <w:cols w:equalWidth="0" w:num="2">
            <w:col w:w="5380" w:space="720"/>
            <w:col w:w="4039"/>
          </w:cols>
          <w:pgMar w:left="320" w:top="9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00"/>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36" w:right="1440" w:bottom="1440" w:gutter="0" w:footer="0" w:header="0"/>
          <w:type w:val="continuous"/>
        </w:sectPr>
      </w:pPr>
    </w:p>
    <w:bookmarkStart w:id="875" w:name="page876"/>
    <w:bookmarkEnd w:id="875"/>
    <w:p>
      <w:pPr>
        <w:jc w:val="center"/>
        <w:spacing w:after="0"/>
        <w:rPr>
          <w:sz w:val="20"/>
          <w:szCs w:val="20"/>
          <w:color w:val="auto"/>
        </w:rPr>
      </w:pPr>
      <w:r>
        <w:rPr>
          <w:rFonts w:ascii="Arial" w:cs="Arial" w:eastAsia="Arial" w:hAnsi="Arial"/>
          <w:sz w:val="22"/>
          <w:szCs w:val="22"/>
          <w:b w:val="1"/>
          <w:bCs w:val="1"/>
          <w:color w:val="auto"/>
        </w:rPr>
        <w:t>BERMUDA INITIAL GUARANTORS</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LTD.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HOLDING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(BERMUDA) LTD.</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PANGAEA HOLDINGS LTD.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SABRE DRILLING LTD.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KEY INTERNATIONAL DRILLING COMPANY LIMITED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76" w:name="page877"/>
    <w:bookmarkEnd w:id="876"/>
    <w:p>
      <w:pPr>
        <w:ind w:left="4520"/>
        <w:spacing w:after="0"/>
        <w:rPr>
          <w:sz w:val="20"/>
          <w:szCs w:val="20"/>
          <w:color w:val="auto"/>
        </w:rPr>
      </w:pPr>
      <w:r>
        <w:rPr>
          <w:rFonts w:ascii="Arial" w:cs="Arial" w:eastAsia="Arial" w:hAnsi="Arial"/>
          <w:sz w:val="17"/>
          <w:szCs w:val="17"/>
          <w:color w:val="auto"/>
        </w:rPr>
        <w:t>WEATHERFORD BERMUDA HOLDINGS LTD.</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LTD.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ASSURANCE LIMITED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WEATHERFORD HOLDINGS (BERMUDA) LTD.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877" w:name="page878"/>
    <w:bookmarkEnd w:id="877"/>
    <w:p>
      <w:pPr>
        <w:jc w:val="center"/>
        <w:ind w:right="19"/>
        <w:spacing w:after="0"/>
        <w:rPr>
          <w:sz w:val="20"/>
          <w:szCs w:val="20"/>
          <w:color w:val="auto"/>
        </w:rPr>
      </w:pPr>
      <w:r>
        <w:rPr>
          <w:rFonts w:ascii="Arial" w:cs="Arial" w:eastAsia="Arial" w:hAnsi="Arial"/>
          <w:sz w:val="22"/>
          <w:szCs w:val="22"/>
          <w:b w:val="1"/>
          <w:bCs w:val="1"/>
          <w:color w:val="auto"/>
        </w:rPr>
        <w:t>BRITISH VIRGIN ISLANDS INITIAL GUARANTORS</w:t>
      </w:r>
    </w:p>
    <w:p>
      <w:pPr>
        <w:spacing w:after="0" w:line="200" w:lineRule="exact"/>
        <w:rPr>
          <w:sz w:val="20"/>
          <w:szCs w:val="20"/>
          <w:color w:val="auto"/>
        </w:rPr>
      </w:pPr>
    </w:p>
    <w:p>
      <w:pPr>
        <w:spacing w:after="0" w:line="29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(BVI) LTD.</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(BVI)</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LTD.</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WEATHERFORD OIL TOOL MIDDLE EAST LIMITED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78" w:name="page879"/>
    <w:bookmarkEnd w:id="878"/>
    <w:p>
      <w:pPr>
        <w:jc w:val="center"/>
        <w:spacing w:after="0"/>
        <w:rPr>
          <w:sz w:val="20"/>
          <w:szCs w:val="20"/>
          <w:color w:val="auto"/>
        </w:rPr>
      </w:pPr>
      <w:r>
        <w:rPr>
          <w:rFonts w:ascii="Arial" w:cs="Arial" w:eastAsia="Arial" w:hAnsi="Arial"/>
          <w:sz w:val="22"/>
          <w:szCs w:val="22"/>
          <w:b w:val="1"/>
          <w:bCs w:val="1"/>
          <w:color w:val="auto"/>
        </w:rPr>
        <w:t>CANADA INITIAL GUARANTORS</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CANADA LTD.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Pamela M. Webb</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(NOVA SCOTIA) ULC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Pamela M. Webb</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ULC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Pamela M. Webb</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INTERNATIONAL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Pamela M. Webb</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PRECISION ENERGY SERVICES COLOMBIA LTD.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Pamela M. Webb</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79" w:name="page880"/>
    <w:bookmarkEnd w:id="879"/>
    <w:p>
      <w:pPr>
        <w:jc w:val="center"/>
        <w:spacing w:after="0"/>
        <w:rPr>
          <w:sz w:val="20"/>
          <w:szCs w:val="20"/>
          <w:color w:val="auto"/>
        </w:rPr>
      </w:pPr>
      <w:r>
        <w:rPr>
          <w:rFonts w:ascii="Arial" w:cs="Arial" w:eastAsia="Arial" w:hAnsi="Arial"/>
          <w:sz w:val="22"/>
          <w:szCs w:val="22"/>
          <w:b w:val="1"/>
          <w:bCs w:val="1"/>
          <w:color w:val="auto"/>
        </w:rPr>
        <w:t>ENGLAND INITIAL GUARANTORS</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EURASIA LIMITED</w:t>
      </w:r>
    </w:p>
    <w:p>
      <w:pPr>
        <w:spacing w:after="0" w:line="200" w:lineRule="exact"/>
        <w:rPr>
          <w:sz w:val="20"/>
          <w:szCs w:val="20"/>
          <w:color w:val="auto"/>
        </w:rPr>
      </w:pP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Richard Strachan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Richard Strachan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0" w:name="page881"/>
    <w:bookmarkEnd w:id="880"/>
    <w:p>
      <w:pPr>
        <w:jc w:val="center"/>
        <w:spacing w:after="0"/>
        <w:rPr>
          <w:sz w:val="20"/>
          <w:szCs w:val="20"/>
          <w:color w:val="auto"/>
        </w:rPr>
      </w:pPr>
      <w:r>
        <w:rPr>
          <w:rFonts w:ascii="Arial" w:cs="Arial" w:eastAsia="Arial" w:hAnsi="Arial"/>
          <w:sz w:val="22"/>
          <w:szCs w:val="22"/>
          <w:b w:val="1"/>
          <w:bCs w:val="1"/>
          <w:color w:val="auto"/>
        </w:rPr>
        <w:t>GERMANY INITIAL GUARANTORS</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OIL TOOL GMBH</w:t>
      </w:r>
    </w:p>
    <w:p>
      <w:pPr>
        <w:spacing w:after="0" w:line="200" w:lineRule="exact"/>
        <w:rPr>
          <w:sz w:val="20"/>
          <w:szCs w:val="20"/>
          <w:color w:val="auto"/>
        </w:rPr>
      </w:pP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Kerstin Hartmann-Miß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Kerstin Hartmann-Miß</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1" w:name="page882"/>
    <w:bookmarkEnd w:id="881"/>
    <w:p>
      <w:pPr>
        <w:ind w:left="3880"/>
        <w:spacing w:after="0"/>
        <w:rPr>
          <w:sz w:val="20"/>
          <w:szCs w:val="20"/>
          <w:color w:val="auto"/>
        </w:rPr>
      </w:pPr>
      <w:r>
        <w:rPr>
          <w:rFonts w:ascii="Arial" w:cs="Arial" w:eastAsia="Arial" w:hAnsi="Arial"/>
          <w:sz w:val="22"/>
          <w:szCs w:val="22"/>
          <w:b w:val="1"/>
          <w:bCs w:val="1"/>
          <w:color w:val="auto"/>
        </w:rPr>
        <w:t>IRELAND INITIAL GUARANTORS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GIVEN </w:t>
      </w:r>
      <w:r>
        <w:rPr>
          <w:rFonts w:ascii="Arial" w:cs="Arial" w:eastAsia="Arial" w:hAnsi="Arial"/>
          <w:sz w:val="22"/>
          <w:szCs w:val="22"/>
          <w:color w:val="auto"/>
        </w:rPr>
        <w:t>under the</w:t>
      </w:r>
      <w:r>
        <w:rPr>
          <w:rFonts w:ascii="Arial" w:cs="Arial" w:eastAsia="Arial" w:hAnsi="Arial"/>
          <w:sz w:val="22"/>
          <w:szCs w:val="22"/>
          <w:b w:val="1"/>
          <w:bCs w:val="1"/>
          <w:color w:val="auto"/>
        </w:rPr>
        <w:t xml:space="preserve"> COMMON SEAL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of WEATHERFORD INTERNATIONAL PUBLIC LIMITED COMPANY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and this Deed was delivered:</w:t>
      </w:r>
    </w:p>
    <w:p>
      <w:pPr>
        <w:spacing w:after="0" w:line="28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494280"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Stuart Fraser</w:t>
      </w:r>
    </w:p>
    <w:p>
      <w:pPr>
        <w:spacing w:after="0" w:line="23"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Title: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00"/>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882" w:name="page883"/>
    <w:bookmarkEnd w:id="882"/>
    <w:p>
      <w:pPr>
        <w:jc w:val="center"/>
        <w:spacing w:after="0"/>
        <w:rPr>
          <w:sz w:val="20"/>
          <w:szCs w:val="20"/>
          <w:color w:val="auto"/>
        </w:rPr>
      </w:pPr>
      <w:r>
        <w:rPr>
          <w:rFonts w:ascii="Arial" w:cs="Arial" w:eastAsia="Arial" w:hAnsi="Arial"/>
          <w:sz w:val="21"/>
          <w:szCs w:val="21"/>
          <w:color w:val="auto"/>
        </w:rPr>
        <w:t>LUXEMBOURG INITIAL GUARANTORS</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INTERNATIONAL (LUXEMBOURG)</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S.À R.L.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R.C.S. Luxembourg B146.622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Manager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EUROPEAN HOLDINGS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(LUXEMBOURG) S.À R.L.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R.C.S. Luxembourg B150.992</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Manager 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3" w:name="page884"/>
    <w:bookmarkEnd w:id="883"/>
    <w:p>
      <w:pPr>
        <w:ind w:left="4520"/>
        <w:spacing w:after="0"/>
        <w:rPr>
          <w:sz w:val="20"/>
          <w:szCs w:val="20"/>
          <w:color w:val="auto"/>
        </w:rPr>
      </w:pPr>
      <w:r>
        <w:rPr>
          <w:rFonts w:ascii="Arial" w:cs="Arial" w:eastAsia="Arial" w:hAnsi="Arial"/>
          <w:sz w:val="18"/>
          <w:szCs w:val="18"/>
          <w:b w:val="1"/>
          <w:bCs w:val="1"/>
          <w:color w:val="auto"/>
        </w:rPr>
        <w:t>NETHERLANDS INITIAL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NETHERLANDS B.V.</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August Willem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August Willem Versteeg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84" w:name="page885"/>
    <w:bookmarkEnd w:id="884"/>
    <w:p>
      <w:pPr>
        <w:jc w:val="center"/>
        <w:spacing w:after="0"/>
        <w:rPr>
          <w:sz w:val="20"/>
          <w:szCs w:val="20"/>
          <w:color w:val="auto"/>
        </w:rPr>
      </w:pPr>
      <w:r>
        <w:rPr>
          <w:rFonts w:ascii="Arial" w:cs="Arial" w:eastAsia="Arial" w:hAnsi="Arial"/>
          <w:sz w:val="22"/>
          <w:szCs w:val="22"/>
          <w:b w:val="1"/>
          <w:bCs w:val="1"/>
          <w:color w:val="auto"/>
        </w:rPr>
        <w:t>NORWAY INITIAL GUARANTOR</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NORGE AS</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Geir Egil Moller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jc w:val="right"/>
        <w:ind w:right="1759"/>
        <w:spacing w:after="0"/>
        <w:rPr>
          <w:sz w:val="20"/>
          <w:szCs w:val="20"/>
          <w:color w:val="auto"/>
        </w:rPr>
      </w:pPr>
      <w:r>
        <w:rPr>
          <w:rFonts w:ascii="Arial" w:cs="Arial" w:eastAsia="Arial" w:hAnsi="Arial"/>
          <w:sz w:val="18"/>
          <w:szCs w:val="18"/>
          <w:color w:val="auto"/>
        </w:rPr>
        <w:t>Name: Geir Egil Moller Olsen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5" w:name="page886"/>
    <w:bookmarkEnd w:id="885"/>
    <w:p>
      <w:pPr>
        <w:jc w:val="center"/>
        <w:spacing w:after="0"/>
        <w:rPr>
          <w:sz w:val="20"/>
          <w:szCs w:val="20"/>
          <w:color w:val="auto"/>
        </w:rPr>
      </w:pPr>
      <w:r>
        <w:rPr>
          <w:rFonts w:ascii="Arial" w:cs="Arial" w:eastAsia="Arial" w:hAnsi="Arial"/>
          <w:sz w:val="22"/>
          <w:szCs w:val="22"/>
          <w:b w:val="1"/>
          <w:bCs w:val="1"/>
          <w:color w:val="auto"/>
        </w:rPr>
        <w:t>PANAMA INITIAL GUARANTOR</w:t>
      </w:r>
    </w:p>
    <w:p>
      <w:pPr>
        <w:spacing w:after="0" w:line="200" w:lineRule="exact"/>
        <w:rPr>
          <w:sz w:val="20"/>
          <w:szCs w:val="20"/>
          <w:color w:val="auto"/>
        </w:rPr>
      </w:pPr>
    </w:p>
    <w:p>
      <w:pPr>
        <w:spacing w:after="0" w:line="290" w:lineRule="exact"/>
        <w:rPr>
          <w:sz w:val="20"/>
          <w:szCs w:val="20"/>
          <w:color w:val="auto"/>
        </w:rPr>
      </w:pPr>
    </w:p>
    <w:p>
      <w:pPr>
        <w:jc w:val="right"/>
        <w:ind w:right="1439"/>
        <w:spacing w:after="0"/>
        <w:rPr>
          <w:sz w:val="20"/>
          <w:szCs w:val="20"/>
          <w:color w:val="auto"/>
        </w:rPr>
      </w:pPr>
      <w:r>
        <w:rPr>
          <w:rFonts w:ascii="Arial" w:cs="Arial" w:eastAsia="Arial" w:hAnsi="Arial"/>
          <w:sz w:val="18"/>
          <w:szCs w:val="18"/>
          <w:color w:val="auto"/>
        </w:rPr>
        <w:t>WEATHERFORD SERVICES S. DE R.L.</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6" w:name="page887"/>
    <w:bookmarkEnd w:id="886"/>
    <w:p>
      <w:pPr>
        <w:jc w:val="center"/>
        <w:ind w:right="19"/>
        <w:spacing w:after="0"/>
        <w:rPr>
          <w:sz w:val="20"/>
          <w:szCs w:val="20"/>
          <w:color w:val="auto"/>
        </w:rPr>
      </w:pPr>
      <w:r>
        <w:rPr>
          <w:rFonts w:ascii="Arial" w:cs="Arial" w:eastAsia="Arial" w:hAnsi="Arial"/>
          <w:sz w:val="22"/>
          <w:szCs w:val="22"/>
          <w:b w:val="1"/>
          <w:bCs w:val="1"/>
          <w:color w:val="auto"/>
        </w:rPr>
        <w:t>SWITZERLAND INITIAL GUARANTORS</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Valentin Mueller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WEATHERFORD WORLDWIDE HOLDINGS GMBH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Valentin Mueller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SWITZERLAND TRADING AND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DEVELOPMENT GMBH</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SWITZERLAND SÀRL</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Valentin Mueller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Andrzej Puchala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wp:posOffset>
            </wp:positionV>
            <wp:extent cx="7132320"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7" w:name="page888"/>
    <w:bookmarkEnd w:id="887"/>
    <w:p>
      <w:pPr>
        <w:jc w:val="right"/>
        <w:ind w:right="159"/>
        <w:spacing w:after="0"/>
        <w:rPr>
          <w:sz w:val="20"/>
          <w:szCs w:val="20"/>
          <w:color w:val="auto"/>
        </w:rPr>
      </w:pPr>
      <w:r>
        <w:rPr>
          <w:rFonts w:ascii="Arial" w:cs="Arial" w:eastAsia="Arial" w:hAnsi="Arial"/>
          <w:sz w:val="18"/>
          <w:szCs w:val="18"/>
          <w:color w:val="auto"/>
        </w:rPr>
        <w:t>WEATHERFORD HOLDINGS (SWITZERLAND) GMBH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Valentin Mueller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888" w:name="page889"/>
    <w:bookmarkEnd w:id="888"/>
    <w:p>
      <w:pPr>
        <w:jc w:val="center"/>
        <w:spacing w:after="0"/>
        <w:rPr>
          <w:sz w:val="20"/>
          <w:szCs w:val="20"/>
          <w:color w:val="auto"/>
        </w:rPr>
      </w:pPr>
      <w:r>
        <w:rPr>
          <w:rFonts w:ascii="Arial" w:cs="Arial" w:eastAsia="Arial" w:hAnsi="Arial"/>
          <w:sz w:val="21"/>
          <w:szCs w:val="21"/>
          <w:b w:val="1"/>
          <w:bCs w:val="1"/>
          <w:color w:val="auto"/>
        </w:rPr>
        <w:t>UNITED STATES INITIAL GUARANTORS</w:t>
      </w: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WEUS HOLDING,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WEATHERFORD ARTIFICIAL LIFT SYSTEMS,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PD HOLDINGS (USA), L.P.</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wp:posOffset>
            </wp:positionV>
            <wp:extent cx="7132320" cy="171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9" w:name="page890"/>
    <w:bookmarkEnd w:id="889"/>
    <w:p>
      <w:pPr>
        <w:ind w:left="4520"/>
        <w:spacing w:after="0"/>
        <w:rPr>
          <w:sz w:val="20"/>
          <w:szCs w:val="20"/>
          <w:color w:val="auto"/>
        </w:rPr>
      </w:pPr>
      <w:r>
        <w:rPr>
          <w:rFonts w:ascii="Arial" w:cs="Arial" w:eastAsia="Arial" w:hAnsi="Arial"/>
          <w:sz w:val="18"/>
          <w:szCs w:val="18"/>
          <w:color w:val="auto"/>
        </w:rPr>
        <w:t>WEATHERFORD U.S., L.P.</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WEATHERFORD/LAMB,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INVESTMENT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right"/>
        <w:ind w:right="1419"/>
        <w:spacing w:after="0"/>
        <w:rPr>
          <w:sz w:val="20"/>
          <w:szCs w:val="20"/>
          <w:color w:val="auto"/>
        </w:rPr>
      </w:pPr>
      <w:r>
        <w:rPr>
          <w:rFonts w:ascii="Arial" w:cs="Arial" w:eastAsia="Arial" w:hAnsi="Arial"/>
          <w:sz w:val="18"/>
          <w:szCs w:val="18"/>
          <w:color w:val="auto"/>
        </w:rPr>
        <w:t>PRECISION OILFIELD SERVICES, LLP</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VISUAL SYSTEMS,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COLUMBIA OILFIELD SUPPLY,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0" w:name="page891"/>
    <w:bookmarkEnd w:id="890"/>
    <w:p>
      <w:pPr>
        <w:jc w:val="right"/>
        <w:ind w:right="1759"/>
        <w:spacing w:after="0"/>
        <w:rPr>
          <w:sz w:val="20"/>
          <w:szCs w:val="20"/>
          <w:color w:val="auto"/>
        </w:rPr>
      </w:pPr>
      <w:r>
        <w:rPr>
          <w:rFonts w:ascii="Arial" w:cs="Arial" w:eastAsia="Arial" w:hAnsi="Arial"/>
          <w:sz w:val="18"/>
          <w:szCs w:val="18"/>
          <w:color w:val="auto"/>
        </w:rPr>
        <w:t>EPRODUCTION SOLUTIONS, LLC</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Christine M. Morrison</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color w:val="auto"/>
              </w:rPr>
              <w:t>ADVANTAGE R&amp;D, INC.</w:t>
            </w:r>
          </w:p>
        </w:tc>
      </w:tr>
      <w:tr>
        <w:trPr>
          <w:trHeight w:val="66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DISCOVERY LOGGING,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CASE SERVICES,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WARRIOR WELL SERVICES,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DATALOG ACQUISITION,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891" w:name="page892"/>
    <w:bookmarkEnd w:id="891"/>
    <w:p>
      <w:pPr>
        <w:ind w:left="4520"/>
        <w:spacing w:after="0"/>
        <w:rPr>
          <w:sz w:val="20"/>
          <w:szCs w:val="20"/>
          <w:color w:val="auto"/>
        </w:rPr>
      </w:pPr>
      <w:r>
        <w:rPr>
          <w:rFonts w:ascii="Arial" w:cs="Arial" w:eastAsia="Arial" w:hAnsi="Arial"/>
          <w:sz w:val="17"/>
          <w:szCs w:val="17"/>
          <w:color w:val="auto"/>
        </w:rPr>
        <w:t>EDINBURGH PETROLEUM SERVICES AMERICAS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INCORPORATED</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GLOBAL SERVICES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S.A.,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IN-DEPTH SYSTEMS,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BENMORE IN-DEPTH CORP.</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892" w:name="page893"/>
    <w:bookmarkEnd w:id="892"/>
    <w:p>
      <w:pPr>
        <w:jc w:val="right"/>
        <w:ind w:right="499"/>
        <w:spacing w:after="0"/>
        <w:rPr>
          <w:sz w:val="20"/>
          <w:szCs w:val="20"/>
          <w:color w:val="auto"/>
        </w:rPr>
      </w:pPr>
      <w:r>
        <w:rPr>
          <w:rFonts w:ascii="Arial" w:cs="Arial" w:eastAsia="Arial" w:hAnsi="Arial"/>
          <w:sz w:val="18"/>
          <w:szCs w:val="18"/>
          <w:color w:val="auto"/>
        </w:rPr>
        <w:t>WEATHERFORD TECHNOLOGY HOLDINGS,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STEALTH OIL &amp; GAS,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(PTWI),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LATIN AMERICA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WIHBV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893" w:name="page894"/>
    <w:bookmarkEnd w:id="893"/>
    <w:p>
      <w:pPr>
        <w:ind w:left="4520"/>
        <w:spacing w:after="0"/>
        <w:rPr>
          <w:sz w:val="20"/>
          <w:szCs w:val="20"/>
          <w:color w:val="auto"/>
        </w:rPr>
      </w:pPr>
      <w:r>
        <w:rPr>
          <w:rFonts w:ascii="Arial" w:cs="Arial" w:eastAsia="Arial" w:hAnsi="Arial"/>
          <w:sz w:val="18"/>
          <w:szCs w:val="18"/>
          <w:color w:val="auto"/>
        </w:rPr>
        <w:t>WUS HOLDING,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DISC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HIGH PRESSURE INTEGRITY,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TOOKE ROCKIES,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COLOMBIA PETROLEUM SERVICES CORP.</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894" w:name="page895"/>
    <w:bookmarkEnd w:id="894"/>
    <w:p>
      <w:pPr>
        <w:ind w:left="4520"/>
        <w:spacing w:after="0"/>
        <w:rPr>
          <w:sz w:val="20"/>
          <w:szCs w:val="20"/>
          <w:color w:val="auto"/>
        </w:rPr>
      </w:pPr>
      <w:r>
        <w:rPr>
          <w:rFonts w:ascii="Arial" w:cs="Arial" w:eastAsia="Arial" w:hAnsi="Arial"/>
          <w:sz w:val="18"/>
          <w:szCs w:val="18"/>
          <w:color w:val="auto"/>
        </w:rPr>
        <w:t>PRECISION DRILLING GP,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right"/>
        <w:ind w:right="1279"/>
        <w:spacing w:after="0"/>
        <w:rPr>
          <w:sz w:val="20"/>
          <w:szCs w:val="20"/>
          <w:color w:val="auto"/>
        </w:rPr>
      </w:pPr>
      <w:r>
        <w:rPr>
          <w:rFonts w:ascii="Arial" w:cs="Arial" w:eastAsia="Arial" w:hAnsi="Arial"/>
          <w:sz w:val="18"/>
          <w:szCs w:val="18"/>
          <w:color w:val="auto"/>
        </w:rPr>
        <w:t>VISEAN INFORMATION SERVICES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URS HOLDINGS, LLC</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2494280" cy="171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95" w:name="page896"/>
    <w:bookmarkEnd w:id="895"/>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33" w:lineRule="exact"/>
        <w:rPr>
          <w:sz w:val="20"/>
          <w:szCs w:val="20"/>
          <w:color w:val="auto"/>
        </w:rPr>
      </w:pPr>
    </w:p>
    <w:p>
      <w:pPr>
        <w:ind w:left="2480"/>
        <w:spacing w:after="0"/>
        <w:rPr>
          <w:sz w:val="20"/>
          <w:szCs w:val="20"/>
          <w:color w:val="auto"/>
        </w:rPr>
      </w:pPr>
      <w:r>
        <w:rPr>
          <w:rFonts w:ascii="Arial" w:cs="Arial" w:eastAsia="Arial" w:hAnsi="Arial"/>
          <w:sz w:val="22"/>
          <w:szCs w:val="22"/>
          <w:u w:val="single" w:color="auto"/>
          <w:color w:val="auto"/>
        </w:rPr>
        <w:t>Exhibit A – Joinder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435610</wp:posOffset>
            </wp:positionV>
            <wp:extent cx="7132320" cy="171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896" w:name="page897"/>
    <w:bookmarkEnd w:id="896"/>
    <w:p>
      <w:pPr>
        <w:jc w:val="right"/>
        <w:spacing w:after="0"/>
        <w:rPr>
          <w:sz w:val="20"/>
          <w:szCs w:val="20"/>
          <w:color w:val="auto"/>
        </w:rPr>
      </w:pPr>
      <w:r>
        <w:rPr>
          <w:rFonts w:ascii="Arial" w:cs="Arial" w:eastAsia="Arial" w:hAnsi="Arial"/>
          <w:sz w:val="22"/>
          <w:szCs w:val="22"/>
          <w:u w:val="single" w:color="auto"/>
          <w:color w:val="auto"/>
        </w:rPr>
        <w:t>Exhibit A-1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Obligations)</w:t>
      </w:r>
    </w:p>
    <w:p>
      <w:pPr>
        <w:spacing w:after="0" w:line="22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This JOINDER AGREEMENT (as amended,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 is among [____], as a LC Collateral Agent (the “</w:t>
      </w:r>
      <w:r>
        <w:rPr>
          <w:rFonts w:ascii="Arial" w:cs="Arial" w:eastAsia="Arial" w:hAnsi="Arial"/>
          <w:sz w:val="19"/>
          <w:szCs w:val="19"/>
          <w:b w:val="1"/>
          <w:bCs w:val="1"/>
          <w:i w:val="1"/>
          <w:iCs w:val="1"/>
          <w:color w:val="auto"/>
        </w:rPr>
        <w:t>New Collateral Agent</w:t>
      </w:r>
      <w:r>
        <w:rPr>
          <w:rFonts w:ascii="Arial" w:cs="Arial" w:eastAsia="Arial" w:hAnsi="Arial"/>
          <w:sz w:val="19"/>
          <w:szCs w:val="19"/>
          <w:color w:val="auto"/>
        </w:rPr>
        <w:t>”), Wilmington Trust, as Notes Collateral Agent, DBTCA, as LC Collateral Agent, and Parent (on behalf of itself and its Subsidiaries).</w:t>
      </w:r>
    </w:p>
    <w:p>
      <w:pPr>
        <w:spacing w:after="0" w:line="133"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This Agreement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LC Collateral Agent under the Intercreditor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LC Collateral Agent as if it had originally been party to the Intercreditor Agreement as an LC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LC Collateral Agent for purposes of the Intercreditor Agreement.</w:t>
      </w:r>
    </w:p>
    <w:p>
      <w:pPr>
        <w:spacing w:after="0" w:line="174"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LC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7" w:name="page898"/>
    <w:bookmarkEnd w:id="897"/>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24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8" w:name="page899"/>
    <w:bookmarkEnd w:id="898"/>
    <w:p>
      <w:pPr>
        <w:jc w:val="right"/>
        <w:spacing w:after="0"/>
        <w:rPr>
          <w:sz w:val="20"/>
          <w:szCs w:val="20"/>
          <w:color w:val="auto"/>
        </w:rPr>
      </w:pPr>
      <w:r>
        <w:rPr>
          <w:rFonts w:ascii="Arial" w:cs="Arial" w:eastAsia="Arial" w:hAnsi="Arial"/>
          <w:sz w:val="22"/>
          <w:szCs w:val="22"/>
          <w:u w:val="single" w:color="auto"/>
          <w:color w:val="auto"/>
        </w:rPr>
        <w:t>Exhibit A-2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Obligations)</w:t>
      </w:r>
    </w:p>
    <w:p>
      <w:pPr>
        <w:spacing w:after="0" w:line="229" w:lineRule="exact"/>
        <w:rPr>
          <w:sz w:val="20"/>
          <w:szCs w:val="20"/>
          <w:color w:val="auto"/>
        </w:rPr>
      </w:pPr>
    </w:p>
    <w:p>
      <w:pPr>
        <w:jc w:val="both"/>
        <w:ind w:firstLine="1296"/>
        <w:spacing w:after="0" w:line="327" w:lineRule="auto"/>
        <w:rPr>
          <w:sz w:val="20"/>
          <w:szCs w:val="20"/>
          <w:color w:val="auto"/>
        </w:rPr>
      </w:pPr>
      <w:r>
        <w:rPr>
          <w:rFonts w:ascii="Arial" w:cs="Arial" w:eastAsia="Arial" w:hAnsi="Arial"/>
          <w:sz w:val="19"/>
          <w:szCs w:val="19"/>
          <w:color w:val="auto"/>
        </w:rPr>
        <w:t>This JOINDER AGREEMENT (as amended, restated, supplemented or otherwise modified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 is among [_____], as a Notes Collateral Agent (the “</w:t>
      </w:r>
      <w:r>
        <w:rPr>
          <w:rFonts w:ascii="Arial" w:cs="Arial" w:eastAsia="Arial" w:hAnsi="Arial"/>
          <w:sz w:val="19"/>
          <w:szCs w:val="19"/>
          <w:b w:val="1"/>
          <w:bCs w:val="1"/>
          <w:i w:val="1"/>
          <w:iCs w:val="1"/>
          <w:color w:val="auto"/>
        </w:rPr>
        <w:t>New Collateral Agent</w:t>
      </w:r>
      <w:r>
        <w:rPr>
          <w:rFonts w:ascii="Arial" w:cs="Arial" w:eastAsia="Arial" w:hAnsi="Arial"/>
          <w:sz w:val="19"/>
          <w:szCs w:val="19"/>
          <w:color w:val="auto"/>
        </w:rPr>
        <w:t>”), Wilmington Trust, as Notes Collateral Agent, DBTCA, as LC Collateral Agent, and Parent (on behalf of itself and its Subsidiaries).</w:t>
      </w:r>
    </w:p>
    <w:p>
      <w:pPr>
        <w:spacing w:after="0" w:line="133"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9"/>
          <w:szCs w:val="19"/>
          <w:color w:val="auto"/>
        </w:rPr>
        <w:t>This Agreement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the parties (other than the New Collateral Agent) referred to above. This Agreement has been entered into to record the accession of the New Collateral Agent as Notes Collateral Agent under the Intercreditor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New Collateral Agent agrees to become, with immediate effect, a party to and agrees to be bound by the terms of, the Intercreditor Agreement as the Notes Collateral Agent as if it had originally been party to the Intercreditor Agreement as a Notes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New Collateral Agent confirms that its address details for notices pursuant to the Intercreditor Agreement are as follows: [_____________].</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2.03 Each party to this Agreement (other than the New Collateral Agent) confirms the acceptance of the New Collateral Agent as the Notes Collateral Agent for purposes of the Intercreditor Agreement.</w:t>
      </w:r>
    </w:p>
    <w:p>
      <w:pPr>
        <w:spacing w:after="0" w:line="17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[________] is acting in its capacity as Notes Collateral Agent solely for the Secured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under [_____________].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Agreement and any claim, controversy or dispute arising under or related to such Agreement shall be governed by, and construed in accordance with, the law of the State of New York.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9" w:name="page900"/>
    <w:bookmarkEnd w:id="899"/>
    <w:p>
      <w:pPr>
        <w:jc w:val="both"/>
        <w:ind w:firstLine="1296"/>
        <w:spacing w:after="0" w:line="262" w:lineRule="auto"/>
        <w:rPr>
          <w:sz w:val="20"/>
          <w:szCs w:val="20"/>
          <w:color w:val="auto"/>
        </w:rPr>
      </w:pPr>
      <w:r>
        <w:rPr>
          <w:rFonts w:ascii="Arial" w:cs="Arial" w:eastAsia="Arial" w:hAnsi="Arial"/>
          <w:sz w:val="22"/>
          <w:szCs w:val="22"/>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24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SIGNATURE BLOCKS]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0" w:name="page901"/>
    <w:bookmarkEnd w:id="900"/>
    <w:p>
      <w:pPr>
        <w:jc w:val="right"/>
        <w:spacing w:after="0"/>
        <w:rPr>
          <w:sz w:val="20"/>
          <w:szCs w:val="20"/>
          <w:color w:val="auto"/>
        </w:rPr>
      </w:pPr>
      <w:r>
        <w:rPr>
          <w:rFonts w:ascii="Arial" w:cs="Arial" w:eastAsia="Arial" w:hAnsi="Arial"/>
          <w:sz w:val="22"/>
          <w:szCs w:val="22"/>
          <w:u w:val="single" w:color="auto"/>
          <w:color w:val="auto"/>
        </w:rPr>
        <w:t>EXHIBIT 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B – Grantor Acknowledgement to Intercreditor Agreement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INTERCREDITOR AGREEMENT ACKNOWLEDGMENT</w:t>
      </w:r>
    </w:p>
    <w:p>
      <w:pPr>
        <w:spacing w:after="0" w:line="239" w:lineRule="exact"/>
        <w:rPr>
          <w:sz w:val="20"/>
          <w:szCs w:val="20"/>
          <w:color w:val="auto"/>
        </w:rPr>
      </w:pPr>
    </w:p>
    <w:p>
      <w:pPr>
        <w:jc w:val="both"/>
        <w:ind w:firstLine="656"/>
        <w:spacing w:after="0" w:line="302" w:lineRule="auto"/>
        <w:tabs>
          <w:tab w:leader="none" w:pos="1363" w:val="left"/>
        </w:tabs>
        <w:numPr>
          <w:ilvl w:val="0"/>
          <w:numId w:val="984"/>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[______________] (“</w:t>
      </w:r>
      <w:r>
        <w:rPr>
          <w:rFonts w:ascii="Arial" w:cs="Arial" w:eastAsia="Arial" w:hAnsi="Arial"/>
          <w:sz w:val="19"/>
          <w:szCs w:val="19"/>
          <w:u w:val="single" w:color="auto"/>
          <w:color w:val="auto"/>
        </w:rPr>
        <w:t>New Grantor</w:t>
      </w:r>
      <w:r>
        <w:rPr>
          <w:rFonts w:ascii="Arial" w:cs="Arial" w:eastAsia="Arial" w:hAnsi="Arial"/>
          <w:sz w:val="19"/>
          <w:szCs w:val="19"/>
          <w:color w:val="auto"/>
        </w:rPr>
        <w:t>”) acknowledges, as of [___], that it has received a copy of the Intercreditor Agreement dated as of August 28, 2020, between Wilmington Trust, National Association, as Notes Collateral Agent, Deutsche Bank Trust Company Americas as LC Collateral Agent, and Weatherford International PLC and certain of its affiliates party thereto as Grantors (the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as in effect on the date hereof, and consents thereto, agrees to recognize all rights granted thereby to the Notes Collateral Agent, the other Notes Secured Parties, the LC Collateral Agent and the other LC Secured Parties, and agrees that it shall not do any act or perform any obligation which is not in accordance with the agreements set forth in the Intercreditor Agreement as in effect on the date hereof (as amended or otherwise modified in accordance with the provisions thereof, including any necessary consents by each Grantor to the extent required thereby). New Grantor further acknowledges and agrees that (a) New Grantor is not a beneficiary or third party beneficiary of the Intercreditor Agreement, (b) New Grantor has no rights under the Intercreditor Agreement, and New Grantor may not rely on the terms of the Intercreditor Agreement, and (c) that the obligations of the New Grantor under the Notes Security Documents, the LC Security Documents or the Foreign Collateral Documents will in no way be diminished or otherwise affected by the provisions or arrangements in the Intercreditor Agreement.</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1380" w:hanging="724"/>
        <w:spacing w:after="0"/>
        <w:tabs>
          <w:tab w:leader="none" w:pos="1380" w:val="left"/>
        </w:tabs>
        <w:numPr>
          <w:ilvl w:val="0"/>
          <w:numId w:val="98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The address of the New Grantor and the other Grantors for purposes of Section 7.02 of the Intercreditor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is: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w:t>
      </w:r>
    </w:p>
    <w:p>
      <w:pPr>
        <w:spacing w:after="0" w:line="229" w:lineRule="exact"/>
        <w:rPr>
          <w:sz w:val="20"/>
          <w:szCs w:val="20"/>
          <w:color w:val="auto"/>
        </w:rPr>
      </w:pPr>
    </w:p>
    <w:p>
      <w:pPr>
        <w:jc w:val="both"/>
        <w:ind w:firstLine="656"/>
        <w:spacing w:after="0" w:line="262" w:lineRule="auto"/>
        <w:tabs>
          <w:tab w:leader="none" w:pos="1701" w:val="left"/>
        </w:tabs>
        <w:numPr>
          <w:ilvl w:val="0"/>
          <w:numId w:val="98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Acknowledgement may be executed in two or more counterparts, each of which shall constitute an original but all of which when taken together shall constitute one document. Delivery of an executed signature page to this Acknowledgement by facsimile transmission or by email as a “.pdf” or “.tif” attachment shall be as effective as delivery of a manually signed counterpart of this Acknowledgement.</w:t>
      </w:r>
    </w:p>
    <w:p>
      <w:pPr>
        <w:spacing w:after="0" w:line="191" w:lineRule="exact"/>
        <w:rPr>
          <w:rFonts w:ascii="Arial" w:cs="Arial" w:eastAsia="Arial" w:hAnsi="Arial"/>
          <w:sz w:val="22"/>
          <w:szCs w:val="22"/>
          <w:color w:val="auto"/>
        </w:rPr>
      </w:pPr>
    </w:p>
    <w:p>
      <w:pPr>
        <w:jc w:val="both"/>
        <w:ind w:firstLine="656"/>
        <w:spacing w:after="0" w:line="262" w:lineRule="auto"/>
        <w:tabs>
          <w:tab w:leader="none" w:pos="1795" w:val="left"/>
        </w:tabs>
        <w:numPr>
          <w:ilvl w:val="0"/>
          <w:numId w:val="98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ACKNOWLEDGEMENT AND ANY CLAIM CONTROVERSY OR DISPUTE ARISING UNDER OR RELATED TO THE INTERCREDITOR AGREEMENT SHALL BE GOVERNED BY, AND CONSTRUED IN ACCORDANCE WITH, THE LAWS OF THE STATE OF NEW YORK, WITHOUT GIVING EFFECT TO ANY CONFLICT OF LAWS PROVISIONS OTHER THAN SECTIONS 5-1401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1" w:name="page902"/>
    <w:bookmarkEnd w:id="901"/>
    <w:p>
      <w:pPr>
        <w:spacing w:after="0" w:line="276" w:lineRule="auto"/>
        <w:rPr>
          <w:sz w:val="20"/>
          <w:szCs w:val="20"/>
          <w:color w:val="auto"/>
        </w:rPr>
      </w:pPr>
      <w:r>
        <w:rPr>
          <w:rFonts w:ascii="Arial" w:cs="Arial" w:eastAsia="Arial" w:hAnsi="Arial"/>
          <w:sz w:val="22"/>
          <w:szCs w:val="22"/>
          <w:color w:val="auto"/>
        </w:rPr>
        <w:t xml:space="preserve">AND 5-1402 OF THE NEW YORK GENERAL OBLIGATIONS LAW. Sections 7.08 and 7.09 of the Intercreditor Agreement are hereby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28" w:lineRule="exact"/>
        <w:rPr>
          <w:sz w:val="20"/>
          <w:szCs w:val="20"/>
          <w:color w:val="auto"/>
        </w:rPr>
      </w:pPr>
    </w:p>
    <w:p>
      <w:pPr>
        <w:ind w:firstLine="656"/>
        <w:spacing w:after="0" w:line="301" w:lineRule="auto"/>
        <w:tabs>
          <w:tab w:leader="none" w:pos="1363" w:val="left"/>
        </w:tabs>
        <w:numPr>
          <w:ilvl w:val="0"/>
          <w:numId w:val="986"/>
        </w:numPr>
        <w:rPr>
          <w:rFonts w:ascii="Arial" w:cs="Arial" w:eastAsia="Arial" w:hAnsi="Arial"/>
          <w:sz w:val="21"/>
          <w:szCs w:val="21"/>
          <w:color w:val="auto"/>
        </w:rPr>
      </w:pPr>
      <w:r>
        <w:rPr>
          <w:rFonts w:ascii="Arial" w:cs="Arial" w:eastAsia="Arial" w:hAnsi="Arial"/>
          <w:sz w:val="21"/>
          <w:szCs w:val="21"/>
          <w:u w:val="single" w:color="auto"/>
          <w:color w:val="auto"/>
        </w:rPr>
        <w:t>Credit Document</w:t>
      </w:r>
      <w:r>
        <w:rPr>
          <w:rFonts w:ascii="Arial" w:cs="Arial" w:eastAsia="Arial" w:hAnsi="Arial"/>
          <w:sz w:val="21"/>
          <w:szCs w:val="21"/>
          <w:color w:val="auto"/>
        </w:rPr>
        <w:t>. This Acknowledgement shall constitute a Notes Document and a LC Document and as a “Loan Document” under the LC Credit Agreement and an “Indenture Document” under the Notes Indenture.</w:t>
      </w:r>
    </w:p>
    <w:p>
      <w:pPr>
        <w:spacing w:after="0" w:line="150" w:lineRule="exact"/>
        <w:rPr>
          <w:rFonts w:ascii="Arial" w:cs="Arial" w:eastAsia="Arial" w:hAnsi="Arial"/>
          <w:sz w:val="21"/>
          <w:szCs w:val="21"/>
          <w:color w:val="auto"/>
        </w:rPr>
      </w:pPr>
    </w:p>
    <w:p>
      <w:pPr>
        <w:jc w:val="both"/>
        <w:ind w:firstLine="656"/>
        <w:spacing w:after="0" w:line="327" w:lineRule="auto"/>
        <w:tabs>
          <w:tab w:leader="none" w:pos="1444" w:val="left"/>
        </w:tabs>
        <w:numPr>
          <w:ilvl w:val="0"/>
          <w:numId w:val="986"/>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Notes Collateral Agent, the other Notes Secured Parties, the LC Collateral Agent, the other LC Secured Parties, and the Foreign Collateral Agent are the intended beneficiaries of this Acknowledgement. Capitalized terms used but not otherwise defined herein shall have the meanings assigned thereto in the Intercreditor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2" w:name="page903"/>
    <w:bookmarkEnd w:id="902"/>
    <w:p>
      <w:pPr>
        <w:jc w:val="right"/>
        <w:spacing w:after="0"/>
        <w:rPr>
          <w:sz w:val="20"/>
          <w:szCs w:val="20"/>
          <w:color w:val="auto"/>
        </w:rPr>
      </w:pPr>
      <w:r>
        <w:rPr>
          <w:rFonts w:ascii="Arial" w:cs="Arial" w:eastAsia="Arial" w:hAnsi="Arial"/>
          <w:sz w:val="22"/>
          <w:szCs w:val="22"/>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C – Joinder Agreement (LC Australian Collateral Agent)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 Australian Collateral Agent)</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21"/>
          <w:szCs w:val="21"/>
          <w:color w:val="auto"/>
        </w:rPr>
        <w:t>This JOINDER AGREEMENT (as amended, restated, supplemented or otherwise modified from time to time, this “</w:t>
      </w:r>
      <w:r>
        <w:rPr>
          <w:rFonts w:ascii="Arial" w:cs="Arial" w:eastAsia="Arial" w:hAnsi="Arial"/>
          <w:sz w:val="21"/>
          <w:szCs w:val="21"/>
          <w:b w:val="1"/>
          <w:bCs w:val="1"/>
          <w:i w:val="1"/>
          <w:iCs w:val="1"/>
          <w:color w:val="auto"/>
        </w:rPr>
        <w:t>Joinder</w:t>
      </w:r>
      <w:r>
        <w:rPr>
          <w:rFonts w:ascii="Arial" w:cs="Arial" w:eastAsia="Arial" w:hAnsi="Arial"/>
          <w:sz w:val="21"/>
          <w:szCs w:val="21"/>
          <w:color w:val="auto"/>
        </w:rPr>
        <w:t>”), dated as of [___], is provided by BTA INSTITUTIONAL SERVICES AUSTRALIA LIMITED ABN 48 002 916 396 in its capacity as trustee of the LC Australian Security Trust (the “</w:t>
      </w:r>
      <w:r>
        <w:rPr>
          <w:rFonts w:ascii="Arial" w:cs="Arial" w:eastAsia="Arial" w:hAnsi="Arial"/>
          <w:sz w:val="21"/>
          <w:szCs w:val="21"/>
          <w:b w:val="1"/>
          <w:bCs w:val="1"/>
          <w:i w:val="1"/>
          <w:iCs w:val="1"/>
          <w:color w:val="auto"/>
        </w:rPr>
        <w:t>LC Australian Collateral Agent</w:t>
      </w:r>
      <w:r>
        <w:rPr>
          <w:rFonts w:ascii="Arial" w:cs="Arial" w:eastAsia="Arial" w:hAnsi="Arial"/>
          <w:sz w:val="21"/>
          <w:szCs w:val="21"/>
          <w:color w:val="auto"/>
        </w:rPr>
        <w:t>”).</w:t>
      </w:r>
    </w:p>
    <w:p>
      <w:pPr>
        <w:spacing w:after="0" w:line="169"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9"/>
          <w:szCs w:val="19"/>
          <w:color w:val="auto"/>
        </w:rPr>
        <w:t>This Joinder is supplemental to that certain Intercreditor Agreement, dated as of August 28, 2020 (as the same may be amended, restated, supplemented or otherwise modified from time to time, the “</w:t>
      </w:r>
      <w:r>
        <w:rPr>
          <w:rFonts w:ascii="Arial" w:cs="Arial" w:eastAsia="Arial" w:hAnsi="Arial"/>
          <w:sz w:val="19"/>
          <w:szCs w:val="19"/>
          <w:b w:val="1"/>
          <w:bCs w:val="1"/>
          <w:i w:val="1"/>
          <w:iCs w:val="1"/>
          <w:color w:val="auto"/>
        </w:rPr>
        <w:t>Intercreditor Agreement</w:t>
      </w:r>
      <w:r>
        <w:rPr>
          <w:rFonts w:ascii="Arial" w:cs="Arial" w:eastAsia="Arial" w:hAnsi="Arial"/>
          <w:sz w:val="19"/>
          <w:szCs w:val="19"/>
          <w:color w:val="auto"/>
        </w:rPr>
        <w:t>”), by and among Wilmington Trust, DBTCA, the Parent and its Subsidiaries party thereto. This Joinder has been entered into to record the joinder of BTA INSTITUTIONAL SERVICES AUSTRALIA LIMITED ABN 48 002 916 396 in its capacity as trustee of the LC Australian Security Trust as LC Australian Collateral Agent under the Intercreditor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1.01 Capitalized terms used but not defined herein shall have the meanings assigned thereto in the Intercreditor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Accession</w:t>
      </w:r>
    </w:p>
    <w:p>
      <w:pPr>
        <w:spacing w:after="0" w:line="23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2"/>
          <w:szCs w:val="22"/>
          <w:color w:val="auto"/>
        </w:rPr>
        <w:t>SECTION 2.01 The LC Australian Collateral Agent agrees to become, with immediate effect, a party to and agrees to be bound by the terms of, the Intercreditor Agreement as the LC Australian Collateral Agent as if it had originally been party to the Intercreditor Agreement as an LC Australian Collateral Agent.</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2.02 The LC Australian Collateral Agent confirms that its address details for notices pursuant to the Intercreditor Agreement are as follows: [_____________].</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3.01 This Joinder and any claim, controversy or dispute arising under or related to such Joinder shall be governed by, and construed in accordance with, the law of the State of New York.</w:t>
      </w:r>
    </w:p>
    <w:p>
      <w:pPr>
        <w:spacing w:after="0" w:line="17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SECTION 3.02 This Joinder may be executed in counterparts, each of which shall constitute an original but all of which when taken together shall constitute a single contract.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3" w:name="page904"/>
    <w:bookmarkEnd w:id="903"/>
    <w:p>
      <w:pPr>
        <w:ind w:right="20"/>
        <w:spacing w:after="0" w:line="276" w:lineRule="auto"/>
        <w:rPr>
          <w:sz w:val="20"/>
          <w:szCs w:val="20"/>
          <w:color w:val="auto"/>
        </w:rPr>
      </w:pPr>
      <w:r>
        <w:rPr>
          <w:rFonts w:ascii="Arial" w:cs="Arial" w:eastAsia="Arial" w:hAnsi="Arial"/>
          <w:sz w:val="22"/>
          <w:szCs w:val="22"/>
          <w:color w:val="auto"/>
        </w:rPr>
        <w:t>Delivery of an executed signature page to this Joinder by facsimile transmission or any other electronic means shall be as effective as delivery of a manually signed counterpart of this Joinder.</w:t>
      </w:r>
    </w:p>
    <w:p>
      <w:pPr>
        <w:spacing w:after="0" w:line="228" w:lineRule="exact"/>
        <w:rPr>
          <w:sz w:val="20"/>
          <w:szCs w:val="20"/>
          <w:color w:val="auto"/>
        </w:rPr>
      </w:pPr>
    </w:p>
    <w:p>
      <w:pPr>
        <w:ind w:firstLine="1296"/>
        <w:spacing w:after="0" w:line="301" w:lineRule="auto"/>
        <w:rPr>
          <w:sz w:val="20"/>
          <w:szCs w:val="20"/>
          <w:color w:val="auto"/>
        </w:rPr>
      </w:pPr>
      <w:r>
        <w:rPr>
          <w:rFonts w:ascii="Arial" w:cs="Arial" w:eastAsia="Arial" w:hAnsi="Arial"/>
          <w:sz w:val="21"/>
          <w:szCs w:val="21"/>
          <w:color w:val="auto"/>
        </w:rPr>
        <w:t xml:space="preserve">SECTION 3.03 Clause [___] (Limitation of liability of LC Australian Collateral Agent) of the LC Australian Security Trust Deed is incorporated by reference in this Joinder as if set out in full herein,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 signatures follow</w:t>
      </w:r>
      <w:r>
        <w:rPr>
          <w:rFonts w:ascii="Arial" w:cs="Arial" w:eastAsia="Arial" w:hAnsi="Arial"/>
          <w:sz w:val="22"/>
          <w:szCs w:val="22"/>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4" w:name="page905"/>
    <w:bookmarkEnd w:id="904"/>
    <w:p>
      <w:pPr>
        <w:ind w:firstLine="1296"/>
        <w:spacing w:after="0" w:line="276" w:lineRule="auto"/>
        <w:rPr>
          <w:sz w:val="20"/>
          <w:szCs w:val="20"/>
          <w:color w:val="auto"/>
        </w:rPr>
      </w:pPr>
      <w:r>
        <w:rPr>
          <w:rFonts w:ascii="Arial" w:cs="Arial" w:eastAsia="Arial" w:hAnsi="Arial"/>
          <w:sz w:val="22"/>
          <w:szCs w:val="22"/>
          <w:color w:val="auto"/>
        </w:rPr>
        <w:t>IN WITNESS WHEREOF, the parties hereto have caused this Joinder to be duly executed by their respective authorized officers as of the day and year first above written.</w:t>
      </w:r>
    </w:p>
    <w:p>
      <w:pPr>
        <w:spacing w:after="0" w:line="200" w:lineRule="exact"/>
        <w:rPr>
          <w:sz w:val="20"/>
          <w:szCs w:val="20"/>
          <w:color w:val="auto"/>
        </w:rPr>
      </w:pP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BTA INSTITUTIONAL SERVICES AUSTRALIA LIMITED</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(ABN 48 002 916 396) in its capacity as trustee of the LC</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Australian Security Trust, as LC Australian Collateral Agent</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171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under power of attorney dated 1 September 2007 in the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presence of:</w:t>
      </w: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2486025" cy="171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905" w:name="page906"/>
    <w:bookmarkEnd w:id="905"/>
    <w:tbl>
      <w:tblPr>
        <w:tblLayout w:type="fixed"/>
        <w:tblInd w:w="1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SCHEDULE I</w:t>
            </w:r>
          </w:p>
        </w:tc>
        <w:tc>
          <w:tcPr>
            <w:tcW w:w="0" w:type="dxa"/>
            <w:vAlign w:val="bottom"/>
          </w:tcPr>
          <w:p>
            <w:pPr>
              <w:spacing w:after="0"/>
              <w:rPr>
                <w:sz w:val="1"/>
                <w:szCs w:val="1"/>
                <w:color w:val="auto"/>
              </w:rPr>
            </w:pPr>
          </w:p>
        </w:tc>
      </w:tr>
      <w:tr>
        <w:trPr>
          <w:trHeight w:val="709"/>
        </w:trPr>
        <w:tc>
          <w:tcPr>
            <w:tcW w:w="1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2"/>
                <w:szCs w:val="22"/>
                <w:color w:val="auto"/>
              </w:rPr>
              <w:t>Schedule I – Foreign Collateral Documents</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shd w:val="clear" w:color="auto" w:fill="D9D9D9"/>
          </w:tcPr>
          <w:p>
            <w:pPr>
              <w:spacing w:after="0"/>
              <w:rPr>
                <w:sz w:val="19"/>
                <w:szCs w:val="19"/>
                <w:color w:val="auto"/>
              </w:rPr>
            </w:pPr>
          </w:p>
        </w:tc>
        <w:tc>
          <w:tcPr>
            <w:tcW w:w="6100" w:type="dxa"/>
            <w:vAlign w:val="bottom"/>
            <w:tcBorders>
              <w:right w:val="single" w:sz="8" w:color="auto"/>
            </w:tcBorders>
            <w:gridSpan w:val="2"/>
            <w:vMerge w:val="restart"/>
            <w:shd w:val="clear" w:color="auto" w:fill="D9D9D9"/>
          </w:tcPr>
          <w:p>
            <w:pPr>
              <w:ind w:left="2620"/>
              <w:spacing w:after="0"/>
              <w:rPr>
                <w:sz w:val="20"/>
                <w:szCs w:val="20"/>
                <w:color w:val="auto"/>
              </w:rPr>
            </w:pPr>
            <w:r>
              <w:rPr>
                <w:rFonts w:ascii="Arial" w:cs="Arial" w:eastAsia="Arial" w:hAnsi="Arial"/>
                <w:sz w:val="18"/>
                <w:szCs w:val="18"/>
                <w:b w:val="1"/>
                <w:bCs w:val="1"/>
                <w:color w:val="auto"/>
              </w:rPr>
              <w:t>Agreement</w:t>
            </w:r>
          </w:p>
        </w:tc>
        <w:tc>
          <w:tcPr>
            <w:tcW w:w="360" w:type="dxa"/>
            <w:vAlign w:val="bottom"/>
            <w:shd w:val="clear" w:color="auto" w:fill="D9D9D9"/>
          </w:tcPr>
          <w:p>
            <w:pPr>
              <w:spacing w:after="0"/>
              <w:rPr>
                <w:sz w:val="19"/>
                <w:szCs w:val="19"/>
                <w:color w:val="auto"/>
              </w:rPr>
            </w:pPr>
          </w:p>
        </w:tc>
        <w:tc>
          <w:tcPr>
            <w:tcW w:w="1640" w:type="dxa"/>
            <w:vAlign w:val="bottom"/>
            <w:tcBorders>
              <w:right w:val="single" w:sz="8" w:color="auto"/>
            </w:tcBorders>
            <w:shd w:val="clear" w:color="auto" w:fill="D9D9D9"/>
          </w:tcPr>
          <w:p>
            <w:pPr>
              <w:jc w:val="center"/>
              <w:ind w:right="290"/>
              <w:spacing w:after="0"/>
              <w:rPr>
                <w:sz w:val="20"/>
                <w:szCs w:val="20"/>
                <w:color w:val="auto"/>
              </w:rPr>
            </w:pPr>
            <w:r>
              <w:rPr>
                <w:rFonts w:ascii="Arial" w:cs="Arial" w:eastAsia="Arial" w:hAnsi="Arial"/>
                <w:sz w:val="18"/>
                <w:szCs w:val="18"/>
                <w:b w:val="1"/>
                <w:bCs w:val="1"/>
                <w:color w:val="auto"/>
                <w:w w:val="88"/>
              </w:rPr>
              <w:t>Jurisdiction of</w:t>
            </w:r>
          </w:p>
        </w:tc>
        <w:tc>
          <w:tcPr>
            <w:tcW w:w="2100" w:type="dxa"/>
            <w:vAlign w:val="bottom"/>
            <w:tcBorders>
              <w:right w:val="single" w:sz="8" w:color="auto"/>
            </w:tcBorders>
            <w:gridSpan w:val="2"/>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w w:val="94"/>
              </w:rPr>
              <w:t>Jurisdiction of Collateral</w:t>
            </w: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shd w:val="clear" w:color="auto" w:fill="D9D9D9"/>
          </w:tcPr>
          <w:p>
            <w:pPr>
              <w:spacing w:after="0"/>
              <w:rPr>
                <w:sz w:val="10"/>
                <w:szCs w:val="10"/>
                <w:color w:val="auto"/>
              </w:rPr>
            </w:pPr>
          </w:p>
        </w:tc>
        <w:tc>
          <w:tcPr>
            <w:tcW w:w="6100" w:type="dxa"/>
            <w:vAlign w:val="bottom"/>
            <w:tcBorders>
              <w:right w:val="single" w:sz="8" w:color="auto"/>
            </w:tcBorders>
            <w:gridSpan w:val="2"/>
            <w:vMerge w:val="continue"/>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640" w:type="dxa"/>
            <w:vAlign w:val="bottom"/>
            <w:tcBorders>
              <w:right w:val="single" w:sz="8" w:color="auto"/>
            </w:tcBorders>
            <w:vMerge w:val="restart"/>
            <w:shd w:val="clear" w:color="auto" w:fill="D9D9D9"/>
          </w:tcPr>
          <w:p>
            <w:pPr>
              <w:jc w:val="center"/>
              <w:ind w:right="290"/>
              <w:spacing w:after="0"/>
              <w:rPr>
                <w:sz w:val="20"/>
                <w:szCs w:val="20"/>
                <w:color w:val="auto"/>
              </w:rPr>
            </w:pPr>
            <w:r>
              <w:rPr>
                <w:rFonts w:ascii="Arial" w:cs="Arial" w:eastAsia="Arial" w:hAnsi="Arial"/>
                <w:sz w:val="18"/>
                <w:szCs w:val="18"/>
                <w:b w:val="1"/>
                <w:bCs w:val="1"/>
                <w:color w:val="auto"/>
                <w:w w:val="94"/>
              </w:rPr>
              <w:t>Guarantor</w:t>
            </w:r>
          </w:p>
        </w:tc>
        <w:tc>
          <w:tcPr>
            <w:tcW w:w="2100" w:type="dxa"/>
            <w:vAlign w:val="bottom"/>
            <w:tcBorders>
              <w:right w:val="single" w:sz="8" w:color="auto"/>
            </w:tcBorders>
            <w:gridSpan w:val="2"/>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40" w:type="dxa"/>
            <w:vAlign w:val="bottom"/>
            <w:tcBorders>
              <w:left w:val="single" w:sz="8" w:color="auto"/>
              <w:bottom w:val="single" w:sz="8" w:color="D9D9D9"/>
              <w:right w:val="single" w:sz="8" w:color="auto"/>
            </w:tcBorders>
            <w:shd w:val="clear" w:color="auto" w:fill="D9D9D9"/>
          </w:tcPr>
          <w:p>
            <w:pPr>
              <w:spacing w:after="0"/>
              <w:rPr>
                <w:sz w:val="12"/>
                <w:szCs w:val="12"/>
                <w:color w:val="auto"/>
              </w:rPr>
            </w:pPr>
          </w:p>
        </w:tc>
        <w:tc>
          <w:tcPr>
            <w:tcW w:w="2700" w:type="dxa"/>
            <w:vAlign w:val="bottom"/>
            <w:tcBorders>
              <w:bottom w:val="single" w:sz="8" w:color="D9D9D9"/>
            </w:tcBorders>
            <w:shd w:val="clear" w:color="auto" w:fill="D9D9D9"/>
          </w:tcPr>
          <w:p>
            <w:pPr>
              <w:spacing w:after="0"/>
              <w:rPr>
                <w:sz w:val="12"/>
                <w:szCs w:val="12"/>
                <w:color w:val="auto"/>
              </w:rPr>
            </w:pPr>
          </w:p>
        </w:tc>
        <w:tc>
          <w:tcPr>
            <w:tcW w:w="3400" w:type="dxa"/>
            <w:vAlign w:val="bottom"/>
            <w:tcBorders>
              <w:bottom w:val="single" w:sz="8" w:color="D9D9D9"/>
              <w:right w:val="single" w:sz="8" w:color="auto"/>
            </w:tcBorders>
            <w:shd w:val="clear" w:color="auto" w:fill="D9D9D9"/>
          </w:tcPr>
          <w:p>
            <w:pPr>
              <w:spacing w:after="0"/>
              <w:rPr>
                <w:sz w:val="12"/>
                <w:szCs w:val="12"/>
                <w:color w:val="auto"/>
              </w:rPr>
            </w:pPr>
          </w:p>
        </w:tc>
        <w:tc>
          <w:tcPr>
            <w:tcW w:w="360" w:type="dxa"/>
            <w:vAlign w:val="bottom"/>
            <w:tcBorders>
              <w:bottom w:val="single" w:sz="8" w:color="D9D9D9"/>
            </w:tcBorders>
            <w:shd w:val="clear" w:color="auto" w:fill="D9D9D9"/>
          </w:tcPr>
          <w:p>
            <w:pPr>
              <w:spacing w:after="0"/>
              <w:rPr>
                <w:sz w:val="12"/>
                <w:szCs w:val="12"/>
                <w:color w:val="auto"/>
              </w:rPr>
            </w:pPr>
          </w:p>
        </w:tc>
        <w:tc>
          <w:tcPr>
            <w:tcW w:w="164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840" w:type="dxa"/>
            <w:vAlign w:val="bottom"/>
            <w:tcBorders>
              <w:bottom w:val="single" w:sz="8" w:color="D9D9D9"/>
            </w:tcBorders>
            <w:shd w:val="clear" w:color="auto" w:fill="D9D9D9"/>
          </w:tcPr>
          <w:p>
            <w:pPr>
              <w:spacing w:after="0"/>
              <w:rPr>
                <w:sz w:val="12"/>
                <w:szCs w:val="12"/>
                <w:color w:val="auto"/>
              </w:rPr>
            </w:pPr>
          </w:p>
        </w:tc>
        <w:tc>
          <w:tcPr>
            <w:tcW w:w="1260" w:type="dxa"/>
            <w:vAlign w:val="bottom"/>
            <w:tcBorders>
              <w:bottom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1</w:t>
            </w:r>
          </w:p>
        </w:tc>
        <w:tc>
          <w:tcPr>
            <w:tcW w:w="6100" w:type="dxa"/>
            <w:vAlign w:val="bottom"/>
            <w:tcBorders>
              <w:top w:val="single" w:sz="8" w:color="auto"/>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3"/>
              </w:rPr>
              <w:t>Amendment Agreement by Weatherford Oil Tool GmbH, Weatherford Technology</w:t>
            </w:r>
          </w:p>
        </w:tc>
        <w:tc>
          <w:tcPr>
            <w:tcW w:w="2000" w:type="dxa"/>
            <w:vAlign w:val="bottom"/>
            <w:tcBorders>
              <w:top w:val="single" w:sz="8" w:color="auto"/>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top w:val="single" w:sz="8" w:color="auto"/>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5"/>
              </w:rPr>
              <w:t>Holdings, LLC, Weatherford/Lamb, Inc., Weatherford U.K. Limited, Weatherford</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US, England, Norway,</w:t>
            </w: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4"/>
              </w:rPr>
              <w:t>Norge AS, Weatherford Worldwide Holdings GmbH, Weatherford Holding GmbH</w:t>
            </w:r>
          </w:p>
        </w:tc>
        <w:tc>
          <w:tcPr>
            <w:tcW w:w="2000" w:type="dxa"/>
            <w:vAlign w:val="bottom"/>
            <w:tcBorders>
              <w:bottom w:val="single" w:sz="8" w:color="C6F4F9"/>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Assignment Agreement in relation to receivables (trade receivables, intra group</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receivables) to be entered into by Weatherford Oil Tool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3</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 law governed inventory transfer agreement to be entered into by</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Weatherford Oil Tool GmbH</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Assignment Agreement in relation to IP Rights to be entered into by Weatherford</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US, England, Norway</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Technology Holdings LLC, Weatherford / Lamb Inc., Weatherford UK Limited,</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Weatherford Norge AS</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bottom w:val="single" w:sz="8" w:color="C6F4F9"/>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5</w:t>
            </w: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7"/>
              </w:rPr>
              <w:t>Account Pledge Agreement to be entered into by Weatherford Oil Tool GmbH</w:t>
            </w:r>
          </w:p>
        </w:tc>
        <w:tc>
          <w:tcPr>
            <w:tcW w:w="2000" w:type="dxa"/>
            <w:vAlign w:val="bottom"/>
            <w:tcBorders>
              <w:bottom w:val="single" w:sz="8" w:color="C6F4F9"/>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Share Pledge Agreement in relation to shares in Weatherford Central Europe</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GmbH to be entered into by Weatherford Worldwide Holdings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Share Pledge Agreement in relation to shares in Weatherford Oil Tool GmbH to be</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Germany</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entered into by Weatherford Holding GmbH</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Quota pledge agreement regarding quotas in Weatherford Worldwide Holdings</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Ireland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GmbH, entered into by Weatherford Irish Holdings Limited, as amended on the</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date hereof by a confirmation and amendment agreement to quota pledge</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agreements</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Weatherford Management Company Switzerland Sàrl</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Weatherford Products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12</w:t>
            </w: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gridSpan w:val="2"/>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shd w:val="clear" w:color="auto" w:fill="C6F4F9"/>
          </w:tcPr>
          <w:p>
            <w:pPr>
              <w:spacing w:after="0"/>
              <w:rPr>
                <w:sz w:val="18"/>
                <w:szCs w:val="18"/>
                <w:color w:val="auto"/>
              </w:rPr>
            </w:pPr>
          </w:p>
        </w:tc>
        <w:tc>
          <w:tcPr>
            <w:tcW w:w="1640" w:type="dxa"/>
            <w:vAlign w:val="bottom"/>
            <w:tcBorders>
              <w:right w:val="single" w:sz="8" w:color="auto"/>
            </w:tcBorders>
            <w:shd w:val="clear" w:color="auto" w:fill="C6F4F9"/>
          </w:tcPr>
          <w:p>
            <w:pPr>
              <w:spacing w:after="0"/>
              <w:rPr>
                <w:sz w:val="18"/>
                <w:szCs w:val="18"/>
                <w:color w:val="auto"/>
              </w:rPr>
            </w:pPr>
          </w:p>
        </w:tc>
        <w:tc>
          <w:tcPr>
            <w:tcW w:w="840" w:type="dxa"/>
            <w:vAlign w:val="bottom"/>
            <w:shd w:val="clear" w:color="auto" w:fill="C6F4F9"/>
          </w:tcPr>
          <w:p>
            <w:pPr>
              <w:spacing w:after="0"/>
              <w:rPr>
                <w:sz w:val="18"/>
                <w:szCs w:val="18"/>
                <w:color w:val="auto"/>
              </w:rPr>
            </w:pPr>
          </w:p>
        </w:tc>
        <w:tc>
          <w:tcPr>
            <w:tcW w:w="1260" w:type="dxa"/>
            <w:vAlign w:val="bottom"/>
            <w:tcBorders>
              <w:right w:val="single" w:sz="8" w:color="auto"/>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gridSpan w:val="2"/>
            <w:shd w:val="clear" w:color="auto" w:fill="C6F4F9"/>
          </w:tcPr>
          <w:p>
            <w:pPr>
              <w:ind w:left="20"/>
              <w:spacing w:after="0"/>
              <w:rPr>
                <w:sz w:val="20"/>
                <w:szCs w:val="20"/>
                <w:color w:val="auto"/>
              </w:rPr>
            </w:pPr>
            <w:r>
              <w:rPr>
                <w:rFonts w:ascii="Arial" w:cs="Arial" w:eastAsia="Arial" w:hAnsi="Arial"/>
                <w:sz w:val="18"/>
                <w:szCs w:val="18"/>
                <w:color w:val="auto"/>
              </w:rPr>
              <w:t>Weatherford Switzerland Trading and Development GmbH</w:t>
            </w:r>
          </w:p>
        </w:tc>
        <w:tc>
          <w:tcPr>
            <w:tcW w:w="360" w:type="dxa"/>
            <w:vAlign w:val="bottom"/>
            <w:tcBorders>
              <w:bottom w:val="single" w:sz="8" w:color="C6F4F9"/>
            </w:tcBorders>
            <w:shd w:val="clear" w:color="auto" w:fill="C6F4F9"/>
          </w:tcPr>
          <w:p>
            <w:pPr>
              <w:spacing w:after="0"/>
              <w:rPr>
                <w:sz w:val="22"/>
                <w:szCs w:val="22"/>
                <w:color w:val="auto"/>
              </w:rPr>
            </w:pPr>
          </w:p>
        </w:tc>
        <w:tc>
          <w:tcPr>
            <w:tcW w:w="1640" w:type="dxa"/>
            <w:vAlign w:val="bottom"/>
            <w:tcBorders>
              <w:bottom w:val="single" w:sz="8" w:color="C6F4F9"/>
              <w:right w:val="single" w:sz="8" w:color="auto"/>
            </w:tcBorders>
            <w:shd w:val="clear" w:color="auto" w:fill="C6F4F9"/>
          </w:tcPr>
          <w:p>
            <w:pPr>
              <w:spacing w:after="0"/>
              <w:rPr>
                <w:sz w:val="22"/>
                <w:szCs w:val="22"/>
                <w:color w:val="auto"/>
              </w:rPr>
            </w:pPr>
          </w:p>
        </w:tc>
        <w:tc>
          <w:tcPr>
            <w:tcW w:w="840" w:type="dxa"/>
            <w:vAlign w:val="bottom"/>
            <w:tcBorders>
              <w:bottom w:val="single" w:sz="8" w:color="C6F4F9"/>
            </w:tcBorders>
            <w:shd w:val="clear" w:color="auto" w:fill="C6F4F9"/>
          </w:tcPr>
          <w:p>
            <w:pPr>
              <w:spacing w:after="0"/>
              <w:rPr>
                <w:sz w:val="22"/>
                <w:szCs w:val="22"/>
                <w:color w:val="auto"/>
              </w:rPr>
            </w:pPr>
          </w:p>
        </w:tc>
        <w:tc>
          <w:tcPr>
            <w:tcW w:w="1260" w:type="dxa"/>
            <w:vAlign w:val="bottom"/>
            <w:tcBorders>
              <w:bottom w:val="single" w:sz="8" w:color="C6F4F9"/>
              <w:right w:val="single" w:sz="8" w:color="auto"/>
            </w:tcBorders>
            <w:shd w:val="clear" w:color="auto" w:fill="C6F4F9"/>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6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3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Weatherford Worldwide Holdings GmbH</w:t>
            </w:r>
          </w:p>
        </w:tc>
        <w:tc>
          <w:tcPr>
            <w:tcW w:w="36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10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 w:right="339" w:bottom="1440" w:gutter="0" w:footer="0" w:header="0"/>
        </w:sectPr>
      </w:pPr>
    </w:p>
    <w:bookmarkStart w:id="906" w:name="page907"/>
    <w:bookmarkEnd w:id="9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04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6100" w:type="dxa"/>
            <w:vAlign w:val="bottom"/>
            <w:tcBorders>
              <w:top w:val="single" w:sz="8" w:color="auto"/>
              <w:right w:val="single" w:sz="8" w:color="auto"/>
            </w:tcBorders>
            <w:shd w:val="clear" w:color="auto" w:fill="D9D9D9"/>
          </w:tcPr>
          <w:p>
            <w:pPr>
              <w:ind w:left="2620"/>
              <w:spacing w:after="0"/>
              <w:rPr>
                <w:sz w:val="20"/>
                <w:szCs w:val="20"/>
                <w:color w:val="auto"/>
              </w:rPr>
            </w:pPr>
            <w:r>
              <w:rPr>
                <w:rFonts w:ascii="Arial" w:cs="Arial" w:eastAsia="Arial" w:hAnsi="Arial"/>
                <w:sz w:val="18"/>
                <w:szCs w:val="18"/>
                <w:b w:val="1"/>
                <w:bCs w:val="1"/>
                <w:color w:val="auto"/>
              </w:rPr>
              <w:t>Agreement</w:t>
            </w:r>
          </w:p>
        </w:tc>
        <w:tc>
          <w:tcPr>
            <w:tcW w:w="2000" w:type="dxa"/>
            <w:vAlign w:val="bottom"/>
            <w:tcBorders>
              <w:top w:val="single" w:sz="8" w:color="auto"/>
              <w:right w:val="single" w:sz="8" w:color="auto"/>
            </w:tcBorders>
            <w:shd w:val="clear" w:color="auto" w:fill="D9D9D9"/>
          </w:tcPr>
          <w:p>
            <w:pPr>
              <w:ind w:left="440"/>
              <w:spacing w:after="0"/>
              <w:rPr>
                <w:sz w:val="20"/>
                <w:szCs w:val="20"/>
                <w:color w:val="auto"/>
              </w:rPr>
            </w:pPr>
            <w:r>
              <w:rPr>
                <w:rFonts w:ascii="Arial" w:cs="Arial" w:eastAsia="Arial" w:hAnsi="Arial"/>
                <w:sz w:val="18"/>
                <w:szCs w:val="18"/>
                <w:b w:val="1"/>
                <w:bCs w:val="1"/>
                <w:color w:val="auto"/>
              </w:rPr>
              <w:t>Jurisdiction of</w:t>
            </w:r>
          </w:p>
        </w:tc>
        <w:tc>
          <w:tcPr>
            <w:tcW w:w="210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w w:val="94"/>
              </w:rPr>
              <w:t>Jurisdiction of Collateral</w:t>
            </w:r>
          </w:p>
        </w:tc>
      </w:tr>
      <w:tr>
        <w:trPr>
          <w:trHeight w:val="273"/>
        </w:trPr>
        <w:tc>
          <w:tcPr>
            <w:tcW w:w="104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6100" w:type="dxa"/>
            <w:vAlign w:val="bottom"/>
            <w:tcBorders>
              <w:bottom w:val="single" w:sz="8" w:color="D9D9D9"/>
              <w:right w:val="single" w:sz="8" w:color="auto"/>
            </w:tcBorders>
            <w:shd w:val="clear" w:color="auto" w:fill="D9D9D9"/>
          </w:tcPr>
          <w:p>
            <w:pPr>
              <w:spacing w:after="0"/>
              <w:rPr>
                <w:sz w:val="23"/>
                <w:szCs w:val="23"/>
                <w:color w:val="auto"/>
              </w:rPr>
            </w:pPr>
          </w:p>
        </w:tc>
        <w:tc>
          <w:tcPr>
            <w:tcW w:w="2000" w:type="dxa"/>
            <w:vAlign w:val="bottom"/>
            <w:tcBorders>
              <w:bottom w:val="single" w:sz="8" w:color="D9D9D9"/>
              <w:right w:val="single" w:sz="8" w:color="auto"/>
            </w:tcBorders>
            <w:shd w:val="clear" w:color="auto" w:fill="D9D9D9"/>
          </w:tcPr>
          <w:p>
            <w:pPr>
              <w:ind w:left="580"/>
              <w:spacing w:after="0"/>
              <w:rPr>
                <w:sz w:val="20"/>
                <w:szCs w:val="20"/>
                <w:color w:val="auto"/>
              </w:rPr>
            </w:pPr>
            <w:r>
              <w:rPr>
                <w:rFonts w:ascii="Arial" w:cs="Arial" w:eastAsia="Arial" w:hAnsi="Arial"/>
                <w:sz w:val="18"/>
                <w:szCs w:val="18"/>
                <w:b w:val="1"/>
                <w:bCs w:val="1"/>
                <w:color w:val="auto"/>
              </w:rPr>
              <w:t>Guarantor</w:t>
            </w:r>
          </w:p>
        </w:tc>
        <w:tc>
          <w:tcPr>
            <w:tcW w:w="210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229"/>
        </w:trPr>
        <w:tc>
          <w:tcPr>
            <w:tcW w:w="1040" w:type="dxa"/>
            <w:vAlign w:val="bottom"/>
            <w:tcBorders>
              <w:top w:val="single" w:sz="8" w:color="auto"/>
              <w:left w:val="single" w:sz="8" w:color="auto"/>
              <w:right w:val="single" w:sz="8" w:color="auto"/>
            </w:tcBorders>
            <w:shd w:val="clear" w:color="auto" w:fill="C6F4F9"/>
          </w:tcPr>
          <w:p>
            <w:pPr>
              <w:jc w:val="right"/>
              <w:ind w:right="330"/>
              <w:spacing w:after="0"/>
              <w:rPr>
                <w:sz w:val="20"/>
                <w:szCs w:val="20"/>
                <w:color w:val="auto"/>
              </w:rPr>
            </w:pPr>
            <w:r>
              <w:rPr>
                <w:rFonts w:ascii="Arial" w:cs="Arial" w:eastAsia="Arial" w:hAnsi="Arial"/>
                <w:sz w:val="18"/>
                <w:szCs w:val="18"/>
                <w:color w:val="auto"/>
              </w:rPr>
              <w:t>14</w:t>
            </w:r>
          </w:p>
        </w:tc>
        <w:tc>
          <w:tcPr>
            <w:tcW w:w="6100" w:type="dxa"/>
            <w:vAlign w:val="bottom"/>
            <w:tcBorders>
              <w:top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Quota pledge agreement regarding quotas in Weatherford South America GmbH,</w:t>
            </w:r>
          </w:p>
        </w:tc>
        <w:tc>
          <w:tcPr>
            <w:tcW w:w="2000" w:type="dxa"/>
            <w:vAlign w:val="bottom"/>
            <w:tcBorders>
              <w:top w:val="single" w:sz="8" w:color="auto"/>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0"/>
              </w:rPr>
              <w:t>entered into by Weatherford Worldwide Holdings GmbH, as amended as of the date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hereof by a confirmation and amendment agreement to quota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15</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0"/>
              </w:rPr>
              <w:t>Quota pledge agreement regarding quotas in Weatherford Products GmbH,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into by Weatherford Worldwide Holdings GmbH, as amended as of the date hereof</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by a confirmation and amendment agreement to quota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right"/>
              <w:ind w:right="330"/>
              <w:spacing w:after="0"/>
              <w:rPr>
                <w:sz w:val="20"/>
                <w:szCs w:val="20"/>
                <w:color w:val="auto"/>
              </w:rPr>
            </w:pPr>
            <w:r>
              <w:rPr>
                <w:rFonts w:ascii="Arial" w:cs="Arial" w:eastAsia="Arial" w:hAnsi="Arial"/>
                <w:sz w:val="18"/>
                <w:szCs w:val="18"/>
                <w:color w:val="auto"/>
              </w:rPr>
              <w:t>16</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Quota pledge agreement regarding quotas in Weatherford Switzerland Trading and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Development GmbH, entered into by Weatherford Worldwide Holdings GmbH, as</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5"/>
              </w:rPr>
              <w:t>amended as of the date hereof by a confirmation and amendment agreement to</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quota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17</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Quota pledge agreement regarding quotas in Weatherford Management Company</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Switzerland Sàrl, entered into by Weatherford Worldwide Holdings GmbH, as</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amended as of the date hereof by a confirmation and amendment agreement to</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quota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right"/>
              <w:ind w:right="330"/>
              <w:spacing w:after="0"/>
              <w:rPr>
                <w:sz w:val="20"/>
                <w:szCs w:val="20"/>
                <w:color w:val="auto"/>
              </w:rPr>
            </w:pPr>
            <w:r>
              <w:rPr>
                <w:rFonts w:ascii="Arial" w:cs="Arial" w:eastAsia="Arial" w:hAnsi="Arial"/>
                <w:sz w:val="18"/>
                <w:szCs w:val="18"/>
                <w:color w:val="auto"/>
              </w:rPr>
              <w:t>18</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2"/>
              </w:rPr>
              <w:t>Quota pledge agreement regarding quotas in WOFS International Finance GmbH,</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3"/>
              </w:rPr>
              <w:t>entered into by Weatherford Holdings (Switzerland) GmbH, as amended as of the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date hereof by a confirmation and amendment agreement to quota pledge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19</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Quota pledge agreement regarding quotas in Weatherford Holdings (Switzerland)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GmbH, entered into by Weatherford Worldwide Holdings GmbH, as amended as of</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date hereof by a confirmation and amendment agreement to quota pledge</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right"/>
              <w:ind w:right="330"/>
              <w:spacing w:after="0"/>
              <w:rPr>
                <w:sz w:val="20"/>
                <w:szCs w:val="20"/>
                <w:color w:val="auto"/>
              </w:rPr>
            </w:pPr>
            <w:r>
              <w:rPr>
                <w:rFonts w:ascii="Arial" w:cs="Arial" w:eastAsia="Arial" w:hAnsi="Arial"/>
                <w:sz w:val="18"/>
                <w:szCs w:val="18"/>
                <w:color w:val="auto"/>
              </w:rPr>
              <w:t>20</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WOFS International Finance GmbH</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21</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Security assignment agreement regarding trade receivables, intra-group</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receivables, insurance receivables and bank account claims, to be entered into by</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Weatherford Holdings (Switzerland) GmbH,</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right"/>
              <w:ind w:right="330"/>
              <w:spacing w:after="0"/>
              <w:rPr>
                <w:sz w:val="20"/>
                <w:szCs w:val="20"/>
                <w:color w:val="auto"/>
              </w:rPr>
            </w:pPr>
            <w:r>
              <w:rPr>
                <w:rFonts w:ascii="Arial" w:cs="Arial" w:eastAsia="Arial" w:hAnsi="Arial"/>
                <w:sz w:val="18"/>
                <w:szCs w:val="18"/>
                <w:color w:val="auto"/>
              </w:rPr>
              <w:t>22</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7"/>
              </w:rPr>
              <w:t>into by Weatherford Holdings (Switzerland) GmbH, as amended as of the date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hereof by a 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669"/>
        </w:trPr>
        <w:tc>
          <w:tcPr>
            <w:tcW w:w="1040" w:type="dxa"/>
            <w:vAlign w:val="bottom"/>
            <w:tcBorders>
              <w:top w:val="single" w:sz="8" w:color="auto"/>
              <w:bottom w:val="single" w:sz="8" w:color="auto"/>
            </w:tcBorders>
          </w:tcPr>
          <w:p>
            <w:pPr>
              <w:spacing w:after="0"/>
              <w:rPr>
                <w:sz w:val="24"/>
                <w:szCs w:val="24"/>
                <w:color w:val="auto"/>
              </w:rPr>
            </w:pPr>
          </w:p>
        </w:tc>
        <w:tc>
          <w:tcPr>
            <w:tcW w:w="610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606" w:right="339" w:bottom="1440" w:gutter="0" w:footer="0" w:header="0"/>
        </w:sectPr>
      </w:pPr>
    </w:p>
    <w:bookmarkStart w:id="907" w:name="page908"/>
    <w:bookmarkEnd w:id="9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04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6100" w:type="dxa"/>
            <w:vAlign w:val="bottom"/>
            <w:tcBorders>
              <w:top w:val="single" w:sz="8" w:color="auto"/>
              <w:right w:val="single" w:sz="8" w:color="auto"/>
            </w:tcBorders>
            <w:shd w:val="clear" w:color="auto" w:fill="D9D9D9"/>
          </w:tcPr>
          <w:p>
            <w:pPr>
              <w:ind w:left="2620"/>
              <w:spacing w:after="0"/>
              <w:rPr>
                <w:sz w:val="20"/>
                <w:szCs w:val="20"/>
                <w:color w:val="auto"/>
              </w:rPr>
            </w:pPr>
            <w:r>
              <w:rPr>
                <w:rFonts w:ascii="Arial" w:cs="Arial" w:eastAsia="Arial" w:hAnsi="Arial"/>
                <w:sz w:val="18"/>
                <w:szCs w:val="18"/>
                <w:b w:val="1"/>
                <w:bCs w:val="1"/>
                <w:color w:val="auto"/>
              </w:rPr>
              <w:t>Agreement</w:t>
            </w:r>
          </w:p>
        </w:tc>
        <w:tc>
          <w:tcPr>
            <w:tcW w:w="2000" w:type="dxa"/>
            <w:vAlign w:val="bottom"/>
            <w:tcBorders>
              <w:top w:val="single" w:sz="8" w:color="auto"/>
              <w:right w:val="single" w:sz="8" w:color="auto"/>
            </w:tcBorders>
            <w:shd w:val="clear" w:color="auto" w:fill="D9D9D9"/>
          </w:tcPr>
          <w:p>
            <w:pPr>
              <w:ind w:left="440"/>
              <w:spacing w:after="0"/>
              <w:rPr>
                <w:sz w:val="20"/>
                <w:szCs w:val="20"/>
                <w:color w:val="auto"/>
              </w:rPr>
            </w:pPr>
            <w:r>
              <w:rPr>
                <w:rFonts w:ascii="Arial" w:cs="Arial" w:eastAsia="Arial" w:hAnsi="Arial"/>
                <w:sz w:val="18"/>
                <w:szCs w:val="18"/>
                <w:b w:val="1"/>
                <w:bCs w:val="1"/>
                <w:color w:val="auto"/>
              </w:rPr>
              <w:t>Jurisdiction of</w:t>
            </w:r>
          </w:p>
        </w:tc>
        <w:tc>
          <w:tcPr>
            <w:tcW w:w="210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w w:val="94"/>
              </w:rPr>
              <w:t>Jurisdiction of Collateral</w:t>
            </w:r>
          </w:p>
        </w:tc>
      </w:tr>
      <w:tr>
        <w:trPr>
          <w:trHeight w:val="273"/>
        </w:trPr>
        <w:tc>
          <w:tcPr>
            <w:tcW w:w="104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6100" w:type="dxa"/>
            <w:vAlign w:val="bottom"/>
            <w:tcBorders>
              <w:bottom w:val="single" w:sz="8" w:color="D9D9D9"/>
              <w:right w:val="single" w:sz="8" w:color="auto"/>
            </w:tcBorders>
            <w:shd w:val="clear" w:color="auto" w:fill="D9D9D9"/>
          </w:tcPr>
          <w:p>
            <w:pPr>
              <w:spacing w:after="0"/>
              <w:rPr>
                <w:sz w:val="23"/>
                <w:szCs w:val="23"/>
                <w:color w:val="auto"/>
              </w:rPr>
            </w:pPr>
          </w:p>
        </w:tc>
        <w:tc>
          <w:tcPr>
            <w:tcW w:w="2000" w:type="dxa"/>
            <w:vAlign w:val="bottom"/>
            <w:tcBorders>
              <w:bottom w:val="single" w:sz="8" w:color="D9D9D9"/>
              <w:right w:val="single" w:sz="8" w:color="auto"/>
            </w:tcBorders>
            <w:shd w:val="clear" w:color="auto" w:fill="D9D9D9"/>
          </w:tcPr>
          <w:p>
            <w:pPr>
              <w:ind w:left="580"/>
              <w:spacing w:after="0"/>
              <w:rPr>
                <w:sz w:val="20"/>
                <w:szCs w:val="20"/>
                <w:color w:val="auto"/>
              </w:rPr>
            </w:pPr>
            <w:r>
              <w:rPr>
                <w:rFonts w:ascii="Arial" w:cs="Arial" w:eastAsia="Arial" w:hAnsi="Arial"/>
                <w:sz w:val="18"/>
                <w:szCs w:val="18"/>
                <w:b w:val="1"/>
                <w:bCs w:val="1"/>
                <w:color w:val="auto"/>
              </w:rPr>
              <w:t>Guarantor</w:t>
            </w:r>
          </w:p>
        </w:tc>
        <w:tc>
          <w:tcPr>
            <w:tcW w:w="210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229"/>
        </w:trPr>
        <w:tc>
          <w:tcPr>
            <w:tcW w:w="1040" w:type="dxa"/>
            <w:vAlign w:val="bottom"/>
            <w:tcBorders>
              <w:top w:val="single" w:sz="8" w:color="auto"/>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23</w:t>
            </w:r>
          </w:p>
        </w:tc>
        <w:tc>
          <w:tcPr>
            <w:tcW w:w="6100" w:type="dxa"/>
            <w:vAlign w:val="bottom"/>
            <w:tcBorders>
              <w:top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0"/>
              </w:rPr>
              <w:t>into by Weatherford Management Company Switzerland Sàrl, as amended as of the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4"/>
              </w:rPr>
              <w:t>date hereof by a 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into by Weatherford Products GmbH, as amended as of the date hereof by a</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3"/>
              </w:rPr>
              <w:t>265</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into by Weatherford Switzerland Trading and Development GmbH, as amended as</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of the date hereof by a confirmation and amendment agreement to pledge</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into by Weatherford Worldwide Holdings GmbH, as amended as of the date hereof</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by a confirmation and 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27</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IP pledge agreement regarding existing and future IP rights in Switzerland, entered</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1"/>
              </w:rPr>
              <w:t>into by WOFS International Finance GmbH, as amended as of the date hereof by a</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Pledge agreements regarding Rental Tools, to be entered into by Weatherford</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Products GmbH,</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w:t>
            </w: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29</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5"/>
              </w:rPr>
              <w:t>Weatherford Technology Holdings, LLC, as amended as of the date hereof by a</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confirmation and 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w:t>
            </w:r>
          </w:p>
        </w:tc>
        <w:tc>
          <w:tcPr>
            <w:tcW w:w="6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Visual Systems, Inc., as amended as of the date hereof by a confirmation and</w:t>
            </w:r>
          </w:p>
        </w:tc>
        <w:tc>
          <w:tcPr>
            <w:tcW w:w="20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amendment agreement to pledge agreements</w:t>
            </w:r>
          </w:p>
        </w:tc>
        <w:tc>
          <w:tcPr>
            <w:tcW w:w="20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34"/>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29"/>
        </w:trPr>
        <w:tc>
          <w:tcPr>
            <w:tcW w:w="1040" w:type="dxa"/>
            <w:vAlign w:val="bottom"/>
            <w:tcBorders>
              <w:left w:val="single" w:sz="8" w:color="auto"/>
              <w:right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89"/>
              </w:rPr>
              <w:t>31</w:t>
            </w: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6"/>
              </w:rPr>
              <w:t>IP pledge agreement regarding certain IP rights in Switzerland, entered into by</w:t>
            </w:r>
          </w:p>
        </w:tc>
        <w:tc>
          <w:tcPr>
            <w:tcW w:w="200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US</w:t>
            </w:r>
          </w:p>
        </w:tc>
        <w:tc>
          <w:tcPr>
            <w:tcW w:w="2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1040" w:type="dxa"/>
            <w:vAlign w:val="bottom"/>
            <w:tcBorders>
              <w:left w:val="single" w:sz="8" w:color="auto"/>
              <w:right w:val="single" w:sz="8" w:color="auto"/>
            </w:tcBorders>
            <w:shd w:val="clear" w:color="auto" w:fill="C6F4F9"/>
          </w:tcPr>
          <w:p>
            <w:pPr>
              <w:spacing w:after="0"/>
              <w:rPr>
                <w:sz w:val="18"/>
                <w:szCs w:val="18"/>
                <w:color w:val="auto"/>
              </w:rPr>
            </w:pPr>
          </w:p>
        </w:tc>
        <w:tc>
          <w:tcPr>
            <w:tcW w:w="61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w w:val="94"/>
              </w:rPr>
              <w:t>Weatherford U.S., L.P., as amended as of the date hereof by a confirmation and</w:t>
            </w:r>
          </w:p>
        </w:tc>
        <w:tc>
          <w:tcPr>
            <w:tcW w:w="2000" w:type="dxa"/>
            <w:vAlign w:val="bottom"/>
            <w:tcBorders>
              <w:right w:val="single" w:sz="8" w:color="auto"/>
            </w:tcBorders>
            <w:shd w:val="clear" w:color="auto" w:fill="C6F4F9"/>
          </w:tcPr>
          <w:p>
            <w:pPr>
              <w:spacing w:after="0"/>
              <w:rPr>
                <w:sz w:val="18"/>
                <w:szCs w:val="18"/>
                <w:color w:val="auto"/>
              </w:rPr>
            </w:pPr>
          </w:p>
        </w:tc>
        <w:tc>
          <w:tcPr>
            <w:tcW w:w="2100" w:type="dxa"/>
            <w:vAlign w:val="bottom"/>
            <w:tcBorders>
              <w:right w:val="single" w:sz="8" w:color="auto"/>
            </w:tcBorders>
            <w:shd w:val="clear" w:color="auto" w:fill="C6F4F9"/>
          </w:tcPr>
          <w:p>
            <w:pPr>
              <w:spacing w:after="0"/>
              <w:rPr>
                <w:sz w:val="18"/>
                <w:szCs w:val="18"/>
                <w:color w:val="auto"/>
              </w:rPr>
            </w:pPr>
          </w:p>
        </w:tc>
      </w:tr>
      <w:tr>
        <w:trPr>
          <w:trHeight w:val="269"/>
        </w:trPr>
        <w:tc>
          <w:tcPr>
            <w:tcW w:w="10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61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amendment agreement to pledge agreements</w:t>
            </w:r>
          </w:p>
        </w:tc>
        <w:tc>
          <w:tcPr>
            <w:tcW w:w="2000" w:type="dxa"/>
            <w:vAlign w:val="bottom"/>
            <w:tcBorders>
              <w:bottom w:val="single" w:sz="8" w:color="C6F4F9"/>
              <w:right w:val="single" w:sz="8" w:color="auto"/>
            </w:tcBorders>
            <w:shd w:val="clear" w:color="auto" w:fill="C6F4F9"/>
          </w:tcPr>
          <w:p>
            <w:pPr>
              <w:spacing w:after="0"/>
              <w:rPr>
                <w:sz w:val="22"/>
                <w:szCs w:val="22"/>
                <w:color w:val="auto"/>
              </w:rPr>
            </w:pPr>
          </w:p>
        </w:tc>
        <w:tc>
          <w:tcPr>
            <w:tcW w:w="21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358"/>
        </w:trPr>
        <w:tc>
          <w:tcPr>
            <w:tcW w:w="1040" w:type="dxa"/>
            <w:vAlign w:val="bottom"/>
            <w:tcBorders>
              <w:top w:val="single" w:sz="8" w:color="auto"/>
              <w:bottom w:val="single" w:sz="8" w:color="auto"/>
            </w:tcBorders>
          </w:tcPr>
          <w:p>
            <w:pPr>
              <w:spacing w:after="0"/>
              <w:rPr>
                <w:sz w:val="24"/>
                <w:szCs w:val="24"/>
                <w:color w:val="auto"/>
              </w:rPr>
            </w:pPr>
          </w:p>
        </w:tc>
        <w:tc>
          <w:tcPr>
            <w:tcW w:w="610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363" w:right="339" w:bottom="1440" w:gutter="0" w:footer="0" w:header="0"/>
        </w:sectPr>
      </w:pPr>
    </w:p>
    <w:bookmarkStart w:id="908" w:name="page909"/>
    <w:bookmarkEnd w:id="908"/>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79375</wp:posOffset>
            </wp:positionV>
            <wp:extent cx="2297430" cy="10287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29743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Weatherford Completes Financing Transactions</w:t>
      </w:r>
    </w:p>
    <w:p>
      <w:pPr>
        <w:spacing w:after="0" w:line="25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HOUSTON, August 28, 2020 – </w:t>
      </w:r>
      <w:r>
        <w:rPr>
          <w:rFonts w:ascii="Arial" w:cs="Arial" w:eastAsia="Arial" w:hAnsi="Arial"/>
          <w:sz w:val="22"/>
          <w:szCs w:val="22"/>
          <w:color w:val="auto"/>
        </w:rPr>
        <w:t>Weatherford International plc (OTC Pink: WFTLF) (collectively with certain of its subsidiaries,</w:t>
      </w:r>
      <w:r>
        <w:rPr>
          <w:rFonts w:ascii="Arial" w:cs="Arial" w:eastAsia="Arial" w:hAnsi="Arial"/>
          <w:sz w:val="22"/>
          <w:szCs w:val="22"/>
          <w:b w:val="1"/>
          <w:bCs w:val="1"/>
          <w:color w:val="auto"/>
        </w:rPr>
        <w:t xml:space="preserve"> </w:t>
      </w:r>
      <w:r>
        <w:rPr>
          <w:rFonts w:ascii="Arial" w:cs="Arial" w:eastAsia="Arial" w:hAnsi="Arial"/>
          <w:sz w:val="22"/>
          <w:szCs w:val="22"/>
          <w:color w:val="auto"/>
        </w:rPr>
        <w:t>“Weatherford” or the “Company”) today announced that it has refinanced its senior secured asset-based lending agreement (the “ABL Credit Agreement”) through the issuance of $500 million of senior secured first lien notes (the “Senior Secured Notes”). The Company also amended and increased the size of its senior secured letter of credit agreement (the “LC Credit Agreement”) to $215 million.</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proceeds from the issuance of the Senior Secured Notes will be used to enhance the Company’s liquidity and support the issuance of letters of credit. These actions will provide the Company with additional liquidity and flexibility to manage through the current operating environment, with the Company having over $1.2 billion of cash on hand at closing, including the net proceeds from the transactions, over $50 million of capacity under its upsized LC facility and no debt maturities prior to the second quarter of 2024.</w:t>
      </w:r>
    </w:p>
    <w:p>
      <w:pPr>
        <w:spacing w:after="0" w:line="190"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Charles M. Sledge, Chairman of the Board of Directors, commented, “We have strengthened the Company’s capital structure enabling Weatherford to continue to deliver against our strategic objectives during this challenging environment. These transactions successfully conclude the review of alternatives announced in May. We appreciate the continued support provided by the Company’s stakeholders and the confidence they have placed in our long-term success.”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Key Details of the Transactions:</w:t>
      </w:r>
    </w:p>
    <w:p>
      <w:pPr>
        <w:spacing w:after="0" w:line="65" w:lineRule="exact"/>
        <w:rPr>
          <w:sz w:val="20"/>
          <w:szCs w:val="20"/>
          <w:color w:val="auto"/>
        </w:rPr>
      </w:pPr>
    </w:p>
    <w:p>
      <w:pPr>
        <w:ind w:left="660" w:hanging="328"/>
        <w:spacing w:after="0"/>
        <w:tabs>
          <w:tab w:leader="none" w:pos="660" w:val="left"/>
        </w:tabs>
        <w:numPr>
          <w:ilvl w:val="0"/>
          <w:numId w:val="987"/>
        </w:numPr>
        <w:rPr>
          <w:rFonts w:ascii="Arial" w:cs="Arial" w:eastAsia="Arial" w:hAnsi="Arial"/>
          <w:sz w:val="18"/>
          <w:szCs w:val="18"/>
          <w:color w:val="auto"/>
        </w:rPr>
      </w:pPr>
      <w:r>
        <w:rPr>
          <w:rFonts w:ascii="Arial" w:cs="Arial" w:eastAsia="Arial" w:hAnsi="Arial"/>
          <w:sz w:val="18"/>
          <w:szCs w:val="18"/>
          <w:color w:val="auto"/>
        </w:rPr>
        <w:t>Issued $500 million of 8.75% senior secured first lien notes maturing on September 1, 2024</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87"/>
        </w:numPr>
        <w:rPr>
          <w:rFonts w:ascii="Arial" w:cs="Arial" w:eastAsia="Arial" w:hAnsi="Arial"/>
          <w:sz w:val="16"/>
          <w:szCs w:val="16"/>
          <w:color w:val="auto"/>
        </w:rPr>
      </w:pPr>
      <w:r>
        <w:rPr>
          <w:rFonts w:ascii="Arial" w:cs="Arial" w:eastAsia="Arial" w:hAnsi="Arial"/>
          <w:sz w:val="16"/>
          <w:szCs w:val="16"/>
          <w:color w:val="auto"/>
        </w:rPr>
        <w:t>Terminated the ABL Credit Agreement by repaying all borrowings and cash collateralizing or moving letters of credit under the LC Credit Facility</w:t>
      </w:r>
    </w:p>
    <w:p>
      <w:pPr>
        <w:spacing w:after="0" w:line="46" w:lineRule="exact"/>
        <w:rPr>
          <w:rFonts w:ascii="Arial" w:cs="Arial" w:eastAsia="Arial" w:hAnsi="Arial"/>
          <w:sz w:val="16"/>
          <w:szCs w:val="16"/>
          <w:color w:val="auto"/>
        </w:rPr>
      </w:pPr>
    </w:p>
    <w:p>
      <w:pPr>
        <w:ind w:left="660" w:right="20" w:hanging="328"/>
        <w:spacing w:after="0" w:line="276" w:lineRule="auto"/>
        <w:tabs>
          <w:tab w:leader="none" w:pos="660" w:val="left"/>
        </w:tabs>
        <w:numPr>
          <w:ilvl w:val="0"/>
          <w:numId w:val="987"/>
        </w:numPr>
        <w:rPr>
          <w:rFonts w:ascii="Arial" w:cs="Arial" w:eastAsia="Arial" w:hAnsi="Arial"/>
          <w:sz w:val="18"/>
          <w:szCs w:val="18"/>
          <w:color w:val="auto"/>
        </w:rPr>
      </w:pPr>
      <w:r>
        <w:rPr>
          <w:rFonts w:ascii="Arial" w:cs="Arial" w:eastAsia="Arial" w:hAnsi="Arial"/>
          <w:sz w:val="18"/>
          <w:szCs w:val="18"/>
          <w:color w:val="auto"/>
        </w:rPr>
        <w:t>Amended the LC Credit Agreement to, among other things, increase the aggregate commitments under the facility to $215 million and reduce the minimum liquidity covenant</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Lazard served as the Company’s financial advisor on the transactions and Paul, Weiss, Rifkind, Wharton &amp; Garrison, and Latham &amp; Watkins served as the Company’s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09" w:name="page910"/>
    <w:bookmarkEnd w:id="909"/>
    <w:p>
      <w:pPr>
        <w:jc w:val="both"/>
        <w:spacing w:after="0" w:line="266" w:lineRule="auto"/>
        <w:rPr>
          <w:sz w:val="20"/>
          <w:szCs w:val="20"/>
          <w:color w:val="auto"/>
        </w:rPr>
      </w:pPr>
      <w:r>
        <w:rPr>
          <w:rFonts w:ascii="Arial" w:cs="Arial" w:eastAsia="Arial" w:hAnsi="Arial"/>
          <w:sz w:val="22"/>
          <w:szCs w:val="22"/>
          <w:color w:val="auto"/>
        </w:rPr>
        <w:t>The Senior Secured Notes will not be registered under the Securities Act of 1933, as amended (the “Securities Act”), and may not be offered, sold or otherwise transferred except under an exception from, or in a transaction not subject to, the registration requirements of the Securities Act or any other applicable securities laws.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Weatherford</w:t>
      </w:r>
    </w:p>
    <w:p>
      <w:pPr>
        <w:spacing w:after="0" w:line="185" w:lineRule="exact"/>
        <w:rPr>
          <w:sz w:val="20"/>
          <w:szCs w:val="20"/>
          <w:color w:val="auto"/>
        </w:rPr>
      </w:pPr>
    </w:p>
    <w:p>
      <w:pPr>
        <w:jc w:val="both"/>
        <w:ind w:right="40"/>
        <w:spacing w:after="0" w:line="279" w:lineRule="auto"/>
        <w:rPr>
          <w:sz w:val="20"/>
          <w:szCs w:val="20"/>
          <w:color w:val="auto"/>
        </w:rPr>
      </w:pPr>
      <w:r>
        <w:rPr>
          <w:rFonts w:ascii="Arial" w:cs="Arial" w:eastAsia="Arial" w:hAnsi="Arial"/>
          <w:sz w:val="21"/>
          <w:szCs w:val="21"/>
          <w:color w:val="auto"/>
        </w:rPr>
        <w:t xml:space="preserve">Weatherford is a leading wellbore and production solutions company. Operating in more than 80 countries, the Company answers the challenges of the energy industry with its global talent network of approximately 19,000 team members and 600 locations, which include service, research and development, training, and manufacturing facilities. Visit </w:t>
      </w:r>
      <w:r>
        <w:rPr>
          <w:rFonts w:ascii="Arial" w:cs="Arial" w:eastAsia="Arial" w:hAnsi="Arial"/>
          <w:sz w:val="21"/>
          <w:szCs w:val="21"/>
          <w:u w:val="single" w:color="auto"/>
          <w:color w:val="0000FF"/>
        </w:rPr>
        <w:t>weatherford.com</w:t>
      </w:r>
      <w:r>
        <w:rPr>
          <w:rFonts w:ascii="Arial" w:cs="Arial" w:eastAsia="Arial" w:hAnsi="Arial"/>
          <w:sz w:val="21"/>
          <w:szCs w:val="21"/>
          <w:color w:val="auto"/>
        </w:rPr>
        <w:t xml:space="preserve"> for more information or connect on </w:t>
      </w:r>
      <w:r>
        <w:rPr>
          <w:rFonts w:ascii="Arial" w:cs="Arial" w:eastAsia="Arial" w:hAnsi="Arial"/>
          <w:sz w:val="21"/>
          <w:szCs w:val="21"/>
          <w:u w:val="single" w:color="auto"/>
          <w:color w:val="0000FF"/>
        </w:rPr>
        <w:t>LinkedIn</w:t>
      </w:r>
      <w:r>
        <w:rPr>
          <w:rFonts w:ascii="Arial" w:cs="Arial" w:eastAsia="Arial" w:hAnsi="Arial"/>
          <w:sz w:val="21"/>
          <w:szCs w:val="21"/>
          <w:color w:val="auto"/>
        </w:rPr>
        <w:t xml:space="preserve">, </w:t>
      </w:r>
      <w:r>
        <w:rPr>
          <w:rFonts w:ascii="Arial" w:cs="Arial" w:eastAsia="Arial" w:hAnsi="Arial"/>
          <w:sz w:val="21"/>
          <w:szCs w:val="21"/>
          <w:u w:val="single" w:color="auto"/>
          <w:color w:val="0000FF"/>
        </w:rPr>
        <w:t>Facebook</w:t>
      </w:r>
      <w:r>
        <w:rPr>
          <w:rFonts w:ascii="Arial" w:cs="Arial" w:eastAsia="Arial" w:hAnsi="Arial"/>
          <w:sz w:val="21"/>
          <w:szCs w:val="21"/>
          <w:color w:val="auto"/>
        </w:rPr>
        <w:t xml:space="preserve">, </w:t>
      </w:r>
      <w:r>
        <w:rPr>
          <w:rFonts w:ascii="Arial" w:cs="Arial" w:eastAsia="Arial" w:hAnsi="Arial"/>
          <w:sz w:val="21"/>
          <w:szCs w:val="21"/>
          <w:u w:val="single" w:color="auto"/>
          <w:color w:val="0000FF"/>
        </w:rPr>
        <w:t>Twitter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Instagram</w:t>
      </w:r>
      <w:r>
        <w:rPr>
          <w:rFonts w:ascii="Arial" w:cs="Arial" w:eastAsia="Arial" w:hAnsi="Arial"/>
          <w:sz w:val="21"/>
          <w:szCs w:val="21"/>
          <w:color w:val="auto"/>
        </w:rPr>
        <w:t xml:space="preserve">, or </w:t>
      </w:r>
      <w:r>
        <w:rPr>
          <w:rFonts w:ascii="Arial" w:cs="Arial" w:eastAsia="Arial" w:hAnsi="Arial"/>
          <w:sz w:val="21"/>
          <w:szCs w:val="21"/>
          <w:u w:val="single" w:color="auto"/>
          <w:color w:val="0000FF"/>
        </w:rPr>
        <w:t>YouTube</w:t>
      </w:r>
      <w:r>
        <w:rPr>
          <w:rFonts w:ascii="Arial" w:cs="Arial" w:eastAsia="Arial" w:hAnsi="Arial"/>
          <w:sz w:val="21"/>
          <w:szCs w:val="2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18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This news release contains forward-looking statements concerning, among other things, the Company’s expectations regarding business outlook, financial projections or forecasts and are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price and price volatility of oil and natural gas; general global economic repercussions related to COVID-19 pandemic; the macroeconomic outlook for the oil and gas industry; the duration and severity of the impact of the COVID-19 pandemic on oil and gas demand and commodity prices; operational challenges relating to the COVID-19 pandemic and efforts to mitigate the spread of the virus, including logistical challenges, protecting the health and well-being of our employees, remote work arrangements, performance of contracts and supply chain disruptions; our ability to generate cash flow from operations to fund our operations; and realization of additional cost savings and operational efficiencies. Forward-looking statements are also affected by the risk factors described in the Company’s Annual Report on Form 10-K for the year ended December 31, 2019, the Company’s Quarterly Report on Form 10-Q for the quarter ended March 31, 2020 and the Company’s Quarterly Report on Form 10-Q for the quarter ended June 30,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10" w:name="page911"/>
    <w:bookmarkEnd w:id="910"/>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Sebastian Pellizzer</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Senior Director, Investor Relations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+1 713-836-7777</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u w:val="single" w:color="auto"/>
          <w:color w:val="0E32E1"/>
        </w:rPr>
        <w:t>investor.relations@weatherford.com</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Christopher Wailes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Director, Global Media Engagement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+1 832-851-8308</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u w:val="single" w:color="auto"/>
          <w:color w:val="0E32E1"/>
        </w:rPr>
        <w:t>christopher.wailes@weatherford.com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E0515"/>
    <w:multiLevelType w:val="hybridMultilevel"/>
    <w:lvl w:ilvl="0">
      <w:lvlJc w:val="left"/>
      <w:lvlText w:val="☐"/>
      <w:numFmt w:val="bullet"/>
      <w:start w:val="1"/>
    </w:lvl>
  </w:abstractNum>
  <w:abstractNum w:abstractNumId="1">
    <w:nsid w:val="3BA0794B"/>
    <w:multiLevelType w:val="hybridMultilevel"/>
    <w:lvl w:ilvl="0">
      <w:lvlJc w:val="left"/>
      <w:lvlText w:val="(%1)"/>
      <w:numFmt w:val="lowerRoman"/>
      <w:start w:val="2"/>
    </w:lvl>
  </w:abstractNum>
  <w:abstractNum w:abstractNumId="2">
    <w:nsid w:val="6A0DCE48"/>
    <w:multiLevelType w:val="hybridMultilevel"/>
    <w:lvl w:ilvl="0">
      <w:lvlJc w:val="left"/>
      <w:lvlText w:val="(%1)"/>
      <w:numFmt w:val="lowerLetter"/>
      <w:start w:val="4"/>
    </w:lvl>
  </w:abstractNum>
  <w:abstractNum w:abstractNumId="3">
    <w:nsid w:val="7237AA96"/>
    <w:multiLevelType w:val="hybridMultilevel"/>
    <w:lvl w:ilvl="0">
      <w:lvlJc w:val="left"/>
      <w:lvlText w:val="%1"/>
      <w:numFmt w:val="decimal"/>
      <w:start w:val="104"/>
    </w:lvl>
  </w:abstractNum>
  <w:abstractNum w:abstractNumId="4">
    <w:nsid w:val="5B1FBC2D"/>
    <w:multiLevelType w:val="hybridMultilevel"/>
    <w:lvl w:ilvl="0">
      <w:lvlJc w:val="left"/>
      <w:lvlText w:val="(%1)"/>
      <w:numFmt w:val="decimal"/>
      <w:start w:val="1"/>
    </w:lvl>
  </w:abstractNum>
  <w:abstractNum w:abstractNumId="5">
    <w:nsid w:val="33DFCCE8"/>
    <w:multiLevelType w:val="hybridMultilevel"/>
    <w:lvl w:ilvl="0">
      <w:lvlJc w:val="left"/>
      <w:lvlText w:val="(%1)"/>
      <w:numFmt w:val="decimal"/>
      <w:start w:val="8"/>
    </w:lvl>
  </w:abstractNum>
  <w:abstractNum w:abstractNumId="6">
    <w:nsid w:val="18C45E15"/>
    <w:multiLevelType w:val="hybridMultilevel"/>
    <w:lvl w:ilvl="0">
      <w:lvlJc w:val="left"/>
      <w:lvlText w:val="%1."/>
      <w:numFmt w:val="decimal"/>
      <w:start w:val="1"/>
    </w:lvl>
  </w:abstractNum>
  <w:abstractNum w:abstractNumId="7">
    <w:nsid w:val="6B431F25"/>
    <w:multiLevelType w:val="hybridMultilevel"/>
    <w:lvl w:ilvl="0">
      <w:lvlJc w:val="left"/>
      <w:lvlText w:val="%1."/>
      <w:numFmt w:val="decimal"/>
      <w:start w:val="2"/>
    </w:lvl>
  </w:abstractNum>
  <w:abstractNum w:abstractNumId="8">
    <w:nsid w:val="13CD8DCB"/>
    <w:multiLevelType w:val="hybridMultilevel"/>
    <w:lvl w:ilvl="0">
      <w:lvlJc w:val="left"/>
      <w:lvlText w:val="(%1)"/>
      <w:numFmt w:val="decimal"/>
      <w:start w:val="1"/>
    </w:lvl>
  </w:abstractNum>
  <w:abstractNum w:abstractNumId="9">
    <w:nsid w:val="563A1A5C"/>
    <w:multiLevelType w:val="hybridMultilevel"/>
    <w:lvl w:ilvl="0">
      <w:lvlJc w:val="left"/>
      <w:lvlText w:val="%1."/>
      <w:numFmt w:val="decimal"/>
      <w:start w:val="1"/>
    </w:lvl>
  </w:abstractNum>
  <w:abstractNum w:abstractNumId="10">
    <w:nsid w:val="2973F88F"/>
    <w:multiLevelType w:val="hybridMultilevel"/>
    <w:lvl w:ilvl="0">
      <w:lvlJc w:val="left"/>
      <w:lvlText w:val="%1."/>
      <w:numFmt w:val="decimal"/>
      <w:start w:val="1"/>
    </w:lvl>
  </w:abstractNum>
  <w:abstractNum w:abstractNumId="11">
    <w:nsid w:val="2C70EDAE"/>
    <w:multiLevelType w:val="hybridMultilevel"/>
    <w:lvl w:ilvl="0">
      <w:lvlJc w:val="left"/>
      <w:lvlText w:val="%1."/>
      <w:numFmt w:val="decimal"/>
      <w:start w:val="6"/>
    </w:lvl>
  </w:abstractNum>
  <w:abstractNum w:abstractNumId="12">
    <w:nsid w:val="44296C6D"/>
    <w:multiLevelType w:val="hybridMultilevel"/>
    <w:lvl w:ilvl="0">
      <w:lvlJc w:val="left"/>
      <w:lvlText w:val="(%1)"/>
      <w:numFmt w:val="decimal"/>
      <w:start w:val="1"/>
    </w:lvl>
  </w:abstractNum>
  <w:abstractNum w:abstractNumId="13">
    <w:nsid w:val="3A86D445"/>
    <w:multiLevelType w:val="hybridMultilevel"/>
    <w:lvl w:ilvl="0">
      <w:lvlJc w:val="left"/>
      <w:lvlText w:val="(%1)"/>
      <w:numFmt w:val="decimal"/>
      <w:start w:val="2"/>
    </w:lvl>
  </w:abstractNum>
  <w:abstractNum w:abstractNumId="14">
    <w:nsid w:val="51F79246"/>
    <w:multiLevelType w:val="hybridMultilevel"/>
    <w:lvl w:ilvl="0">
      <w:lvlJc w:val="left"/>
      <w:lvlText w:val="(%1)"/>
      <w:numFmt w:val="decimal"/>
      <w:start w:val="1"/>
    </w:lvl>
    <w:lvl w:ilvl="1">
      <w:lvlJc w:val="left"/>
      <w:lvlText w:val="(%2)"/>
      <w:numFmt w:val="lowerLetter"/>
      <w:start w:val="1"/>
    </w:lvl>
  </w:abstractNum>
  <w:abstractNum w:abstractNumId="15">
    <w:nsid w:val="5BC9A827"/>
    <w:multiLevelType w:val="hybridMultilevel"/>
    <w:lvl w:ilvl="0">
      <w:lvlJc w:val="left"/>
      <w:lvlText w:val="%1"/>
      <w:numFmt w:val="decimal"/>
      <w:start w:val="1"/>
    </w:lvl>
    <w:lvl w:ilvl="1">
      <w:lvlJc w:val="left"/>
      <w:lvlText w:val="(%2)"/>
      <w:numFmt w:val="lowerLetter"/>
      <w:start w:val="4"/>
    </w:lvl>
  </w:abstractNum>
  <w:abstractNum w:abstractNumId="16">
    <w:nsid w:val="3AE37D86"/>
    <w:multiLevelType w:val="hybridMultilevel"/>
    <w:lvl w:ilvl="0">
      <w:lvlJc w:val="left"/>
      <w:lvlText w:val="(%1)"/>
      <w:numFmt w:val="decimal"/>
      <w:start w:val="3"/>
    </w:lvl>
    <w:lvl w:ilvl="1">
      <w:lvlJc w:val="left"/>
      <w:lvlText w:val="%2"/>
      <w:numFmt w:val="lowerLetter"/>
      <w:start w:val="1"/>
    </w:lvl>
  </w:abstractNum>
  <w:abstractNum w:abstractNumId="17">
    <w:nsid w:val="45440FE5"/>
    <w:multiLevelType w:val="hybridMultilevel"/>
    <w:lvl w:ilvl="0">
      <w:lvlJc w:val="left"/>
      <w:lvlText w:val="(%1)"/>
      <w:numFmt w:val="lowerLetter"/>
      <w:start w:val="25"/>
    </w:lvl>
    <w:lvl w:ilvl="1">
      <w:lvlJc w:val="left"/>
      <w:lvlText w:val="(%2)"/>
      <w:numFmt w:val="decimal"/>
      <w:start w:val="1"/>
    </w:lvl>
  </w:abstractNum>
  <w:abstractNum w:abstractNumId="18">
    <w:nsid w:val="BF783F"/>
    <w:multiLevelType w:val="hybridMultilevel"/>
    <w:lvl w:ilvl="0">
      <w:lvlJc w:val="left"/>
      <w:lvlText w:val="(%1)"/>
      <w:numFmt w:val="decimal"/>
      <w:start w:val="2"/>
    </w:lvl>
  </w:abstractNum>
  <w:abstractNum w:abstractNumId="19">
    <w:nsid w:val="22643EA9"/>
    <w:multiLevelType w:val="hybridMultilevel"/>
    <w:lvl w:ilvl="0">
      <w:lvlJc w:val="left"/>
      <w:lvlText w:val="(%1)"/>
      <w:numFmt w:val="decimal"/>
      <w:start w:val="1"/>
    </w:lvl>
  </w:abstractNum>
  <w:abstractNum w:abstractNumId="20">
    <w:nsid w:val="1887578D"/>
    <w:multiLevelType w:val="hybridMultilevel"/>
    <w:lvl w:ilvl="0">
      <w:lvlJc w:val="left"/>
      <w:lvlText w:val="(%1)"/>
      <w:numFmt w:val="decimal"/>
      <w:start w:val="1"/>
    </w:lvl>
  </w:abstractNum>
  <w:abstractNum w:abstractNumId="21">
    <w:nsid w:val="58C05B8A"/>
    <w:multiLevelType w:val="hybridMultilevel"/>
    <w:lvl w:ilvl="0">
      <w:lvlJc w:val="left"/>
      <w:lvlText w:val="(%1)"/>
      <w:numFmt w:val="decimal"/>
      <w:start w:val="5"/>
    </w:lvl>
  </w:abstractNum>
  <w:abstractNum w:abstractNumId="22">
    <w:nsid w:val="38D82E71"/>
    <w:multiLevelType w:val="hybridMultilevel"/>
    <w:lvl w:ilvl="0">
      <w:lvlJc w:val="left"/>
      <w:lvlText w:val="(%1)"/>
      <w:numFmt w:val="decimal"/>
      <w:start w:val="1"/>
    </w:lvl>
  </w:abstractNum>
  <w:abstractNum w:abstractNumId="23">
    <w:nsid w:val="1E41098A"/>
    <w:multiLevelType w:val="hybridMultilevel"/>
    <w:lvl w:ilvl="0">
      <w:lvlJc w:val="left"/>
      <w:lvlText w:val="(%1)"/>
      <w:numFmt w:val="decimal"/>
      <w:start w:val="7"/>
    </w:lvl>
  </w:abstractNum>
  <w:abstractNum w:abstractNumId="24">
    <w:nsid w:val="5398582C"/>
    <w:multiLevelType w:val="hybridMultilevel"/>
    <w:lvl w:ilvl="0">
      <w:lvlJc w:val="left"/>
      <w:lvlText w:val="(%1)"/>
      <w:numFmt w:val="decimal"/>
      <w:start w:val="1"/>
    </w:lvl>
  </w:abstractNum>
  <w:abstractNum w:abstractNumId="25">
    <w:nsid w:val="1C0D4475"/>
    <w:multiLevelType w:val="hybridMultilevel"/>
    <w:lvl w:ilvl="0">
      <w:lvlJc w:val="left"/>
      <w:lvlText w:val="(%1)"/>
      <w:numFmt w:val="decimal"/>
      <w:start w:val="9"/>
    </w:lvl>
  </w:abstractNum>
  <w:abstractNum w:abstractNumId="26">
    <w:nsid w:val="2CB6A6A4"/>
    <w:multiLevelType w:val="hybridMultilevel"/>
    <w:lvl w:ilvl="0">
      <w:lvlJc w:val="left"/>
      <w:lvlText w:val="(%1)"/>
      <w:numFmt w:val="decimal"/>
      <w:start w:val="1"/>
    </w:lvl>
  </w:abstractNum>
  <w:abstractNum w:abstractNumId="27">
    <w:nsid w:val="41D646BC"/>
    <w:multiLevelType w:val="hybridMultilevel"/>
    <w:lvl w:ilvl="0">
      <w:lvlJc w:val="left"/>
      <w:lvlText w:val="(%1)"/>
      <w:numFmt w:val="decimal"/>
      <w:start w:val="1"/>
    </w:lvl>
  </w:abstractNum>
  <w:abstractNum w:abstractNumId="28">
    <w:nsid w:val="3694A76A"/>
    <w:multiLevelType w:val="hybridMultilevel"/>
    <w:lvl w:ilvl="0">
      <w:lvlJc w:val="left"/>
      <w:lvlText w:val="(%1)"/>
      <w:numFmt w:val="decimal"/>
      <w:start w:val="4"/>
    </w:lvl>
  </w:abstractNum>
  <w:abstractNum w:abstractNumId="29">
    <w:nsid w:val="2BF876EE"/>
    <w:multiLevelType w:val="hybridMultilevel"/>
    <w:lvl w:ilvl="0">
      <w:lvlJc w:val="left"/>
      <w:lvlText w:val="(%1)"/>
      <w:numFmt w:val="decimal"/>
      <w:start w:val="1"/>
    </w:lvl>
  </w:abstractNum>
  <w:abstractNum w:abstractNumId="30">
    <w:nsid w:val="675ADBA"/>
    <w:multiLevelType w:val="hybridMultilevel"/>
    <w:lvl w:ilvl="0">
      <w:lvlJc w:val="left"/>
      <w:lvlText w:val="(%1)"/>
      <w:numFmt w:val="decimal"/>
      <w:start w:val="1"/>
    </w:lvl>
  </w:abstractNum>
  <w:abstractNum w:abstractNumId="31">
    <w:nsid w:val="C12AC7F"/>
    <w:multiLevelType w:val="hybridMultilevel"/>
    <w:lvl w:ilvl="0">
      <w:lvlJc w:val="left"/>
      <w:lvlText w:val="(%1)"/>
      <w:numFmt w:val="decimal"/>
      <w:start w:val="1"/>
    </w:lvl>
  </w:abstractNum>
  <w:abstractNum w:abstractNumId="32">
    <w:nsid w:val="6798F039"/>
    <w:multiLevelType w:val="hybridMultilevel"/>
    <w:lvl w:ilvl="0">
      <w:lvlJc w:val="left"/>
      <w:lvlText w:val="(%1)"/>
      <w:numFmt w:val="decimal"/>
      <w:start w:val="14"/>
    </w:lvl>
  </w:abstractNum>
  <w:abstractNum w:abstractNumId="33">
    <w:nsid w:val="70837C02"/>
    <w:multiLevelType w:val="hybridMultilevel"/>
    <w:lvl w:ilvl="0">
      <w:lvlJc w:val="left"/>
      <w:lvlText w:val="(%1)"/>
      <w:numFmt w:val="decimal"/>
      <w:start w:val="25"/>
    </w:lvl>
  </w:abstractNum>
  <w:abstractNum w:abstractNumId="34">
    <w:nsid w:val="7E4A5715"/>
    <w:multiLevelType w:val="hybridMultilevel"/>
    <w:lvl w:ilvl="0">
      <w:lvlJc w:val="left"/>
      <w:lvlText w:val="(%1)"/>
      <w:numFmt w:val="lowerLetter"/>
      <w:start w:val="1"/>
    </w:lvl>
  </w:abstractNum>
  <w:abstractNum w:abstractNumId="35">
    <w:nsid w:val="42B8AC67"/>
    <w:multiLevelType w:val="hybridMultilevel"/>
    <w:lvl w:ilvl="0">
      <w:lvlJc w:val="left"/>
      <w:lvlText w:val="(%1)"/>
      <w:numFmt w:val="lowerLetter"/>
      <w:start w:val="3"/>
    </w:lvl>
  </w:abstractNum>
  <w:abstractNum w:abstractNumId="36">
    <w:nsid w:val="246348EA"/>
    <w:multiLevelType w:val="hybridMultilevel"/>
    <w:lvl w:ilvl="0">
      <w:lvlJc w:val="left"/>
      <w:lvlText w:val="(%1)"/>
      <w:numFmt w:val="lowerLetter"/>
      <w:start w:val="24"/>
    </w:lvl>
  </w:abstractNum>
  <w:abstractNum w:abstractNumId="37">
    <w:nsid w:val="170EB52B"/>
    <w:multiLevelType w:val="hybridMultilevel"/>
    <w:lvl w:ilvl="0">
      <w:lvlJc w:val="left"/>
      <w:lvlText w:val="(%1)"/>
      <w:numFmt w:val="decimal"/>
      <w:start w:val="1"/>
    </w:lvl>
  </w:abstractNum>
  <w:abstractNum w:abstractNumId="38">
    <w:nsid w:val="2DFBCB8C"/>
    <w:multiLevelType w:val="hybridMultilevel"/>
    <w:lvl w:ilvl="0">
      <w:lvlJc w:val="left"/>
      <w:lvlText w:val="%1"/>
      <w:numFmt w:val="decimal"/>
      <w:start w:val="1"/>
    </w:lvl>
    <w:lvl w:ilvl="1">
      <w:lvlJc w:val="left"/>
      <w:lvlText w:val="(%2)"/>
      <w:numFmt w:val="decimal"/>
      <w:start w:val="3"/>
    </w:lvl>
  </w:abstractNum>
  <w:abstractNum w:abstractNumId="39">
    <w:nsid w:val="3830D6B6"/>
    <w:multiLevelType w:val="hybridMultilevel"/>
    <w:lvl w:ilvl="0">
      <w:lvlJc w:val="left"/>
      <w:lvlText w:val="(%1)"/>
      <w:numFmt w:val="decimal"/>
      <w:start w:val="4"/>
    </w:lvl>
    <w:lvl w:ilvl="1">
      <w:lvlJc w:val="left"/>
      <w:lvlText w:val="%2"/>
      <w:numFmt w:val="decimal"/>
      <w:start w:val="1"/>
    </w:lvl>
  </w:abstractNum>
  <w:abstractNum w:abstractNumId="40">
    <w:nsid w:val="6D48CF87"/>
    <w:multiLevelType w:val="hybridMultilevel"/>
    <w:lvl w:ilvl="0">
      <w:lvlJc w:val="left"/>
      <w:lvlText w:val="(%1)"/>
      <w:numFmt w:val="decimal"/>
      <w:start w:val="1"/>
    </w:lvl>
    <w:lvl w:ilvl="1">
      <w:lvlJc w:val="left"/>
      <w:lvlText w:val="(%2)"/>
      <w:numFmt w:val="lowerLetter"/>
      <w:start w:val="1"/>
    </w:lvl>
  </w:abstractNum>
  <w:abstractNum w:abstractNumId="41">
    <w:nsid w:val="576FC41B"/>
    <w:multiLevelType w:val="hybridMultilevel"/>
    <w:lvl w:ilvl="0">
      <w:lvlJc w:val="left"/>
      <w:lvlText w:val="(%1)"/>
      <w:numFmt w:val="decimal"/>
      <w:start w:val="2"/>
    </w:lvl>
  </w:abstractNum>
  <w:abstractNum w:abstractNumId="42">
    <w:nsid w:val="64A1C464"/>
    <w:multiLevelType w:val="hybridMultilevel"/>
    <w:lvl w:ilvl="0">
      <w:lvlJc w:val="left"/>
      <w:lvlText w:val="(%1)"/>
      <w:numFmt w:val="decimal"/>
      <w:start w:val="1"/>
    </w:lvl>
  </w:abstractNum>
  <w:abstractNum w:abstractNumId="43">
    <w:nsid w:val="31723BF5"/>
    <w:multiLevelType w:val="hybridMultilevel"/>
    <w:lvl w:ilvl="0">
      <w:lvlJc w:val="left"/>
      <w:lvlText w:val="(%1)"/>
      <w:numFmt w:val="decimal"/>
      <w:start w:val="3"/>
    </w:lvl>
  </w:abstractNum>
  <w:abstractNum w:abstractNumId="44">
    <w:nsid w:val="11F69861"/>
    <w:multiLevelType w:val="hybridMultilevel"/>
    <w:lvl w:ilvl="0">
      <w:lvlJc w:val="left"/>
      <w:lvlText w:val="(%1)"/>
      <w:numFmt w:val="decimal"/>
      <w:start w:val="1"/>
    </w:lvl>
  </w:abstractNum>
  <w:abstractNum w:abstractNumId="45">
    <w:nsid w:val="369956AB"/>
    <w:multiLevelType w:val="hybridMultilevel"/>
    <w:lvl w:ilvl="0">
      <w:lvlJc w:val="left"/>
      <w:lvlText w:val="(%1)"/>
      <w:numFmt w:val="lowerLetter"/>
      <w:start w:val="1"/>
    </w:lvl>
  </w:abstractNum>
  <w:abstractNum w:abstractNumId="46">
    <w:nsid w:val="D3BE41C"/>
    <w:multiLevelType w:val="hybridMultilevel"/>
    <w:lvl w:ilvl="0">
      <w:lvlJc w:val="left"/>
      <w:lvlText w:val="(%1)"/>
      <w:numFmt w:val="lowerLetter"/>
      <w:start w:val="1"/>
    </w:lvl>
  </w:abstractNum>
  <w:abstractNum w:abstractNumId="47">
    <w:nsid w:val="4CDA15E7"/>
    <w:multiLevelType w:val="hybridMultilevel"/>
    <w:lvl w:ilvl="0">
      <w:lvlJc w:val="left"/>
      <w:lvlText w:val="(%1)"/>
      <w:numFmt w:val="lowerLetter"/>
      <w:start w:val="1"/>
    </w:lvl>
  </w:abstractNum>
  <w:abstractNum w:abstractNumId="48">
    <w:nsid w:val="7BDD6690"/>
    <w:multiLevelType w:val="hybridMultilevel"/>
    <w:lvl w:ilvl="0">
      <w:lvlJc w:val="left"/>
      <w:lvlText w:val="(%1)"/>
      <w:numFmt w:val="lowerRoman"/>
      <w:start w:val="2"/>
    </w:lvl>
  </w:abstractNum>
  <w:abstractNum w:abstractNumId="49">
    <w:nsid w:val="DFB5C5B"/>
    <w:multiLevelType w:val="hybridMultilevel"/>
    <w:lvl w:ilvl="0">
      <w:lvlJc w:val="left"/>
      <w:lvlText w:val="(%1)"/>
      <w:numFmt w:val="upperLetter"/>
      <w:start w:val="5"/>
    </w:lvl>
  </w:abstractNum>
  <w:abstractNum w:abstractNumId="50">
    <w:nsid w:val="6F3E5490"/>
    <w:multiLevelType w:val="hybridMultilevel"/>
    <w:lvl w:ilvl="0">
      <w:lvlJc w:val="left"/>
      <w:lvlText w:val="(%1)"/>
      <w:numFmt w:val="decimal"/>
      <w:start w:val="1"/>
    </w:lvl>
  </w:abstractNum>
  <w:abstractNum w:abstractNumId="51">
    <w:nsid w:val="1464BE1E"/>
    <w:multiLevelType w:val="hybridMultilevel"/>
    <w:lvl w:ilvl="0">
      <w:lvlJc w:val="left"/>
      <w:lvlText w:val="(%1)"/>
      <w:numFmt w:val="decimal"/>
      <w:start w:val="4"/>
    </w:lvl>
  </w:abstractNum>
  <w:abstractNum w:abstractNumId="52">
    <w:nsid w:val="66BBB7E5"/>
    <w:multiLevelType w:val="hybridMultilevel"/>
    <w:lvl w:ilvl="0">
      <w:lvlJc w:val="left"/>
      <w:lvlText w:val="(%1)"/>
      <w:numFmt w:val="lowerRoman"/>
      <w:start w:val="1"/>
    </w:lvl>
  </w:abstractNum>
  <w:abstractNum w:abstractNumId="53">
    <w:nsid w:val="28168302"/>
    <w:multiLevelType w:val="hybridMultilevel"/>
    <w:lvl w:ilvl="0">
      <w:lvlJc w:val="left"/>
      <w:lvlText w:val="%1"/>
      <w:numFmt w:val="lowerRoman"/>
      <w:start w:val="1"/>
    </w:lvl>
    <w:lvl w:ilvl="1">
      <w:lvlJc w:val="left"/>
      <w:lvlText w:val="(%2)"/>
      <w:numFmt w:val="lowerRoman"/>
      <w:start w:val="2"/>
    </w:lvl>
  </w:abstractNum>
  <w:abstractNum w:abstractNumId="54">
    <w:nsid w:val="32A5C7A8"/>
    <w:multiLevelType w:val="hybridMultilevel"/>
    <w:lvl w:ilvl="0">
      <w:lvlJc w:val="left"/>
      <w:lvlText w:val="(%1)"/>
      <w:numFmt w:val="lowerRoman"/>
      <w:start w:val="10"/>
    </w:lvl>
    <w:lvl w:ilvl="1">
      <w:lvlJc w:val="left"/>
      <w:lvlText w:val="(%2)"/>
      <w:numFmt w:val="lowerRoman"/>
      <w:start w:val="3"/>
    </w:lvl>
  </w:abstractNum>
  <w:abstractNum w:abstractNumId="55">
    <w:nsid w:val="3A541011"/>
    <w:multiLevelType w:val="hybridMultilevel"/>
    <w:lvl w:ilvl="0">
      <w:lvlJc w:val="left"/>
      <w:lvlText w:val="(%1)"/>
      <w:numFmt w:val="lowerLetter"/>
      <w:start w:val="1"/>
    </w:lvl>
    <w:lvl w:ilvl="1">
      <w:lvlJc w:val="left"/>
      <w:lvlText w:val="(%2)"/>
      <w:numFmt w:val="lowerLetter"/>
      <w:start w:val="9"/>
    </w:lvl>
  </w:abstractNum>
  <w:abstractNum w:abstractNumId="56">
    <w:nsid w:val="4423C777"/>
    <w:multiLevelType w:val="hybridMultilevel"/>
    <w:lvl w:ilvl="0">
      <w:lvlJc w:val="left"/>
      <w:lvlText w:val="%1"/>
      <w:numFmt w:val="lowerLetter"/>
      <w:start w:val="1"/>
    </w:lvl>
    <w:lvl w:ilvl="1">
      <w:lvlJc w:val="left"/>
      <w:lvlText w:val="(%2)"/>
      <w:numFmt w:val="lowerRoman"/>
      <w:start w:val="2"/>
    </w:lvl>
  </w:abstractNum>
  <w:abstractNum w:abstractNumId="57">
    <w:nsid w:val="5F5C6E4D"/>
    <w:multiLevelType w:val="hybridMultilevel"/>
    <w:lvl w:ilvl="0">
      <w:lvlJc w:val="left"/>
      <w:lvlText w:val="(%1)"/>
      <w:numFmt w:val="lowerLetter"/>
      <w:start w:val="3"/>
    </w:lvl>
    <w:lvl w:ilvl="1">
      <w:lvlJc w:val="left"/>
      <w:lvlText w:val="(%2)"/>
      <w:numFmt w:val="lowerRoman"/>
      <w:start w:val="1"/>
    </w:lvl>
  </w:abstractNum>
  <w:abstractNum w:abstractNumId="58">
    <w:nsid w:val="7C2A56CD"/>
    <w:multiLevelType w:val="hybridMultilevel"/>
    <w:lvl w:ilvl="0">
      <w:lvlJc w:val="left"/>
      <w:lvlText w:val="(%1)"/>
      <w:numFmt w:val="upperLetter"/>
      <w:start w:val="1"/>
    </w:lvl>
  </w:abstractNum>
  <w:abstractNum w:abstractNumId="59">
    <w:nsid w:val="7AB86EE1"/>
    <w:multiLevelType w:val="hybridMultilevel"/>
    <w:lvl w:ilvl="0">
      <w:lvlJc w:val="left"/>
      <w:lvlText w:val="%1"/>
      <w:numFmt w:val="lowerLetter"/>
      <w:start w:val="1"/>
    </w:lvl>
    <w:lvl w:ilvl="1">
      <w:lvlJc w:val="left"/>
      <w:lvlText w:val="(%2)"/>
      <w:numFmt w:val="lowerRoman"/>
      <w:start w:val="4"/>
    </w:lvl>
  </w:abstractNum>
  <w:abstractNum w:abstractNumId="60">
    <w:nsid w:val="B54E53B"/>
    <w:multiLevelType w:val="hybridMultilevel"/>
    <w:lvl w:ilvl="0">
      <w:lvlJc w:val="left"/>
      <w:lvlText w:val="(%1)"/>
      <w:numFmt w:val="lowerLetter"/>
      <w:start w:val="6"/>
    </w:lvl>
    <w:lvl w:ilvl="1">
      <w:lvlJc w:val="left"/>
      <w:lvlText w:val="%2"/>
      <w:numFmt w:val="lowerRoman"/>
      <w:start w:val="1"/>
    </w:lvl>
  </w:abstractNum>
  <w:abstractNum w:abstractNumId="61">
    <w:nsid w:val="2A00487"/>
    <w:multiLevelType w:val="hybridMultilevel"/>
    <w:lvl w:ilvl="0">
      <w:lvlJc w:val="left"/>
      <w:lvlText w:val="(%1)"/>
      <w:numFmt w:val="lowerLetter"/>
      <w:start w:val="1"/>
    </w:lvl>
  </w:abstractNum>
  <w:abstractNum w:abstractNumId="62">
    <w:nsid w:val="6CB1B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72EDD574"/>
    <w:multiLevelType w:val="hybridMultilevel"/>
    <w:lvl w:ilvl="0">
      <w:lvlJc w:val="left"/>
      <w:lvlText w:val="(%1)"/>
      <w:numFmt w:val="decimal"/>
      <w:start w:val="2"/>
    </w:lvl>
  </w:abstractNum>
  <w:abstractNum w:abstractNumId="64">
    <w:nsid w:val="7323808A"/>
    <w:multiLevelType w:val="hybridMultilevel"/>
    <w:lvl w:ilvl="0">
      <w:lvlJc w:val="left"/>
      <w:lvlText w:val="(%1)"/>
      <w:numFmt w:val="decimal"/>
      <w:start w:val="3"/>
    </w:lvl>
  </w:abstractNum>
  <w:abstractNum w:abstractNumId="65">
    <w:nsid w:val="5157276"/>
    <w:multiLevelType w:val="hybridMultilevel"/>
    <w:lvl w:ilvl="0">
      <w:lvlJc w:val="left"/>
      <w:lvlText w:val="(%1)"/>
      <w:numFmt w:val="decimal"/>
      <w:start w:val="1"/>
    </w:lvl>
  </w:abstractNum>
  <w:abstractNum w:abstractNumId="66">
    <w:nsid w:val="35A681DB"/>
    <w:multiLevelType w:val="hybridMultilevel"/>
    <w:lvl w:ilvl="0">
      <w:lvlJc w:val="left"/>
      <w:lvlText w:val="(%1)"/>
      <w:numFmt w:val="decimal"/>
      <w:start w:val="4"/>
    </w:lvl>
    <w:lvl w:ilvl="1">
      <w:lvlJc w:val="left"/>
      <w:lvlText w:val="(%2)"/>
      <w:numFmt w:val="lowerLetter"/>
      <w:start w:val="1"/>
    </w:lvl>
  </w:abstractNum>
  <w:abstractNum w:abstractNumId="67">
    <w:nsid w:val="1786C974"/>
    <w:multiLevelType w:val="hybridMultilevel"/>
    <w:lvl w:ilvl="0">
      <w:lvlJc w:val="left"/>
      <w:lvlText w:val="(%1)"/>
      <w:numFmt w:val="decimal"/>
      <w:start w:val="6"/>
    </w:lvl>
  </w:abstractNum>
  <w:abstractNum w:abstractNumId="68">
    <w:nsid w:val="1C2427A1"/>
    <w:multiLevelType w:val="hybridMultilevel"/>
    <w:lvl w:ilvl="0">
      <w:lvlJc w:val="left"/>
      <w:lvlText w:val="(%1)"/>
      <w:numFmt w:val="decimal"/>
      <w:start w:val="8"/>
    </w:lvl>
  </w:abstractNum>
  <w:abstractNum w:abstractNumId="69">
    <w:nsid w:val="63A24D68"/>
    <w:multiLevelType w:val="hybridMultilevel"/>
    <w:lvl w:ilvl="0">
      <w:lvlJc w:val="left"/>
      <w:lvlText w:val="(%1)"/>
      <w:numFmt w:val="lowerRoman"/>
      <w:start w:val="1"/>
    </w:lvl>
    <w:lvl w:ilvl="1">
      <w:lvlJc w:val="left"/>
      <w:lvlText w:val="(%2)"/>
      <w:numFmt w:val="upperLetter"/>
      <w:start w:val="1"/>
    </w:lvl>
  </w:abstractNum>
  <w:abstractNum w:abstractNumId="70">
    <w:nsid w:val="4FB7A02A"/>
    <w:multiLevelType w:val="hybridMultilevel"/>
    <w:lvl w:ilvl="0">
      <w:lvlJc w:val="left"/>
      <w:lvlText w:val="(%1)"/>
      <w:numFmt w:val="decimal"/>
      <w:start w:val="1"/>
    </w:lvl>
  </w:abstractNum>
  <w:abstractNum w:abstractNumId="71">
    <w:nsid w:val="96CF728"/>
    <w:multiLevelType w:val="hybridMultilevel"/>
    <w:lvl w:ilvl="0">
      <w:lvlJc w:val="left"/>
      <w:lvlText w:val="(%1)"/>
      <w:numFmt w:val="lowerLetter"/>
      <w:start w:val="1"/>
    </w:lvl>
  </w:abstractNum>
  <w:abstractNum w:abstractNumId="72">
    <w:nsid w:val="3B121183"/>
    <w:multiLevelType w:val="hybridMultilevel"/>
    <w:lvl w:ilvl="0">
      <w:lvlJc w:val="left"/>
      <w:lvlText w:val="(%1)"/>
      <w:numFmt w:val="lowerLetter"/>
      <w:start w:val="2"/>
    </w:lvl>
  </w:abstractNum>
  <w:abstractNum w:abstractNumId="73">
    <w:nsid w:val="3459648F"/>
    <w:multiLevelType w:val="hybridMultilevel"/>
    <w:lvl w:ilvl="0">
      <w:lvlJc w:val="left"/>
      <w:lvlText w:val="(%1)"/>
      <w:numFmt w:val="lowerLetter"/>
      <w:start w:val="1"/>
    </w:lvl>
  </w:abstractNum>
  <w:abstractNum w:abstractNumId="74">
    <w:nsid w:val="3ADF331D"/>
    <w:multiLevelType w:val="hybridMultilevel"/>
    <w:lvl w:ilvl="0">
      <w:lvlJc w:val="left"/>
      <w:lvlText w:val="(%1)"/>
      <w:numFmt w:val="decimal"/>
      <w:start w:val="1"/>
    </w:lvl>
  </w:abstractNum>
  <w:abstractNum w:abstractNumId="75">
    <w:nsid w:val="4D08A9E4"/>
    <w:multiLevelType w:val="hybridMultilevel"/>
    <w:lvl w:ilvl="0">
      <w:lvlJc w:val="left"/>
      <w:lvlText w:val="(%1)"/>
      <w:numFmt w:val="decimal"/>
      <w:start w:val="8"/>
    </w:lvl>
  </w:abstractNum>
  <w:abstractNum w:abstractNumId="76">
    <w:nsid w:val="6AF2BB3A"/>
    <w:multiLevelType w:val="hybridMultilevel"/>
    <w:lvl w:ilvl="0">
      <w:lvlJc w:val="left"/>
      <w:lvlText w:val="(%1)"/>
      <w:numFmt w:val="lowerLetter"/>
      <w:start w:val="1"/>
    </w:lvl>
  </w:abstractNum>
  <w:abstractNum w:abstractNumId="77">
    <w:nsid w:val="481B1739"/>
    <w:multiLevelType w:val="hybridMultilevel"/>
    <w:lvl w:ilvl="0">
      <w:lvlJc w:val="left"/>
      <w:lvlText w:val="(%1)"/>
      <w:numFmt w:val="decimal"/>
      <w:start w:val="7"/>
    </w:lvl>
  </w:abstractNum>
  <w:abstractNum w:abstractNumId="78">
    <w:nsid w:val="19E2BFCC"/>
    <w:multiLevelType w:val="hybridMultilevel"/>
    <w:lvl w:ilvl="0">
      <w:lvlJc w:val="left"/>
      <w:lvlText w:val="(%1)"/>
      <w:numFmt w:val="decimal"/>
      <w:start w:val="1"/>
    </w:lvl>
  </w:abstractNum>
  <w:abstractNum w:abstractNumId="79">
    <w:nsid w:val="66D021CA"/>
    <w:multiLevelType w:val="hybridMultilevel"/>
    <w:lvl w:ilvl="0">
      <w:lvlJc w:val="left"/>
      <w:lvlText w:val="(%1)"/>
      <w:numFmt w:val="decimal"/>
      <w:start w:val="1"/>
    </w:lvl>
  </w:abstractNum>
  <w:abstractNum w:abstractNumId="80">
    <w:nsid w:val="56167394"/>
    <w:multiLevelType w:val="hybridMultilevel"/>
    <w:lvl w:ilvl="0">
      <w:lvlJc w:val="left"/>
      <w:lvlText w:val="%1"/>
      <w:numFmt w:val="lowerLetter"/>
      <w:start w:val="1"/>
    </w:lvl>
    <w:lvl w:ilvl="1">
      <w:lvlJc w:val="left"/>
      <w:lvlText w:val="(%2)"/>
      <w:numFmt w:val="decimal"/>
      <w:start w:val="1"/>
    </w:lvl>
  </w:abstractNum>
  <w:abstractNum w:abstractNumId="81">
    <w:nsid w:val="921145C"/>
    <w:multiLevelType w:val="hybridMultilevel"/>
    <w:lvl w:ilvl="0">
      <w:lvlJc w:val="left"/>
      <w:lvlText w:val="(%1)"/>
      <w:numFmt w:val="lowerLetter"/>
      <w:start w:val="2"/>
    </w:lvl>
    <w:lvl w:ilvl="1">
      <w:lvlJc w:val="left"/>
      <w:lvlText w:val="%2"/>
      <w:numFmt w:val="decimal"/>
      <w:start w:val="1"/>
    </w:lvl>
  </w:abstractNum>
  <w:abstractNum w:abstractNumId="82">
    <w:nsid w:val="7B34DFE8"/>
    <w:multiLevelType w:val="hybridMultilevel"/>
    <w:lvl w:ilvl="0">
      <w:lvlJc w:val="left"/>
      <w:lvlText w:val="(%1)"/>
      <w:numFmt w:val="decimal"/>
      <w:start w:val="1"/>
    </w:lvl>
  </w:abstractNum>
  <w:abstractNum w:abstractNumId="83">
    <w:nsid w:val="3CD22B79"/>
    <w:multiLevelType w:val="hybridMultilevel"/>
    <w:lvl w:ilvl="0">
      <w:lvlJc w:val="left"/>
      <w:lvlText w:val="(%1)"/>
      <w:numFmt w:val="decimal"/>
      <w:start w:val="2"/>
    </w:lvl>
  </w:abstractNum>
  <w:abstractNum w:abstractNumId="84">
    <w:nsid w:val="3137975E"/>
    <w:multiLevelType w:val="hybridMultilevel"/>
    <w:lvl w:ilvl="0">
      <w:lvlJc w:val="left"/>
      <w:lvlText w:val="(%1)"/>
      <w:numFmt w:val="decimal"/>
      <w:start w:val="1"/>
    </w:lvl>
  </w:abstractNum>
  <w:abstractNum w:abstractNumId="85">
    <w:nsid w:val="2DDAA791"/>
    <w:multiLevelType w:val="hybridMultilevel"/>
    <w:lvl w:ilvl="0">
      <w:lvlJc w:val="left"/>
      <w:lvlText w:val="(%1)"/>
      <w:numFmt w:val="decimal"/>
      <w:start w:val="2"/>
    </w:lvl>
  </w:abstractNum>
  <w:abstractNum w:abstractNumId="86">
    <w:nsid w:val="77263B8A"/>
    <w:multiLevelType w:val="hybridMultilevel"/>
    <w:lvl w:ilvl="0">
      <w:lvlJc w:val="left"/>
      <w:lvlText w:val="(%1)"/>
      <w:numFmt w:val="decimal"/>
      <w:start w:val="1"/>
    </w:lvl>
  </w:abstractNum>
  <w:abstractNum w:abstractNumId="87">
    <w:nsid w:val="755B5ED6"/>
    <w:multiLevelType w:val="hybridMultilevel"/>
    <w:lvl w:ilvl="0">
      <w:lvlJc w:val="left"/>
      <w:lvlText w:val="(%1)"/>
      <w:numFmt w:val="lowerLetter"/>
      <w:start w:val="1"/>
    </w:lvl>
  </w:abstractNum>
  <w:abstractNum w:abstractNumId="88">
    <w:nsid w:val="D3715DE"/>
    <w:multiLevelType w:val="hybridMultilevel"/>
    <w:lvl w:ilvl="0">
      <w:lvlJc w:val="left"/>
      <w:lvlText w:val="(%1)"/>
      <w:numFmt w:val="decimal"/>
      <w:start w:val="1"/>
    </w:lvl>
  </w:abstractNum>
  <w:abstractNum w:abstractNumId="89">
    <w:nsid w:val="73509257"/>
    <w:multiLevelType w:val="hybridMultilevel"/>
    <w:lvl w:ilvl="0">
      <w:lvlJc w:val="left"/>
      <w:lvlText w:val="(%1)"/>
      <w:numFmt w:val="decimal"/>
      <w:start w:val="2"/>
    </w:lvl>
  </w:abstractNum>
  <w:abstractNum w:abstractNumId="90">
    <w:nsid w:val="7013CDB7"/>
    <w:multiLevelType w:val="hybridMultilevel"/>
    <w:lvl w:ilvl="0">
      <w:lvlJc w:val="left"/>
      <w:lvlText w:val="(%1)"/>
      <w:numFmt w:val="decimal"/>
      <w:start w:val="1"/>
    </w:lvl>
  </w:abstractNum>
  <w:abstractNum w:abstractNumId="91">
    <w:nsid w:val="188BFB19"/>
    <w:multiLevelType w:val="hybridMultilevel"/>
    <w:lvl w:ilvl="0">
      <w:lvlJc w:val="left"/>
      <w:lvlText w:val="(%1)"/>
      <w:numFmt w:val="decimal"/>
      <w:start w:val="3"/>
    </w:lvl>
    <w:lvl w:ilvl="1">
      <w:lvlJc w:val="left"/>
      <w:lvlText w:val="(%2)"/>
      <w:numFmt w:val="lowerLetter"/>
      <w:start w:val="1"/>
    </w:lvl>
  </w:abstractNum>
  <w:abstractNum w:abstractNumId="92">
    <w:nsid w:val="75F096DF"/>
    <w:multiLevelType w:val="hybridMultilevel"/>
    <w:lvl w:ilvl="0">
      <w:lvlJc w:val="left"/>
      <w:lvlText w:val="(%1)"/>
      <w:numFmt w:val="decimal"/>
      <w:start w:val="3"/>
    </w:lvl>
    <w:lvl w:ilvl="1">
      <w:lvlJc w:val="left"/>
      <w:lvlText w:val="%2"/>
      <w:numFmt w:val="lowerLetter"/>
      <w:start w:val="1"/>
    </w:lvl>
  </w:abstractNum>
  <w:abstractNum w:abstractNumId="93">
    <w:nsid w:val="76DEE918"/>
    <w:multiLevelType w:val="hybridMultilevel"/>
    <w:lvl w:ilvl="0">
      <w:lvlJc w:val="left"/>
      <w:lvlText w:val="(%1)"/>
      <w:numFmt w:val="decimal"/>
      <w:start w:val="1"/>
    </w:lvl>
  </w:abstractNum>
  <w:abstractNum w:abstractNumId="94">
    <w:nsid w:val="B79D08D"/>
    <w:multiLevelType w:val="hybridMultilevel"/>
    <w:lvl w:ilvl="0">
      <w:lvlJc w:val="left"/>
      <w:lvlText w:val="(%1)"/>
      <w:numFmt w:val="decimal"/>
      <w:start w:val="1"/>
    </w:lvl>
  </w:abstractNum>
  <w:abstractNum w:abstractNumId="95">
    <w:nsid w:val="69141769"/>
    <w:multiLevelType w:val="hybridMultilevel"/>
    <w:lvl w:ilvl="0">
      <w:lvlJc w:val="left"/>
      <w:lvlText w:val="(%1)"/>
      <w:numFmt w:val="decimal"/>
      <w:start w:val="1"/>
    </w:lvl>
  </w:abstractNum>
  <w:abstractNum w:abstractNumId="96">
    <w:nsid w:val="7BF45B8E"/>
    <w:multiLevelType w:val="hybridMultilevel"/>
    <w:lvl w:ilvl="0">
      <w:lvlJc w:val="left"/>
      <w:lvlText w:val="(%1)"/>
      <w:numFmt w:val="decimal"/>
      <w:start w:val="1"/>
    </w:lvl>
  </w:abstractNum>
  <w:abstractNum w:abstractNumId="97">
    <w:nsid w:val="41205269"/>
    <w:multiLevelType w:val="hybridMultilevel"/>
    <w:lvl w:ilvl="0">
      <w:lvlJc w:val="left"/>
      <w:lvlText w:val="(%1)"/>
      <w:numFmt w:val="decimal"/>
      <w:start w:val="2"/>
    </w:lvl>
  </w:abstractNum>
  <w:abstractNum w:abstractNumId="98">
    <w:nsid w:val="9AE0DD"/>
    <w:multiLevelType w:val="hybridMultilevel"/>
    <w:lvl w:ilvl="0">
      <w:lvlJc w:val="left"/>
      <w:lvlText w:val="(%1)"/>
      <w:numFmt w:val="decimal"/>
      <w:start w:val="3"/>
    </w:lvl>
  </w:abstractNum>
  <w:abstractNum w:abstractNumId="99">
    <w:nsid w:val="1818832F"/>
    <w:multiLevelType w:val="hybridMultilevel"/>
    <w:lvl w:ilvl="0">
      <w:lvlJc w:val="left"/>
      <w:lvlText w:val="%1"/>
      <w:numFmt w:val="decimal"/>
      <w:start w:val="1"/>
    </w:lvl>
    <w:lvl w:ilvl="1">
      <w:lvlJc w:val="left"/>
      <w:lvlText w:val="(%2)"/>
      <w:numFmt w:val="decimal"/>
      <w:start w:val="9"/>
    </w:lvl>
  </w:abstractNum>
  <w:abstractNum w:abstractNumId="100">
    <w:nsid w:val="24C29FD1"/>
    <w:multiLevelType w:val="hybridMultilevel"/>
    <w:lvl w:ilvl="0">
      <w:lvlJc w:val="left"/>
      <w:lvlText w:val="(%1)"/>
      <w:numFmt w:val="decimal"/>
      <w:start w:val="17"/>
    </w:lvl>
    <w:lvl w:ilvl="1">
      <w:lvlJc w:val="left"/>
      <w:lvlText w:val="(%2)"/>
      <w:numFmt w:val="decimal"/>
      <w:start w:val="12"/>
    </w:lvl>
  </w:abstractNum>
  <w:abstractNum w:abstractNumId="101">
    <w:nsid w:val="50528108"/>
    <w:multiLevelType w:val="hybridMultilevel"/>
    <w:lvl w:ilvl="0">
      <w:lvlJc w:val="left"/>
      <w:lvlText w:val="(%1)"/>
      <w:numFmt w:val="decimal"/>
      <w:start w:val="17"/>
    </w:lvl>
  </w:abstractNum>
  <w:abstractNum w:abstractNumId="102">
    <w:nsid w:val="21857A57"/>
    <w:multiLevelType w:val="hybridMultilevel"/>
    <w:lvl w:ilvl="0">
      <w:lvlJc w:val="left"/>
      <w:lvlText w:val="(%1)"/>
      <w:numFmt w:val="decimal"/>
      <w:start w:val="1"/>
    </w:lvl>
    <w:lvl w:ilvl="1">
      <w:lvlJc w:val="left"/>
      <w:lvlText w:val="(%2)"/>
      <w:numFmt w:val="lowerLetter"/>
      <w:start w:val="1"/>
    </w:lvl>
  </w:abstractNum>
  <w:abstractNum w:abstractNumId="103">
    <w:nsid w:val="5FD4B154"/>
    <w:multiLevelType w:val="hybridMultilevel"/>
    <w:lvl w:ilvl="0">
      <w:lvlJc w:val="left"/>
      <w:lvlText w:val="(%1)"/>
      <w:numFmt w:val="lowerLetter"/>
      <w:start w:val="3"/>
    </w:lvl>
  </w:abstractNum>
  <w:abstractNum w:abstractNumId="104">
    <w:nsid w:val="4ABE597"/>
    <w:multiLevelType w:val="hybridMultilevel"/>
    <w:lvl w:ilvl="0">
      <w:lvlJc w:val="left"/>
      <w:lvlText w:val="(%1)"/>
      <w:numFmt w:val="decimal"/>
      <w:start w:val="1"/>
    </w:lvl>
  </w:abstractNum>
  <w:abstractNum w:abstractNumId="105">
    <w:nsid w:val="5C64AD75"/>
    <w:multiLevelType w:val="hybridMultilevel"/>
    <w:lvl w:ilvl="0">
      <w:lvlJc w:val="left"/>
      <w:lvlText w:val="(%1)"/>
      <w:numFmt w:val="lowerLetter"/>
      <w:start w:val="25"/>
    </w:lvl>
    <w:lvl w:ilvl="1">
      <w:lvlJc w:val="left"/>
      <w:lvlText w:val="(%2)"/>
      <w:numFmt w:val="decimal"/>
      <w:start w:val="6"/>
    </w:lvl>
  </w:abstractNum>
  <w:abstractNum w:abstractNumId="106">
    <w:nsid w:val="2CDD5B39"/>
    <w:multiLevelType w:val="hybridMultilevel"/>
    <w:lvl w:ilvl="0">
      <w:lvlJc w:val="left"/>
      <w:lvlText w:val="(%1)"/>
      <w:numFmt w:val="decimal"/>
      <w:start w:val="12"/>
    </w:lvl>
  </w:abstractNum>
  <w:abstractNum w:abstractNumId="107">
    <w:nsid w:val="6F9EA0D1"/>
    <w:multiLevelType w:val="hybridMultilevel"/>
    <w:lvl w:ilvl="0">
      <w:lvlJc w:val="left"/>
      <w:lvlText w:val="(%1)"/>
      <w:numFmt w:val="decimal"/>
      <w:start w:val="1"/>
    </w:lvl>
  </w:abstractNum>
  <w:abstractNum w:abstractNumId="108">
    <w:nsid w:val="247FC4AE"/>
    <w:multiLevelType w:val="hybridMultilevel"/>
    <w:lvl w:ilvl="0">
      <w:lvlJc w:val="left"/>
      <w:lvlText w:val="(%1)"/>
      <w:numFmt w:val="decimal"/>
      <w:start w:val="3"/>
    </w:lvl>
  </w:abstractNum>
  <w:abstractNum w:abstractNumId="109">
    <w:nsid w:val="46C01B05"/>
    <w:multiLevelType w:val="hybridMultilevel"/>
    <w:lvl w:ilvl="0">
      <w:lvlJc w:val="left"/>
      <w:lvlText w:val="(%1)"/>
      <w:numFmt w:val="lowerLetter"/>
      <w:start w:val="1"/>
    </w:lvl>
  </w:abstractNum>
  <w:abstractNum w:abstractNumId="110">
    <w:nsid w:val="566EC29B"/>
    <w:multiLevelType w:val="hybridMultilevel"/>
    <w:lvl w:ilvl="0">
      <w:lvlJc w:val="left"/>
      <w:lvlText w:val="(%1)"/>
      <w:numFmt w:val="decimal"/>
      <w:start w:val="1"/>
    </w:lvl>
  </w:abstractNum>
  <w:abstractNum w:abstractNumId="111">
    <w:nsid w:val="7A963843"/>
    <w:multiLevelType w:val="hybridMultilevel"/>
    <w:lvl w:ilvl="0">
      <w:lvlJc w:val="left"/>
      <w:lvlText w:val="(%1)"/>
      <w:numFmt w:val="decimal"/>
      <w:start w:val="5"/>
    </w:lvl>
  </w:abstractNum>
  <w:abstractNum w:abstractNumId="112">
    <w:nsid w:val="4FE12F61"/>
    <w:multiLevelType w:val="hybridMultilevel"/>
    <w:lvl w:ilvl="0">
      <w:lvlJc w:val="left"/>
      <w:lvlText w:val="(%1)"/>
      <w:numFmt w:val="decimal"/>
      <w:start w:val="12"/>
    </w:lvl>
  </w:abstractNum>
  <w:abstractNum w:abstractNumId="113">
    <w:nsid w:val="51A3A284"/>
    <w:multiLevelType w:val="hybridMultilevel"/>
    <w:lvl w:ilvl="0">
      <w:lvlJc w:val="left"/>
      <w:lvlText w:val="(%1)"/>
      <w:numFmt w:val="decimal"/>
      <w:start w:val="1"/>
    </w:lvl>
  </w:abstractNum>
  <w:abstractNum w:abstractNumId="114">
    <w:nsid w:val="376863BC"/>
    <w:multiLevelType w:val="hybridMultilevel"/>
    <w:lvl w:ilvl="0">
      <w:lvlJc w:val="left"/>
      <w:lvlText w:val="(%1)"/>
      <w:numFmt w:val="lowerLetter"/>
      <w:start w:val="1"/>
    </w:lvl>
  </w:abstractNum>
  <w:abstractNum w:abstractNumId="115">
    <w:nsid w:val="118C6C0"/>
    <w:multiLevelType w:val="hybridMultilevel"/>
    <w:lvl w:ilvl="0">
      <w:lvlJc w:val="left"/>
      <w:lvlText w:val="(%1)"/>
      <w:numFmt w:val="upperLetter"/>
      <w:start w:val="9"/>
    </w:lvl>
  </w:abstractNum>
  <w:abstractNum w:abstractNumId="116">
    <w:nsid w:val="7F7E4A15"/>
    <w:multiLevelType w:val="hybridMultilevel"/>
    <w:lvl w:ilvl="0">
      <w:lvlJc w:val="left"/>
      <w:lvlText w:val="(%1)"/>
      <w:numFmt w:val="upperLetter"/>
      <w:start w:val="35"/>
    </w:lvl>
  </w:abstractNum>
  <w:abstractNum w:abstractNumId="117">
    <w:nsid w:val="2E8E9F47"/>
    <w:multiLevelType w:val="hybridMultilevel"/>
    <w:lvl w:ilvl="0">
      <w:lvlJc w:val="left"/>
      <w:lvlText w:val="(%1)"/>
      <w:numFmt w:val="upperLetter"/>
      <w:start w:val="61"/>
    </w:lvl>
  </w:abstractNum>
  <w:abstractNum w:abstractNumId="118">
    <w:nsid w:val="76742596"/>
    <w:multiLevelType w:val="hybridMultilevel"/>
    <w:lvl w:ilvl="0">
      <w:lvlJc w:val="left"/>
      <w:lvlText w:val="%1"/>
      <w:numFmt w:val="decimal"/>
      <w:start w:val="1"/>
    </w:lvl>
    <w:lvl w:ilvl="1">
      <w:lvlJc w:val="left"/>
      <w:lvlText w:val="(%2)"/>
      <w:numFmt w:val="decimal"/>
      <w:start w:val="1"/>
    </w:lvl>
  </w:abstractNum>
  <w:abstractNum w:abstractNumId="119">
    <w:nsid w:val="CB55FF3"/>
    <w:multiLevelType w:val="hybridMultilevel"/>
    <w:lvl w:ilvl="0">
      <w:lvlJc w:val="left"/>
      <w:lvlText w:val="(%1)"/>
      <w:numFmt w:val="decimal"/>
      <w:start w:val="1"/>
    </w:lvl>
    <w:lvl w:ilvl="1">
      <w:lvlJc w:val="left"/>
      <w:lvlText w:val="%2"/>
      <w:numFmt w:val="decimal"/>
      <w:start w:val="1"/>
    </w:lvl>
  </w:abstractNum>
  <w:abstractNum w:abstractNumId="120">
    <w:nsid w:val="21DF319E"/>
    <w:multiLevelType w:val="hybridMultilevel"/>
    <w:lvl w:ilvl="0">
      <w:lvlJc w:val="left"/>
      <w:lvlText w:val="(%1)"/>
      <w:numFmt w:val="decimal"/>
      <w:start w:val="1"/>
    </w:lvl>
  </w:abstractNum>
  <w:abstractNum w:abstractNumId="121">
    <w:nsid w:val="6687F34D"/>
    <w:multiLevelType w:val="hybridMultilevel"/>
    <w:lvl w:ilvl="0">
      <w:lvlJc w:val="left"/>
      <w:lvlText w:val="(%1)"/>
      <w:numFmt w:val="decimal"/>
      <w:start w:val="5"/>
    </w:lvl>
  </w:abstractNum>
  <w:abstractNum w:abstractNumId="122">
    <w:nsid w:val="25415B0C"/>
    <w:multiLevelType w:val="hybridMultilevel"/>
    <w:lvl w:ilvl="0">
      <w:lvlJc w:val="left"/>
      <w:lvlText w:val="(%1)"/>
      <w:numFmt w:val="lowerLetter"/>
      <w:start w:val="1"/>
    </w:lvl>
  </w:abstractNum>
  <w:abstractNum w:abstractNumId="123">
    <w:nsid w:val="17CFC87D"/>
    <w:multiLevelType w:val="hybridMultilevel"/>
    <w:lvl w:ilvl="0">
      <w:lvlJc w:val="left"/>
      <w:lvlText w:val="(%1)"/>
      <w:numFmt w:val="lowerLetter"/>
      <w:start w:val="3"/>
    </w:lvl>
  </w:abstractNum>
  <w:abstractNum w:abstractNumId="124">
    <w:nsid w:val="5D66DC65"/>
    <w:multiLevelType w:val="hybridMultilevel"/>
    <w:lvl w:ilvl="0">
      <w:lvlJc w:val="left"/>
      <w:lvlText w:val="(%1)"/>
      <w:numFmt w:val="lowerLetter"/>
      <w:start w:val="6"/>
    </w:lvl>
  </w:abstractNum>
  <w:abstractNum w:abstractNumId="125">
    <w:nsid w:val="30BB2B99"/>
    <w:multiLevelType w:val="hybridMultilevel"/>
    <w:lvl w:ilvl="0">
      <w:lvlJc w:val="left"/>
      <w:lvlText w:val="(%1)"/>
      <w:numFmt w:val="lowerLetter"/>
      <w:start w:val="1"/>
    </w:lvl>
  </w:abstractNum>
  <w:abstractNum w:abstractNumId="126">
    <w:nsid w:val="E3DFE6"/>
    <w:multiLevelType w:val="hybridMultilevel"/>
    <w:lvl w:ilvl="0">
      <w:lvlJc w:val="left"/>
      <w:lvlText w:val="(%1)"/>
      <w:numFmt w:val="lowerLetter"/>
      <w:start w:val="2"/>
    </w:lvl>
    <w:lvl w:ilvl="1">
      <w:lvlJc w:val="left"/>
      <w:lvlText w:val="(%2)"/>
      <w:numFmt w:val="lowerRoman"/>
      <w:start w:val="1"/>
    </w:lvl>
  </w:abstractNum>
  <w:abstractNum w:abstractNumId="127">
    <w:nsid w:val="595B37F3"/>
    <w:multiLevelType w:val="hybridMultilevel"/>
    <w:lvl w:ilvl="0">
      <w:lvlJc w:val="left"/>
      <w:lvlText w:val="%1"/>
      <w:numFmt w:val="lowerLetter"/>
      <w:start w:val="1"/>
    </w:lvl>
    <w:lvl w:ilvl="1">
      <w:lvlJc w:val="left"/>
      <w:lvlText w:val="(%2)"/>
      <w:numFmt w:val="lowerLetter"/>
      <w:start w:val="61"/>
    </w:lvl>
  </w:abstractNum>
  <w:abstractNum w:abstractNumId="128">
    <w:nsid w:val="71DB7E02"/>
    <w:multiLevelType w:val="hybridMultilevel"/>
    <w:lvl w:ilvl="0">
      <w:lvlJc w:val="left"/>
      <w:lvlText w:val="(%1)"/>
      <w:numFmt w:val="lowerLetter"/>
      <w:start w:val="3"/>
    </w:lvl>
    <w:lvl w:ilvl="1">
      <w:lvlJc w:val="left"/>
      <w:lvlText w:val="%2"/>
      <w:numFmt w:val="lowerLetter"/>
      <w:start w:val="1"/>
    </w:lvl>
  </w:abstractNum>
  <w:abstractNum w:abstractNumId="129">
    <w:nsid w:val="17EC0C4"/>
    <w:multiLevelType w:val="hybridMultilevel"/>
    <w:lvl w:ilvl="0">
      <w:lvlJc w:val="left"/>
      <w:lvlText w:val="(%1)"/>
      <w:numFmt w:val="lowerLetter"/>
      <w:start w:val="1"/>
    </w:lvl>
  </w:abstractNum>
  <w:abstractNum w:abstractNumId="130">
    <w:nsid w:val="7173BB22"/>
    <w:multiLevelType w:val="hybridMultilevel"/>
    <w:lvl w:ilvl="0">
      <w:lvlJc w:val="left"/>
      <w:lvlText w:val="(%1)"/>
      <w:numFmt w:val="decimal"/>
      <w:start w:val="1"/>
    </w:lvl>
    <w:lvl w:ilvl="1">
      <w:lvlJc w:val="left"/>
      <w:lvlText w:val="(%2)"/>
      <w:numFmt w:val="lowerLetter"/>
      <w:start w:val="1"/>
    </w:lvl>
  </w:abstractNum>
  <w:abstractNum w:abstractNumId="131">
    <w:nsid w:val="169E1DD3"/>
    <w:multiLevelType w:val="hybridMultilevel"/>
    <w:lvl w:ilvl="0">
      <w:lvlJc w:val="left"/>
      <w:lvlText w:val="(%1)"/>
      <w:numFmt w:val="decimal"/>
      <w:start w:val="3"/>
    </w:lvl>
  </w:abstractNum>
  <w:abstractNum w:abstractNumId="132">
    <w:nsid w:val="51D141CC"/>
    <w:multiLevelType w:val="hybridMultilevel"/>
    <w:lvl w:ilvl="0">
      <w:lvlJc w:val="left"/>
      <w:lvlText w:val="(%1)"/>
      <w:numFmt w:val="decimal"/>
      <w:start w:val="4"/>
    </w:lvl>
  </w:abstractNum>
  <w:abstractNum w:abstractNumId="133">
    <w:nsid w:val="12F9357A"/>
    <w:multiLevelType w:val="hybridMultilevel"/>
    <w:lvl w:ilvl="0">
      <w:lvlJc w:val="left"/>
      <w:lvlText w:val="(%1)"/>
      <w:numFmt w:val="lowerLetter"/>
      <w:start w:val="1"/>
    </w:lvl>
  </w:abstractNum>
  <w:abstractNum w:abstractNumId="134">
    <w:nsid w:val="7672CF28"/>
    <w:multiLevelType w:val="hybridMultilevel"/>
    <w:lvl w:ilvl="0">
      <w:lvlJc w:val="left"/>
      <w:lvlText w:val="(%1)"/>
      <w:numFmt w:val="lowerLetter"/>
      <w:start w:val="3"/>
    </w:lvl>
  </w:abstractNum>
  <w:abstractNum w:abstractNumId="135">
    <w:nsid w:val="567D2763"/>
    <w:multiLevelType w:val="hybridMultilevel"/>
    <w:lvl w:ilvl="0">
      <w:lvlJc w:val="left"/>
      <w:lvlText w:val="(%1)"/>
      <w:numFmt w:val="lowerLetter"/>
      <w:start w:val="4"/>
    </w:lvl>
  </w:abstractNum>
  <w:abstractNum w:abstractNumId="136">
    <w:nsid w:val="6F5DE2EF"/>
    <w:multiLevelType w:val="hybridMultilevel"/>
    <w:lvl w:ilvl="0">
      <w:lvlJc w:val="left"/>
      <w:lvlText w:val="(%1)"/>
      <w:numFmt w:val="lowerLetter"/>
      <w:start w:val="1"/>
    </w:lvl>
  </w:abstractNum>
  <w:abstractNum w:abstractNumId="137">
    <w:nsid w:val="23502A61"/>
    <w:multiLevelType w:val="hybridMultilevel"/>
    <w:lvl w:ilvl="0">
      <w:lvlJc w:val="left"/>
      <w:lvlText w:val="(%1)"/>
      <w:numFmt w:val="upperLetter"/>
      <w:start w:val="1"/>
    </w:lvl>
  </w:abstractNum>
  <w:abstractNum w:abstractNumId="138">
    <w:nsid w:val="461BC83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39">
    <w:nsid w:val="13DDA79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40">
    <w:nsid w:val="6A104566"/>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41">
    <w:nsid w:val="1C8A8ACF"/>
    <w:multiLevelType w:val="hybridMultilevel"/>
    <w:lvl w:ilvl="0">
      <w:lvlJc w:val="left"/>
      <w:lvlText w:val="(%1)"/>
      <w:numFmt w:val="lowerLetter"/>
      <w:start w:val="1"/>
    </w:lvl>
  </w:abstractNum>
  <w:abstractNum w:abstractNumId="142">
    <w:nsid w:val="E73DFE0"/>
    <w:multiLevelType w:val="hybridMultilevel"/>
    <w:lvl w:ilvl="0">
      <w:lvlJc w:val="left"/>
      <w:lvlText w:val="%1"/>
      <w:numFmt w:val="lowerLetter"/>
      <w:start w:val="1"/>
    </w:lvl>
    <w:lvl w:ilvl="1">
      <w:lvlJc w:val="left"/>
      <w:lvlText w:val="(%2)"/>
      <w:numFmt w:val="lowerRoman"/>
      <w:start w:val="1"/>
    </w:lvl>
  </w:abstractNum>
  <w:abstractNum w:abstractNumId="143">
    <w:nsid w:val="39F174C7"/>
    <w:multiLevelType w:val="hybridMultilevel"/>
    <w:lvl w:ilvl="0">
      <w:lvlJc w:val="left"/>
      <w:lvlText w:val="(%1)"/>
      <w:numFmt w:val="lowerLetter"/>
      <w:start w:val="2"/>
    </w:lvl>
    <w:lvl w:ilvl="1">
      <w:lvlJc w:val="left"/>
      <w:lvlText w:val="%2"/>
      <w:numFmt w:val="lowerRoman"/>
      <w:start w:val="1"/>
    </w:lvl>
  </w:abstractNum>
  <w:abstractNum w:abstractNumId="144">
    <w:nsid w:val="6E2E2D53"/>
    <w:multiLevelType w:val="hybridMultilevel"/>
    <w:lvl w:ilvl="0">
      <w:lvlJc w:val="left"/>
      <w:lvlText w:val="(%1)"/>
      <w:numFmt w:val="lowerLetter"/>
      <w:start w:val="1"/>
    </w:lvl>
  </w:abstractNum>
  <w:abstractNum w:abstractNumId="145">
    <w:nsid w:val="45DC439D"/>
    <w:multiLevelType w:val="hybridMultilevel"/>
    <w:lvl w:ilvl="0">
      <w:lvlJc w:val="left"/>
      <w:lvlText w:val="(%1)"/>
      <w:numFmt w:val="lowerLetter"/>
      <w:start w:val="3"/>
    </w:lvl>
    <w:lvl w:ilvl="1">
      <w:lvlJc w:val="left"/>
      <w:lvlText w:val="(%2)"/>
      <w:numFmt w:val="lowerRoman"/>
      <w:start w:val="1"/>
    </w:lvl>
  </w:abstractNum>
  <w:abstractNum w:abstractNumId="146">
    <w:nsid w:val="3B0A3B87"/>
    <w:multiLevelType w:val="hybridMultilevel"/>
    <w:lvl w:ilvl="0">
      <w:lvlJc w:val="left"/>
      <w:lvlText w:val="(%1)"/>
      <w:numFmt w:val="lowerLetter"/>
      <w:start w:val="6"/>
    </w:lvl>
    <w:lvl w:ilvl="1">
      <w:lvlJc w:val="left"/>
      <w:lvlText w:val="(%2)"/>
      <w:numFmt w:val="lowerRoman"/>
      <w:start w:val="1"/>
    </w:lvl>
  </w:abstractNum>
  <w:abstractNum w:abstractNumId="147">
    <w:nsid w:val="6DAC7768"/>
    <w:multiLevelType w:val="hybridMultilevel"/>
    <w:lvl w:ilvl="0">
      <w:lvlJc w:val="left"/>
      <w:lvlText w:val="(%1)"/>
      <w:numFmt w:val="lowerLetter"/>
      <w:start w:val="1"/>
    </w:lvl>
  </w:abstractNum>
  <w:abstractNum w:abstractNumId="148">
    <w:nsid w:val="746AE2E4"/>
    <w:multiLevelType w:val="hybridMultilevel"/>
    <w:lvl w:ilvl="0">
      <w:lvlJc w:val="left"/>
      <w:lvlText w:val="(%1)"/>
      <w:numFmt w:val="lowerLetter"/>
      <w:start w:val="3"/>
    </w:lvl>
  </w:abstractNum>
  <w:abstractNum w:abstractNumId="149">
    <w:nsid w:val="317E611D"/>
    <w:multiLevelType w:val="hybridMultilevel"/>
    <w:lvl w:ilvl="0">
      <w:lvlJc w:val="left"/>
      <w:lvlText w:val="(%1)"/>
      <w:numFmt w:val="lowerLetter"/>
      <w:start w:val="1"/>
    </w:lvl>
  </w:abstractNum>
  <w:abstractNum w:abstractNumId="150">
    <w:nsid w:val="7A61D75B"/>
    <w:multiLevelType w:val="hybridMultilevel"/>
    <w:lvl w:ilvl="0">
      <w:lvlJc w:val="left"/>
      <w:lvlText w:val="(%1)"/>
      <w:numFmt w:val="lowerLetter"/>
      <w:start w:val="2"/>
    </w:lvl>
    <w:lvl w:ilvl="1">
      <w:lvlJc w:val="left"/>
      <w:lvlText w:val="(%2)"/>
      <w:numFmt w:val="lowerRoman"/>
      <w:start w:val="1"/>
    </w:lvl>
  </w:abstractNum>
  <w:abstractNum w:abstractNumId="151">
    <w:nsid w:val="164A1482"/>
    <w:multiLevelType w:val="hybridMultilevel"/>
    <w:lvl w:ilvl="0">
      <w:lvlJc w:val="left"/>
      <w:lvlText w:val="(%1)"/>
      <w:numFmt w:val="lowerLetter"/>
      <w:start w:val="4"/>
    </w:lvl>
  </w:abstractNum>
  <w:abstractNum w:abstractNumId="152">
    <w:nsid w:val="1806546B"/>
    <w:multiLevelType w:val="hybridMultilevel"/>
    <w:lvl w:ilvl="0">
      <w:lvlJc w:val="left"/>
      <w:lvlText w:val="(%1)"/>
      <w:numFmt w:val="lowerLetter"/>
      <w:start w:val="5"/>
    </w:lvl>
  </w:abstractNum>
  <w:abstractNum w:abstractNumId="153">
    <w:nsid w:val="1FA33267"/>
    <w:multiLevelType w:val="hybridMultilevel"/>
    <w:lvl w:ilvl="0">
      <w:lvlJc w:val="left"/>
      <w:lvlText w:val="(%1)"/>
      <w:numFmt w:val="lowerLetter"/>
      <w:start w:val="7"/>
    </w:lvl>
    <w:lvl w:ilvl="1">
      <w:lvlJc w:val="left"/>
      <w:lvlText w:val="(%2)"/>
      <w:numFmt w:val="lowerLetter"/>
      <w:start w:val="9"/>
    </w:lvl>
  </w:abstractNum>
  <w:abstractNum w:abstractNumId="154">
    <w:nsid w:val="2E19DD00"/>
    <w:multiLevelType w:val="hybridMultilevel"/>
    <w:lvl w:ilvl="0">
      <w:lvlJc w:val="left"/>
      <w:lvlText w:val="&amp;"/>
      <w:numFmt w:val="bullet"/>
      <w:start w:val="1"/>
    </w:lvl>
    <w:lvl w:ilvl="1">
      <w:lvlJc w:val="left"/>
      <w:lvlText w:val="(%2)"/>
      <w:numFmt w:val="lowerRoman"/>
      <w:start w:val="2"/>
    </w:lvl>
  </w:abstractNum>
  <w:abstractNum w:abstractNumId="155">
    <w:nsid w:val="756D30D0"/>
    <w:multiLevelType w:val="hybridMultilevel"/>
    <w:lvl w:ilvl="0">
      <w:lvlJc w:val="left"/>
      <w:lvlText w:val="&amp;"/>
      <w:numFmt w:val="bullet"/>
      <w:start w:val="1"/>
    </w:lvl>
    <w:lvl w:ilvl="1">
      <w:lvlJc w:val="left"/>
      <w:lvlText w:val="(%2)"/>
      <w:numFmt w:val="lowerRoman"/>
      <w:start w:val="3"/>
    </w:lvl>
  </w:abstractNum>
  <w:abstractNum w:abstractNumId="156">
    <w:nsid w:val="505E5E01"/>
    <w:multiLevelType w:val="hybridMultilevel"/>
    <w:lvl w:ilvl="0">
      <w:lvlJc w:val="left"/>
      <w:lvlText w:val="(%1)"/>
      <w:numFmt w:val="lowerLetter"/>
      <w:start w:val="9"/>
    </w:lvl>
  </w:abstractNum>
  <w:abstractNum w:abstractNumId="157">
    <w:nsid w:val="2EFDBCE6"/>
    <w:multiLevelType w:val="hybridMultilevel"/>
    <w:lvl w:ilvl="0">
      <w:lvlJc w:val="left"/>
      <w:lvlText w:val="(%1)"/>
      <w:numFmt w:val="lowerLetter"/>
      <w:start w:val="1"/>
    </w:lvl>
  </w:abstractNum>
  <w:abstractNum w:abstractNumId="158">
    <w:nsid w:val="4EC868C4"/>
    <w:multiLevelType w:val="hybridMultilevel"/>
    <w:lvl w:ilvl="0">
      <w:lvlJc w:val="left"/>
      <w:lvlText w:val="(%1)"/>
      <w:numFmt w:val="lowerLetter"/>
      <w:start w:val="2"/>
    </w:lvl>
  </w:abstractNum>
  <w:abstractNum w:abstractNumId="159">
    <w:nsid w:val="4239DC03"/>
    <w:multiLevelType w:val="hybridMultilevel"/>
    <w:lvl w:ilvl="0">
      <w:lvlJc w:val="left"/>
      <w:lvlText w:val="(%1)"/>
      <w:numFmt w:val="lowerLetter"/>
      <w:start w:val="1"/>
    </w:lvl>
  </w:abstractNum>
  <w:abstractNum w:abstractNumId="160">
    <w:nsid w:val="307C7DAA"/>
    <w:multiLevelType w:val="hybridMultilevel"/>
    <w:lvl w:ilvl="0">
      <w:lvlJc w:val="left"/>
      <w:lvlText w:val="(%1)"/>
      <w:numFmt w:val="lowerRoman"/>
      <w:start w:val="1"/>
    </w:lvl>
  </w:abstractNum>
  <w:abstractNum w:abstractNumId="161">
    <w:nsid w:val="403C23E6"/>
    <w:multiLevelType w:val="hybridMultilevel"/>
    <w:lvl w:ilvl="0">
      <w:lvlJc w:val="left"/>
      <w:lvlText w:val="(%1)"/>
      <w:numFmt w:val="lowerRoman"/>
      <w:start w:val="2"/>
    </w:lvl>
  </w:abstractNum>
  <w:abstractNum w:abstractNumId="162">
    <w:nsid w:val="58D7F9D7"/>
    <w:multiLevelType w:val="hybridMultilevel"/>
    <w:lvl w:ilvl="0">
      <w:lvlJc w:val="left"/>
      <w:lvlText w:val="(%1)"/>
      <w:numFmt w:val="lowerLetter"/>
      <w:start w:val="1"/>
    </w:lvl>
  </w:abstractNum>
  <w:abstractNum w:abstractNumId="163">
    <w:nsid w:val="24DBF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4">
    <w:nsid w:val="53355960"/>
    <w:multiLevelType w:val="hybridMultilevel"/>
    <w:lvl w:ilvl="0">
      <w:lvlJc w:val="left"/>
      <w:lvlText w:val="%1"/>
      <w:numFmt w:val="lowerRoman"/>
      <w:start w:val="1"/>
    </w:lvl>
    <w:lvl w:ilvl="1">
      <w:lvlJc w:val="left"/>
      <w:lvlText w:val="(%2)"/>
      <w:numFmt w:val="upperLetter"/>
      <w:start w:val="3"/>
    </w:lvl>
  </w:abstractNum>
  <w:abstractNum w:abstractNumId="165">
    <w:nsid w:val="4F4AC8FF"/>
    <w:multiLevelType w:val="hybridMultilevel"/>
    <w:lvl w:ilvl="0">
      <w:lvlJc w:val="left"/>
      <w:lvlText w:val="(%1)"/>
      <w:numFmt w:val="lowerRoman"/>
      <w:start w:val="2"/>
    </w:lvl>
    <w:lvl w:ilvl="1">
      <w:lvlJc w:val="left"/>
      <w:lvlText w:val="(%2)"/>
      <w:numFmt w:val="upperLetter"/>
      <w:start w:val="1"/>
    </w:lvl>
  </w:abstractNum>
  <w:abstractNum w:abstractNumId="166">
    <w:nsid w:val="58CAE6D9"/>
    <w:multiLevelType w:val="hybridMultilevel"/>
    <w:lvl w:ilvl="0">
      <w:lvlJc w:val="left"/>
      <w:lvlText w:val="(%1)"/>
      <w:numFmt w:val="lowerLetter"/>
      <w:start w:val="2"/>
    </w:lvl>
  </w:abstractNum>
  <w:abstractNum w:abstractNumId="167">
    <w:nsid w:val="42933C4F"/>
    <w:multiLevelType w:val="hybridMultilevel"/>
    <w:lvl w:ilvl="0">
      <w:lvlJc w:val="left"/>
      <w:lvlText w:val="(%1)"/>
      <w:numFmt w:val="lowerLetter"/>
      <w:start w:val="1"/>
    </w:lvl>
  </w:abstractNum>
  <w:abstractNum w:abstractNumId="168">
    <w:nsid w:val="729AF360"/>
    <w:multiLevelType w:val="hybridMultilevel"/>
    <w:lvl w:ilvl="0">
      <w:lvlJc w:val="left"/>
      <w:lvlText w:val="(%1)"/>
      <w:numFmt w:val="lowerLetter"/>
      <w:start w:val="1"/>
    </w:lvl>
  </w:abstractNum>
  <w:abstractNum w:abstractNumId="169">
    <w:nsid w:val="1EE6AF0D"/>
    <w:multiLevelType w:val="hybridMultilevel"/>
    <w:lvl w:ilvl="0">
      <w:lvlJc w:val="left"/>
      <w:lvlText w:val="(%1)"/>
      <w:numFmt w:val="lowerRoman"/>
      <w:start w:val="1"/>
    </w:lvl>
  </w:abstractNum>
  <w:abstractNum w:abstractNumId="170">
    <w:nsid w:val="5670E3ED"/>
    <w:multiLevelType w:val="hybridMultilevel"/>
    <w:lvl w:ilvl="0">
      <w:lvlJc w:val="left"/>
      <w:lvlText w:val="%1"/>
      <w:numFmt w:val="lowerLetter"/>
      <w:start w:val="1"/>
    </w:lvl>
    <w:lvl w:ilvl="1">
      <w:lvlJc w:val="left"/>
      <w:lvlText w:val="(%2)"/>
      <w:numFmt w:val="lowerLetter"/>
      <w:start w:val="2"/>
    </w:lvl>
  </w:abstractNum>
  <w:abstractNum w:abstractNumId="171">
    <w:nsid w:val="5CAB38C6"/>
    <w:multiLevelType w:val="hybridMultilevel"/>
    <w:lvl w:ilvl="0">
      <w:lvlJc w:val="left"/>
      <w:lvlText w:val="(%1)"/>
      <w:numFmt w:val="lowerLetter"/>
      <w:start w:val="35"/>
    </w:lvl>
    <w:lvl w:ilvl="1">
      <w:lvlJc w:val="left"/>
      <w:lvlText w:val="%2"/>
      <w:numFmt w:val="lowerLetter"/>
      <w:start w:val="1"/>
    </w:lvl>
  </w:abstractNum>
  <w:abstractNum w:abstractNumId="172">
    <w:nsid w:val="3B7139DD"/>
    <w:multiLevelType w:val="hybridMultilevel"/>
    <w:lvl w:ilvl="0">
      <w:lvlJc w:val="left"/>
      <w:lvlText w:val="(%1)"/>
      <w:numFmt w:val="lowerLetter"/>
      <w:start w:val="4"/>
    </w:lvl>
  </w:abstractNum>
  <w:abstractNum w:abstractNumId="173">
    <w:nsid w:val="64E4C3CD"/>
    <w:multiLevelType w:val="hybridMultilevel"/>
    <w:lvl w:ilvl="0">
      <w:lvlJc w:val="left"/>
      <w:lvlText w:val="(%1)"/>
      <w:numFmt w:val="lowerLetter"/>
      <w:start w:val="7"/>
    </w:lvl>
  </w:abstractNum>
  <w:abstractNum w:abstractNumId="174">
    <w:nsid w:val="169CAD8D"/>
    <w:multiLevelType w:val="hybridMultilevel"/>
    <w:lvl w:ilvl="0">
      <w:lvlJc w:val="left"/>
      <w:lvlText w:val="(%1)"/>
      <w:numFmt w:val="lowerLetter"/>
      <w:start w:val="10"/>
    </w:lvl>
  </w:abstractNum>
  <w:abstractNum w:abstractNumId="175">
    <w:nsid w:val="299F6730"/>
    <w:multiLevelType w:val="hybridMultilevel"/>
    <w:lvl w:ilvl="0">
      <w:lvlJc w:val="left"/>
      <w:lvlText w:val="(%1)"/>
      <w:numFmt w:val="lowerLetter"/>
      <w:start w:val="61"/>
    </w:lvl>
    <w:lvl w:ilvl="1">
      <w:lvlJc w:val="left"/>
      <w:lvlText w:val="(%2)"/>
      <w:numFmt w:val="lowerLetter"/>
      <w:start w:val="13"/>
    </w:lvl>
  </w:abstractNum>
  <w:abstractNum w:abstractNumId="176">
    <w:nsid w:val="2AC1076A"/>
    <w:multiLevelType w:val="hybridMultilevel"/>
    <w:lvl w:ilvl="0">
      <w:lvlJc w:val="left"/>
      <w:lvlText w:val="(%1)"/>
      <w:numFmt w:val="lowerLetter"/>
      <w:start w:val="16"/>
    </w:lvl>
  </w:abstractNum>
  <w:abstractNum w:abstractNumId="177">
    <w:nsid w:val="51A6E915"/>
    <w:multiLevelType w:val="hybridMultilevel"/>
    <w:lvl w:ilvl="0">
      <w:lvlJc w:val="left"/>
      <w:lvlText w:val="(%1)"/>
      <w:numFmt w:val="lowerLetter"/>
      <w:start w:val="18"/>
    </w:lvl>
  </w:abstractNum>
  <w:abstractNum w:abstractNumId="178">
    <w:nsid w:val="174BDE99"/>
    <w:multiLevelType w:val="hybridMultilevel"/>
    <w:lvl w:ilvl="0">
      <w:lvlJc w:val="left"/>
      <w:lvlText w:val="(%1)"/>
      <w:numFmt w:val="lowerLetter"/>
      <w:start w:val="24"/>
    </w:lvl>
  </w:abstractNum>
  <w:abstractNum w:abstractNumId="179">
    <w:nsid w:val="1F2BEA4E"/>
    <w:multiLevelType w:val="hybridMultilevel"/>
    <w:lvl w:ilvl="0">
      <w:lvlJc w:val="left"/>
      <w:lvlText w:val="(%1)"/>
      <w:numFmt w:val="upperLetter"/>
      <w:start w:val="1"/>
    </w:lvl>
  </w:abstractNum>
  <w:abstractNum w:abstractNumId="180">
    <w:nsid w:val="3254A32"/>
    <w:multiLevelType w:val="hybridMultilevel"/>
    <w:lvl w:ilvl="0">
      <w:lvlJc w:val="left"/>
      <w:lvlText w:val="(%1)"/>
      <w:numFmt w:val="upperLetter"/>
      <w:start w:val="9"/>
    </w:lvl>
  </w:abstractNum>
  <w:abstractNum w:abstractNumId="181">
    <w:nsid w:val="11ADB5F4"/>
    <w:multiLevelType w:val="hybridMultilevel"/>
    <w:lvl w:ilvl="0">
      <w:lvlJc w:val="left"/>
      <w:lvlText w:val="*"/>
      <w:numFmt w:val="bullet"/>
      <w:start w:val="1"/>
    </w:lvl>
    <w:lvl w:ilvl="1">
      <w:lvlJc w:val="left"/>
      <w:lvlText w:val="(%2)"/>
      <w:numFmt w:val="decimal"/>
      <w:start w:val="1"/>
    </w:lvl>
  </w:abstractNum>
  <w:abstractNum w:abstractNumId="182">
    <w:nsid w:val="3575FED1"/>
    <w:multiLevelType w:val="hybridMultilevel"/>
    <w:lvl w:ilvl="0">
      <w:lvlJc w:val="left"/>
      <w:lvlText w:val="(%1)"/>
      <w:numFmt w:val="decimal"/>
      <w:start w:val="4"/>
    </w:lvl>
  </w:abstractNum>
  <w:abstractNum w:abstractNumId="183">
    <w:nsid w:val="1B2B9E9D"/>
    <w:multiLevelType w:val="hybridMultilevel"/>
    <w:lvl w:ilvl="0">
      <w:lvlJc w:val="left"/>
      <w:lvlText w:val="†"/>
      <w:numFmt w:val="bullet"/>
      <w:start w:val="1"/>
    </w:lvl>
  </w:abstractNum>
  <w:abstractNum w:abstractNumId="184">
    <w:nsid w:val="3150E85C"/>
    <w:multiLevelType w:val="hybridMultilevel"/>
    <w:lvl w:ilvl="0">
      <w:lvlJc w:val="left"/>
      <w:lvlText w:val="*"/>
      <w:numFmt w:val="bullet"/>
      <w:start w:val="1"/>
    </w:lvl>
  </w:abstractNum>
  <w:abstractNum w:abstractNumId="185">
    <w:nsid w:val="638FDBD1"/>
    <w:multiLevelType w:val="hybridMultilevel"/>
    <w:lvl w:ilvl="0">
      <w:lvlJc w:val="left"/>
      <w:lvlText w:val="*"/>
      <w:numFmt w:val="bullet"/>
      <w:start w:val="1"/>
    </w:lvl>
  </w:abstractNum>
  <w:abstractNum w:abstractNumId="186">
    <w:nsid w:val="1098CF6E"/>
    <w:multiLevelType w:val="hybridMultilevel"/>
    <w:lvl w:ilvl="0">
      <w:lvlJc w:val="left"/>
      <w:lvlText w:val="%1."/>
      <w:numFmt w:val="decimal"/>
      <w:start w:val="1"/>
    </w:lvl>
  </w:abstractNum>
  <w:abstractNum w:abstractNumId="187">
    <w:nsid w:val="1AF465D"/>
    <w:multiLevelType w:val="hybridMultilevel"/>
    <w:lvl w:ilvl="0">
      <w:lvlJc w:val="left"/>
      <w:lvlText w:val="%1."/>
      <w:numFmt w:val="decimal"/>
      <w:start w:val="3"/>
    </w:lvl>
  </w:abstractNum>
  <w:abstractNum w:abstractNumId="188">
    <w:nsid w:val="128D98B7"/>
    <w:multiLevelType w:val="hybridMultilevel"/>
    <w:lvl w:ilvl="0">
      <w:lvlJc w:val="left"/>
      <w:lvlText w:val="%1."/>
      <w:numFmt w:val="decimal"/>
      <w:start w:val="1"/>
    </w:lvl>
  </w:abstractNum>
  <w:abstractNum w:abstractNumId="189">
    <w:nsid w:val="5F613832"/>
    <w:multiLevelType w:val="hybridMultilevel"/>
    <w:lvl w:ilvl="0">
      <w:lvlJc w:val="left"/>
      <w:lvlText w:val="(%1)"/>
      <w:numFmt w:val="lowerLetter"/>
      <w:start w:val="4"/>
    </w:lvl>
    <w:lvl w:ilvl="1">
      <w:lvlJc w:val="left"/>
      <w:lvlText w:val="%2."/>
      <w:numFmt w:val="decimal"/>
      <w:start w:val="3"/>
    </w:lvl>
  </w:abstractNum>
  <w:abstractNum w:abstractNumId="190">
    <w:nsid w:val="43E92260"/>
    <w:multiLevelType w:val="hybridMultilevel"/>
    <w:lvl w:ilvl="0">
      <w:lvlJc w:val="left"/>
      <w:lvlText w:val="(%1)"/>
      <w:numFmt w:val="lowerLetter"/>
      <w:start w:val="1"/>
    </w:lvl>
  </w:abstractNum>
  <w:abstractNum w:abstractNumId="191">
    <w:nsid w:val="430A1662"/>
    <w:multiLevelType w:val="hybridMultilevel"/>
    <w:lvl w:ilvl="0">
      <w:lvlJc w:val="left"/>
      <w:lvlText w:val="%1."/>
      <w:numFmt w:val="decimal"/>
      <w:start w:val="1"/>
    </w:lvl>
  </w:abstractNum>
  <w:abstractNum w:abstractNumId="192">
    <w:nsid w:val="1F9D5C18"/>
    <w:multiLevelType w:val="hybridMultilevel"/>
    <w:lvl w:ilvl="0">
      <w:lvlJc w:val="left"/>
      <w:lvlText w:val="%1."/>
      <w:numFmt w:val="decimal"/>
      <w:start w:val="1"/>
    </w:lvl>
  </w:abstractNum>
  <w:abstractNum w:abstractNumId="193">
    <w:nsid w:val="1CC11C37"/>
    <w:multiLevelType w:val="hybridMultilevel"/>
    <w:lvl w:ilvl="0">
      <w:lvlJc w:val="left"/>
      <w:lvlText w:val="%1."/>
      <w:numFmt w:val="decimal"/>
      <w:start w:val="4"/>
    </w:lvl>
  </w:abstractNum>
  <w:abstractNum w:abstractNumId="194">
    <w:nsid w:val="4557D5D8"/>
    <w:multiLevelType w:val="hybridMultilevel"/>
    <w:lvl w:ilvl="0">
      <w:lvlJc w:val="left"/>
      <w:lvlText w:val="(%1)"/>
      <w:numFmt w:val="lowerLetter"/>
      <w:start w:val="1"/>
    </w:lvl>
  </w:abstractNum>
  <w:abstractNum w:abstractNumId="195">
    <w:nsid w:val="72D2B579"/>
    <w:multiLevelType w:val="hybridMultilevel"/>
    <w:lvl w:ilvl="0">
      <w:lvlJc w:val="left"/>
      <w:lvlText w:val="(%1)"/>
      <w:numFmt w:val="lowerLetter"/>
      <w:start w:val="1"/>
    </w:lvl>
  </w:abstractNum>
  <w:abstractNum w:abstractNumId="196">
    <w:nsid w:val="6C0BE536"/>
    <w:multiLevelType w:val="hybridMultilevel"/>
    <w:lvl w:ilvl="0">
      <w:lvlJc w:val="left"/>
      <w:lvlText w:val="%1"/>
      <w:numFmt w:val="upperLetter"/>
      <w:start w:val="1"/>
    </w:lvl>
    <w:lvl w:ilvl="1">
      <w:lvlJc w:val="left"/>
      <w:lvlText w:val="(%2)"/>
      <w:numFmt w:val="lowerLetter"/>
      <w:start w:val="4"/>
    </w:lvl>
  </w:abstractNum>
  <w:abstractNum w:abstractNumId="197">
    <w:nsid w:val="1E22BCB2"/>
    <w:multiLevelType w:val="hybridMultilevel"/>
    <w:lvl w:ilvl="0">
      <w:lvlJc w:val="left"/>
      <w:lvlText w:val="(%1)"/>
      <w:numFmt w:val="upperLetter"/>
      <w:start w:val="35"/>
    </w:lvl>
    <w:lvl w:ilvl="1">
      <w:lvlJc w:val="left"/>
      <w:lvlText w:val="%2"/>
      <w:numFmt w:val="lowerLetter"/>
      <w:start w:val="1"/>
    </w:lvl>
  </w:abstractNum>
  <w:abstractNum w:abstractNumId="198">
    <w:nsid w:val="3565F1C8"/>
    <w:multiLevelType w:val="hybridMultilevel"/>
    <w:lvl w:ilvl="0">
      <w:lvlJc w:val="left"/>
      <w:lvlText w:val="(%1)"/>
      <w:numFmt w:val="lowerLetter"/>
      <w:start w:val="11"/>
    </w:lvl>
  </w:abstractNum>
  <w:abstractNum w:abstractNumId="199">
    <w:nsid w:val="5EA6D896"/>
    <w:multiLevelType w:val="hybridMultilevel"/>
    <w:lvl w:ilvl="0">
      <w:lvlJc w:val="left"/>
      <w:lvlText w:val="(%1)"/>
      <w:numFmt w:val="upperLetter"/>
      <w:start w:val="1"/>
    </w:lvl>
  </w:abstractNum>
  <w:abstractNum w:abstractNumId="200">
    <w:nsid w:val="3D096BBF"/>
    <w:multiLevelType w:val="hybridMultilevel"/>
    <w:lvl w:ilvl="0">
      <w:lvlJc w:val="left"/>
      <w:lvlText w:val="(%1)"/>
      <w:numFmt w:val="upperLetter"/>
      <w:start w:val="4"/>
    </w:lvl>
  </w:abstractNum>
  <w:abstractNum w:abstractNumId="201">
    <w:nsid w:val="BD6D5B5"/>
    <w:multiLevelType w:val="hybridMultilevel"/>
    <w:lvl w:ilvl="0">
      <w:lvlJc w:val="left"/>
      <w:lvlText w:val="(%1)"/>
      <w:numFmt w:val="lowerLetter"/>
      <w:start w:val="1"/>
    </w:lvl>
  </w:abstractNum>
  <w:abstractNum w:abstractNumId="202">
    <w:nsid w:val="3B52115C"/>
    <w:multiLevelType w:val="hybridMultilevel"/>
    <w:lvl w:ilvl="0">
      <w:lvlJc w:val="left"/>
      <w:lvlText w:val="(%1)"/>
      <w:numFmt w:val="lowerLetter"/>
      <w:start w:val="2"/>
    </w:lvl>
    <w:lvl w:ilvl="1">
      <w:lvlJc w:val="left"/>
      <w:lvlText w:val="(%2)"/>
      <w:numFmt w:val="lowerLetter"/>
      <w:start w:val="3"/>
    </w:lvl>
  </w:abstractNum>
  <w:abstractNum w:abstractNumId="203">
    <w:nsid w:val="787AA59C"/>
    <w:multiLevelType w:val="hybridMultilevel"/>
    <w:lvl w:ilvl="0">
      <w:lvlJc w:val="left"/>
      <w:lvlText w:val="(%1)"/>
      <w:numFmt w:val="lowerLetter"/>
      <w:start w:val="1"/>
    </w:lvl>
  </w:abstractNum>
  <w:abstractNum w:abstractNumId="204">
    <w:nsid w:val="70BB9983"/>
    <w:multiLevelType w:val="hybridMultilevel"/>
    <w:lvl w:ilvl="0">
      <w:lvlJc w:val="left"/>
      <w:lvlText w:val="(%1)"/>
      <w:numFmt w:val="lowerLetter"/>
      <w:start w:val="2"/>
    </w:lvl>
  </w:abstractNum>
  <w:abstractNum w:abstractNumId="205">
    <w:nsid w:val="51EEBEEA"/>
    <w:multiLevelType w:val="hybridMultilevel"/>
    <w:lvl w:ilvl="0">
      <w:lvlJc w:val="left"/>
      <w:lvlText w:val="(%1)"/>
      <w:numFmt w:val="lowerLetter"/>
      <w:start w:val="1"/>
    </w:lvl>
  </w:abstractNum>
  <w:abstractNum w:abstractNumId="206">
    <w:nsid w:val="221A0CCD"/>
    <w:multiLevelType w:val="hybridMultilevel"/>
    <w:lvl w:ilvl="0">
      <w:lvlJc w:val="left"/>
      <w:lvlText w:val="(%1)"/>
      <w:numFmt w:val="lowerLetter"/>
      <w:start w:val="1"/>
    </w:lvl>
  </w:abstractNum>
  <w:abstractNum w:abstractNumId="207">
    <w:nsid w:val="1B7CA0ED"/>
    <w:multiLevelType w:val="hybridMultilevel"/>
    <w:lvl w:ilvl="0">
      <w:lvlJc w:val="left"/>
      <w:lvlText w:val="(%1)"/>
      <w:numFmt w:val="lowerLetter"/>
      <w:start w:val="3"/>
    </w:lvl>
  </w:abstractNum>
  <w:abstractNum w:abstractNumId="208">
    <w:nsid w:val="2395A7FF"/>
    <w:multiLevelType w:val="hybridMultilevel"/>
    <w:lvl w:ilvl="0">
      <w:lvlJc w:val="left"/>
      <w:lvlText w:val="(%1)"/>
      <w:numFmt w:val="upperLetter"/>
      <w:start w:val="2"/>
    </w:lvl>
  </w:abstractNum>
  <w:abstractNum w:abstractNumId="209">
    <w:nsid w:val="3965EB66"/>
    <w:multiLevelType w:val="hybridMultilevel"/>
    <w:lvl w:ilvl="0">
      <w:lvlJc w:val="left"/>
      <w:lvlText w:val="%1."/>
      <w:numFmt w:val="decimal"/>
      <w:start w:val="1"/>
    </w:lvl>
  </w:abstractNum>
  <w:abstractNum w:abstractNumId="210">
    <w:nsid w:val="3AA88B3C"/>
    <w:multiLevelType w:val="hybridMultilevel"/>
    <w:lvl w:ilvl="0">
      <w:lvlJc w:val="left"/>
      <w:lvlText w:val="A"/>
      <w:numFmt w:val="bullet"/>
      <w:start w:val="1"/>
    </w:lvl>
  </w:abstractNum>
  <w:abstractNum w:abstractNumId="211">
    <w:nsid w:val="26BAF231"/>
    <w:multiLevelType w:val="hybridMultilevel"/>
    <w:lvl w:ilvl="0">
      <w:lvlJc w:val="left"/>
      <w:lvlText w:val="(%1)"/>
      <w:numFmt w:val="lowerLetter"/>
      <w:start w:val="1"/>
    </w:lvl>
  </w:abstractNum>
  <w:abstractNum w:abstractNumId="212">
    <w:nsid w:val="4B13A15A"/>
    <w:multiLevelType w:val="hybridMultilevel"/>
    <w:lvl w:ilvl="0">
      <w:lvlJc w:val="left"/>
      <w:lvlText w:val="(%1)"/>
      <w:numFmt w:val="lowerLetter"/>
      <w:start w:val="2"/>
    </w:lvl>
  </w:abstractNum>
  <w:abstractNum w:abstractNumId="213">
    <w:nsid w:val="701E8A0D"/>
    <w:multiLevelType w:val="hybridMultilevel"/>
    <w:lvl w:ilvl="0">
      <w:lvlJc w:val="left"/>
      <w:lvlText w:val="(%1)"/>
      <w:numFmt w:val="lowerRoman"/>
      <w:start w:val="3"/>
    </w:lvl>
  </w:abstractNum>
  <w:abstractNum w:abstractNumId="214">
    <w:nsid w:val="41E690CF"/>
    <w:multiLevelType w:val="hybridMultilevel"/>
    <w:lvl w:ilvl="0">
      <w:lvlJc w:val="left"/>
      <w:lvlText w:val="(%1)"/>
      <w:numFmt w:val="lowerRoman"/>
      <w:start w:val="10"/>
    </w:lvl>
  </w:abstractNum>
  <w:abstractNum w:abstractNumId="215">
    <w:nsid w:val="7C6489B6"/>
    <w:multiLevelType w:val="hybridMultilevel"/>
    <w:lvl w:ilvl="0">
      <w:lvlJc w:val="left"/>
      <w:lvlText w:val="(%1)"/>
      <w:numFmt w:val="lowerLetter"/>
      <w:start w:val="5"/>
    </w:lvl>
  </w:abstractNum>
  <w:abstractNum w:abstractNumId="216">
    <w:nsid w:val="53AE65DE"/>
    <w:multiLevelType w:val="hybridMultilevel"/>
    <w:lvl w:ilvl="0">
      <w:lvlJc w:val="left"/>
      <w:lvlText w:val="(%1)"/>
      <w:numFmt w:val="lowerLetter"/>
      <w:start w:val="13"/>
    </w:lvl>
  </w:abstractNum>
  <w:abstractNum w:abstractNumId="217">
    <w:nsid w:val="527F603D"/>
    <w:multiLevelType w:val="hybridMultilevel"/>
    <w:lvl w:ilvl="0">
      <w:lvlJc w:val="left"/>
      <w:lvlText w:val="(%1)"/>
      <w:numFmt w:val="lowerLetter"/>
      <w:start w:val="1"/>
    </w:lvl>
  </w:abstractNum>
  <w:abstractNum w:abstractNumId="218">
    <w:nsid w:val="7E13D013"/>
    <w:multiLevelType w:val="hybridMultilevel"/>
    <w:lvl w:ilvl="0">
      <w:lvlJc w:val="left"/>
      <w:lvlText w:val="(%1)"/>
      <w:numFmt w:val="lowerRoman"/>
      <w:start w:val="1"/>
    </w:lvl>
  </w:abstractNum>
  <w:abstractNum w:abstractNumId="219">
    <w:nsid w:val="663BFE95"/>
    <w:multiLevelType w:val="hybridMultilevel"/>
    <w:lvl w:ilvl="0">
      <w:lvlJc w:val="left"/>
      <w:lvlText w:val="(%1)"/>
      <w:numFmt w:val="lowerRoman"/>
      <w:start w:val="2"/>
    </w:lvl>
  </w:abstractNum>
  <w:abstractNum w:abstractNumId="220">
    <w:nsid w:val="31E0986F"/>
    <w:multiLevelType w:val="hybridMultilevel"/>
    <w:lvl w:ilvl="0">
      <w:lvlJc w:val="left"/>
      <w:lvlText w:val="(%1)"/>
      <w:numFmt w:val="lowerLetter"/>
      <w:start w:val="1"/>
    </w:lvl>
  </w:abstractNum>
  <w:abstractNum w:abstractNumId="221">
    <w:nsid w:val="41FCF274"/>
    <w:multiLevelType w:val="hybridMultilevel"/>
    <w:lvl w:ilvl="0">
      <w:lvlJc w:val="left"/>
      <w:lvlText w:val="%1"/>
      <w:numFmt w:val="lowerLetter"/>
      <w:start w:val="1"/>
    </w:lvl>
    <w:lvl w:ilvl="1">
      <w:lvlJc w:val="left"/>
      <w:lvlText w:val="(%2)"/>
      <w:numFmt w:val="lowerLetter"/>
      <w:start w:val="1"/>
    </w:lvl>
  </w:abstractNum>
  <w:abstractNum w:abstractNumId="222">
    <w:nsid w:val="294614F7"/>
    <w:multiLevelType w:val="hybridMultilevel"/>
    <w:lvl w:ilvl="0">
      <w:lvlJc w:val="left"/>
      <w:lvlText w:val="(%1)"/>
      <w:numFmt w:val="lowerLetter"/>
      <w:start w:val="35"/>
    </w:lvl>
    <w:lvl w:ilvl="1">
      <w:lvlJc w:val="left"/>
      <w:lvlText w:val="%2"/>
      <w:numFmt w:val="lowerLetter"/>
      <w:start w:val="1"/>
    </w:lvl>
  </w:abstractNum>
  <w:abstractNum w:abstractNumId="223">
    <w:nsid w:val="517DF487"/>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224">
    <w:nsid w:val="5EBE0EAB"/>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225">
    <w:nsid w:val="6E9DEAD0"/>
    <w:multiLevelType w:val="hybridMultilevel"/>
    <w:lvl w:ilvl="0">
      <w:lvlJc w:val="left"/>
      <w:lvlText w:val="(%1)"/>
      <w:numFmt w:val="lowerRoman"/>
      <w:start w:val="4"/>
    </w:lvl>
    <w:lvl w:ilvl="1">
      <w:lvlJc w:val="left"/>
      <w:lvlText w:val="(%2)"/>
      <w:numFmt w:val="lowerLetter"/>
      <w:start w:val="9"/>
    </w:lvl>
    <w:lvl w:ilvl="2">
      <w:lvlJc w:val="left"/>
      <w:lvlText w:val="%3"/>
      <w:numFmt w:val="lowerLetter"/>
      <w:start w:val="1"/>
    </w:lvl>
  </w:abstractNum>
  <w:abstractNum w:abstractNumId="226">
    <w:nsid w:val="4450AA00"/>
    <w:multiLevelType w:val="hybridMultilevel"/>
    <w:lvl w:ilvl="0">
      <w:lvlJc w:val="left"/>
      <w:lvlText w:val="(%1)"/>
      <w:numFmt w:val="lowerLetter"/>
      <w:start w:val="10"/>
    </w:lvl>
  </w:abstractNum>
  <w:abstractNum w:abstractNumId="227">
    <w:nsid w:val="4AC9F3E2"/>
    <w:multiLevelType w:val="hybridMultilevel"/>
    <w:lvl w:ilvl="0">
      <w:lvlJc w:val="left"/>
      <w:lvlText w:val="(%1)"/>
      <w:numFmt w:val="lowerLetter"/>
      <w:start w:val="1"/>
    </w:lvl>
  </w:abstractNum>
  <w:abstractNum w:abstractNumId="228">
    <w:nsid w:val="CC0A782"/>
    <w:multiLevelType w:val="hybridMultilevel"/>
    <w:lvl w:ilvl="0">
      <w:lvlJc w:val="left"/>
      <w:lvlText w:val="(%1)"/>
      <w:numFmt w:val="lowerLetter"/>
      <w:start w:val="24"/>
    </w:lvl>
  </w:abstractNum>
  <w:abstractNum w:abstractNumId="229">
    <w:nsid w:val="79B69BC9"/>
    <w:multiLevelType w:val="hybridMultilevel"/>
    <w:lvl w:ilvl="0">
      <w:lvlJc w:val="left"/>
      <w:lvlText w:val="(%1)"/>
      <w:numFmt w:val="lowerRoman"/>
      <w:start w:val="10"/>
    </w:lvl>
  </w:abstractNum>
  <w:abstractNum w:abstractNumId="230">
    <w:nsid w:val="2970CC78"/>
    <w:multiLevelType w:val="hybridMultilevel"/>
    <w:lvl w:ilvl="0">
      <w:lvlJc w:val="left"/>
      <w:lvlText w:val="(%1)"/>
      <w:numFmt w:val="upperLetter"/>
      <w:start w:val="35"/>
    </w:lvl>
    <w:lvl w:ilvl="1">
      <w:lvlJc w:val="left"/>
      <w:lvlText w:val="(%2)"/>
      <w:numFmt w:val="lowerRoman"/>
      <w:start w:val="1"/>
    </w:lvl>
  </w:abstractNum>
  <w:abstractNum w:abstractNumId="231">
    <w:nsid w:val="49CA1341"/>
    <w:multiLevelType w:val="hybridMultilevel"/>
    <w:lvl w:ilvl="0">
      <w:lvlJc w:val="left"/>
      <w:lvlText w:val="(%1)"/>
      <w:numFmt w:val="lowerLetter"/>
      <w:start w:val="2"/>
    </w:lvl>
  </w:abstractNum>
  <w:abstractNum w:abstractNumId="232">
    <w:nsid w:val="58D717E"/>
    <w:multiLevelType w:val="hybridMultilevel"/>
    <w:lvl w:ilvl="0">
      <w:lvlJc w:val="left"/>
      <w:lvlText w:val="(%1)"/>
      <w:numFmt w:val="lowerRoman"/>
      <w:start w:val="1"/>
    </w:lvl>
  </w:abstractNum>
  <w:abstractNum w:abstractNumId="233">
    <w:nsid w:val="64C2DDD5"/>
    <w:multiLevelType w:val="hybridMultilevel"/>
    <w:lvl w:ilvl="0">
      <w:lvlJc w:val="left"/>
      <w:lvlText w:val="(%1)"/>
      <w:numFmt w:val="lowerRoman"/>
      <w:start w:val="4"/>
    </w:lvl>
  </w:abstractNum>
  <w:abstractNum w:abstractNumId="234">
    <w:nsid w:val="4244B8DE"/>
    <w:multiLevelType w:val="hybridMultilevel"/>
    <w:lvl w:ilvl="0">
      <w:lvlJc w:val="left"/>
      <w:lvlText w:val="(%1)"/>
      <w:numFmt w:val="lowerLetter"/>
      <w:start w:val="3"/>
    </w:lvl>
  </w:abstractNum>
  <w:abstractNum w:abstractNumId="235">
    <w:nsid w:val="76490B01"/>
    <w:multiLevelType w:val="hybridMultilevel"/>
    <w:lvl w:ilvl="0">
      <w:lvlJc w:val="left"/>
      <w:lvlText w:val="(%1)"/>
      <w:numFmt w:val="lowerLetter"/>
      <w:start w:val="1"/>
    </w:lvl>
  </w:abstractNum>
  <w:abstractNum w:abstractNumId="236">
    <w:nsid w:val="36B19CBF"/>
    <w:multiLevelType w:val="hybridMultilevel"/>
    <w:lvl w:ilvl="0">
      <w:lvlJc w:val="left"/>
      <w:lvlText w:val="(%1)"/>
      <w:numFmt w:val="lowerLetter"/>
      <w:start w:val="2"/>
    </w:lvl>
  </w:abstractNum>
  <w:abstractNum w:abstractNumId="237">
    <w:nsid w:val="645EC5AB"/>
    <w:multiLevelType w:val="hybridMultilevel"/>
    <w:lvl w:ilvl="0">
      <w:lvlJc w:val="left"/>
      <w:lvlText w:val="(%1)"/>
      <w:numFmt w:val="lowerLetter"/>
      <w:start w:val="1"/>
    </w:lvl>
    <w:lvl w:ilvl="1">
      <w:lvlJc w:val="left"/>
      <w:lvlText w:val="(%2)"/>
      <w:numFmt w:val="lowerRoman"/>
      <w:start w:val="1"/>
    </w:lvl>
  </w:abstractNum>
  <w:abstractNum w:abstractNumId="238">
    <w:nsid w:val="11C5ABEF"/>
    <w:multiLevelType w:val="hybridMultilevel"/>
    <w:lvl w:ilvl="0">
      <w:lvlJc w:val="left"/>
      <w:lvlText w:val="%1"/>
      <w:numFmt w:val="lowerLetter"/>
      <w:start w:val="1"/>
    </w:lvl>
    <w:lvl w:ilvl="1">
      <w:lvlJc w:val="left"/>
      <w:lvlText w:val="(%2)"/>
      <w:numFmt w:val="lowerLetter"/>
      <w:start w:val="2"/>
    </w:lvl>
  </w:abstractNum>
  <w:abstractNum w:abstractNumId="239">
    <w:nsid w:val="5A4744BE"/>
    <w:multiLevelType w:val="hybridMultilevel"/>
    <w:lvl w:ilvl="0">
      <w:lvlJc w:val="left"/>
      <w:lvlText w:val="(%1)"/>
      <w:numFmt w:val="lowerLetter"/>
      <w:start w:val="35"/>
    </w:lvl>
    <w:lvl w:ilvl="1">
      <w:lvlJc w:val="left"/>
      <w:lvlText w:val="%2"/>
      <w:numFmt w:val="lowerLetter"/>
      <w:start w:val="1"/>
    </w:lvl>
  </w:abstractNum>
  <w:abstractNum w:abstractNumId="240">
    <w:nsid w:val="1DC4B111"/>
    <w:multiLevelType w:val="hybridMultilevel"/>
    <w:lvl w:ilvl="0">
      <w:lvlJc w:val="left"/>
      <w:lvlText w:val="(%1)"/>
      <w:numFmt w:val="lowerLetter"/>
      <w:start w:val="1"/>
    </w:lvl>
    <w:lvl w:ilvl="1">
      <w:lvlJc w:val="left"/>
      <w:lvlText w:val="(%2)"/>
      <w:numFmt w:val="lowerRoman"/>
      <w:start w:val="1"/>
    </w:lvl>
  </w:abstractNum>
  <w:abstractNum w:abstractNumId="241">
    <w:nsid w:val="4C6E372B"/>
    <w:multiLevelType w:val="hybridMultilevel"/>
    <w:lvl w:ilvl="0">
      <w:lvlJc w:val="left"/>
      <w:lvlText w:val="(%1)"/>
      <w:numFmt w:val="lowerLetter"/>
      <w:start w:val="1"/>
    </w:lvl>
    <w:lvl w:ilvl="1">
      <w:lvlJc w:val="left"/>
      <w:lvlText w:val="(%2)"/>
      <w:numFmt w:val="lowerLetter"/>
      <w:start w:val="7"/>
    </w:lvl>
  </w:abstractNum>
  <w:abstractNum w:abstractNumId="242">
    <w:nsid w:val="10236EF"/>
    <w:multiLevelType w:val="hybridMultilevel"/>
    <w:lvl w:ilvl="0">
      <w:lvlJc w:val="left"/>
      <w:lvlText w:val="(%1)"/>
      <w:numFmt w:val="lowerLetter"/>
      <w:start w:val="8"/>
    </w:lvl>
  </w:abstractNum>
  <w:abstractNum w:abstractNumId="243">
    <w:nsid w:val="68D8526B"/>
    <w:multiLevelType w:val="hybridMultilevel"/>
    <w:lvl w:ilvl="0">
      <w:lvlJc w:val="left"/>
      <w:lvlText w:val="(%1)"/>
      <w:numFmt w:val="lowerLetter"/>
      <w:start w:val="1"/>
    </w:lvl>
  </w:abstractNum>
  <w:abstractNum w:abstractNumId="244">
    <w:nsid w:val="3C8CC138"/>
    <w:multiLevelType w:val="hybridMultilevel"/>
    <w:lvl w:ilvl="0">
      <w:lvlJc w:val="left"/>
      <w:lvlText w:val="(%1)"/>
      <w:numFmt w:val="lowerLetter"/>
      <w:start w:val="2"/>
    </w:lvl>
  </w:abstractNum>
  <w:abstractNum w:abstractNumId="245">
    <w:nsid w:val="42E8C7BE"/>
    <w:multiLevelType w:val="hybridMultilevel"/>
    <w:lvl w:ilvl="0">
      <w:lvlJc w:val="left"/>
      <w:lvlText w:val="(%1)"/>
      <w:numFmt w:val="lowerLetter"/>
      <w:start w:val="8"/>
    </w:lvl>
  </w:abstractNum>
  <w:abstractNum w:abstractNumId="246">
    <w:nsid w:val="653CDC22"/>
    <w:multiLevelType w:val="hybridMultilevel"/>
    <w:lvl w:ilvl="0">
      <w:lvlJc w:val="left"/>
      <w:lvlText w:val="(%1)"/>
      <w:numFmt w:val="lowerLetter"/>
      <w:start w:val="17"/>
    </w:lvl>
  </w:abstractNum>
  <w:abstractNum w:abstractNumId="247">
    <w:nsid w:val="103B2716"/>
    <w:multiLevelType w:val="hybridMultilevel"/>
    <w:lvl w:ilvl="0">
      <w:lvlJc w:val="left"/>
      <w:lvlText w:val="(%1)"/>
      <w:numFmt w:val="lowerLetter"/>
      <w:start w:val="24"/>
    </w:lvl>
  </w:abstractNum>
  <w:abstractNum w:abstractNumId="248">
    <w:nsid w:val="156827FB"/>
    <w:multiLevelType w:val="hybridMultilevel"/>
    <w:lvl w:ilvl="0">
      <w:lvlJc w:val="left"/>
      <w:lvlText w:val="(%1)"/>
      <w:numFmt w:val="lowerLetter"/>
      <w:start w:val="1"/>
    </w:lvl>
    <w:lvl w:ilvl="1">
      <w:lvlJc w:val="left"/>
      <w:lvlText w:val="(%2)"/>
      <w:numFmt w:val="lowerRoman"/>
      <w:start w:val="1"/>
    </w:lvl>
  </w:abstractNum>
  <w:abstractNum w:abstractNumId="249">
    <w:nsid w:val="6350AC35"/>
    <w:multiLevelType w:val="hybridMultilevel"/>
    <w:lvl w:ilvl="0">
      <w:lvlJc w:val="left"/>
      <w:lvlText w:val="(%1)"/>
      <w:numFmt w:val="lowerLetter"/>
      <w:start w:val="1"/>
    </w:lvl>
  </w:abstractNum>
  <w:abstractNum w:abstractNumId="250">
    <w:nsid w:val="767725AB"/>
    <w:multiLevelType w:val="hybridMultilevel"/>
    <w:lvl w:ilvl="0">
      <w:lvlJc w:val="left"/>
      <w:lvlText w:val="(%1)"/>
      <w:numFmt w:val="lowerLetter"/>
      <w:start w:val="1"/>
    </w:lvl>
  </w:abstractNum>
  <w:abstractNum w:abstractNumId="251">
    <w:nsid w:val="4748C06A"/>
    <w:multiLevelType w:val="hybridMultilevel"/>
    <w:lvl w:ilvl="0">
      <w:lvlJc w:val="left"/>
      <w:lvlText w:val="(%1)"/>
      <w:numFmt w:val="lowerLetter"/>
      <w:start w:val="1"/>
    </w:lvl>
  </w:abstractNum>
  <w:abstractNum w:abstractNumId="252">
    <w:nsid w:val="254D9EA9"/>
    <w:multiLevelType w:val="hybridMultilevel"/>
    <w:lvl w:ilvl="0">
      <w:lvlJc w:val="left"/>
      <w:lvlText w:val="(%1)"/>
      <w:numFmt w:val="lowerLetter"/>
      <w:start w:val="2"/>
    </w:lvl>
    <w:lvl w:ilvl="1">
      <w:lvlJc w:val="left"/>
      <w:lvlText w:val="(%2)"/>
      <w:numFmt w:val="lowerLetter"/>
      <w:start w:val="9"/>
    </w:lvl>
  </w:abstractNum>
  <w:abstractNum w:abstractNumId="253">
    <w:nsid w:val="1FBD3AA3"/>
    <w:multiLevelType w:val="hybridMultilevel"/>
    <w:lvl w:ilvl="0">
      <w:lvlJc w:val="left"/>
      <w:lvlText w:val="(%1)"/>
      <w:numFmt w:val="lowerRoman"/>
      <w:start w:val="2"/>
    </w:lvl>
  </w:abstractNum>
  <w:abstractNum w:abstractNumId="254">
    <w:nsid w:val="18C6B4F2"/>
    <w:multiLevelType w:val="hybridMultilevel"/>
    <w:lvl w:ilvl="0">
      <w:lvlJc w:val="left"/>
      <w:lvlText w:val="(%1)"/>
      <w:numFmt w:val="lowerLetter"/>
      <w:start w:val="3"/>
    </w:lvl>
  </w:abstractNum>
  <w:abstractNum w:abstractNumId="255">
    <w:nsid w:val="40BAD55"/>
    <w:multiLevelType w:val="hybridMultilevel"/>
    <w:lvl w:ilvl="0">
      <w:lvlJc w:val="left"/>
      <w:lvlText w:val="(%1)"/>
      <w:numFmt w:val="lowerLetter"/>
      <w:start w:val="1"/>
    </w:lvl>
  </w:abstractNum>
  <w:abstractNum w:abstractNumId="256">
    <w:nsid w:val="E5B2573"/>
    <w:multiLevelType w:val="hybridMultilevel"/>
    <w:lvl w:ilvl="0">
      <w:lvlJc w:val="left"/>
      <w:lvlText w:val="(%1)"/>
      <w:numFmt w:val="lowerLetter"/>
      <w:start w:val="3"/>
    </w:lvl>
  </w:abstractNum>
  <w:abstractNum w:abstractNumId="257">
    <w:nsid w:val="5D175EF2"/>
    <w:multiLevelType w:val="hybridMultilevel"/>
    <w:lvl w:ilvl="0">
      <w:lvlJc w:val="left"/>
      <w:lvlText w:val="(%1)"/>
      <w:numFmt w:val="lowerLetter"/>
      <w:start w:val="1"/>
    </w:lvl>
    <w:lvl w:ilvl="1">
      <w:lvlJc w:val="left"/>
      <w:lvlText w:val="(%2)"/>
      <w:numFmt w:val="lowerRoman"/>
      <w:start w:val="1"/>
    </w:lvl>
  </w:abstractNum>
  <w:abstractNum w:abstractNumId="258">
    <w:nsid w:val="4ED5A137"/>
    <w:multiLevelType w:val="hybridMultilevel"/>
    <w:lvl w:ilvl="0">
      <w:lvlJc w:val="left"/>
      <w:lvlText w:val="(%1)"/>
      <w:numFmt w:val="lowerLetter"/>
      <w:start w:val="2"/>
    </w:lvl>
    <w:lvl w:ilvl="1">
      <w:lvlJc w:val="left"/>
      <w:lvlText w:val="(%2)"/>
      <w:numFmt w:val="lowerRoman"/>
      <w:start w:val="1"/>
    </w:lvl>
  </w:abstractNum>
  <w:abstractNum w:abstractNumId="259">
    <w:nsid w:val="1B1BCCF5"/>
    <w:multiLevelType w:val="hybridMultilevel"/>
    <w:lvl w:ilvl="0">
      <w:lvlJc w:val="left"/>
      <w:lvlText w:val="(%1)"/>
      <w:numFmt w:val="lowerLetter"/>
      <w:start w:val="1"/>
    </w:lvl>
    <w:lvl w:ilvl="1">
      <w:lvlJc w:val="left"/>
      <w:lvlText w:val="(%2)"/>
      <w:numFmt w:val="lowerLetter"/>
      <w:start w:val="9"/>
    </w:lvl>
  </w:abstractNum>
  <w:abstractNum w:abstractNumId="260">
    <w:nsid w:val="56CDFABB"/>
    <w:multiLevelType w:val="hybridMultilevel"/>
    <w:lvl w:ilvl="0">
      <w:lvlJc w:val="left"/>
      <w:lvlText w:val="(%1)"/>
      <w:numFmt w:val="lowerRoman"/>
      <w:start w:val="2"/>
    </w:lvl>
  </w:abstractNum>
  <w:abstractNum w:abstractNumId="261">
    <w:nsid w:val="78466DAF"/>
    <w:multiLevelType w:val="hybridMultilevel"/>
    <w:lvl w:ilvl="0">
      <w:lvlJc w:val="left"/>
      <w:lvlText w:val="(%1)"/>
      <w:numFmt w:val="lowerLetter"/>
      <w:start w:val="2"/>
    </w:lvl>
  </w:abstractNum>
  <w:abstractNum w:abstractNumId="262">
    <w:nsid w:val="64E5E036"/>
    <w:multiLevelType w:val="hybridMultilevel"/>
    <w:lvl w:ilvl="0">
      <w:lvlJc w:val="left"/>
      <w:lvlText w:val="(%1)"/>
      <w:numFmt w:val="lowerLetter"/>
      <w:start w:val="3"/>
    </w:lvl>
  </w:abstractNum>
  <w:abstractNum w:abstractNumId="263">
    <w:nsid w:val="5C5B6C3A"/>
    <w:multiLevelType w:val="hybridMultilevel"/>
    <w:lvl w:ilvl="0">
      <w:lvlJc w:val="left"/>
      <w:lvlText w:val="(%1)"/>
      <w:numFmt w:val="lowerLetter"/>
      <w:start w:val="5"/>
    </w:lvl>
  </w:abstractNum>
  <w:abstractNum w:abstractNumId="264">
    <w:nsid w:val="5D094B84"/>
    <w:multiLevelType w:val="hybridMultilevel"/>
    <w:lvl w:ilvl="0">
      <w:lvlJc w:val="left"/>
      <w:lvlText w:val="(%1)"/>
      <w:numFmt w:val="lowerLetter"/>
      <w:start w:val="1"/>
    </w:lvl>
  </w:abstractNum>
  <w:abstractNum w:abstractNumId="265">
    <w:nsid w:val="272A9914"/>
    <w:multiLevelType w:val="hybridMultilevel"/>
    <w:lvl w:ilvl="0">
      <w:lvlJc w:val="left"/>
      <w:lvlText w:val="(%1)"/>
      <w:numFmt w:val="lowerLetter"/>
      <w:start w:val="2"/>
    </w:lvl>
  </w:abstractNum>
  <w:abstractNum w:abstractNumId="266">
    <w:nsid w:val="52A4773B"/>
    <w:multiLevelType w:val="hybridMultilevel"/>
    <w:lvl w:ilvl="0">
      <w:lvlJc w:val="left"/>
      <w:lvlText w:val="(%1)"/>
      <w:numFmt w:val="lowerLetter"/>
      <w:start w:val="1"/>
    </w:lvl>
  </w:abstractNum>
  <w:abstractNum w:abstractNumId="267">
    <w:nsid w:val="13BAE843"/>
    <w:multiLevelType w:val="hybridMultilevel"/>
    <w:lvl w:ilvl="0">
      <w:lvlJc w:val="left"/>
      <w:lvlText w:val="(%1)"/>
      <w:numFmt w:val="lowerLetter"/>
      <w:start w:val="1"/>
    </w:lvl>
    <w:lvl w:ilvl="1">
      <w:lvlJc w:val="left"/>
      <w:lvlText w:val="(%2)"/>
      <w:numFmt w:val="lowerRoman"/>
      <w:start w:val="1"/>
    </w:lvl>
  </w:abstractNum>
  <w:abstractNum w:abstractNumId="268">
    <w:nsid w:val="B895EBF"/>
    <w:multiLevelType w:val="hybridMultilevel"/>
    <w:lvl w:ilvl="0">
      <w:lvlJc w:val="left"/>
      <w:lvlText w:val="%1"/>
      <w:numFmt w:val="lowerLetter"/>
      <w:start w:val="1"/>
    </w:lvl>
    <w:lvl w:ilvl="1">
      <w:lvlJc w:val="left"/>
      <w:lvlText w:val="(%2)"/>
      <w:numFmt w:val="upperLetter"/>
      <w:start w:val="1"/>
    </w:lvl>
  </w:abstractNum>
  <w:abstractNum w:abstractNumId="269">
    <w:nsid w:val="646A232A"/>
    <w:multiLevelType w:val="hybridMultilevel"/>
    <w:lvl w:ilvl="0">
      <w:lvlJc w:val="left"/>
      <w:lvlText w:val="(%1)"/>
      <w:numFmt w:val="lowerLetter"/>
      <w:start w:val="26"/>
    </w:lvl>
    <w:lvl w:ilvl="1">
      <w:lvlJc w:val="left"/>
      <w:lvlText w:val="(%2)"/>
      <w:numFmt w:val="upperLetter"/>
      <w:start w:val="2"/>
    </w:lvl>
  </w:abstractNum>
  <w:abstractNum w:abstractNumId="270">
    <w:nsid w:val="6E022D01"/>
    <w:multiLevelType w:val="hybridMultilevel"/>
    <w:lvl w:ilvl="0">
      <w:lvlJc w:val="left"/>
      <w:lvlText w:val="(%1)"/>
      <w:numFmt w:val="upperLetter"/>
      <w:start w:val="3"/>
    </w:lvl>
  </w:abstractNum>
  <w:abstractNum w:abstractNumId="271">
    <w:nsid w:val="294E0FD0"/>
    <w:multiLevelType w:val="hybridMultilevel"/>
    <w:lvl w:ilvl="0">
      <w:lvlJc w:val="left"/>
      <w:lvlText w:val="(%1)"/>
      <w:numFmt w:val="upperLetter"/>
      <w:start w:val="5"/>
    </w:lvl>
  </w:abstractNum>
  <w:abstractNum w:abstractNumId="272">
    <w:nsid w:val="30D85A55"/>
    <w:multiLevelType w:val="hybridMultilevel"/>
    <w:lvl w:ilvl="0">
      <w:lvlJc w:val="left"/>
      <w:lvlText w:val="%1"/>
      <w:numFmt w:val="lowerLetter"/>
      <w:start w:val="1"/>
    </w:lvl>
    <w:lvl w:ilvl="1">
      <w:lvlJc w:val="left"/>
      <w:lvlText w:val="(%2)"/>
      <w:numFmt w:val="lowerRoman"/>
      <w:start w:val="4"/>
    </w:lvl>
  </w:abstractNum>
  <w:abstractNum w:abstractNumId="273">
    <w:nsid w:val="6F0463F1"/>
    <w:multiLevelType w:val="hybridMultilevel"/>
    <w:lvl w:ilvl="0">
      <w:lvlJc w:val="left"/>
      <w:lvlText w:val="(%1)"/>
      <w:numFmt w:val="lowerLetter"/>
      <w:start w:val="2"/>
    </w:lvl>
    <w:lvl w:ilvl="1">
      <w:lvlJc w:val="left"/>
      <w:lvlText w:val="%2"/>
      <w:numFmt w:val="lowerRoman"/>
      <w:start w:val="1"/>
    </w:lvl>
  </w:abstractNum>
  <w:abstractNum w:abstractNumId="274">
    <w:nsid w:val="1226623C"/>
    <w:multiLevelType w:val="hybridMultilevel"/>
    <w:lvl w:ilvl="0">
      <w:lvlJc w:val="left"/>
      <w:lvlText w:val="(%1)"/>
      <w:numFmt w:val="lowerLetter"/>
      <w:start w:val="1"/>
    </w:lvl>
  </w:abstractNum>
  <w:abstractNum w:abstractNumId="275">
    <w:nsid w:val="6D651B8D"/>
    <w:multiLevelType w:val="hybridMultilevel"/>
    <w:lvl w:ilvl="0">
      <w:lvlJc w:val="left"/>
      <w:lvlText w:val="(%1)"/>
      <w:numFmt w:val="lowerLetter"/>
      <w:start w:val="2"/>
    </w:lvl>
    <w:lvl w:ilvl="1">
      <w:lvlJc w:val="left"/>
      <w:lvlText w:val="(%2)"/>
      <w:numFmt w:val="lowerRoman"/>
      <w:start w:val="1"/>
    </w:lvl>
  </w:abstractNum>
  <w:abstractNum w:abstractNumId="276">
    <w:nsid w:val="31ED2BAF"/>
    <w:multiLevelType w:val="hybridMultilevel"/>
    <w:lvl w:ilvl="0">
      <w:lvlJc w:val="left"/>
      <w:lvlText w:val="%1"/>
      <w:numFmt w:val="upperLetter"/>
      <w:start w:val="1"/>
    </w:lvl>
    <w:lvl w:ilvl="1">
      <w:lvlJc w:val="left"/>
      <w:lvlText w:val="(%2)"/>
      <w:numFmt w:val="lowerRoman"/>
      <w:start w:val="5"/>
    </w:lvl>
  </w:abstractNum>
  <w:abstractNum w:abstractNumId="277">
    <w:nsid w:val="77633E5E"/>
    <w:multiLevelType w:val="hybridMultilevel"/>
    <w:lvl w:ilvl="0">
      <w:lvlJc w:val="left"/>
      <w:lvlText w:val="(%1)"/>
      <w:numFmt w:val="upperLetter"/>
      <w:start w:val="1"/>
    </w:lvl>
    <w:lvl w:ilvl="1">
      <w:lvlJc w:val="left"/>
      <w:lvlText w:val="(%2)"/>
      <w:numFmt w:val="lowerRoman"/>
      <w:start w:val="6"/>
    </w:lvl>
  </w:abstractNum>
  <w:abstractNum w:abstractNumId="278">
    <w:nsid w:val="7DA042A3"/>
    <w:multiLevelType w:val="hybridMultilevel"/>
    <w:lvl w:ilvl="0">
      <w:lvlJc w:val="left"/>
      <w:lvlText w:val="(%1)"/>
      <w:numFmt w:val="lowerLetter"/>
      <w:start w:val="3"/>
    </w:lvl>
  </w:abstractNum>
  <w:abstractNum w:abstractNumId="279">
    <w:nsid w:val="475553AB"/>
    <w:multiLevelType w:val="hybridMultilevel"/>
    <w:lvl w:ilvl="0">
      <w:lvlJc w:val="left"/>
      <w:lvlText w:val="(%1)"/>
      <w:numFmt w:val="lowerLetter"/>
      <w:start w:val="1"/>
    </w:lvl>
  </w:abstractNum>
  <w:abstractNum w:abstractNumId="280">
    <w:nsid w:val="5AB3EA93"/>
    <w:multiLevelType w:val="hybridMultilevel"/>
    <w:lvl w:ilvl="0">
      <w:lvlJc w:val="left"/>
      <w:lvlText w:val="(%1)"/>
      <w:numFmt w:val="lowerLetter"/>
      <w:start w:val="2"/>
    </w:lvl>
  </w:abstractNum>
  <w:abstractNum w:abstractNumId="281">
    <w:nsid w:val="7417684F"/>
    <w:multiLevelType w:val="hybridMultilevel"/>
    <w:lvl w:ilvl="0">
      <w:lvlJc w:val="left"/>
      <w:lvlText w:val="(%1)"/>
      <w:numFmt w:val="lowerLetter"/>
      <w:start w:val="3"/>
    </w:lvl>
  </w:abstractNum>
  <w:abstractNum w:abstractNumId="282">
    <w:nsid w:val="E9E1415"/>
    <w:multiLevelType w:val="hybridMultilevel"/>
    <w:lvl w:ilvl="0">
      <w:lvlJc w:val="left"/>
      <w:lvlText w:val="%1"/>
      <w:numFmt w:val="lowerLetter"/>
      <w:start w:val="1"/>
    </w:lvl>
    <w:lvl w:ilvl="1">
      <w:lvlJc w:val="left"/>
      <w:lvlText w:val="(%2)"/>
      <w:numFmt w:val="lowerRoman"/>
      <w:start w:val="1"/>
    </w:lvl>
  </w:abstractNum>
  <w:abstractNum w:abstractNumId="283">
    <w:nsid w:val="1893D"/>
    <w:multiLevelType w:val="hybridMultilevel"/>
    <w:lvl w:ilvl="0">
      <w:lvlJc w:val="left"/>
      <w:lvlText w:val="(%1)"/>
      <w:numFmt w:val="lowerLetter"/>
      <w:start w:val="4"/>
    </w:lvl>
    <w:lvl w:ilvl="1">
      <w:lvlJc w:val="left"/>
      <w:lvlText w:val="%2"/>
      <w:numFmt w:val="lowerRoman"/>
      <w:start w:val="1"/>
    </w:lvl>
  </w:abstractNum>
  <w:abstractNum w:abstractNumId="284">
    <w:nsid w:val="13D4A2F2"/>
    <w:multiLevelType w:val="hybridMultilevel"/>
    <w:lvl w:ilvl="0">
      <w:lvlJc w:val="left"/>
      <w:lvlText w:val="(%1)"/>
      <w:numFmt w:val="lowerLetter"/>
      <w:start w:val="6"/>
    </w:lvl>
  </w:abstractNum>
  <w:abstractNum w:abstractNumId="285">
    <w:nsid w:val="2764C907"/>
    <w:multiLevelType w:val="hybridMultilevel"/>
    <w:lvl w:ilvl="0">
      <w:lvlJc w:val="left"/>
      <w:lvlText w:val="(%1)"/>
      <w:numFmt w:val="lowerLetter"/>
      <w:start w:val="8"/>
    </w:lvl>
  </w:abstractNum>
  <w:abstractNum w:abstractNumId="286">
    <w:nsid w:val="40D3692"/>
    <w:multiLevelType w:val="hybridMultilevel"/>
    <w:lvl w:ilvl="0">
      <w:lvlJc w:val="left"/>
      <w:lvlText w:val="(%1)"/>
      <w:numFmt w:val="lowerRoman"/>
      <w:start w:val="1"/>
    </w:lvl>
  </w:abstractNum>
  <w:abstractNum w:abstractNumId="287">
    <w:nsid w:val="222FC865"/>
    <w:multiLevelType w:val="hybridMultilevel"/>
    <w:lvl w:ilvl="0">
      <w:lvlJc w:val="left"/>
      <w:lvlText w:val="%1"/>
      <w:numFmt w:val="lowerLetter"/>
      <w:start w:val="1"/>
    </w:lvl>
    <w:lvl w:ilvl="1">
      <w:lvlJc w:val="left"/>
      <w:lvlText w:val="(%2)"/>
      <w:numFmt w:val="lowerLetter"/>
      <w:start w:val="35"/>
    </w:lvl>
  </w:abstractNum>
  <w:abstractNum w:abstractNumId="288">
    <w:nsid w:val="47C27FA"/>
    <w:multiLevelType w:val="hybridMultilevel"/>
    <w:lvl w:ilvl="0">
      <w:lvlJc w:val="left"/>
      <w:lvlText w:val="(%1)"/>
      <w:numFmt w:val="lowerLetter"/>
      <w:start w:val="11"/>
    </w:lvl>
    <w:lvl w:ilvl="1">
      <w:lvlJc w:val="left"/>
      <w:lvlText w:val="(%2)"/>
      <w:numFmt w:val="lowerLetter"/>
      <w:start w:val="9"/>
    </w:lvl>
  </w:abstractNum>
  <w:abstractNum w:abstractNumId="289">
    <w:nsid w:val="52E2D7C9"/>
    <w:multiLevelType w:val="hybridMultilevel"/>
    <w:lvl w:ilvl="0">
      <w:lvlJc w:val="left"/>
      <w:lvlText w:val="(%1)"/>
      <w:numFmt w:val="upperLetter"/>
      <w:start w:val="1"/>
    </w:lvl>
  </w:abstractNum>
  <w:abstractNum w:abstractNumId="290">
    <w:nsid w:val="3D4B955A"/>
    <w:multiLevelType w:val="hybridMultilevel"/>
    <w:lvl w:ilvl="0">
      <w:lvlJc w:val="left"/>
      <w:lvlText w:val="(%1)"/>
      <w:numFmt w:val="lowerRoman"/>
      <w:start w:val="2"/>
    </w:lvl>
  </w:abstractNum>
  <w:abstractNum w:abstractNumId="291">
    <w:nsid w:val="5B4A22B5"/>
    <w:multiLevelType w:val="hybridMultilevel"/>
    <w:lvl w:ilvl="0">
      <w:lvlJc w:val="left"/>
      <w:lvlText w:val="(%1)"/>
      <w:numFmt w:val="lowerLetter"/>
      <w:start w:val="12"/>
    </w:lvl>
  </w:abstractNum>
  <w:abstractNum w:abstractNumId="292">
    <w:nsid w:val="4B294578"/>
    <w:multiLevelType w:val="hybridMultilevel"/>
    <w:lvl w:ilvl="0">
      <w:lvlJc w:val="left"/>
      <w:lvlText w:val="(%1)"/>
      <w:numFmt w:val="lowerLetter"/>
      <w:start w:val="15"/>
    </w:lvl>
  </w:abstractNum>
  <w:abstractNum w:abstractNumId="293">
    <w:nsid w:val="22317590"/>
    <w:multiLevelType w:val="hybridMultilevel"/>
    <w:lvl w:ilvl="0">
      <w:lvlJc w:val="left"/>
      <w:lvlText w:val="(%1)"/>
      <w:numFmt w:val="lowerLetter"/>
      <w:start w:val="1"/>
    </w:lvl>
  </w:abstractNum>
  <w:abstractNum w:abstractNumId="294">
    <w:nsid w:val="37A58EEF"/>
    <w:multiLevelType w:val="hybridMultilevel"/>
    <w:lvl w:ilvl="0">
      <w:lvlJc w:val="left"/>
      <w:lvlText w:val="(%1)"/>
      <w:numFmt w:val="lowerLetter"/>
      <w:start w:val="2"/>
    </w:lvl>
  </w:abstractNum>
  <w:abstractNum w:abstractNumId="295">
    <w:nsid w:val="283290FD"/>
    <w:multiLevelType w:val="hybridMultilevel"/>
    <w:lvl w:ilvl="0">
      <w:lvlJc w:val="left"/>
      <w:lvlText w:val="(%1)"/>
      <w:numFmt w:val="lowerLetter"/>
      <w:start w:val="5"/>
    </w:lvl>
  </w:abstractNum>
  <w:abstractNum w:abstractNumId="296">
    <w:nsid w:val="495C0EA5"/>
    <w:multiLevelType w:val="hybridMultilevel"/>
    <w:lvl w:ilvl="0">
      <w:lvlJc w:val="left"/>
      <w:lvlText w:val="(%1)"/>
      <w:numFmt w:val="lowerLetter"/>
      <w:start w:val="1"/>
    </w:lvl>
  </w:abstractNum>
  <w:abstractNum w:abstractNumId="297">
    <w:nsid w:val="A4A062B"/>
    <w:multiLevelType w:val="hybridMultilevel"/>
    <w:lvl w:ilvl="0">
      <w:lvlJc w:val="left"/>
      <w:lvlText w:val="(%1)"/>
      <w:numFmt w:val="lowerLetter"/>
      <w:start w:val="4"/>
    </w:lvl>
  </w:abstractNum>
  <w:abstractNum w:abstractNumId="298">
    <w:nsid w:val="3BED7940"/>
    <w:multiLevelType w:val="hybridMultilevel"/>
    <w:lvl w:ilvl="0">
      <w:lvlJc w:val="left"/>
      <w:lvlText w:val="(%1)"/>
      <w:numFmt w:val="lowerLetter"/>
      <w:start w:val="6"/>
    </w:lvl>
  </w:abstractNum>
  <w:abstractNum w:abstractNumId="299">
    <w:nsid w:val="54E56D64"/>
    <w:multiLevelType w:val="hybridMultilevel"/>
    <w:lvl w:ilvl="0">
      <w:lvlJc w:val="left"/>
      <w:lvlText w:val="(%1)"/>
      <w:numFmt w:val="lowerRoman"/>
      <w:start w:val="1"/>
    </w:lvl>
    <w:lvl w:ilvl="1">
      <w:lvlJc w:val="left"/>
      <w:lvlText w:val="(%2)"/>
      <w:numFmt w:val="lowerRoman"/>
      <w:start w:val="1"/>
    </w:lvl>
  </w:abstractNum>
  <w:abstractNum w:abstractNumId="300">
    <w:nsid w:val="6EB42955"/>
    <w:multiLevelType w:val="hybridMultilevel"/>
    <w:lvl w:ilvl="0">
      <w:lvlJc w:val="left"/>
      <w:lvlText w:val="(%1)"/>
      <w:numFmt w:val="upperLetter"/>
      <w:start w:val="1"/>
    </w:lvl>
  </w:abstractNum>
  <w:abstractNum w:abstractNumId="301">
    <w:nsid w:val="29EFA642"/>
    <w:multiLevelType w:val="hybridMultilevel"/>
    <w:lvl w:ilvl="0">
      <w:lvlJc w:val="left"/>
      <w:lvlText w:val="(%1)"/>
      <w:numFmt w:val="lowerRoman"/>
      <w:start w:val="3"/>
    </w:lvl>
  </w:abstractNum>
  <w:abstractNum w:abstractNumId="302">
    <w:nsid w:val="7E337D35"/>
    <w:multiLevelType w:val="hybridMultilevel"/>
    <w:lvl w:ilvl="0">
      <w:lvlJc w:val="left"/>
      <w:lvlText w:val="(%1)"/>
      <w:numFmt w:val="lowerLetter"/>
      <w:start w:val="1"/>
    </w:lvl>
  </w:abstractNum>
  <w:abstractNum w:abstractNumId="303">
    <w:nsid w:val="1F8C83AB"/>
    <w:multiLevelType w:val="hybridMultilevel"/>
    <w:lvl w:ilvl="0">
      <w:lvlJc w:val="left"/>
      <w:lvlText w:val="%1"/>
      <w:numFmt w:val="lowerRoman"/>
      <w:start w:val="1"/>
    </w:lvl>
    <w:lvl w:ilvl="1">
      <w:lvlJc w:val="left"/>
      <w:lvlText w:val="(%2)"/>
      <w:numFmt w:val="lowerLetter"/>
      <w:start w:val="2"/>
    </w:lvl>
  </w:abstractNum>
  <w:abstractNum w:abstractNumId="304">
    <w:nsid w:val="18F40A33"/>
    <w:multiLevelType w:val="hybridMultilevel"/>
    <w:lvl w:ilvl="0">
      <w:lvlJc w:val="left"/>
      <w:lvlText w:val="(%1)"/>
      <w:numFmt w:val="lowerRoman"/>
      <w:start w:val="6"/>
    </w:lvl>
    <w:lvl w:ilvl="1">
      <w:lvlJc w:val="left"/>
      <w:lvlText w:val="%2"/>
      <w:numFmt w:val="lowerLetter"/>
      <w:start w:val="1"/>
    </w:lvl>
  </w:abstractNum>
  <w:abstractNum w:abstractNumId="305">
    <w:nsid w:val="1059DF71"/>
    <w:multiLevelType w:val="hybridMultilevel"/>
    <w:lvl w:ilvl="0">
      <w:lvlJc w:val="left"/>
      <w:lvlText w:val="(%1)"/>
      <w:numFmt w:val="lowerLetter"/>
      <w:start w:val="1"/>
    </w:lvl>
  </w:abstractNum>
  <w:abstractNum w:abstractNumId="306">
    <w:nsid w:val="CF19F3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7">
    <w:nsid w:val="4AE135E2"/>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08">
    <w:nsid w:val="7BD1DCF"/>
    <w:multiLevelType w:val="hybridMultilevel"/>
    <w:lvl w:ilvl="0">
      <w:lvlJc w:val="left"/>
      <w:lvlText w:val="%1"/>
      <w:numFmt w:val="lowerLetter"/>
      <w:start w:val="1"/>
    </w:lvl>
    <w:lvl w:ilvl="1">
      <w:lvlJc w:val="left"/>
      <w:lvlText w:val="(%2)"/>
      <w:numFmt w:val="lowerLetter"/>
      <w:start w:val="61"/>
    </w:lvl>
  </w:abstractNum>
  <w:abstractNum w:abstractNumId="309">
    <w:nsid w:val="A91E1DC"/>
    <w:multiLevelType w:val="hybridMultilevel"/>
    <w:lvl w:ilvl="0">
      <w:lvlJc w:val="left"/>
      <w:lvlText w:val="(%1)"/>
      <w:numFmt w:val="lowerLetter"/>
      <w:start w:val="6"/>
    </w:lvl>
    <w:lvl w:ilvl="1">
      <w:lvlJc w:val="left"/>
      <w:lvlText w:val="(%2)"/>
      <w:numFmt w:val="lowerLetter"/>
      <w:start w:val="9"/>
    </w:lvl>
  </w:abstractNum>
  <w:abstractNum w:abstractNumId="310">
    <w:nsid w:val="1236898D"/>
    <w:multiLevelType w:val="hybridMultilevel"/>
    <w:lvl w:ilvl="0">
      <w:lvlJc w:val="left"/>
      <w:lvlText w:val="%1"/>
      <w:numFmt w:val="lowerLetter"/>
      <w:start w:val="1"/>
    </w:lvl>
    <w:lvl w:ilvl="1">
      <w:lvlJc w:val="left"/>
      <w:lvlText w:val="(%2)"/>
      <w:numFmt w:val="lowerLetter"/>
      <w:start w:val="35"/>
    </w:lvl>
  </w:abstractNum>
  <w:abstractNum w:abstractNumId="311">
    <w:nsid w:val="62710862"/>
    <w:multiLevelType w:val="hybridMultilevel"/>
    <w:lvl w:ilvl="0">
      <w:lvlJc w:val="left"/>
      <w:lvlText w:val="(%1)"/>
      <w:numFmt w:val="lowerLetter"/>
      <w:start w:val="7"/>
    </w:lvl>
    <w:lvl w:ilvl="1">
      <w:lvlJc w:val="left"/>
      <w:lvlText w:val="%2"/>
      <w:numFmt w:val="lowerLetter"/>
      <w:start w:val="1"/>
    </w:lvl>
  </w:abstractNum>
  <w:abstractNum w:abstractNumId="312">
    <w:nsid w:val="7EA94A2B"/>
    <w:multiLevelType w:val="hybridMultilevel"/>
    <w:lvl w:ilvl="0">
      <w:lvlJc w:val="left"/>
      <w:lvlText w:val="(%1)"/>
      <w:numFmt w:val="lowerLetter"/>
      <w:start w:val="1"/>
    </w:lvl>
    <w:lvl w:ilvl="1">
      <w:lvlJc w:val="left"/>
      <w:lvlText w:val="(%2)"/>
      <w:numFmt w:val="lowerRoman"/>
      <w:start w:val="1"/>
    </w:lvl>
  </w:abstractNum>
  <w:abstractNum w:abstractNumId="313">
    <w:nsid w:val="20D49DA3"/>
    <w:multiLevelType w:val="hybridMultilevel"/>
    <w:lvl w:ilvl="0">
      <w:lvlJc w:val="left"/>
      <w:lvlText w:val="%1"/>
      <w:numFmt w:val="decimal"/>
      <w:start w:val="1"/>
    </w:lvl>
    <w:lvl w:ilvl="1">
      <w:lvlJc w:val="left"/>
      <w:lvlText w:val="(%2)"/>
      <w:numFmt w:val="lowerRoman"/>
      <w:start w:val="6"/>
    </w:lvl>
  </w:abstractNum>
  <w:abstractNum w:abstractNumId="314">
    <w:nsid w:val="6272919F"/>
    <w:multiLevelType w:val="hybridMultilevel"/>
    <w:lvl w:ilvl="0">
      <w:lvlJc w:val="left"/>
      <w:lvlText w:val="(%1)"/>
      <w:numFmt w:val="decimal"/>
      <w:start w:val="3"/>
    </w:lvl>
    <w:lvl w:ilvl="1">
      <w:lvlJc w:val="left"/>
      <w:lvlText w:val="(%2)"/>
      <w:numFmt w:val="lowerRoman"/>
      <w:start w:val="7"/>
    </w:lvl>
  </w:abstractNum>
  <w:abstractNum w:abstractNumId="315">
    <w:nsid w:val="127DED1D"/>
    <w:multiLevelType w:val="hybridMultilevel"/>
    <w:lvl w:ilvl="0">
      <w:lvlJc w:val="left"/>
      <w:lvlText w:val="(%1)"/>
      <w:numFmt w:val="lowerRoman"/>
      <w:start w:val="8"/>
    </w:lvl>
  </w:abstractNum>
  <w:abstractNum w:abstractNumId="316">
    <w:nsid w:val="483966AA"/>
    <w:multiLevelType w:val="hybridMultilevel"/>
    <w:lvl w:ilvl="0">
      <w:lvlJc w:val="left"/>
      <w:lvlText w:val="(%1)"/>
      <w:numFmt w:val="lowerRoman"/>
      <w:start w:val="10"/>
    </w:lvl>
  </w:abstractNum>
  <w:abstractNum w:abstractNumId="317">
    <w:nsid w:val="667FC831"/>
    <w:multiLevelType w:val="hybridMultilevel"/>
    <w:lvl w:ilvl="0">
      <w:lvlJc w:val="left"/>
      <w:lvlText w:val="%1"/>
      <w:numFmt w:val="lowerLetter"/>
      <w:start w:val="1"/>
    </w:lvl>
    <w:lvl w:ilvl="1">
      <w:lvlJc w:val="left"/>
      <w:lvlText w:val="(%2)"/>
      <w:numFmt w:val="lowerRoman"/>
      <w:start w:val="18"/>
    </w:lvl>
  </w:abstractNum>
  <w:abstractNum w:abstractNumId="318">
    <w:nsid w:val="34ADB582"/>
    <w:multiLevelType w:val="hybridMultilevel"/>
    <w:lvl w:ilvl="0">
      <w:lvlJc w:val="left"/>
      <w:lvlText w:val="(%1)"/>
      <w:numFmt w:val="lowerLetter"/>
      <w:start w:val="2"/>
    </w:lvl>
    <w:lvl w:ilvl="1">
      <w:lvlJc w:val="left"/>
      <w:lvlText w:val="%2"/>
      <w:numFmt w:val="lowerRoman"/>
      <w:start w:val="1"/>
    </w:lvl>
  </w:abstractNum>
  <w:abstractNum w:abstractNumId="319">
    <w:nsid w:val="4CB58EA4"/>
    <w:multiLevelType w:val="hybridMultilevel"/>
    <w:lvl w:ilvl="0">
      <w:lvlJc w:val="left"/>
      <w:lvlText w:val="(%1)"/>
      <w:numFmt w:val="lowerLetter"/>
      <w:start w:val="4"/>
    </w:lvl>
  </w:abstractNum>
  <w:abstractNum w:abstractNumId="320">
    <w:nsid w:val="39629FFA"/>
    <w:multiLevelType w:val="hybridMultilevel"/>
    <w:lvl w:ilvl="0">
      <w:lvlJc w:val="left"/>
      <w:lvlText w:val="(%1)"/>
      <w:numFmt w:val="lowerLetter"/>
      <w:start w:val="7"/>
    </w:lvl>
  </w:abstractNum>
  <w:abstractNum w:abstractNumId="321">
    <w:nsid w:val="71F94ADC"/>
    <w:multiLevelType w:val="hybridMultilevel"/>
    <w:lvl w:ilvl="0">
      <w:lvlJc w:val="left"/>
      <w:lvlText w:val="%1"/>
      <w:numFmt w:val="lowerRoman"/>
      <w:start w:val="1"/>
    </w:lvl>
    <w:lvl w:ilvl="1">
      <w:lvlJc w:val="left"/>
      <w:lvlText w:val="(%2)"/>
      <w:numFmt w:val="lowerLetter"/>
      <w:start w:val="12"/>
    </w:lvl>
  </w:abstractNum>
  <w:abstractNum w:abstractNumId="322">
    <w:nsid w:val="27FFB15A"/>
    <w:multiLevelType w:val="hybridMultilevel"/>
    <w:lvl w:ilvl="0">
      <w:lvlJc w:val="left"/>
      <w:lvlText w:val="(%1)"/>
      <w:numFmt w:val="lowerRoman"/>
      <w:start w:val="4"/>
    </w:lvl>
    <w:lvl w:ilvl="1">
      <w:lvlJc w:val="left"/>
      <w:lvlText w:val="%2"/>
      <w:numFmt w:val="lowerLetter"/>
      <w:start w:val="1"/>
    </w:lvl>
  </w:abstractNum>
  <w:abstractNum w:abstractNumId="323">
    <w:nsid w:val="48BE573"/>
    <w:multiLevelType w:val="hybridMultilevel"/>
    <w:lvl w:ilvl="0">
      <w:lvlJc w:val="left"/>
      <w:lvlText w:val="(%1)"/>
      <w:numFmt w:val="lowerLetter"/>
      <w:start w:val="13"/>
    </w:lvl>
  </w:abstractNum>
  <w:abstractNum w:abstractNumId="324">
    <w:nsid w:val="142AC06C"/>
    <w:multiLevelType w:val="hybridMultilevel"/>
    <w:lvl w:ilvl="0">
      <w:lvlJc w:val="left"/>
      <w:lvlText w:val="(%1)"/>
      <w:numFmt w:val="lowerLetter"/>
      <w:start w:val="1"/>
    </w:lvl>
  </w:abstractNum>
  <w:abstractNum w:abstractNumId="325">
    <w:nsid w:val="5FA54049"/>
    <w:multiLevelType w:val="hybridMultilevel"/>
    <w:lvl w:ilvl="0">
      <w:lvlJc w:val="left"/>
      <w:lvlText w:val="(%1)"/>
      <w:numFmt w:val="lowerLetter"/>
      <w:start w:val="2"/>
    </w:lvl>
  </w:abstractNum>
  <w:abstractNum w:abstractNumId="326">
    <w:nsid w:val="2CBE7670"/>
    <w:multiLevelType w:val="hybridMultilevel"/>
    <w:lvl w:ilvl="0">
      <w:lvlJc w:val="left"/>
      <w:lvlText w:val="(%1)"/>
      <w:numFmt w:val="lowerLetter"/>
      <w:start w:val="1"/>
    </w:lvl>
  </w:abstractNum>
  <w:abstractNum w:abstractNumId="327">
    <w:nsid w:val="5D86CF11"/>
    <w:multiLevelType w:val="hybridMultilevel"/>
    <w:lvl w:ilvl="0">
      <w:lvlJc w:val="left"/>
      <w:lvlText w:val="(%1)"/>
      <w:numFmt w:val="lowerLetter"/>
      <w:start w:val="3"/>
    </w:lvl>
  </w:abstractNum>
  <w:abstractNum w:abstractNumId="328">
    <w:nsid w:val="69EF4674"/>
    <w:multiLevelType w:val="hybridMultilevel"/>
    <w:lvl w:ilvl="0">
      <w:lvlJc w:val="left"/>
      <w:lvlText w:val="(%1)"/>
      <w:numFmt w:val="lowerLetter"/>
      <w:start w:val="1"/>
    </w:lvl>
  </w:abstractNum>
  <w:abstractNum w:abstractNumId="329">
    <w:nsid w:val="68ABEFB0"/>
    <w:multiLevelType w:val="hybridMultilevel"/>
    <w:lvl w:ilvl="0">
      <w:lvlJc w:val="left"/>
      <w:lvlText w:val="(%1)"/>
      <w:numFmt w:val="lowerLetter"/>
      <w:start w:val="1"/>
    </w:lvl>
  </w:abstractNum>
  <w:abstractNum w:abstractNumId="330">
    <w:nsid w:val="326C3C76"/>
    <w:multiLevelType w:val="hybridMultilevel"/>
    <w:lvl w:ilvl="0">
      <w:lvlJc w:val="left"/>
      <w:lvlText w:val="(%1)"/>
      <w:numFmt w:val="lowerLetter"/>
      <w:start w:val="1"/>
    </w:lvl>
    <w:lvl w:ilvl="1">
      <w:lvlJc w:val="left"/>
      <w:lvlText w:val="(%2)"/>
      <w:numFmt w:val="lowerLetter"/>
      <w:start w:val="2"/>
    </w:lvl>
  </w:abstractNum>
  <w:abstractNum w:abstractNumId="331">
    <w:nsid w:val="58A36FCA"/>
    <w:multiLevelType w:val="hybridMultilevel"/>
    <w:lvl w:ilvl="0">
      <w:lvlJc w:val="left"/>
      <w:lvlText w:val="(%1)"/>
      <w:numFmt w:val="lowerLetter"/>
      <w:start w:val="3"/>
    </w:lvl>
  </w:abstractNum>
  <w:abstractNum w:abstractNumId="332">
    <w:nsid w:val="129B95F2"/>
    <w:multiLevelType w:val="hybridMultilevel"/>
    <w:lvl w:ilvl="0">
      <w:lvlJc w:val="left"/>
      <w:lvlText w:val="(%1)"/>
      <w:numFmt w:val="lowerLetter"/>
      <w:start w:val="1"/>
    </w:lvl>
  </w:abstractNum>
  <w:abstractNum w:abstractNumId="333">
    <w:nsid w:val="309FB9AB"/>
    <w:multiLevelType w:val="hybridMultilevel"/>
    <w:lvl w:ilvl="0">
      <w:lvlJc w:val="left"/>
      <w:lvlText w:val="(%1)"/>
      <w:numFmt w:val="lowerLetter"/>
      <w:start w:val="1"/>
    </w:lvl>
  </w:abstractNum>
  <w:abstractNum w:abstractNumId="334">
    <w:nsid w:val="782FF375"/>
    <w:multiLevelType w:val="hybridMultilevel"/>
    <w:lvl w:ilvl="0">
      <w:lvlJc w:val="left"/>
      <w:lvlText w:val="(%1)"/>
      <w:numFmt w:val="lowerLetter"/>
      <w:start w:val="1"/>
    </w:lvl>
    <w:lvl w:ilvl="1">
      <w:lvlJc w:val="left"/>
      <w:lvlText w:val="(%2)"/>
      <w:numFmt w:val="lowerRoman"/>
      <w:start w:val="1"/>
    </w:lvl>
  </w:abstractNum>
  <w:abstractNum w:abstractNumId="335">
    <w:nsid w:val="2B8FA025"/>
    <w:multiLevelType w:val="hybridMultilevel"/>
    <w:lvl w:ilvl="0">
      <w:lvlJc w:val="left"/>
      <w:lvlText w:val="%1"/>
      <w:numFmt w:val="lowerLetter"/>
      <w:start w:val="1"/>
    </w:lvl>
    <w:lvl w:ilvl="1">
      <w:lvlJc w:val="left"/>
      <w:lvlText w:val="(%2)"/>
      <w:numFmt w:val="lowerRoman"/>
      <w:start w:val="4"/>
    </w:lvl>
  </w:abstractNum>
  <w:abstractNum w:abstractNumId="336">
    <w:nsid w:val="40F9991C"/>
    <w:multiLevelType w:val="hybridMultilevel"/>
    <w:lvl w:ilvl="0">
      <w:lvlJc w:val="left"/>
      <w:lvlText w:val="(%1)"/>
      <w:numFmt w:val="lowerLetter"/>
      <w:start w:val="2"/>
    </w:lvl>
    <w:lvl w:ilvl="1">
      <w:lvlJc w:val="left"/>
      <w:lvlText w:val="%2"/>
      <w:numFmt w:val="lowerRoman"/>
      <w:start w:val="1"/>
    </w:lvl>
  </w:abstractNum>
  <w:abstractNum w:abstractNumId="337">
    <w:nsid w:val="52192AD"/>
    <w:multiLevelType w:val="hybridMultilevel"/>
    <w:lvl w:ilvl="0">
      <w:lvlJc w:val="left"/>
      <w:lvlText w:val="(%1)"/>
      <w:numFmt w:val="lowerLetter"/>
      <w:start w:val="1"/>
    </w:lvl>
  </w:abstractNum>
  <w:abstractNum w:abstractNumId="338">
    <w:nsid w:val="7670D608"/>
    <w:multiLevelType w:val="hybridMultilevel"/>
    <w:lvl w:ilvl="0">
      <w:lvlJc w:val="left"/>
      <w:lvlText w:val="(%1)"/>
      <w:numFmt w:val="lowerLetter"/>
      <w:start w:val="3"/>
    </w:lvl>
    <w:lvl w:ilvl="1">
      <w:lvlJc w:val="left"/>
      <w:lvlText w:val="(%2)"/>
      <w:numFmt w:val="lowerRoman"/>
      <w:start w:val="1"/>
    </w:lvl>
  </w:abstractNum>
  <w:abstractNum w:abstractNumId="339">
    <w:nsid w:val="48B6B6EB"/>
    <w:multiLevelType w:val="hybridMultilevel"/>
    <w:lvl w:ilvl="0">
      <w:lvlJc w:val="left"/>
      <w:lvlText w:val="%1"/>
      <w:numFmt w:val="lowerLetter"/>
      <w:start w:val="1"/>
    </w:lvl>
    <w:lvl w:ilvl="1">
      <w:lvlJc w:val="left"/>
      <w:lvlText w:val="(%2)"/>
      <w:numFmt w:val="lowerLetter"/>
      <w:start w:val="61"/>
    </w:lvl>
  </w:abstractNum>
  <w:abstractNum w:abstractNumId="340">
    <w:nsid w:val="FB37489"/>
    <w:multiLevelType w:val="hybridMultilevel"/>
    <w:lvl w:ilvl="0">
      <w:lvlJc w:val="left"/>
      <w:lvlText w:val="(%1)"/>
      <w:numFmt w:val="lowerLetter"/>
      <w:start w:val="5"/>
    </w:lvl>
    <w:lvl w:ilvl="1">
      <w:lvlJc w:val="left"/>
      <w:lvlText w:val="(%2)"/>
      <w:numFmt w:val="lowerLetter"/>
      <w:start w:val="9"/>
    </w:lvl>
  </w:abstractNum>
  <w:abstractNum w:abstractNumId="341">
    <w:nsid w:val="8A75F9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42">
    <w:nsid w:val="2B27BF4D"/>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1"/>
    </w:lvl>
  </w:abstractNum>
  <w:abstractNum w:abstractNumId="343">
    <w:nsid w:val="E5CBEB4"/>
    <w:multiLevelType w:val="hybridMultilevel"/>
    <w:lvl w:ilvl="0">
      <w:lvlJc w:val="left"/>
      <w:lvlText w:val="(%1)"/>
      <w:numFmt w:val="lowerRoman"/>
      <w:start w:val="1"/>
    </w:lvl>
  </w:abstractNum>
  <w:abstractNum w:abstractNumId="344">
    <w:nsid w:val="297BFD38"/>
    <w:multiLevelType w:val="hybridMultilevel"/>
    <w:lvl w:ilvl="0">
      <w:lvlJc w:val="left"/>
      <w:lvlText w:val="(%1)"/>
      <w:numFmt w:val="lowerLetter"/>
      <w:start w:val="10"/>
    </w:lvl>
  </w:abstractNum>
  <w:abstractNum w:abstractNumId="345">
    <w:nsid w:val="D9A50ED"/>
    <w:multiLevelType w:val="hybridMultilevel"/>
    <w:lvl w:ilvl="0">
      <w:lvlJc w:val="left"/>
      <w:lvlText w:val="%1"/>
      <w:numFmt w:val="lowerLetter"/>
      <w:start w:val="1"/>
    </w:lvl>
    <w:lvl w:ilvl="1">
      <w:lvlJc w:val="left"/>
      <w:lvlText w:val="(%2)"/>
      <w:numFmt w:val="lowerLetter"/>
      <w:start w:val="1"/>
    </w:lvl>
  </w:abstractNum>
  <w:abstractNum w:abstractNumId="346">
    <w:nsid w:val="20DAABD1"/>
    <w:multiLevelType w:val="hybridMultilevel"/>
    <w:lvl w:ilvl="0">
      <w:lvlJc w:val="left"/>
      <w:lvlText w:val="(%1)"/>
      <w:numFmt w:val="lowerLetter"/>
      <w:start w:val="35"/>
    </w:lvl>
    <w:lvl w:ilvl="1">
      <w:lvlJc w:val="left"/>
      <w:lvlText w:val="%2"/>
      <w:numFmt w:val="lowerLetter"/>
      <w:start w:val="1"/>
    </w:lvl>
  </w:abstractNum>
  <w:abstractNum w:abstractNumId="347">
    <w:nsid w:val="71B563E3"/>
    <w:multiLevelType w:val="hybridMultilevel"/>
    <w:lvl w:ilvl="0">
      <w:lvlJc w:val="left"/>
      <w:lvlText w:val="(%1)"/>
      <w:numFmt w:val="lowerLetter"/>
      <w:start w:val="2"/>
    </w:lvl>
  </w:abstractNum>
  <w:abstractNum w:abstractNumId="348">
    <w:nsid w:val="741A191E"/>
    <w:multiLevelType w:val="hybridMultilevel"/>
    <w:lvl w:ilvl="0">
      <w:lvlJc w:val="left"/>
      <w:lvlText w:val="(%1)"/>
      <w:numFmt w:val="lowerLetter"/>
      <w:start w:val="1"/>
    </w:lvl>
  </w:abstractNum>
  <w:abstractNum w:abstractNumId="349">
    <w:nsid w:val="55886153"/>
    <w:multiLevelType w:val="hybridMultilevel"/>
    <w:lvl w:ilvl="0">
      <w:lvlJc w:val="left"/>
      <w:lvlText w:val="(%1)"/>
      <w:numFmt w:val="lowerLetter"/>
      <w:start w:val="4"/>
    </w:lvl>
  </w:abstractNum>
  <w:abstractNum w:abstractNumId="350">
    <w:nsid w:val="3E6AF287"/>
    <w:multiLevelType w:val="hybridMultilevel"/>
    <w:lvl w:ilvl="0">
      <w:lvlJc w:val="left"/>
      <w:lvlText w:val="(%1)"/>
      <w:numFmt w:val="lowerLetter"/>
      <w:start w:val="6"/>
    </w:lvl>
  </w:abstractNum>
  <w:abstractNum w:abstractNumId="351">
    <w:nsid w:val="2D7CB919"/>
    <w:multiLevelType w:val="hybridMultilevel"/>
    <w:lvl w:ilvl="0">
      <w:lvlJc w:val="left"/>
      <w:lvlText w:val="(%1)"/>
      <w:numFmt w:val="lowerLetter"/>
      <w:start w:val="9"/>
    </w:lvl>
  </w:abstractNum>
  <w:abstractNum w:abstractNumId="352">
    <w:nsid w:val="4781AC2F"/>
    <w:multiLevelType w:val="hybridMultilevel"/>
    <w:lvl w:ilvl="0">
      <w:lvlJc w:val="left"/>
      <w:lvlText w:val="(%1)"/>
      <w:numFmt w:val="lowerLetter"/>
      <w:start w:val="1"/>
    </w:lvl>
  </w:abstractNum>
  <w:abstractNum w:abstractNumId="353">
    <w:nsid w:val="666AA3E1"/>
    <w:multiLevelType w:val="hybridMultilevel"/>
    <w:lvl w:ilvl="0">
      <w:lvlJc w:val="left"/>
      <w:lvlText w:val="(%1)"/>
      <w:numFmt w:val="lowerLetter"/>
      <w:start w:val="1"/>
    </w:lvl>
    <w:lvl w:ilvl="1">
      <w:lvlJc w:val="left"/>
      <w:lvlText w:val="(%2)"/>
      <w:numFmt w:val="lowerRoman"/>
      <w:start w:val="1"/>
    </w:lvl>
  </w:abstractNum>
  <w:abstractNum w:abstractNumId="354">
    <w:nsid w:val="32089E8C"/>
    <w:multiLevelType w:val="hybridMultilevel"/>
    <w:lvl w:ilvl="0">
      <w:lvlJc w:val="left"/>
      <w:lvlText w:val="%1"/>
      <w:numFmt w:val="lowerLetter"/>
      <w:start w:val="1"/>
    </w:lvl>
    <w:lvl w:ilvl="1">
      <w:lvlJc w:val="left"/>
      <w:lvlText w:val="(%2)"/>
      <w:numFmt w:val="lowerRoman"/>
      <w:start w:val="4"/>
    </w:lvl>
  </w:abstractNum>
  <w:abstractNum w:abstractNumId="355">
    <w:nsid w:val="5BAC6C9C"/>
    <w:multiLevelType w:val="hybridMultilevel"/>
    <w:lvl w:ilvl="0">
      <w:lvlJc w:val="left"/>
      <w:lvlText w:val="(%1)"/>
      <w:numFmt w:val="lowerLetter"/>
      <w:start w:val="2"/>
    </w:lvl>
    <w:lvl w:ilvl="1">
      <w:lvlJc w:val="left"/>
      <w:lvlText w:val="%2"/>
      <w:numFmt w:val="lowerRoman"/>
      <w:start w:val="1"/>
    </w:lvl>
  </w:abstractNum>
  <w:abstractNum w:abstractNumId="356">
    <w:nsid w:val="460FE42B"/>
    <w:multiLevelType w:val="hybridMultilevel"/>
    <w:lvl w:ilvl="0">
      <w:lvlJc w:val="left"/>
      <w:lvlText w:val="(%1)"/>
      <w:numFmt w:val="lowerLetter"/>
      <w:start w:val="1"/>
    </w:lvl>
  </w:abstractNum>
  <w:abstractNum w:abstractNumId="357">
    <w:nsid w:val="5EC714FC"/>
    <w:multiLevelType w:val="hybridMultilevel"/>
    <w:lvl w:ilvl="0">
      <w:lvlJc w:val="left"/>
      <w:lvlText w:val="%1"/>
      <w:numFmt w:val="lowerLetter"/>
      <w:start w:val="1"/>
    </w:lvl>
    <w:lvl w:ilvl="1">
      <w:lvlJc w:val="left"/>
      <w:lvlText w:val="(%2)"/>
      <w:numFmt w:val="lowerLetter"/>
      <w:start w:val="9"/>
    </w:lvl>
  </w:abstractNum>
  <w:abstractNum w:abstractNumId="358">
    <w:nsid w:val="39333BAD"/>
    <w:multiLevelType w:val="hybridMultilevel"/>
    <w:lvl w:ilvl="0">
      <w:lvlJc w:val="left"/>
      <w:lvlText w:val="(%1)"/>
      <w:numFmt w:val="lowerLetter"/>
      <w:start w:val="9"/>
    </w:lvl>
    <w:lvl w:ilvl="1">
      <w:lvlJc w:val="left"/>
      <w:lvlText w:val="(%2)"/>
      <w:numFmt w:val="lowerLetter"/>
      <w:start w:val="12"/>
    </w:lvl>
  </w:abstractNum>
  <w:abstractNum w:abstractNumId="359">
    <w:nsid w:val="2FFF2A9F"/>
    <w:multiLevelType w:val="hybridMultilevel"/>
    <w:lvl w:ilvl="0">
      <w:lvlJc w:val="left"/>
      <w:lvlText w:val="%1"/>
      <w:numFmt w:val="lowerRoman"/>
      <w:start w:val="1"/>
    </w:lvl>
    <w:lvl w:ilvl="1">
      <w:lvlJc w:val="left"/>
      <w:lvlText w:val="(%2)"/>
      <w:numFmt w:val="lowerLetter"/>
      <w:start w:val="14"/>
    </w:lvl>
  </w:abstractNum>
  <w:abstractNum w:abstractNumId="360">
    <w:nsid w:val="477304AC"/>
    <w:multiLevelType w:val="hybridMultilevel"/>
    <w:lvl w:ilvl="0">
      <w:lvlJc w:val="left"/>
      <w:lvlText w:val="(%1)"/>
      <w:numFmt w:val="lowerRoman"/>
      <w:start w:val="4"/>
    </w:lvl>
    <w:lvl w:ilvl="1">
      <w:lvlJc w:val="left"/>
      <w:lvlText w:val="(%2)"/>
      <w:numFmt w:val="lowerLetter"/>
      <w:start w:val="17"/>
    </w:lvl>
  </w:abstractNum>
  <w:abstractNum w:abstractNumId="361">
    <w:nsid w:val="6B9F7823"/>
    <w:multiLevelType w:val="hybridMultilevel"/>
    <w:lvl w:ilvl="0">
      <w:lvlJc w:val="left"/>
      <w:lvlText w:val="(%1)"/>
      <w:numFmt w:val="lowerLetter"/>
      <w:start w:val="1"/>
    </w:lvl>
  </w:abstractNum>
  <w:abstractNum w:abstractNumId="362">
    <w:nsid w:val="8A29A69"/>
    <w:multiLevelType w:val="hybridMultilevel"/>
    <w:lvl w:ilvl="0">
      <w:lvlJc w:val="left"/>
      <w:lvlText w:val="(%1)"/>
      <w:numFmt w:val="lowerLetter"/>
      <w:start w:val="2"/>
    </w:lvl>
  </w:abstractNum>
  <w:abstractNum w:abstractNumId="363">
    <w:nsid w:val="5A0E9A9F"/>
    <w:multiLevelType w:val="hybridMultilevel"/>
    <w:lvl w:ilvl="0">
      <w:lvlJc w:val="left"/>
      <w:lvlText w:val="(%1)"/>
      <w:numFmt w:val="lowerLetter"/>
      <w:start w:val="1"/>
    </w:lvl>
  </w:abstractNum>
  <w:abstractNum w:abstractNumId="364">
    <w:nsid w:val="1C3F31CE"/>
    <w:multiLevelType w:val="hybridMultilevel"/>
    <w:lvl w:ilvl="0">
      <w:lvlJc w:val="left"/>
      <w:lvlText w:val="(%1)"/>
      <w:numFmt w:val="lowerLetter"/>
      <w:start w:val="5"/>
    </w:lvl>
  </w:abstractNum>
  <w:abstractNum w:abstractNumId="365">
    <w:nsid w:val="D28DDE"/>
    <w:multiLevelType w:val="hybridMultilevel"/>
    <w:lvl w:ilvl="0">
      <w:lvlJc w:val="left"/>
      <w:lvlText w:val="(%1)"/>
      <w:numFmt w:val="lowerLetter"/>
      <w:start w:val="1"/>
    </w:lvl>
  </w:abstractNum>
  <w:abstractNum w:abstractNumId="366">
    <w:nsid w:val="59E3AC4"/>
    <w:multiLevelType w:val="hybridMultilevel"/>
    <w:lvl w:ilvl="0">
      <w:lvlJc w:val="left"/>
      <w:lvlText w:val="(%1)"/>
      <w:numFmt w:val="lowerLetter"/>
      <w:start w:val="11"/>
    </w:lvl>
  </w:abstractNum>
  <w:abstractNum w:abstractNumId="367">
    <w:nsid w:val="5D38CAEA"/>
    <w:multiLevelType w:val="hybridMultilevel"/>
    <w:lvl w:ilvl="0">
      <w:lvlJc w:val="left"/>
      <w:lvlText w:val="(%1)"/>
      <w:numFmt w:val="lowerLetter"/>
      <w:start w:val="1"/>
    </w:lvl>
  </w:abstractNum>
  <w:abstractNum w:abstractNumId="368">
    <w:nsid w:val="5F4208C"/>
    <w:multiLevelType w:val="hybridMultilevel"/>
    <w:lvl w:ilvl="0">
      <w:lvlJc w:val="left"/>
      <w:lvlText w:val="(%1)"/>
      <w:numFmt w:val="lowerLetter"/>
      <w:start w:val="7"/>
    </w:lvl>
  </w:abstractNum>
  <w:abstractNum w:abstractNumId="369">
    <w:nsid w:val="7C0F10CC"/>
    <w:multiLevelType w:val="hybridMultilevel"/>
    <w:lvl w:ilvl="0">
      <w:lvlJc w:val="left"/>
      <w:lvlText w:val="(%1)"/>
      <w:numFmt w:val="lowerLetter"/>
      <w:start w:val="1"/>
    </w:lvl>
  </w:abstractNum>
  <w:abstractNum w:abstractNumId="370">
    <w:nsid w:val="25EF81D5"/>
    <w:multiLevelType w:val="hybridMultilevel"/>
    <w:lvl w:ilvl="0">
      <w:lvlJc w:val="left"/>
      <w:lvlText w:val="(%1)"/>
      <w:numFmt w:val="lowerLetter"/>
      <w:start w:val="7"/>
    </w:lvl>
  </w:abstractNum>
  <w:abstractNum w:abstractNumId="371">
    <w:nsid w:val="15A79515"/>
    <w:multiLevelType w:val="hybridMultilevel"/>
    <w:lvl w:ilvl="0">
      <w:lvlJc w:val="left"/>
      <w:lvlText w:val="(%1)"/>
      <w:numFmt w:val="lowerLetter"/>
      <w:start w:val="1"/>
    </w:lvl>
  </w:abstractNum>
  <w:abstractNum w:abstractNumId="372">
    <w:nsid w:val="4B67062"/>
    <w:multiLevelType w:val="hybridMultilevel"/>
    <w:lvl w:ilvl="0">
      <w:lvlJc w:val="left"/>
      <w:lvlText w:val="(%1)"/>
      <w:numFmt w:val="lowerLetter"/>
      <w:start w:val="5"/>
    </w:lvl>
  </w:abstractNum>
  <w:abstractNum w:abstractNumId="373">
    <w:nsid w:val="51174123"/>
    <w:multiLevelType w:val="hybridMultilevel"/>
    <w:lvl w:ilvl="0">
      <w:lvlJc w:val="left"/>
      <w:lvlText w:val="(%1)"/>
      <w:numFmt w:val="lowerLetter"/>
      <w:start w:val="1"/>
    </w:lvl>
  </w:abstractNum>
  <w:abstractNum w:abstractNumId="374">
    <w:nsid w:val="240453CA"/>
    <w:multiLevelType w:val="hybridMultilevel"/>
    <w:lvl w:ilvl="0">
      <w:lvlJc w:val="left"/>
      <w:lvlText w:val="(%1)"/>
      <w:numFmt w:val="lowerLetter"/>
      <w:start w:val="3"/>
    </w:lvl>
  </w:abstractNum>
  <w:abstractNum w:abstractNumId="375">
    <w:nsid w:val="2E326D9A"/>
    <w:multiLevelType w:val="hybridMultilevel"/>
    <w:lvl w:ilvl="0">
      <w:lvlJc w:val="left"/>
      <w:lvlText w:val="(%1)"/>
      <w:numFmt w:val="lowerLetter"/>
      <w:start w:val="1"/>
    </w:lvl>
  </w:abstractNum>
  <w:abstractNum w:abstractNumId="376">
    <w:nsid w:val="5EB19210"/>
    <w:multiLevelType w:val="hybridMultilevel"/>
    <w:lvl w:ilvl="0">
      <w:lvlJc w:val="left"/>
      <w:lvlText w:val="(%1)"/>
      <w:numFmt w:val="lowerLetter"/>
      <w:start w:val="6"/>
    </w:lvl>
  </w:abstractNum>
  <w:abstractNum w:abstractNumId="377">
    <w:nsid w:val="44DEFF9B"/>
    <w:multiLevelType w:val="hybridMultilevel"/>
    <w:lvl w:ilvl="0">
      <w:lvlJc w:val="left"/>
      <w:lvlText w:val="(%1)"/>
      <w:numFmt w:val="lowerLetter"/>
      <w:start w:val="13"/>
    </w:lvl>
  </w:abstractNum>
  <w:abstractNum w:abstractNumId="378">
    <w:nsid w:val="1FE7D17D"/>
    <w:multiLevelType w:val="hybridMultilevel"/>
    <w:lvl w:ilvl="0">
      <w:lvlJc w:val="left"/>
      <w:lvlText w:val="(%1)"/>
      <w:numFmt w:val="lowerLetter"/>
      <w:start w:val="17"/>
    </w:lvl>
  </w:abstractNum>
  <w:abstractNum w:abstractNumId="379">
    <w:nsid w:val="52CBAB2E"/>
    <w:multiLevelType w:val="hybridMultilevel"/>
    <w:lvl w:ilvl="0">
      <w:lvlJc w:val="left"/>
      <w:lvlText w:val="%1"/>
      <w:numFmt w:val="lowerLetter"/>
      <w:start w:val="1"/>
    </w:lvl>
    <w:lvl w:ilvl="1">
      <w:lvlJc w:val="left"/>
      <w:lvlText w:val="(%2)"/>
      <w:numFmt w:val="lowerRoman"/>
      <w:start w:val="1"/>
    </w:lvl>
  </w:abstractNum>
  <w:abstractNum w:abstractNumId="380">
    <w:nsid w:val="1A6760EF"/>
    <w:multiLevelType w:val="hybridMultilevel"/>
    <w:lvl w:ilvl="0">
      <w:lvlJc w:val="left"/>
      <w:lvlText w:val="(%1)"/>
      <w:numFmt w:val="lowerLetter"/>
      <w:start w:val="1"/>
    </w:lvl>
    <w:lvl w:ilvl="1">
      <w:lvlJc w:val="left"/>
      <w:lvlText w:val="%2"/>
      <w:numFmt w:val="lowerRoman"/>
      <w:start w:val="1"/>
    </w:lvl>
  </w:abstractNum>
  <w:abstractNum w:abstractNumId="381">
    <w:nsid w:val="5E52C405"/>
    <w:multiLevelType w:val="hybridMultilevel"/>
    <w:lvl w:ilvl="0">
      <w:lvlJc w:val="left"/>
      <w:lvlText w:val="(%1)"/>
      <w:numFmt w:val="lowerLetter"/>
      <w:start w:val="1"/>
    </w:lvl>
  </w:abstractNum>
  <w:abstractNum w:abstractNumId="382">
    <w:nsid w:val="486447"/>
    <w:multiLevelType w:val="hybridMultilevel"/>
    <w:lvl w:ilvl="0">
      <w:lvlJc w:val="left"/>
      <w:lvlText w:val="(%1)"/>
      <w:numFmt w:val="lowerLetter"/>
      <w:start w:val="2"/>
    </w:lvl>
  </w:abstractNum>
  <w:abstractNum w:abstractNumId="383">
    <w:nsid w:val="61E90D1E"/>
    <w:multiLevelType w:val="hybridMultilevel"/>
    <w:lvl w:ilvl="0">
      <w:lvlJc w:val="left"/>
      <w:lvlText w:val="(%1)"/>
      <w:numFmt w:val="lowerLetter"/>
      <w:start w:val="1"/>
    </w:lvl>
  </w:abstractNum>
  <w:abstractNum w:abstractNumId="384">
    <w:nsid w:val="44BD67E6"/>
    <w:multiLevelType w:val="hybridMultilevel"/>
    <w:lvl w:ilvl="0">
      <w:lvlJc w:val="left"/>
      <w:lvlText w:val="(%1)"/>
      <w:numFmt w:val="lowerLetter"/>
      <w:start w:val="2"/>
    </w:lvl>
    <w:lvl w:ilvl="1">
      <w:lvlJc w:val="left"/>
      <w:lvlText w:val="(%2)"/>
      <w:numFmt w:val="lowerRoman"/>
      <w:start w:val="1"/>
    </w:lvl>
  </w:abstractNum>
  <w:abstractNum w:abstractNumId="385">
    <w:nsid w:val="325102D3"/>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86">
    <w:nsid w:val="3D9579BA"/>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387">
    <w:nsid w:val="ACD4C11"/>
    <w:multiLevelType w:val="hybridMultilevel"/>
    <w:lvl w:ilvl="0">
      <w:lvlJc w:val="left"/>
      <w:lvlText w:val="(%1)"/>
      <w:numFmt w:val="lowerRoman"/>
      <w:start w:val="3"/>
    </w:lvl>
  </w:abstractNum>
  <w:abstractNum w:abstractNumId="388">
    <w:nsid w:val="111817CF"/>
    <w:multiLevelType w:val="hybridMultilevel"/>
    <w:lvl w:ilvl="0">
      <w:lvlJc w:val="left"/>
      <w:lvlText w:val="%1"/>
      <w:numFmt w:val="lowerLetter"/>
      <w:start w:val="1"/>
    </w:lvl>
    <w:lvl w:ilvl="1">
      <w:lvlJc w:val="left"/>
      <w:lvlText w:val="(%2)"/>
      <w:numFmt w:val="lowerLetter"/>
      <w:start w:val="1"/>
    </w:lvl>
  </w:abstractNum>
  <w:abstractNum w:abstractNumId="389">
    <w:nsid w:val="76C8B568"/>
    <w:multiLevelType w:val="hybridMultilevel"/>
    <w:lvl w:ilvl="0">
      <w:lvlJc w:val="left"/>
      <w:lvlText w:val="(%1)"/>
      <w:numFmt w:val="lowerLetter"/>
      <w:start w:val="35"/>
    </w:lvl>
    <w:lvl w:ilvl="1">
      <w:lvlJc w:val="left"/>
      <w:lvlText w:val="(%2)"/>
      <w:numFmt w:val="lowerLetter"/>
      <w:start w:val="3"/>
    </w:lvl>
  </w:abstractNum>
  <w:abstractNum w:abstractNumId="390">
    <w:nsid w:val="3ACC76B1"/>
    <w:multiLevelType w:val="hybridMultilevel"/>
    <w:lvl w:ilvl="0">
      <w:lvlJc w:val="left"/>
      <w:lvlText w:val="(%1)"/>
      <w:numFmt w:val="lowerLetter"/>
      <w:start w:val="1"/>
    </w:lvl>
  </w:abstractNum>
  <w:abstractNum w:abstractNumId="391">
    <w:nsid w:val="588B1C7C"/>
    <w:multiLevelType w:val="hybridMultilevel"/>
    <w:lvl w:ilvl="0">
      <w:lvlJc w:val="left"/>
      <w:lvlText w:val="(%1)"/>
      <w:numFmt w:val="lowerLetter"/>
      <w:start w:val="2"/>
    </w:lvl>
  </w:abstractNum>
  <w:abstractNum w:abstractNumId="392">
    <w:nsid w:val="62682D8B"/>
    <w:multiLevelType w:val="hybridMultilevel"/>
    <w:lvl w:ilvl="0">
      <w:lvlJc w:val="left"/>
      <w:lvlText w:val="(%1)"/>
      <w:numFmt w:val="lowerLetter"/>
      <w:start w:val="3"/>
    </w:lvl>
    <w:lvl w:ilvl="1">
      <w:lvlJc w:val="left"/>
      <w:lvlText w:val="(%2)"/>
      <w:numFmt w:val="lowerRoman"/>
      <w:start w:val="1"/>
    </w:lvl>
  </w:abstractNum>
  <w:abstractNum w:abstractNumId="393">
    <w:nsid w:val="436F111A"/>
    <w:multiLevelType w:val="hybridMultilevel"/>
    <w:lvl w:ilvl="0">
      <w:lvlJc w:val="left"/>
      <w:lvlText w:val="(%1)"/>
      <w:numFmt w:val="lowerLetter"/>
      <w:start w:val="1"/>
    </w:lvl>
  </w:abstractNum>
  <w:abstractNum w:abstractNumId="394">
    <w:nsid w:val="3299B71B"/>
    <w:multiLevelType w:val="hybridMultilevel"/>
    <w:lvl w:ilvl="0">
      <w:lvlJc w:val="left"/>
      <w:lvlText w:val="(%1)"/>
      <w:numFmt w:val="lowerLetter"/>
      <w:start w:val="2"/>
    </w:lvl>
  </w:abstractNum>
  <w:abstractNum w:abstractNumId="395">
    <w:nsid w:val="7EA75F5A"/>
    <w:multiLevelType w:val="hybridMultilevel"/>
    <w:lvl w:ilvl="0">
      <w:lvlJc w:val="left"/>
      <w:lvlText w:val="%1"/>
      <w:numFmt w:val="lowerLetter"/>
      <w:start w:val="1"/>
    </w:lvl>
    <w:lvl w:ilvl="1">
      <w:lvlJc w:val="left"/>
      <w:lvlText w:val="(%2)"/>
      <w:numFmt w:val="lowerRoman"/>
      <w:start w:val="1"/>
    </w:lvl>
  </w:abstractNum>
  <w:abstractNum w:abstractNumId="396">
    <w:nsid w:val="44419EF9"/>
    <w:multiLevelType w:val="hybridMultilevel"/>
    <w:lvl w:ilvl="0">
      <w:lvlJc w:val="left"/>
      <w:lvlText w:val="(%1)"/>
      <w:numFmt w:val="lowerLetter"/>
      <w:start w:val="2"/>
    </w:lvl>
    <w:lvl w:ilvl="1">
      <w:lvlJc w:val="left"/>
      <w:lvlText w:val="%2"/>
      <w:numFmt w:val="lowerRoman"/>
      <w:start w:val="1"/>
    </w:lvl>
  </w:abstractNum>
  <w:abstractNum w:abstractNumId="397">
    <w:nsid w:val="3837F1DF"/>
    <w:multiLevelType w:val="hybridMultilevel"/>
    <w:lvl w:ilvl="0">
      <w:lvlJc w:val="left"/>
      <w:lvlText w:val="%1"/>
      <w:numFmt w:val="lowerLetter"/>
      <w:start w:val="1"/>
    </w:lvl>
    <w:lvl w:ilvl="1">
      <w:lvlJc w:val="left"/>
      <w:lvlText w:val="(%2)"/>
      <w:numFmt w:val="lowerRoman"/>
      <w:start w:val="1"/>
    </w:lvl>
  </w:abstractNum>
  <w:abstractNum w:abstractNumId="398">
    <w:nsid w:val="5BE02A44"/>
    <w:multiLevelType w:val="hybridMultilevel"/>
    <w:lvl w:ilvl="0">
      <w:lvlJc w:val="left"/>
      <w:lvlText w:val="(%1)"/>
      <w:numFmt w:val="lowerLetter"/>
      <w:start w:val="3"/>
    </w:lvl>
    <w:lvl w:ilvl="1">
      <w:lvlJc w:val="left"/>
      <w:lvlText w:val="%2"/>
      <w:numFmt w:val="lowerRoman"/>
      <w:start w:val="1"/>
    </w:lvl>
  </w:abstractNum>
  <w:abstractNum w:abstractNumId="399">
    <w:nsid w:val="4A35BF85"/>
    <w:multiLevelType w:val="hybridMultilevel"/>
    <w:lvl w:ilvl="0">
      <w:lvlJc w:val="left"/>
      <w:lvlText w:val="(%1)"/>
      <w:numFmt w:val="lowerLetter"/>
      <w:start w:val="1"/>
    </w:lvl>
  </w:abstractNum>
  <w:abstractNum w:abstractNumId="400">
    <w:nsid w:val="344702AC"/>
    <w:multiLevelType w:val="hybridMultilevel"/>
    <w:lvl w:ilvl="0">
      <w:lvlJc w:val="left"/>
      <w:lvlText w:val="%1"/>
      <w:numFmt w:val="lowerRoman"/>
      <w:start w:val="1"/>
    </w:lvl>
    <w:lvl w:ilvl="1">
      <w:lvlJc w:val="left"/>
      <w:lvlText w:val="(%2)"/>
      <w:numFmt w:val="lowerLetter"/>
      <w:start w:val="2"/>
    </w:lvl>
  </w:abstractNum>
  <w:abstractNum w:abstractNumId="401">
    <w:nsid w:val="1CFAC1A"/>
    <w:multiLevelType w:val="hybridMultilevel"/>
    <w:lvl w:ilvl="0">
      <w:lvlJc w:val="left"/>
      <w:lvlText w:val="(%1)"/>
      <w:numFmt w:val="lowerRoman"/>
      <w:start w:val="4"/>
    </w:lvl>
    <w:lvl w:ilvl="1">
      <w:lvlJc w:val="left"/>
      <w:lvlText w:val="%2"/>
      <w:numFmt w:val="lowerLetter"/>
      <w:start w:val="1"/>
    </w:lvl>
  </w:abstractNum>
  <w:abstractNum w:abstractNumId="402">
    <w:nsid w:val="5FDD549A"/>
    <w:multiLevelType w:val="hybridMultilevel"/>
    <w:lvl w:ilvl="0">
      <w:lvlJc w:val="left"/>
      <w:lvlText w:val="%1"/>
      <w:numFmt w:val="lowerRoman"/>
      <w:start w:val="1"/>
    </w:lvl>
    <w:lvl w:ilvl="1">
      <w:lvlJc w:val="left"/>
      <w:lvlText w:val="(%2)"/>
      <w:numFmt w:val="lowerLetter"/>
      <w:start w:val="3"/>
    </w:lvl>
  </w:abstractNum>
  <w:abstractNum w:abstractNumId="403">
    <w:nsid w:val="38FD730E"/>
    <w:multiLevelType w:val="hybridMultilevel"/>
    <w:lvl w:ilvl="0">
      <w:lvlJc w:val="left"/>
      <w:lvlText w:val="(%1)"/>
      <w:numFmt w:val="lowerRoman"/>
      <w:start w:val="2"/>
    </w:lvl>
    <w:lvl w:ilvl="1">
      <w:lvlJc w:val="left"/>
      <w:lvlText w:val="%2"/>
      <w:numFmt w:val="lowerLetter"/>
      <w:start w:val="1"/>
    </w:lvl>
  </w:abstractNum>
  <w:abstractNum w:abstractNumId="404">
    <w:nsid w:val="52E6ED3D"/>
    <w:multiLevelType w:val="hybridMultilevel"/>
    <w:lvl w:ilvl="0">
      <w:lvlJc w:val="left"/>
      <w:lvlText w:val="(%1)"/>
      <w:numFmt w:val="lowerRoman"/>
      <w:start w:val="4"/>
    </w:lvl>
    <w:lvl w:ilvl="1">
      <w:lvlJc w:val="left"/>
      <w:lvlText w:val="(%2)"/>
      <w:numFmt w:val="lowerLetter"/>
      <w:start w:val="4"/>
    </w:lvl>
  </w:abstractNum>
  <w:abstractNum w:abstractNumId="405">
    <w:nsid w:val="3E1A864"/>
    <w:multiLevelType w:val="hybridMultilevel"/>
    <w:lvl w:ilvl="0">
      <w:lvlJc w:val="left"/>
      <w:lvlText w:val="(%1)"/>
      <w:numFmt w:val="lowerLetter"/>
      <w:start w:val="1"/>
    </w:lvl>
  </w:abstractNum>
  <w:abstractNum w:abstractNumId="406">
    <w:nsid w:val="672FE0A8"/>
    <w:multiLevelType w:val="hybridMultilevel"/>
    <w:lvl w:ilvl="0">
      <w:lvlJc w:val="left"/>
      <w:lvlText w:val="(%1)"/>
      <w:numFmt w:val="lowerRoman"/>
      <w:start w:val="1"/>
    </w:lvl>
  </w:abstractNum>
  <w:abstractNum w:abstractNumId="407">
    <w:nsid w:val="31987F4D"/>
    <w:multiLevelType w:val="hybridMultilevel"/>
    <w:lvl w:ilvl="0">
      <w:lvlJc w:val="left"/>
      <w:lvlText w:val="(%1)"/>
      <w:numFmt w:val="lowerRoman"/>
      <w:start w:val="2"/>
    </w:lvl>
  </w:abstractNum>
  <w:abstractNum w:abstractNumId="408">
    <w:nsid w:val="48C0A800"/>
    <w:multiLevelType w:val="hybridMultilevel"/>
    <w:lvl w:ilvl="0">
      <w:lvlJc w:val="left"/>
      <w:lvlText w:val="(%1)"/>
      <w:numFmt w:val="lowerRoman"/>
      <w:start w:val="3"/>
    </w:lvl>
  </w:abstractNum>
  <w:abstractNum w:abstractNumId="409">
    <w:nsid w:val="717B226"/>
    <w:multiLevelType w:val="hybridMultilevel"/>
    <w:lvl w:ilvl="0">
      <w:lvlJc w:val="left"/>
      <w:lvlText w:val="(%1)"/>
      <w:numFmt w:val="lowerRoman"/>
      <w:start w:val="4"/>
    </w:lvl>
  </w:abstractNum>
  <w:abstractNum w:abstractNumId="410">
    <w:nsid w:val="4642A7B"/>
    <w:multiLevelType w:val="hybridMultilevel"/>
    <w:lvl w:ilvl="0">
      <w:lvlJc w:val="left"/>
      <w:lvlText w:val="(%1)"/>
      <w:numFmt w:val="lowerRoman"/>
      <w:start w:val="5"/>
    </w:lvl>
  </w:abstractNum>
  <w:abstractNum w:abstractNumId="411">
    <w:nsid w:val="632808EF"/>
    <w:multiLevelType w:val="hybridMultilevel"/>
    <w:lvl w:ilvl="0">
      <w:lvlJc w:val="left"/>
      <w:lvlText w:val="(%1)"/>
      <w:numFmt w:val="lowerRoman"/>
      <w:start w:val="6"/>
    </w:lvl>
  </w:abstractNum>
  <w:abstractNum w:abstractNumId="412">
    <w:nsid w:val="656A762B"/>
    <w:multiLevelType w:val="hybridMultilevel"/>
    <w:lvl w:ilvl="0">
      <w:lvlJc w:val="left"/>
      <w:lvlText w:val="(%1)"/>
      <w:numFmt w:val="lowerRoman"/>
      <w:start w:val="7"/>
    </w:lvl>
  </w:abstractNum>
  <w:abstractNum w:abstractNumId="413">
    <w:nsid w:val="4AC8EC3"/>
    <w:multiLevelType w:val="hybridMultilevel"/>
    <w:lvl w:ilvl="0">
      <w:lvlJc w:val="left"/>
      <w:lvlText w:val="(%1)"/>
      <w:numFmt w:val="lowerRoman"/>
      <w:start w:val="8"/>
    </w:lvl>
  </w:abstractNum>
  <w:abstractNum w:abstractNumId="414">
    <w:nsid w:val="4511160D"/>
    <w:multiLevelType w:val="hybridMultilevel"/>
    <w:lvl w:ilvl="0">
      <w:lvlJc w:val="left"/>
      <w:lvlText w:val="(%1)"/>
      <w:numFmt w:val="lowerRoman"/>
      <w:start w:val="9"/>
    </w:lvl>
  </w:abstractNum>
  <w:abstractNum w:abstractNumId="415">
    <w:nsid w:val="2A27DE11"/>
    <w:multiLevelType w:val="hybridMultilevel"/>
    <w:lvl w:ilvl="0">
      <w:lvlJc w:val="left"/>
      <w:lvlText w:val="(%1)"/>
      <w:numFmt w:val="lowerLetter"/>
      <w:start w:val="2"/>
    </w:lvl>
  </w:abstractNum>
  <w:abstractNum w:abstractNumId="416">
    <w:nsid w:val="36FD9196"/>
    <w:multiLevelType w:val="hybridMultilevel"/>
    <w:lvl w:ilvl="0">
      <w:lvlJc w:val="left"/>
      <w:lvlText w:val="(%1)"/>
      <w:numFmt w:val="lowerLetter"/>
      <w:start w:val="3"/>
    </w:lvl>
  </w:abstractNum>
  <w:abstractNum w:abstractNumId="417">
    <w:nsid w:val="2A68FC8"/>
    <w:multiLevelType w:val="hybridMultilevel"/>
    <w:lvl w:ilvl="0">
      <w:lvlJc w:val="left"/>
      <w:lvlText w:val="(%1)"/>
      <w:numFmt w:val="lowerRoman"/>
      <w:start w:val="1"/>
    </w:lvl>
  </w:abstractNum>
  <w:abstractNum w:abstractNumId="418">
    <w:nsid w:val="34F52A23"/>
    <w:multiLevelType w:val="hybridMultilevel"/>
    <w:lvl w:ilvl="0">
      <w:lvlJc w:val="left"/>
      <w:lvlText w:val="(%1)"/>
      <w:numFmt w:val="lowerRoman"/>
      <w:start w:val="2"/>
    </w:lvl>
  </w:abstractNum>
  <w:abstractNum w:abstractNumId="419">
    <w:nsid w:val="4815A966"/>
    <w:multiLevelType w:val="hybridMultilevel"/>
    <w:lvl w:ilvl="0">
      <w:lvlJc w:val="left"/>
      <w:lvlText w:val="(%1)"/>
      <w:numFmt w:val="lowerLetter"/>
      <w:start w:val="4"/>
    </w:lvl>
  </w:abstractNum>
  <w:abstractNum w:abstractNumId="420">
    <w:nsid w:val="796F4530"/>
    <w:multiLevelType w:val="hybridMultilevel"/>
    <w:lvl w:ilvl="0">
      <w:lvlJc w:val="left"/>
      <w:lvlText w:val="%1"/>
      <w:numFmt w:val="lowerLetter"/>
      <w:start w:val="1"/>
    </w:lvl>
    <w:lvl w:ilvl="1">
      <w:lvlJc w:val="left"/>
      <w:lvlText w:val="(%2)"/>
      <w:numFmt w:val="lowerLetter"/>
      <w:start w:val="1"/>
    </w:lvl>
  </w:abstractNum>
  <w:abstractNum w:abstractNumId="421">
    <w:nsid w:val="6FC1A0D4"/>
    <w:multiLevelType w:val="hybridMultilevel"/>
    <w:lvl w:ilvl="0">
      <w:lvlJc w:val="left"/>
      <w:lvlText w:val="(%1)"/>
      <w:numFmt w:val="lowerLetter"/>
      <w:start w:val="9"/>
    </w:lvl>
    <w:lvl w:ilvl="1">
      <w:lvlJc w:val="left"/>
      <w:lvlText w:val="%2"/>
      <w:numFmt w:val="lowerLetter"/>
      <w:start w:val="1"/>
    </w:lvl>
  </w:abstractNum>
  <w:abstractNum w:abstractNumId="422">
    <w:nsid w:val="20A0C5E2"/>
    <w:multiLevelType w:val="hybridMultilevel"/>
    <w:lvl w:ilvl="0">
      <w:lvlJc w:val="left"/>
      <w:lvlText w:val="(%1)"/>
      <w:numFmt w:val="lowerLetter"/>
      <w:start w:val="2"/>
    </w:lvl>
  </w:abstractNum>
  <w:abstractNum w:abstractNumId="423">
    <w:nsid w:val="5BD772BB"/>
    <w:multiLevelType w:val="hybridMultilevel"/>
    <w:lvl w:ilvl="0">
      <w:lvlJc w:val="left"/>
      <w:lvlText w:val="(%1)"/>
      <w:numFmt w:val="lowerLetter"/>
      <w:start w:val="4"/>
    </w:lvl>
  </w:abstractNum>
  <w:abstractNum w:abstractNumId="424">
    <w:nsid w:val="3330B1EE"/>
    <w:multiLevelType w:val="hybridMultilevel"/>
    <w:lvl w:ilvl="0">
      <w:lvlJc w:val="left"/>
      <w:lvlText w:val="(%1)"/>
      <w:numFmt w:val="lowerLetter"/>
      <w:start w:val="1"/>
    </w:lvl>
    <w:lvl w:ilvl="1">
      <w:lvlJc w:val="left"/>
      <w:lvlText w:val="(%2)"/>
      <w:numFmt w:val="upperLetter"/>
      <w:start w:val="1"/>
    </w:lvl>
  </w:abstractNum>
  <w:abstractNum w:abstractNumId="425">
    <w:nsid w:val="533A7CFD"/>
    <w:multiLevelType w:val="hybridMultilevel"/>
    <w:lvl w:ilvl="0">
      <w:lvlJc w:val="left"/>
      <w:lvlText w:val="(%1)"/>
      <w:numFmt w:val="upperLetter"/>
      <w:start w:val="3"/>
    </w:lvl>
  </w:abstractNum>
  <w:abstractNum w:abstractNumId="426">
    <w:nsid w:val="5A7ED215"/>
    <w:multiLevelType w:val="hybridMultilevel"/>
    <w:lvl w:ilvl="0">
      <w:lvlJc w:val="left"/>
      <w:lvlText w:val="(%1)"/>
      <w:numFmt w:val="lowerRoman"/>
      <w:start w:val="2"/>
    </w:lvl>
  </w:abstractNum>
  <w:abstractNum w:abstractNumId="427">
    <w:nsid w:val="777250E7"/>
    <w:multiLevelType w:val="hybridMultilevel"/>
    <w:lvl w:ilvl="0">
      <w:lvlJc w:val="left"/>
      <w:lvlText w:val="(%1)"/>
      <w:numFmt w:val="upperLetter"/>
      <w:start w:val="1"/>
    </w:lvl>
  </w:abstractNum>
  <w:abstractNum w:abstractNumId="428">
    <w:nsid w:val="B726EDC"/>
    <w:multiLevelType w:val="hybridMultilevel"/>
    <w:lvl w:ilvl="0">
      <w:lvlJc w:val="left"/>
      <w:lvlText w:val="(%1)"/>
      <w:numFmt w:val="upperLetter"/>
      <w:start w:val="6"/>
    </w:lvl>
  </w:abstractNum>
  <w:abstractNum w:abstractNumId="429">
    <w:nsid w:val="365EFC5A"/>
    <w:multiLevelType w:val="hybridMultilevel"/>
    <w:lvl w:ilvl="0">
      <w:lvlJc w:val="left"/>
      <w:lvlText w:val="(%1)"/>
      <w:numFmt w:val="lowerRoman"/>
      <w:start w:val="3"/>
    </w:lvl>
  </w:abstractNum>
  <w:abstractNum w:abstractNumId="430">
    <w:nsid w:val="41A8106C"/>
    <w:multiLevelType w:val="hybridMultilevel"/>
    <w:lvl w:ilvl="0">
      <w:lvlJc w:val="left"/>
      <w:lvlText w:val="(%1)"/>
      <w:numFmt w:val="lowerLetter"/>
      <w:start w:val="3"/>
    </w:lvl>
  </w:abstractNum>
  <w:abstractNum w:abstractNumId="431">
    <w:nsid w:val="3FB97188"/>
    <w:multiLevelType w:val="hybridMultilevel"/>
    <w:lvl w:ilvl="0">
      <w:lvlJc w:val="left"/>
      <w:lvlText w:val="(%1)"/>
      <w:numFmt w:val="lowerRoman"/>
      <w:start w:val="2"/>
    </w:lvl>
  </w:abstractNum>
  <w:abstractNum w:abstractNumId="432">
    <w:nsid w:val="382EA874"/>
    <w:multiLevelType w:val="hybridMultilevel"/>
    <w:lvl w:ilvl="0">
      <w:lvlJc w:val="left"/>
      <w:lvlText w:val="(%1)"/>
      <w:numFmt w:val="lowerRoman"/>
      <w:start w:val="2"/>
    </w:lvl>
  </w:abstractNum>
  <w:abstractNum w:abstractNumId="433">
    <w:nsid w:val="21856507"/>
    <w:multiLevelType w:val="hybridMultilevel"/>
    <w:lvl w:ilvl="0">
      <w:lvlJc w:val="left"/>
      <w:lvlText w:val="(%1)"/>
      <w:numFmt w:val="lowerLetter"/>
      <w:start w:val="4"/>
    </w:lvl>
  </w:abstractNum>
  <w:abstractNum w:abstractNumId="434">
    <w:nsid w:val="78B6E496"/>
    <w:multiLevelType w:val="hybridMultilevel"/>
    <w:lvl w:ilvl="0">
      <w:lvlJc w:val="left"/>
      <w:lvlText w:val="(%1)"/>
      <w:numFmt w:val="lowerRoman"/>
      <w:start w:val="1"/>
    </w:lvl>
  </w:abstractNum>
  <w:abstractNum w:abstractNumId="435">
    <w:nsid w:val="B1595B1"/>
    <w:multiLevelType w:val="hybridMultilevel"/>
    <w:lvl w:ilvl="0">
      <w:lvlJc w:val="left"/>
      <w:lvlText w:val="(%1)"/>
      <w:numFmt w:val="lowerLetter"/>
      <w:start w:val="1"/>
    </w:lvl>
  </w:abstractNum>
  <w:abstractNum w:abstractNumId="436">
    <w:nsid w:val="25670D6B"/>
    <w:multiLevelType w:val="hybridMultilevel"/>
    <w:lvl w:ilvl="0">
      <w:lvlJc w:val="left"/>
      <w:lvlText w:val="(%1)"/>
      <w:numFmt w:val="lowerLetter"/>
      <w:start w:val="2"/>
    </w:lvl>
  </w:abstractNum>
  <w:abstractNum w:abstractNumId="437">
    <w:nsid w:val="5FE6C53F"/>
    <w:multiLevelType w:val="hybridMultilevel"/>
    <w:lvl w:ilvl="0">
      <w:lvlJc w:val="left"/>
      <w:lvlText w:val="(%1)"/>
      <w:numFmt w:val="lowerLetter"/>
      <w:start w:val="7"/>
    </w:lvl>
  </w:abstractNum>
  <w:abstractNum w:abstractNumId="438">
    <w:nsid w:val="3CAE14FE"/>
    <w:multiLevelType w:val="hybridMultilevel"/>
    <w:lvl w:ilvl="0">
      <w:lvlJc w:val="left"/>
      <w:lvlText w:val="(%1)"/>
      <w:numFmt w:val="upperLetter"/>
      <w:start w:val="2"/>
    </w:lvl>
  </w:abstractNum>
  <w:abstractNum w:abstractNumId="439">
    <w:nsid w:val="6E27B56B"/>
    <w:multiLevelType w:val="hybridMultilevel"/>
    <w:lvl w:ilvl="0">
      <w:lvlJc w:val="left"/>
      <w:lvlText w:val="(%1)"/>
      <w:numFmt w:val="lowerLetter"/>
      <w:start w:val="2"/>
    </w:lvl>
  </w:abstractNum>
  <w:abstractNum w:abstractNumId="440">
    <w:nsid w:val="66FE7765"/>
    <w:multiLevelType w:val="hybridMultilevel"/>
    <w:lvl w:ilvl="0">
      <w:lvlJc w:val="left"/>
      <w:lvlText w:val="(%1)"/>
      <w:numFmt w:val="lowerLetter"/>
      <w:start w:val="2"/>
    </w:lvl>
  </w:abstractNum>
  <w:abstractNum w:abstractNumId="441">
    <w:nsid w:val="41123F79"/>
    <w:multiLevelType w:val="hybridMultilevel"/>
    <w:lvl w:ilvl="0">
      <w:lvlJc w:val="left"/>
      <w:lvlText w:val="%1"/>
      <w:numFmt w:val="lowerLetter"/>
      <w:start w:val="1"/>
    </w:lvl>
    <w:lvl w:ilvl="1">
      <w:lvlJc w:val="left"/>
      <w:lvlText w:val="(%2)"/>
      <w:numFmt w:val="lowerLetter"/>
      <w:start w:val="1"/>
    </w:lvl>
  </w:abstractNum>
  <w:abstractNum w:abstractNumId="442">
    <w:nsid w:val="514FBE5A"/>
    <w:multiLevelType w:val="hybridMultilevel"/>
    <w:lvl w:ilvl="0">
      <w:lvlJc w:val="left"/>
      <w:lvlText w:val="(%1)"/>
      <w:numFmt w:val="lowerLetter"/>
      <w:start w:val="61"/>
    </w:lvl>
    <w:lvl w:ilvl="1">
      <w:lvlJc w:val="left"/>
      <w:lvlText w:val="(%2)"/>
      <w:numFmt w:val="lowerLetter"/>
      <w:start w:val="2"/>
    </w:lvl>
  </w:abstractNum>
  <w:abstractNum w:abstractNumId="443">
    <w:nsid w:val="4C68ED90"/>
    <w:multiLevelType w:val="hybridMultilevel"/>
    <w:lvl w:ilvl="0">
      <w:lvlJc w:val="left"/>
      <w:lvlText w:val="(%1)"/>
      <w:numFmt w:val="lowerLetter"/>
      <w:start w:val="1"/>
    </w:lvl>
    <w:lvl w:ilvl="1">
      <w:lvlJc w:val="left"/>
      <w:lvlText w:val="(%2)"/>
      <w:numFmt w:val="lowerRoman"/>
      <w:start w:val="1"/>
    </w:lvl>
  </w:abstractNum>
  <w:abstractNum w:abstractNumId="444">
    <w:nsid w:val="45BECE3C"/>
    <w:multiLevelType w:val="hybridMultilevel"/>
    <w:lvl w:ilvl="0">
      <w:lvlJc w:val="left"/>
      <w:lvlText w:val="(%1)"/>
      <w:numFmt w:val="lowerLetter"/>
      <w:start w:val="1"/>
    </w:lvl>
  </w:abstractNum>
  <w:abstractNum w:abstractNumId="445">
    <w:nsid w:val="1660D468"/>
    <w:multiLevelType w:val="hybridMultilevel"/>
    <w:lvl w:ilvl="0">
      <w:lvlJc w:val="left"/>
      <w:lvlText w:val="(%1)"/>
      <w:numFmt w:val="lowerLetter"/>
      <w:start w:val="2"/>
    </w:lvl>
    <w:lvl w:ilvl="1">
      <w:lvlJc w:val="left"/>
      <w:lvlText w:val="(%2)"/>
      <w:numFmt w:val="lowerRoman"/>
      <w:start w:val="1"/>
    </w:lvl>
  </w:abstractNum>
  <w:abstractNum w:abstractNumId="446">
    <w:nsid w:val="7690CBA1"/>
    <w:multiLevelType w:val="hybridMultilevel"/>
    <w:lvl w:ilvl="0">
      <w:lvlJc w:val="left"/>
      <w:lvlText w:val="(%1)"/>
      <w:numFmt w:val="lowerLetter"/>
      <w:start w:val="1"/>
    </w:lvl>
  </w:abstractNum>
  <w:abstractNum w:abstractNumId="447">
    <w:nsid w:val="7CBC5FD3"/>
    <w:multiLevelType w:val="hybridMultilevel"/>
    <w:lvl w:ilvl="0">
      <w:lvlJc w:val="left"/>
      <w:lvlText w:val="(%1)"/>
      <w:numFmt w:val="lowerLetter"/>
      <w:start w:val="2"/>
    </w:lvl>
    <w:lvl w:ilvl="1">
      <w:lvlJc w:val="left"/>
      <w:lvlText w:val="(%2)"/>
      <w:numFmt w:val="lowerRoman"/>
      <w:start w:val="1"/>
    </w:lvl>
  </w:abstractNum>
  <w:abstractNum w:abstractNumId="448">
    <w:nsid w:val="19076430"/>
    <w:multiLevelType w:val="hybridMultilevel"/>
    <w:lvl w:ilvl="0">
      <w:lvlJc w:val="left"/>
      <w:lvlText w:val="%1."/>
      <w:numFmt w:val="decimal"/>
      <w:start w:val="1"/>
    </w:lvl>
  </w:abstractNum>
  <w:abstractNum w:abstractNumId="449">
    <w:nsid w:val="2B85F5C4"/>
    <w:multiLevelType w:val="hybridMultilevel"/>
    <w:lvl w:ilvl="0">
      <w:lvlJc w:val="left"/>
      <w:lvlText w:val="1"/>
      <w:numFmt w:val="bullet"/>
      <w:start w:val="1"/>
    </w:lvl>
  </w:abstractNum>
  <w:abstractNum w:abstractNumId="450">
    <w:nsid w:val="44D20939"/>
    <w:multiLevelType w:val="hybridMultilevel"/>
    <w:lvl w:ilvl="0">
      <w:lvlJc w:val="left"/>
      <w:lvlText w:val="4"/>
      <w:numFmt w:val="bullet"/>
      <w:start w:val="1"/>
    </w:lvl>
  </w:abstractNum>
  <w:abstractNum w:abstractNumId="451">
    <w:nsid w:val="1276A960"/>
    <w:multiLevelType w:val="hybridMultilevel"/>
    <w:lvl w:ilvl="0">
      <w:lvlJc w:val="left"/>
      <w:lvlText w:val="7"/>
      <w:numFmt w:val="bullet"/>
      <w:start w:val="1"/>
    </w:lvl>
  </w:abstractNum>
  <w:abstractNum w:abstractNumId="452">
    <w:nsid w:val="1B479698"/>
    <w:multiLevelType w:val="hybridMultilevel"/>
    <w:lvl w:ilvl="0">
      <w:lvlJc w:val="left"/>
      <w:lvlText w:val="%1."/>
      <w:numFmt w:val="decimal"/>
      <w:start w:val="1"/>
    </w:lvl>
  </w:abstractNum>
  <w:abstractNum w:abstractNumId="453">
    <w:nsid w:val="6572CF1B"/>
    <w:multiLevelType w:val="hybridMultilevel"/>
    <w:lvl w:ilvl="0">
      <w:lvlJc w:val="left"/>
      <w:lvlText w:val="(%1)"/>
      <w:numFmt w:val="lowerRoman"/>
      <w:start w:val="4"/>
    </w:lvl>
  </w:abstractNum>
  <w:abstractNum w:abstractNumId="454">
    <w:nsid w:val="6E4E1C1B"/>
    <w:multiLevelType w:val="hybridMultilevel"/>
    <w:lvl w:ilvl="0">
      <w:lvlJc w:val="left"/>
      <w:lvlText w:val="%1."/>
      <w:numFmt w:val="decimal"/>
      <w:start w:val="2"/>
    </w:lvl>
  </w:abstractNum>
  <w:abstractNum w:abstractNumId="455">
    <w:nsid w:val="4E784887"/>
    <w:multiLevelType w:val="hybridMultilevel"/>
    <w:lvl w:ilvl="0">
      <w:lvlJc w:val="left"/>
      <w:lvlText w:val="8"/>
      <w:numFmt w:val="bullet"/>
      <w:start w:val="1"/>
    </w:lvl>
  </w:abstractNum>
  <w:abstractNum w:abstractNumId="456">
    <w:nsid w:val="38AD4C18"/>
    <w:multiLevelType w:val="hybridMultilevel"/>
    <w:lvl w:ilvl="0">
      <w:lvlJc w:val="left"/>
      <w:lvlText w:val="9"/>
      <w:numFmt w:val="bullet"/>
      <w:start w:val="1"/>
    </w:lvl>
  </w:abstractNum>
  <w:abstractNum w:abstractNumId="457">
    <w:nsid w:val="48CCEE31"/>
    <w:multiLevelType w:val="hybridMultilevel"/>
    <w:lvl w:ilvl="0">
      <w:lvlJc w:val="left"/>
      <w:lvlText w:val="%1"/>
      <w:numFmt w:val="decimal"/>
      <w:start w:val="12"/>
    </w:lvl>
  </w:abstractNum>
  <w:abstractNum w:abstractNumId="458">
    <w:nsid w:val="45EA996E"/>
    <w:multiLevelType w:val="hybridMultilevel"/>
    <w:lvl w:ilvl="0">
      <w:lvlJc w:val="left"/>
      <w:lvlText w:val="1"/>
      <w:numFmt w:val="bullet"/>
      <w:start w:val="1"/>
    </w:lvl>
  </w:abstractNum>
  <w:abstractNum w:abstractNumId="459">
    <w:nsid w:val="441FBAF4"/>
    <w:multiLevelType w:val="hybridMultilevel"/>
    <w:lvl w:ilvl="0">
      <w:lvlJc w:val="left"/>
      <w:lvlText w:val="%1:"/>
      <w:numFmt w:val="upperLetter"/>
      <w:start w:val="29"/>
    </w:lvl>
  </w:abstractNum>
  <w:abstractNum w:abstractNumId="460">
    <w:nsid w:val="7F2BEA8B"/>
    <w:multiLevelType w:val="hybridMultilevel"/>
    <w:lvl w:ilvl="0">
      <w:lvlJc w:val="left"/>
      <w:lvlText w:val="%1."/>
      <w:numFmt w:val="decimal"/>
      <w:start w:val="1"/>
    </w:lvl>
  </w:abstractNum>
  <w:abstractNum w:abstractNumId="461">
    <w:nsid w:val="792A9DB"/>
    <w:multiLevelType w:val="hybridMultilevel"/>
    <w:lvl w:ilvl="0">
      <w:lvlJc w:val="left"/>
      <w:lvlText w:val="1"/>
      <w:numFmt w:val="bullet"/>
      <w:start w:val="1"/>
    </w:lvl>
  </w:abstractNum>
  <w:abstractNum w:abstractNumId="462">
    <w:nsid w:val="3D92C7D"/>
    <w:multiLevelType w:val="hybridMultilevel"/>
    <w:lvl w:ilvl="0">
      <w:lvlJc w:val="left"/>
      <w:lvlText w:val="☐"/>
      <w:numFmt w:val="bullet"/>
      <w:start w:val="1"/>
    </w:lvl>
  </w:abstractNum>
  <w:abstractNum w:abstractNumId="463">
    <w:nsid w:val="375A92FF"/>
    <w:multiLevelType w:val="hybridMultilevel"/>
    <w:lvl w:ilvl="0">
      <w:lvlJc w:val="left"/>
      <w:lvlText w:val="%1."/>
      <w:numFmt w:val="decimal"/>
      <w:start w:val="1"/>
    </w:lvl>
  </w:abstractNum>
  <w:abstractNum w:abstractNumId="464">
    <w:nsid w:val="29180EE2"/>
    <w:multiLevelType w:val="hybridMultilevel"/>
    <w:lvl w:ilvl="0">
      <w:lvlJc w:val="left"/>
      <w:lvlText w:val="%1."/>
      <w:numFmt w:val="decimal"/>
      <w:start w:val="1"/>
    </w:lvl>
  </w:abstractNum>
  <w:abstractNum w:abstractNumId="465">
    <w:nsid w:val="7C901113"/>
    <w:multiLevelType w:val="hybridMultilevel"/>
    <w:lvl w:ilvl="0">
      <w:lvlJc w:val="left"/>
      <w:lvlText w:val="%1."/>
      <w:numFmt w:val="decimal"/>
      <w:start w:val="4"/>
    </w:lvl>
  </w:abstractNum>
  <w:abstractNum w:abstractNumId="466">
    <w:nsid w:val="427028B0"/>
    <w:multiLevelType w:val="hybridMultilevel"/>
    <w:lvl w:ilvl="0">
      <w:lvlJc w:val="left"/>
      <w:lvlText w:val="%1."/>
      <w:numFmt w:val="decimal"/>
      <w:start w:val="6"/>
    </w:lvl>
  </w:abstractNum>
  <w:abstractNum w:abstractNumId="467">
    <w:nsid w:val="4E7F1C4D"/>
    <w:multiLevelType w:val="hybridMultilevel"/>
    <w:lvl w:ilvl="0">
      <w:lvlJc w:val="left"/>
      <w:lvlText w:val="(%1)"/>
      <w:numFmt w:val="lowerLetter"/>
      <w:start w:val="1"/>
    </w:lvl>
  </w:abstractNum>
  <w:abstractNum w:abstractNumId="468">
    <w:nsid w:val="5C76D652"/>
    <w:multiLevelType w:val="hybridMultilevel"/>
    <w:lvl w:ilvl="0">
      <w:lvlJc w:val="left"/>
      <w:lvlText w:val="(%1)"/>
      <w:numFmt w:val="lowerRoman"/>
      <w:start w:val="2"/>
    </w:lvl>
  </w:abstractNum>
  <w:abstractNum w:abstractNumId="469">
    <w:nsid w:val="7F1E3DAE"/>
    <w:multiLevelType w:val="hybridMultilevel"/>
    <w:lvl w:ilvl="0">
      <w:lvlJc w:val="left"/>
      <w:lvlText w:val="%1"/>
      <w:numFmt w:val="lowerLetter"/>
      <w:start w:val="1"/>
    </w:lvl>
    <w:lvl w:ilvl="1">
      <w:lvlJc w:val="left"/>
      <w:lvlText w:val="(%2)"/>
      <w:numFmt w:val="lowerLetter"/>
      <w:start w:val="1"/>
    </w:lvl>
  </w:abstractNum>
  <w:abstractNum w:abstractNumId="470">
    <w:nsid w:val="3CA6D1B9"/>
    <w:multiLevelType w:val="hybridMultilevel"/>
    <w:lvl w:ilvl="0">
      <w:lvlJc w:val="left"/>
      <w:lvlText w:val="(%1)"/>
      <w:numFmt w:val="lowerLetter"/>
      <w:start w:val="9"/>
    </w:lvl>
    <w:lvl w:ilvl="1">
      <w:lvlJc w:val="left"/>
      <w:lvlText w:val="%2"/>
      <w:numFmt w:val="lowerLetter"/>
      <w:start w:val="1"/>
    </w:lvl>
  </w:abstractNum>
  <w:abstractNum w:abstractNumId="471">
    <w:nsid w:val="43754DB7"/>
    <w:multiLevelType w:val="hybridMultilevel"/>
    <w:lvl w:ilvl="0">
      <w:lvlJc w:val="left"/>
      <w:lvlText w:val="(%1)"/>
      <w:numFmt w:val="lowerRoman"/>
      <w:start w:val="1"/>
    </w:lvl>
  </w:abstractNum>
  <w:abstractNum w:abstractNumId="472">
    <w:nsid w:val="40307D27"/>
    <w:multiLevelType w:val="hybridMultilevel"/>
    <w:lvl w:ilvl="0">
      <w:lvlJc w:val="left"/>
      <w:lvlText w:val="(%1)"/>
      <w:numFmt w:val="lowerLetter"/>
      <w:start w:val="1"/>
    </w:lvl>
  </w:abstractNum>
  <w:abstractNum w:abstractNumId="473">
    <w:nsid w:val="DF69013"/>
    <w:multiLevelType w:val="hybridMultilevel"/>
    <w:lvl w:ilvl="0">
      <w:lvlJc w:val="left"/>
      <w:lvlText w:val="(%1)"/>
      <w:numFmt w:val="lowerLetter"/>
      <w:start w:val="1"/>
    </w:lvl>
    <w:lvl w:ilvl="1">
      <w:lvlJc w:val="left"/>
      <w:lvlText w:val="(%2)"/>
      <w:numFmt w:val="lowerRoman"/>
      <w:start w:val="1"/>
    </w:lvl>
  </w:abstractNum>
  <w:abstractNum w:abstractNumId="474">
    <w:nsid w:val="FDE3B47"/>
    <w:multiLevelType w:val="hybridMultilevel"/>
    <w:lvl w:ilvl="0">
      <w:lvlJc w:val="left"/>
      <w:lvlText w:val="(%1)"/>
      <w:numFmt w:val="lowerRoman"/>
      <w:start w:val="1"/>
    </w:lvl>
  </w:abstractNum>
  <w:abstractNum w:abstractNumId="475">
    <w:nsid w:val="5EF4B64"/>
    <w:multiLevelType w:val="hybridMultilevel"/>
    <w:lvl w:ilvl="0">
      <w:lvlJc w:val="left"/>
      <w:lvlText w:val="(%1)"/>
      <w:numFmt w:val="lowerRoman"/>
      <w:start w:val="2"/>
    </w:lvl>
  </w:abstractNum>
  <w:abstractNum w:abstractNumId="476">
    <w:nsid w:val="2457647B"/>
    <w:multiLevelType w:val="hybridMultilevel"/>
    <w:lvl w:ilvl="0">
      <w:lvlJc w:val="left"/>
      <w:lvlText w:val="(%1)"/>
      <w:numFmt w:val="lowerLetter"/>
      <w:start w:val="2"/>
    </w:lvl>
  </w:abstractNum>
  <w:abstractNum w:abstractNumId="477">
    <w:nsid w:val="66F06E9"/>
    <w:multiLevelType w:val="hybridMultilevel"/>
    <w:lvl w:ilvl="0">
      <w:lvlJc w:val="left"/>
      <w:lvlText w:val="%1"/>
      <w:numFmt w:val="lowerLetter"/>
      <w:start w:val="1"/>
    </w:lvl>
    <w:lvl w:ilvl="1">
      <w:lvlJc w:val="left"/>
      <w:lvlText w:val="(%2)"/>
      <w:numFmt w:val="lowerLetter"/>
      <w:start w:val="1"/>
    </w:lvl>
  </w:abstractNum>
  <w:abstractNum w:abstractNumId="478">
    <w:nsid w:val="2ABAB37"/>
    <w:multiLevelType w:val="hybridMultilevel"/>
    <w:lvl w:ilvl="0">
      <w:lvlJc w:val="left"/>
      <w:lvlText w:val="(%1)"/>
      <w:numFmt w:val="lowerLetter"/>
      <w:start w:val="35"/>
    </w:lvl>
    <w:lvl w:ilvl="1">
      <w:lvlJc w:val="left"/>
      <w:lvlText w:val="%2"/>
      <w:numFmt w:val="lowerLetter"/>
      <w:start w:val="1"/>
    </w:lvl>
  </w:abstractNum>
  <w:abstractNum w:abstractNumId="479">
    <w:nsid w:val="3D5EC8AB"/>
    <w:multiLevelType w:val="hybridMultilevel"/>
    <w:lvl w:ilvl="0">
      <w:lvlJc w:val="left"/>
      <w:lvlText w:val="(%1)"/>
      <w:numFmt w:val="lowerLetter"/>
      <w:start w:val="2"/>
    </w:lvl>
  </w:abstractNum>
  <w:abstractNum w:abstractNumId="480">
    <w:nsid w:val="31F4FCAD"/>
    <w:multiLevelType w:val="hybridMultilevel"/>
    <w:lvl w:ilvl="0">
      <w:lvlJc w:val="left"/>
      <w:lvlText w:val="(%1)"/>
      <w:numFmt w:val="lowerLetter"/>
      <w:start w:val="1"/>
    </w:lvl>
  </w:abstractNum>
  <w:abstractNum w:abstractNumId="481">
    <w:nsid w:val="477DB470"/>
    <w:multiLevelType w:val="hybridMultilevel"/>
    <w:lvl w:ilvl="0">
      <w:lvlJc w:val="left"/>
      <w:lvlText w:val="(%1)"/>
      <w:numFmt w:val="lowerLetter"/>
      <w:start w:val="1"/>
    </w:lvl>
  </w:abstractNum>
  <w:abstractNum w:abstractNumId="482">
    <w:nsid w:val="4FD5720B"/>
    <w:multiLevelType w:val="hybridMultilevel"/>
    <w:lvl w:ilvl="0">
      <w:lvlJc w:val="left"/>
      <w:lvlText w:val="(%1)"/>
      <w:numFmt w:val="lowerLetter"/>
      <w:start w:val="3"/>
    </w:lvl>
  </w:abstractNum>
  <w:abstractNum w:abstractNumId="483">
    <w:nsid w:val="4D3C9346"/>
    <w:multiLevelType w:val="hybridMultilevel"/>
    <w:lvl w:ilvl="0">
      <w:lvlJc w:val="left"/>
      <w:lvlText w:val="(%1)"/>
      <w:numFmt w:val="lowerLetter"/>
      <w:start w:val="1"/>
    </w:lvl>
  </w:abstractNum>
  <w:abstractNum w:abstractNumId="484">
    <w:nsid w:val="2CF0838B"/>
    <w:multiLevelType w:val="hybridMultilevel"/>
    <w:lvl w:ilvl="0">
      <w:lvlJc w:val="left"/>
      <w:lvlText w:val="(%1)"/>
      <w:numFmt w:val="lowerLetter"/>
      <w:start w:val="1"/>
    </w:lvl>
    <w:lvl w:ilvl="1">
      <w:lvlJc w:val="left"/>
      <w:lvlText w:val="(%2)"/>
      <w:numFmt w:val="lowerRoman"/>
      <w:start w:val="1"/>
    </w:lvl>
  </w:abstractNum>
  <w:abstractNum w:abstractNumId="485">
    <w:nsid w:val="3E238E27"/>
    <w:multiLevelType w:val="hybridMultilevel"/>
    <w:lvl w:ilvl="0">
      <w:lvlJc w:val="left"/>
      <w:lvlText w:val="%1"/>
      <w:numFmt w:val="lowerLetter"/>
      <w:start w:val="1"/>
    </w:lvl>
    <w:lvl w:ilvl="1">
      <w:lvlJc w:val="left"/>
      <w:lvlText w:val="(%2)"/>
      <w:numFmt w:val="lowerLetter"/>
      <w:start w:val="61"/>
    </w:lvl>
  </w:abstractNum>
  <w:abstractNum w:abstractNumId="486">
    <w:nsid w:val="1BB4DBCD"/>
    <w:multiLevelType w:val="hybridMultilevel"/>
    <w:lvl w:ilvl="0">
      <w:lvlJc w:val="left"/>
      <w:lvlText w:val="(%1)"/>
      <w:numFmt w:val="lowerLetter"/>
      <w:start w:val="3"/>
    </w:lvl>
    <w:lvl w:ilvl="1">
      <w:lvlJc w:val="left"/>
      <w:lvlText w:val="%2"/>
      <w:numFmt w:val="lowerLetter"/>
      <w:start w:val="1"/>
    </w:lvl>
  </w:abstractNum>
  <w:abstractNum w:abstractNumId="487">
    <w:nsid w:val="659DCFA3"/>
    <w:multiLevelType w:val="hybridMultilevel"/>
    <w:lvl w:ilvl="0">
      <w:lvlJc w:val="left"/>
      <w:lvlText w:val="(%1)"/>
      <w:numFmt w:val="lowerLetter"/>
      <w:start w:val="6"/>
    </w:lvl>
  </w:abstractNum>
  <w:abstractNum w:abstractNumId="488">
    <w:nsid w:val="6F07C58"/>
    <w:multiLevelType w:val="hybridMultilevel"/>
    <w:lvl w:ilvl="0">
      <w:lvlJc w:val="left"/>
      <w:lvlText w:val="(%1)"/>
      <w:numFmt w:val="lowerRoman"/>
      <w:start w:val="1"/>
    </w:lvl>
  </w:abstractNum>
  <w:abstractNum w:abstractNumId="489">
    <w:nsid w:val="619F753B"/>
    <w:multiLevelType w:val="hybridMultilevel"/>
    <w:lvl w:ilvl="0">
      <w:lvlJc w:val="left"/>
      <w:lvlText w:val="(%1)"/>
      <w:numFmt w:val="lowerLetter"/>
      <w:start w:val="1"/>
    </w:lvl>
  </w:abstractNum>
  <w:abstractNum w:abstractNumId="490">
    <w:nsid w:val="29BD8A97"/>
    <w:multiLevelType w:val="hybridMultilevel"/>
    <w:lvl w:ilvl="0">
      <w:lvlJc w:val="left"/>
      <w:lvlText w:val="(%1)"/>
      <w:numFmt w:val="lowerLetter"/>
      <w:start w:val="3"/>
    </w:lvl>
  </w:abstractNum>
  <w:abstractNum w:abstractNumId="491">
    <w:nsid w:val="61C66E3"/>
    <w:multiLevelType w:val="hybridMultilevel"/>
    <w:lvl w:ilvl="0">
      <w:lvlJc w:val="left"/>
      <w:lvlText w:val="(%1)"/>
      <w:numFmt w:val="lowerLetter"/>
      <w:start w:val="1"/>
    </w:lvl>
  </w:abstractNum>
  <w:abstractNum w:abstractNumId="492">
    <w:nsid w:val="69321F16"/>
    <w:multiLevelType w:val="hybridMultilevel"/>
    <w:lvl w:ilvl="0">
      <w:lvlJc w:val="left"/>
      <w:lvlText w:val="(%1)"/>
      <w:numFmt w:val="lowerLetter"/>
      <w:start w:val="1"/>
    </w:lvl>
  </w:abstractNum>
  <w:abstractNum w:abstractNumId="493">
    <w:nsid w:val="2D96B714"/>
    <w:multiLevelType w:val="hybridMultilevel"/>
    <w:lvl w:ilvl="0">
      <w:lvlJc w:val="left"/>
      <w:lvlText w:val="(%1)"/>
      <w:numFmt w:val="lowerLetter"/>
      <w:start w:val="3"/>
    </w:lvl>
  </w:abstractNum>
  <w:abstractNum w:abstractNumId="494">
    <w:nsid w:val="3D76F9E2"/>
    <w:multiLevelType w:val="hybridMultilevel"/>
    <w:lvl w:ilvl="0">
      <w:lvlJc w:val="left"/>
      <w:lvlText w:val="(%1)"/>
      <w:numFmt w:val="lowerLetter"/>
      <w:start w:val="1"/>
    </w:lvl>
  </w:abstractNum>
  <w:abstractNum w:abstractNumId="495">
    <w:nsid w:val="124A2DF8"/>
    <w:multiLevelType w:val="hybridMultilevel"/>
    <w:lvl w:ilvl="0">
      <w:lvlJc w:val="left"/>
      <w:lvlText w:val="(%1)"/>
      <w:numFmt w:val="lowerLetter"/>
      <w:start w:val="1"/>
    </w:lvl>
    <w:lvl w:ilvl="1">
      <w:lvlJc w:val="left"/>
      <w:lvlText w:val="(%2)"/>
      <w:numFmt w:val="lowerRoman"/>
      <w:start w:val="1"/>
    </w:lvl>
  </w:abstractNum>
  <w:abstractNum w:abstractNumId="496">
    <w:nsid w:val="2A26C828"/>
    <w:multiLevelType w:val="hybridMultilevel"/>
    <w:lvl w:ilvl="0">
      <w:lvlJc w:val="left"/>
      <w:lvlText w:val="(%1)"/>
      <w:numFmt w:val="lowerLetter"/>
      <w:start w:val="1"/>
    </w:lvl>
  </w:abstractNum>
  <w:abstractNum w:abstractNumId="497">
    <w:nsid w:val="7FE72292"/>
    <w:multiLevelType w:val="hybridMultilevel"/>
    <w:lvl w:ilvl="0">
      <w:lvlJc w:val="left"/>
      <w:lvlText w:val="(%1)"/>
      <w:numFmt w:val="lowerLetter"/>
      <w:start w:val="1"/>
    </w:lvl>
  </w:abstractNum>
  <w:abstractNum w:abstractNumId="498">
    <w:nsid w:val="60C94A46"/>
    <w:multiLevelType w:val="hybridMultilevel"/>
    <w:lvl w:ilvl="0">
      <w:lvlJc w:val="left"/>
      <w:lvlText w:val="(%1)"/>
      <w:numFmt w:val="lowerLetter"/>
      <w:start w:val="1"/>
    </w:lvl>
    <w:lvl w:ilvl="1">
      <w:lvlJc w:val="left"/>
      <w:lvlText w:val="(%2)"/>
      <w:numFmt w:val="lowerLetter"/>
      <w:start w:val="9"/>
    </w:lvl>
  </w:abstractNum>
  <w:abstractNum w:abstractNumId="499">
    <w:nsid w:val="69D9E7A"/>
    <w:multiLevelType w:val="hybridMultilevel"/>
    <w:lvl w:ilvl="0">
      <w:lvlJc w:val="left"/>
      <w:lvlText w:val="(%1)"/>
      <w:numFmt w:val="lowerLetter"/>
      <w:start w:val="3"/>
    </w:lvl>
  </w:abstractNum>
  <w:abstractNum w:abstractNumId="500">
    <w:nsid w:val="7F056040"/>
    <w:multiLevelType w:val="hybridMultilevel"/>
    <w:lvl w:ilvl="0">
      <w:lvlJc w:val="left"/>
      <w:lvlText w:val="(%1)"/>
      <w:numFmt w:val="lowerLetter"/>
      <w:start w:val="1"/>
    </w:lvl>
  </w:abstractNum>
  <w:abstractNum w:abstractNumId="501">
    <w:nsid w:val="1D701BFF"/>
    <w:multiLevelType w:val="hybridMultilevel"/>
    <w:lvl w:ilvl="0">
      <w:lvlJc w:val="left"/>
      <w:lvlText w:val="(%1)"/>
      <w:numFmt w:val="lowerLetter"/>
      <w:start w:val="1"/>
    </w:lvl>
  </w:abstractNum>
  <w:abstractNum w:abstractNumId="502">
    <w:nsid w:val="4A12EC32"/>
    <w:multiLevelType w:val="hybridMultilevel"/>
    <w:lvl w:ilvl="0">
      <w:lvlJc w:val="left"/>
      <w:lvlText w:val="(%1)"/>
      <w:numFmt w:val="lowerLetter"/>
      <w:start w:val="3"/>
    </w:lvl>
  </w:abstractNum>
  <w:abstractNum w:abstractNumId="503">
    <w:nsid w:val="3F35DD67"/>
    <w:multiLevelType w:val="hybridMultilevel"/>
    <w:lvl w:ilvl="0">
      <w:lvlJc w:val="left"/>
      <w:lvlText w:val="(%1)"/>
      <w:numFmt w:val="lowerLetter"/>
      <w:start w:val="1"/>
    </w:lvl>
  </w:abstractNum>
  <w:abstractNum w:abstractNumId="504">
    <w:nsid w:val="2B66AC12"/>
    <w:multiLevelType w:val="hybridMultilevel"/>
    <w:lvl w:ilvl="0">
      <w:lvlJc w:val="left"/>
      <w:lvlText w:val="(%1)"/>
      <w:numFmt w:val="lowerLetter"/>
      <w:start w:val="1"/>
    </w:lvl>
    <w:lvl w:ilvl="1">
      <w:lvlJc w:val="left"/>
      <w:lvlText w:val="(%2)"/>
      <w:numFmt w:val="lowerRoman"/>
      <w:start w:val="1"/>
    </w:lvl>
  </w:abstractNum>
  <w:abstractNum w:abstractNumId="505">
    <w:nsid w:val="59F12779"/>
    <w:multiLevelType w:val="hybridMultilevel"/>
    <w:lvl w:ilvl="0">
      <w:lvlJc w:val="left"/>
      <w:lvlText w:val="(%1)"/>
      <w:numFmt w:val="lowerRoman"/>
      <w:start w:val="2"/>
    </w:lvl>
  </w:abstractNum>
  <w:abstractNum w:abstractNumId="506">
    <w:nsid w:val="452528CB"/>
    <w:multiLevelType w:val="hybridMultilevel"/>
    <w:lvl w:ilvl="0">
      <w:lvlJc w:val="left"/>
      <w:lvlText w:val="(%1)"/>
      <w:numFmt w:val="lowerLetter"/>
      <w:start w:val="1"/>
    </w:lvl>
  </w:abstractNum>
  <w:abstractNum w:abstractNumId="507">
    <w:nsid w:val="4FBE108E"/>
    <w:multiLevelType w:val="hybridMultilevel"/>
    <w:lvl w:ilvl="0">
      <w:lvlJc w:val="left"/>
      <w:lvlText w:val="(%1)"/>
      <w:numFmt w:val="lowerLetter"/>
      <w:start w:val="1"/>
    </w:lvl>
  </w:abstractNum>
  <w:abstractNum w:abstractNumId="508">
    <w:nsid w:val="60602E62"/>
    <w:multiLevelType w:val="hybridMultilevel"/>
    <w:lvl w:ilvl="0">
      <w:lvlJc w:val="left"/>
      <w:lvlText w:val="(%1)"/>
      <w:numFmt w:val="lowerLetter"/>
      <w:start w:val="2"/>
    </w:lvl>
  </w:abstractNum>
  <w:abstractNum w:abstractNumId="509">
    <w:nsid w:val="47D0D402"/>
    <w:multiLevelType w:val="hybridMultilevel"/>
    <w:lvl w:ilvl="0">
      <w:lvlJc w:val="left"/>
      <w:lvlText w:val="(%1)"/>
      <w:numFmt w:val="lowerLetter"/>
      <w:start w:val="3"/>
    </w:lvl>
  </w:abstractNum>
  <w:abstractNum w:abstractNumId="510">
    <w:nsid w:val="D1CD939"/>
    <w:multiLevelType w:val="hybridMultilevel"/>
    <w:lvl w:ilvl="0">
      <w:lvlJc w:val="left"/>
      <w:lvlText w:val="(%1)"/>
      <w:numFmt w:val="lowerLetter"/>
      <w:start w:val="4"/>
    </w:lvl>
  </w:abstractNum>
  <w:abstractNum w:abstractNumId="511">
    <w:nsid w:val="12552B10"/>
    <w:multiLevelType w:val="hybridMultilevel"/>
    <w:lvl w:ilvl="0">
      <w:lvlJc w:val="left"/>
      <w:lvlText w:val="(%1)"/>
      <w:numFmt w:val="lowerLetter"/>
      <w:start w:val="5"/>
    </w:lvl>
  </w:abstractNum>
  <w:abstractNum w:abstractNumId="512">
    <w:nsid w:val="F4E8872"/>
    <w:multiLevelType w:val="hybridMultilevel"/>
    <w:lvl w:ilvl="0">
      <w:lvlJc w:val="left"/>
      <w:lvlText w:val="(%1)"/>
      <w:numFmt w:val="lowerLetter"/>
      <w:start w:val="1"/>
    </w:lvl>
  </w:abstractNum>
  <w:abstractNum w:abstractNumId="513">
    <w:nsid w:val="5CF24B45"/>
    <w:multiLevelType w:val="hybridMultilevel"/>
    <w:lvl w:ilvl="0">
      <w:lvlJc w:val="left"/>
      <w:lvlText w:val="(%1)"/>
      <w:numFmt w:val="lowerLetter"/>
      <w:start w:val="1"/>
    </w:lvl>
  </w:abstractNum>
  <w:abstractNum w:abstractNumId="514">
    <w:nsid w:val="5F91BE56"/>
    <w:multiLevelType w:val="hybridMultilevel"/>
    <w:lvl w:ilvl="0">
      <w:lvlJc w:val="left"/>
      <w:lvlText w:val="(%1)"/>
      <w:numFmt w:val="lowerLetter"/>
      <w:start w:val="2"/>
    </w:lvl>
  </w:abstractNum>
  <w:abstractNum w:abstractNumId="515">
    <w:nsid w:val="3C3F0BFD"/>
    <w:multiLevelType w:val="hybridMultilevel"/>
    <w:lvl w:ilvl="0">
      <w:lvlJc w:val="left"/>
      <w:lvlText w:val="%1."/>
      <w:numFmt w:val="decimal"/>
      <w:start w:val="1"/>
    </w:lvl>
  </w:abstractNum>
  <w:abstractNum w:abstractNumId="516">
    <w:nsid w:val="1B15D96C"/>
    <w:multiLevelType w:val="hybridMultilevel"/>
    <w:lvl w:ilvl="0">
      <w:lvlJc w:val="left"/>
      <w:lvlText w:val="%1."/>
      <w:numFmt w:val="decimal"/>
      <w:start w:val="3"/>
    </w:lvl>
  </w:abstractNum>
  <w:abstractNum w:abstractNumId="517">
    <w:nsid w:val="7B469A23"/>
    <w:multiLevelType w:val="hybridMultilevel"/>
    <w:lvl w:ilvl="0">
      <w:lvlJc w:val="left"/>
      <w:lvlText w:val="(%1)"/>
      <w:numFmt w:val="lowerRoman"/>
      <w:start w:val="3"/>
    </w:lvl>
  </w:abstractNum>
  <w:abstractNum w:abstractNumId="518">
    <w:nsid w:val="21DCDBA0"/>
    <w:multiLevelType w:val="hybridMultilevel"/>
    <w:lvl w:ilvl="0">
      <w:lvlJc w:val="left"/>
      <w:lvlText w:val="(%1)"/>
      <w:numFmt w:val="lowerRoman"/>
      <w:start w:val="1"/>
    </w:lvl>
  </w:abstractNum>
  <w:abstractNum w:abstractNumId="519">
    <w:nsid w:val="220655C4"/>
    <w:multiLevelType w:val="hybridMultilevel"/>
    <w:lvl w:ilvl="0">
      <w:lvlJc w:val="left"/>
      <w:lvlText w:val="(%1)"/>
      <w:numFmt w:val="lowerRoman"/>
      <w:start w:val="1"/>
    </w:lvl>
  </w:abstractNum>
  <w:abstractNum w:abstractNumId="520">
    <w:nsid w:val="5CE60F5E"/>
    <w:multiLevelType w:val="hybridMultilevel"/>
    <w:lvl w:ilvl="0">
      <w:lvlJc w:val="left"/>
      <w:lvlText w:val="(%1)"/>
      <w:numFmt w:val="lowerRoman"/>
      <w:start w:val="1"/>
    </w:lvl>
  </w:abstractNum>
  <w:abstractNum w:abstractNumId="521">
    <w:nsid w:val="4B9A6638"/>
    <w:multiLevelType w:val="hybridMultilevel"/>
    <w:lvl w:ilvl="0">
      <w:lvlJc w:val="left"/>
      <w:lvlText w:val="(%1)"/>
      <w:numFmt w:val="lowerRoman"/>
      <w:start w:val="1"/>
    </w:lvl>
  </w:abstractNum>
  <w:abstractNum w:abstractNumId="522">
    <w:nsid w:val="2822BCA7"/>
    <w:multiLevelType w:val="hybridMultilevel"/>
    <w:lvl w:ilvl="0">
      <w:lvlJc w:val="left"/>
      <w:lvlText w:val="(%1)"/>
      <w:numFmt w:val="lowerRoman"/>
      <w:start w:val="1"/>
    </w:lvl>
    <w:lvl w:ilvl="1">
      <w:lvlJc w:val="left"/>
      <w:lvlText w:val="(%2)"/>
      <w:numFmt w:val="upperLetter"/>
      <w:start w:val="1"/>
    </w:lvl>
  </w:abstractNum>
  <w:abstractNum w:abstractNumId="523">
    <w:nsid w:val="46182E75"/>
    <w:multiLevelType w:val="hybridMultilevel"/>
    <w:lvl w:ilvl="0">
      <w:lvlJc w:val="left"/>
      <w:lvlText w:val="(%1)"/>
      <w:numFmt w:val="lowerRoman"/>
      <w:start w:val="1"/>
    </w:lvl>
  </w:abstractNum>
  <w:abstractNum w:abstractNumId="524">
    <w:nsid w:val="79311D4C"/>
    <w:multiLevelType w:val="hybridMultilevel"/>
    <w:lvl w:ilvl="0">
      <w:lvlJc w:val="left"/>
      <w:lvlText w:val="(%1)"/>
      <w:numFmt w:val="lowerRoman"/>
      <w:start w:val="4"/>
    </w:lvl>
  </w:abstractNum>
  <w:abstractNum w:abstractNumId="525">
    <w:nsid w:val="6599B689"/>
    <w:multiLevelType w:val="hybridMultilevel"/>
    <w:lvl w:ilvl="0">
      <w:lvlJc w:val="left"/>
      <w:lvlText w:val="(%1)"/>
      <w:numFmt w:val="lowerRoman"/>
      <w:start w:val="8"/>
    </w:lvl>
  </w:abstractNum>
  <w:abstractNum w:abstractNumId="526">
    <w:nsid w:val="58625C6D"/>
    <w:multiLevelType w:val="hybridMultilevel"/>
    <w:lvl w:ilvl="0">
      <w:lvlJc w:val="left"/>
      <w:lvlText w:val="(%1)"/>
      <w:numFmt w:val="lowerRoman"/>
      <w:start w:val="5"/>
    </w:lvl>
  </w:abstractNum>
  <w:abstractNum w:abstractNumId="527">
    <w:nsid w:val="2357E574"/>
    <w:multiLevelType w:val="hybridMultilevel"/>
    <w:lvl w:ilvl="0">
      <w:lvlJc w:val="left"/>
      <w:lvlText w:val="(%1)"/>
      <w:numFmt w:val="lowerLetter"/>
      <w:start w:val="2"/>
    </w:lvl>
  </w:abstractNum>
  <w:abstractNum w:abstractNumId="528">
    <w:nsid w:val="6580D91B"/>
    <w:multiLevelType w:val="hybridMultilevel"/>
    <w:lvl w:ilvl="0">
      <w:lvlJc w:val="left"/>
      <w:lvlText w:val="(%1)"/>
      <w:numFmt w:val="lowerRoman"/>
      <w:start w:val="1"/>
    </w:lvl>
  </w:abstractNum>
  <w:abstractNum w:abstractNumId="529">
    <w:nsid w:val="392BA6B3"/>
    <w:multiLevelType w:val="hybridMultilevel"/>
    <w:lvl w:ilvl="0">
      <w:lvlJc w:val="left"/>
      <w:lvlText w:val="(%1)"/>
      <w:numFmt w:val="lowerLetter"/>
      <w:start w:val="1"/>
    </w:lvl>
  </w:abstractNum>
  <w:abstractNum w:abstractNumId="530">
    <w:nsid w:val="29F583EF"/>
    <w:multiLevelType w:val="hybridMultilevel"/>
    <w:lvl w:ilvl="0">
      <w:lvlJc w:val="left"/>
      <w:lvlText w:val="(%1)"/>
      <w:numFmt w:val="lowerRoman"/>
      <w:start w:val="1"/>
    </w:lvl>
  </w:abstractNum>
  <w:abstractNum w:abstractNumId="531">
    <w:nsid w:val="6486395B"/>
    <w:multiLevelType w:val="hybridMultilevel"/>
    <w:lvl w:ilvl="0">
      <w:lvlJc w:val="left"/>
      <w:lvlText w:val="(%1)"/>
      <w:numFmt w:val="lowerRoman"/>
      <w:start w:val="7"/>
    </w:lvl>
  </w:abstractNum>
  <w:abstractNum w:abstractNumId="532">
    <w:nsid w:val="569BC2B2"/>
    <w:multiLevelType w:val="hybridMultilevel"/>
    <w:lvl w:ilvl="0">
      <w:lvlJc w:val="left"/>
      <w:lvlText w:val="(%1)"/>
      <w:numFmt w:val="lowerRoman"/>
      <w:start w:val="1"/>
    </w:lvl>
  </w:abstractNum>
  <w:abstractNum w:abstractNumId="533">
    <w:nsid w:val="74087021"/>
    <w:multiLevelType w:val="hybridMultilevel"/>
    <w:lvl w:ilvl="0">
      <w:lvlJc w:val="left"/>
      <w:lvlText w:val="(%1)"/>
      <w:numFmt w:val="lowerRoman"/>
      <w:start w:val="4"/>
    </w:lvl>
  </w:abstractNum>
  <w:abstractNum w:abstractNumId="534">
    <w:nsid w:val="23BC16C2"/>
    <w:multiLevelType w:val="hybridMultilevel"/>
    <w:lvl w:ilvl="0">
      <w:lvlJc w:val="left"/>
      <w:lvlText w:val="(%1)"/>
      <w:numFmt w:val="lowerRoman"/>
      <w:start w:val="8"/>
    </w:lvl>
  </w:abstractNum>
  <w:abstractNum w:abstractNumId="535">
    <w:nsid w:val="2026EC5"/>
    <w:multiLevelType w:val="hybridMultilevel"/>
    <w:lvl w:ilvl="0">
      <w:lvlJc w:val="left"/>
      <w:lvlText w:val="(%1)"/>
      <w:numFmt w:val="lowerRoman"/>
      <w:start w:val="5"/>
    </w:lvl>
  </w:abstractNum>
  <w:abstractNum w:abstractNumId="536">
    <w:nsid w:val="4DF9979A"/>
    <w:multiLevelType w:val="hybridMultilevel"/>
    <w:lvl w:ilvl="0">
      <w:lvlJc w:val="left"/>
      <w:lvlText w:val="%1."/>
      <w:numFmt w:val="decimal"/>
      <w:start w:val="1"/>
    </w:lvl>
  </w:abstractNum>
  <w:abstractNum w:abstractNumId="537">
    <w:nsid w:val="68E13F8E"/>
    <w:multiLevelType w:val="hybridMultilevel"/>
    <w:lvl w:ilvl="0">
      <w:lvlJc w:val="left"/>
      <w:lvlText w:val="%1."/>
      <w:numFmt w:val="upperLetter"/>
      <w:start w:val="2"/>
    </w:lvl>
  </w:abstractNum>
  <w:abstractNum w:abstractNumId="538">
    <w:nsid w:val="51C07F53"/>
    <w:multiLevelType w:val="hybridMultilevel"/>
    <w:lvl w:ilvl="0">
      <w:lvlJc w:val="left"/>
      <w:lvlText w:val="%1)"/>
      <w:numFmt w:val="decimal"/>
      <w:start w:val="1"/>
    </w:lvl>
    <w:lvl w:ilvl="1">
      <w:lvlJc w:val="left"/>
      <w:lvlText w:val="%2)"/>
      <w:numFmt w:val="decimal"/>
      <w:start w:val="2"/>
    </w:lvl>
    <w:lvl w:ilvl="2">
      <w:lvlJc w:val="left"/>
      <w:lvlText w:val="%3)"/>
      <w:numFmt w:val="decimal"/>
      <w:start w:val="4"/>
    </w:lvl>
    <w:lvl w:ilvl="3">
      <w:lvlJc w:val="left"/>
      <w:lvlText w:val="(%4)"/>
      <w:numFmt w:val="lowerLetter"/>
      <w:start w:val="1"/>
    </w:lvl>
    <w:lvl w:ilvl="4">
      <w:lvlJc w:val="left"/>
      <w:lvlText w:val="(%5)"/>
      <w:numFmt w:val="lowerLetter"/>
      <w:start w:val="2"/>
    </w:lvl>
  </w:abstractNum>
  <w:abstractNum w:abstractNumId="539">
    <w:nsid w:val="2E59C5FD"/>
    <w:multiLevelType w:val="hybridMultilevel"/>
    <w:lvl w:ilvl="0">
      <w:lvlJc w:val="left"/>
      <w:lvlText w:val="%1)"/>
      <w:numFmt w:val="decimal"/>
      <w:start w:val="5"/>
    </w:lvl>
  </w:abstractNum>
  <w:abstractNum w:abstractNumId="540">
    <w:nsid w:val="30B2139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41">
    <w:nsid w:val="5EDD588C"/>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542">
    <w:nsid w:val="40AEF10D"/>
    <w:multiLevelType w:val="hybridMultilevel"/>
    <w:lvl w:ilvl="0">
      <w:lvlJc w:val="left"/>
      <w:lvlText w:val="%1)"/>
      <w:numFmt w:val="decimal"/>
      <w:start w:val="5"/>
    </w:lvl>
  </w:abstractNum>
  <w:abstractNum w:abstractNumId="543">
    <w:nsid w:val="40009C0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544">
    <w:nsid w:val="3BCFA3D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545">
    <w:nsid w:val="2040AF63"/>
    <w:multiLevelType w:val="hybridMultilevel"/>
    <w:lvl w:ilvl="0">
      <w:lvlJc w:val="left"/>
      <w:lvlText w:val="(%1)"/>
      <w:numFmt w:val="lowerLetter"/>
      <w:start w:val="3"/>
    </w:lvl>
  </w:abstractNum>
  <w:abstractNum w:abstractNumId="546">
    <w:nsid w:val="7C3FA80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47">
    <w:nsid w:val="56E57D3D"/>
    <w:multiLevelType w:val="hybridMultilevel"/>
    <w:lvl w:ilvl="0">
      <w:lvlJc w:val="left"/>
      <w:lvlText w:val="(%1)"/>
      <w:numFmt w:val="lowerLetter"/>
      <w:start w:val="1"/>
    </w:lvl>
  </w:abstractNum>
  <w:abstractNum w:abstractNumId="548">
    <w:nsid w:val="1B874986"/>
    <w:multiLevelType w:val="hybridMultilevel"/>
    <w:lvl w:ilvl="0">
      <w:lvlJc w:val="left"/>
      <w:lvlText w:val="(%1)"/>
      <w:numFmt w:val="decimal"/>
      <w:start w:val="1"/>
    </w:lvl>
  </w:abstractNum>
  <w:abstractNum w:abstractNumId="549">
    <w:nsid w:val="1E1C83A1"/>
    <w:multiLevelType w:val="hybridMultilevel"/>
    <w:lvl w:ilvl="0">
      <w:lvlJc w:val="left"/>
      <w:lvlText w:val="(%1)"/>
      <w:numFmt w:val="upperLetter"/>
      <w:start w:val="1"/>
    </w:lvl>
  </w:abstractNum>
  <w:abstractNum w:abstractNumId="550">
    <w:nsid w:val="78EBD301"/>
    <w:multiLevelType w:val="hybridMultilevel"/>
    <w:lvl w:ilvl="0">
      <w:lvlJc w:val="left"/>
      <w:lvlText w:val="%1."/>
      <w:numFmt w:val="decimal"/>
      <w:start w:val="1"/>
    </w:lvl>
  </w:abstractNum>
  <w:abstractNum w:abstractNumId="551">
    <w:nsid w:val="786D58E4"/>
    <w:multiLevelType w:val="hybridMultilevel"/>
    <w:lvl w:ilvl="0">
      <w:lvlJc w:val="left"/>
      <w:lvlText w:val="(%1)"/>
      <w:numFmt w:val="lowerLetter"/>
      <w:start w:val="1"/>
    </w:lvl>
  </w:abstractNum>
  <w:abstractNum w:abstractNumId="552">
    <w:nsid w:val="69B6E9D9"/>
    <w:multiLevelType w:val="hybridMultilevel"/>
    <w:lvl w:ilvl="0">
      <w:lvlJc w:val="left"/>
      <w:lvlText w:val="(%1)"/>
      <w:numFmt w:val="lowerLetter"/>
      <w:start w:val="1"/>
    </w:lvl>
  </w:abstractNum>
  <w:abstractNum w:abstractNumId="553">
    <w:nsid w:val="210E8FA8"/>
    <w:multiLevelType w:val="hybridMultilevel"/>
    <w:lvl w:ilvl="0">
      <w:lvlJc w:val="left"/>
      <w:lvlText w:val="%1."/>
      <w:numFmt w:val="decimal"/>
      <w:start w:val="2"/>
    </w:lvl>
  </w:abstractNum>
  <w:abstractNum w:abstractNumId="554">
    <w:nsid w:val="3E858759"/>
    <w:multiLevelType w:val="hybridMultilevel"/>
    <w:lvl w:ilvl="0">
      <w:lvlJc w:val="left"/>
      <w:lvlText w:val="%1."/>
      <w:numFmt w:val="decimal"/>
      <w:start w:val="3"/>
    </w:lvl>
  </w:abstractNum>
  <w:abstractNum w:abstractNumId="555">
    <w:nsid w:val="62E80725"/>
    <w:multiLevelType w:val="hybridMultilevel"/>
    <w:lvl w:ilvl="0">
      <w:lvlJc w:val="left"/>
      <w:lvlText w:val="%1."/>
      <w:numFmt w:val="decimal"/>
      <w:start w:val="4"/>
    </w:lvl>
  </w:abstractNum>
  <w:abstractNum w:abstractNumId="556">
    <w:nsid w:val="6A84631"/>
    <w:multiLevelType w:val="hybridMultilevel"/>
    <w:lvl w:ilvl="0">
      <w:lvlJc w:val="left"/>
      <w:lvlText w:val="%1."/>
      <w:numFmt w:val="decimal"/>
      <w:start w:val="5"/>
    </w:lvl>
  </w:abstractNum>
  <w:abstractNum w:abstractNumId="557">
    <w:nsid w:val="16E7E3C7"/>
    <w:multiLevelType w:val="hybridMultilevel"/>
    <w:lvl w:ilvl="0">
      <w:lvlJc w:val="left"/>
      <w:lvlText w:val="%1."/>
      <w:numFmt w:val="decimal"/>
      <w:start w:val="6"/>
    </w:lvl>
  </w:abstractNum>
  <w:abstractNum w:abstractNumId="558">
    <w:nsid w:val="63FEC9A"/>
    <w:multiLevelType w:val="hybridMultilevel"/>
    <w:lvl w:ilvl="0">
      <w:lvlJc w:val="left"/>
      <w:lvlText w:val="(%1)"/>
      <w:numFmt w:val="lowerLetter"/>
      <w:start w:val="1"/>
    </w:lvl>
  </w:abstractNum>
  <w:abstractNum w:abstractNumId="559">
    <w:nsid w:val="6C291F4C"/>
    <w:multiLevelType w:val="hybridMultilevel"/>
    <w:lvl w:ilvl="0">
      <w:lvlJc w:val="left"/>
      <w:lvlText w:val="(%1)"/>
      <w:numFmt w:val="lowerLetter"/>
      <w:start w:val="2"/>
    </w:lvl>
  </w:abstractNum>
  <w:abstractNum w:abstractNumId="560">
    <w:nsid w:val="50138A7A"/>
    <w:multiLevelType w:val="hybridMultilevel"/>
    <w:lvl w:ilvl="0">
      <w:lvlJc w:val="left"/>
      <w:lvlText w:val="(%1)"/>
      <w:numFmt w:val="lowerLetter"/>
      <w:start w:val="1"/>
    </w:lvl>
  </w:abstractNum>
  <w:abstractNum w:abstractNumId="561">
    <w:nsid w:val="30357089"/>
    <w:multiLevelType w:val="hybridMultilevel"/>
    <w:lvl w:ilvl="0">
      <w:lvlJc w:val="left"/>
      <w:lvlText w:val="(%1)"/>
      <w:numFmt w:val="lowerLetter"/>
      <w:start w:val="4"/>
    </w:lvl>
    <w:lvl w:ilvl="1">
      <w:lvlJc w:val="left"/>
      <w:lvlText w:val="(%2)"/>
      <w:numFmt w:val="lowerRoman"/>
      <w:start w:val="1"/>
    </w:lvl>
  </w:abstractNum>
  <w:abstractNum w:abstractNumId="562">
    <w:nsid w:val="50AF58A7"/>
    <w:multiLevelType w:val="hybridMultilevel"/>
    <w:lvl w:ilvl="0">
      <w:lvlJc w:val="left"/>
      <w:lvlText w:val="(%1)"/>
      <w:numFmt w:val="lowerLetter"/>
      <w:start w:val="5"/>
    </w:lvl>
  </w:abstractNum>
  <w:abstractNum w:abstractNumId="563">
    <w:nsid w:val="26AF4D2D"/>
    <w:multiLevelType w:val="hybridMultilevel"/>
    <w:lvl w:ilvl="0">
      <w:lvlJc w:val="left"/>
      <w:lvlText w:val="(%1)"/>
      <w:numFmt w:val="lowerLetter"/>
      <w:start w:val="7"/>
    </w:lvl>
  </w:abstractNum>
  <w:abstractNum w:abstractNumId="564">
    <w:nsid w:val="243DE0AA"/>
    <w:multiLevelType w:val="hybridMultilevel"/>
    <w:lvl w:ilvl="0">
      <w:lvlJc w:val="left"/>
      <w:lvlText w:val="%1."/>
      <w:numFmt w:val="decimal"/>
      <w:start w:val="7"/>
    </w:lvl>
  </w:abstractNum>
  <w:abstractNum w:abstractNumId="565">
    <w:nsid w:val="746B6F6A"/>
    <w:multiLevelType w:val="hybridMultilevel"/>
    <w:lvl w:ilvl="0">
      <w:lvlJc w:val="left"/>
      <w:lvlText w:val="%1."/>
      <w:numFmt w:val="decimal"/>
      <w:start w:val="8"/>
    </w:lvl>
  </w:abstractNum>
  <w:abstractNum w:abstractNumId="566">
    <w:nsid w:val="28B1BBF2"/>
    <w:multiLevelType w:val="hybridMultilevel"/>
    <w:lvl w:ilvl="0">
      <w:lvlJc w:val="left"/>
      <w:lvlText w:val="(%1)"/>
      <w:numFmt w:val="lowerLetter"/>
      <w:start w:val="1"/>
    </w:lvl>
  </w:abstractNum>
  <w:abstractNum w:abstractNumId="567">
    <w:nsid w:val="72377844"/>
    <w:multiLevelType w:val="hybridMultilevel"/>
    <w:lvl w:ilvl="0">
      <w:lvlJc w:val="left"/>
      <w:lvlText w:val="%1"/>
      <w:numFmt w:val="decimal"/>
      <w:start w:val="1"/>
    </w:lvl>
    <w:lvl w:ilvl="1">
      <w:lvlJc w:val="left"/>
      <w:lvlText w:val="(%2)"/>
      <w:numFmt w:val="lowerLetter"/>
      <w:start w:val="6"/>
    </w:lvl>
  </w:abstractNum>
  <w:abstractNum w:abstractNumId="568">
    <w:nsid w:val="5D4CAEF8"/>
    <w:multiLevelType w:val="hybridMultilevel"/>
    <w:lvl w:ilvl="0">
      <w:lvlJc w:val="left"/>
      <w:lvlText w:val="%1."/>
      <w:numFmt w:val="decimal"/>
      <w:start w:val="9"/>
    </w:lvl>
    <w:lvl w:ilvl="1">
      <w:lvlJc w:val="left"/>
      <w:lvlText w:val="%2"/>
      <w:numFmt w:val="lowerLetter"/>
      <w:start w:val="1"/>
    </w:lvl>
  </w:abstractNum>
  <w:abstractNum w:abstractNumId="569">
    <w:nsid w:val="7A723B45"/>
    <w:multiLevelType w:val="hybridMultilevel"/>
    <w:lvl w:ilvl="0">
      <w:lvlJc w:val="left"/>
      <w:lvlText w:val="(%1)"/>
      <w:numFmt w:val="lowerLetter"/>
      <w:start w:val="1"/>
    </w:lvl>
  </w:abstractNum>
  <w:abstractNum w:abstractNumId="570">
    <w:nsid w:val="20913E41"/>
    <w:multiLevelType w:val="hybridMultilevel"/>
    <w:lvl w:ilvl="0">
      <w:lvlJc w:val="left"/>
      <w:lvlText w:val="(%1)"/>
      <w:numFmt w:val="lowerLetter"/>
      <w:start w:val="1"/>
    </w:lvl>
  </w:abstractNum>
  <w:abstractNum w:abstractNumId="571">
    <w:nsid w:val="DFEC288"/>
    <w:multiLevelType w:val="hybridMultilevel"/>
    <w:lvl w:ilvl="0">
      <w:lvlJc w:val="left"/>
      <w:lvlText w:val="(%1)"/>
      <w:numFmt w:val="lowerLetter"/>
      <w:start w:val="1"/>
    </w:lvl>
  </w:abstractNum>
  <w:abstractNum w:abstractNumId="572">
    <w:nsid w:val="594F93D1"/>
    <w:multiLevelType w:val="hybridMultilevel"/>
    <w:lvl w:ilvl="0">
      <w:lvlJc w:val="left"/>
      <w:lvlText w:val="•"/>
      <w:numFmt w:val="bullet"/>
      <w:start w:val="1"/>
    </w:lvl>
  </w:abstractNum>
  <w:abstractNum w:abstractNumId="573">
    <w:nsid w:val="61402F4E"/>
    <w:multiLevelType w:val="hybridMultilevel"/>
    <w:lvl w:ilvl="0">
      <w:lvlJc w:val="left"/>
      <w:lvlText w:val="(%1)"/>
      <w:numFmt w:val="lowerLetter"/>
      <w:start w:val="2"/>
    </w:lvl>
  </w:abstractNum>
  <w:abstractNum w:abstractNumId="574">
    <w:nsid w:val="4DFF5E8B"/>
    <w:multiLevelType w:val="hybridMultilevel"/>
    <w:lvl w:ilvl="0">
      <w:lvlJc w:val="left"/>
      <w:lvlText w:val="(%1)"/>
      <w:numFmt w:val="lowerLetter"/>
      <w:start w:val="1"/>
    </w:lvl>
  </w:abstractNum>
  <w:abstractNum w:abstractNumId="575">
    <w:nsid w:val="151F37A3"/>
    <w:multiLevelType w:val="hybridMultilevel"/>
    <w:lvl w:ilvl="0">
      <w:lvlJc w:val="left"/>
      <w:lvlText w:val="(%1)"/>
      <w:numFmt w:val="lowerLetter"/>
      <w:start w:val="1"/>
    </w:lvl>
  </w:abstractNum>
  <w:abstractNum w:abstractNumId="576">
    <w:nsid w:val="180DEB1"/>
    <w:multiLevelType w:val="hybridMultilevel"/>
    <w:lvl w:ilvl="0">
      <w:lvlJc w:val="left"/>
      <w:lvlText w:val="(%1)"/>
      <w:numFmt w:val="lowerLetter"/>
      <w:start w:val="2"/>
    </w:lvl>
    <w:lvl w:ilvl="1">
      <w:lvlJc w:val="left"/>
      <w:lvlText w:val="(%2)"/>
      <w:numFmt w:val="lowerRoman"/>
      <w:start w:val="1"/>
    </w:lvl>
  </w:abstractNum>
  <w:abstractNum w:abstractNumId="577">
    <w:nsid w:val="4A3F068C"/>
    <w:multiLevelType w:val="hybridMultilevel"/>
    <w:lvl w:ilvl="0">
      <w:lvlJc w:val="left"/>
      <w:lvlText w:val="%1"/>
      <w:numFmt w:val="decimal"/>
      <w:start w:val="1"/>
    </w:lvl>
    <w:lvl w:ilvl="1">
      <w:lvlJc w:val="left"/>
      <w:lvlText w:val="(%2)"/>
      <w:numFmt w:val="lowerLetter"/>
      <w:start w:val="1"/>
    </w:lvl>
  </w:abstractNum>
  <w:abstractNum w:abstractNumId="578">
    <w:nsid w:val="6C04B4E0"/>
    <w:multiLevelType w:val="hybridMultilevel"/>
    <w:lvl w:ilvl="0">
      <w:lvlJc w:val="left"/>
      <w:lvlText w:val="%1."/>
      <w:numFmt w:val="decimal"/>
      <w:start w:val="10"/>
    </w:lvl>
    <w:lvl w:ilvl="1">
      <w:lvlJc w:val="left"/>
      <w:lvlText w:val="%2"/>
      <w:numFmt w:val="lowerLetter"/>
      <w:start w:val="1"/>
    </w:lvl>
  </w:abstractNum>
  <w:abstractNum w:abstractNumId="579">
    <w:nsid w:val="1D082837"/>
    <w:multiLevelType w:val="hybridMultilevel"/>
    <w:lvl w:ilvl="0">
      <w:lvlJc w:val="left"/>
      <w:lvlText w:val="%1"/>
      <w:numFmt w:val="decimal"/>
      <w:start w:val="1"/>
    </w:lvl>
    <w:lvl w:ilvl="1">
      <w:lvlJc w:val="left"/>
      <w:lvlText w:val="(%2)"/>
      <w:numFmt w:val="lowerLetter"/>
      <w:start w:val="1"/>
    </w:lvl>
  </w:abstractNum>
  <w:abstractNum w:abstractNumId="580">
    <w:nsid w:val="685B8A2D"/>
    <w:multiLevelType w:val="hybridMultilevel"/>
    <w:lvl w:ilvl="0">
      <w:lvlJc w:val="left"/>
      <w:lvlText w:val="%1."/>
      <w:numFmt w:val="decimal"/>
      <w:start w:val="11"/>
    </w:lvl>
    <w:lvl w:ilvl="1">
      <w:lvlJc w:val="left"/>
      <w:lvlText w:val="%2"/>
      <w:numFmt w:val="lowerLetter"/>
      <w:start w:val="1"/>
    </w:lvl>
  </w:abstractNum>
  <w:abstractNum w:abstractNumId="581">
    <w:nsid w:val="64F087E2"/>
    <w:multiLevelType w:val="hybridMultilevel"/>
    <w:lvl w:ilvl="0">
      <w:lvlJc w:val="left"/>
      <w:lvlText w:val="(%1)"/>
      <w:numFmt w:val="lowerLetter"/>
      <w:start w:val="1"/>
    </w:lvl>
  </w:abstractNum>
  <w:abstractNum w:abstractNumId="582">
    <w:nsid w:val="1575811C"/>
    <w:multiLevelType w:val="hybridMultilevel"/>
    <w:lvl w:ilvl="0">
      <w:lvlJc w:val="left"/>
      <w:lvlText w:val="%1"/>
      <w:numFmt w:val="decimal"/>
      <w:start w:val="1"/>
    </w:lvl>
    <w:lvl w:ilvl="1">
      <w:lvlJc w:val="left"/>
      <w:lvlText w:val="(%2)"/>
      <w:numFmt w:val="lowerLetter"/>
      <w:start w:val="1"/>
    </w:lvl>
  </w:abstractNum>
  <w:abstractNum w:abstractNumId="583">
    <w:nsid w:val="52127406"/>
    <w:multiLevelType w:val="hybridMultilevel"/>
    <w:lvl w:ilvl="0">
      <w:lvlJc w:val="left"/>
      <w:lvlText w:val="%1."/>
      <w:numFmt w:val="decimal"/>
      <w:start w:val="12"/>
    </w:lvl>
    <w:lvl w:ilvl="1">
      <w:lvlJc w:val="left"/>
      <w:lvlText w:val="%2"/>
      <w:numFmt w:val="lowerLetter"/>
      <w:start w:val="1"/>
    </w:lvl>
  </w:abstractNum>
  <w:abstractNum w:abstractNumId="584">
    <w:nsid w:val="5FF178A"/>
    <w:multiLevelType w:val="hybridMultilevel"/>
    <w:lvl w:ilvl="0">
      <w:lvlJc w:val="left"/>
      <w:lvlText w:val="(%1)"/>
      <w:numFmt w:val="lowerLetter"/>
      <w:start w:val="1"/>
    </w:lvl>
  </w:abstractNum>
  <w:abstractNum w:abstractNumId="585">
    <w:nsid w:val="53FB0875"/>
    <w:multiLevelType w:val="hybridMultilevel"/>
    <w:lvl w:ilvl="0">
      <w:lvlJc w:val="left"/>
      <w:lvlText w:val="%1."/>
      <w:numFmt w:val="decimal"/>
      <w:start w:val="13"/>
    </w:lvl>
  </w:abstractNum>
  <w:abstractNum w:abstractNumId="586">
    <w:nsid w:val="34FA7B2B"/>
    <w:multiLevelType w:val="hybridMultilevel"/>
    <w:lvl w:ilvl="0">
      <w:lvlJc w:val="left"/>
      <w:lvlText w:val="(%1)"/>
      <w:numFmt w:val="lowerLetter"/>
      <w:start w:val="1"/>
    </w:lvl>
  </w:abstractNum>
  <w:abstractNum w:abstractNumId="587">
    <w:nsid w:val="CA75DBC"/>
    <w:multiLevelType w:val="hybridMultilevel"/>
    <w:lvl w:ilvl="0">
      <w:lvlJc w:val="left"/>
      <w:lvlText w:val="%1."/>
      <w:numFmt w:val="decimal"/>
      <w:start w:val="14"/>
    </w:lvl>
  </w:abstractNum>
  <w:abstractNum w:abstractNumId="588">
    <w:nsid w:val="6AE2EC3C"/>
    <w:multiLevelType w:val="hybridMultilevel"/>
    <w:lvl w:ilvl="0">
      <w:lvlJc w:val="left"/>
      <w:lvlText w:val="(%1)"/>
      <w:numFmt w:val="lowerLetter"/>
      <w:start w:val="1"/>
    </w:lvl>
  </w:abstractNum>
  <w:abstractNum w:abstractNumId="589">
    <w:nsid w:val="3B3A67C5"/>
    <w:multiLevelType w:val="hybridMultilevel"/>
    <w:lvl w:ilvl="0">
      <w:lvlJc w:val="left"/>
      <w:lvlText w:val="%1."/>
      <w:numFmt w:val="decimal"/>
      <w:start w:val="15"/>
    </w:lvl>
  </w:abstractNum>
  <w:abstractNum w:abstractNumId="590">
    <w:nsid w:val="78D07D08"/>
    <w:multiLevelType w:val="hybridMultilevel"/>
    <w:lvl w:ilvl="0">
      <w:lvlJc w:val="left"/>
      <w:lvlText w:val="%1."/>
      <w:numFmt w:val="decimal"/>
      <w:start w:val="16"/>
    </w:lvl>
  </w:abstractNum>
  <w:abstractNum w:abstractNumId="591">
    <w:nsid w:val="3AF676B7"/>
    <w:multiLevelType w:val="hybridMultilevel"/>
    <w:lvl w:ilvl="0">
      <w:lvlJc w:val="left"/>
      <w:lvlText w:val="(%1)"/>
      <w:numFmt w:val="lowerLetter"/>
      <w:start w:val="1"/>
    </w:lvl>
  </w:abstractNum>
  <w:abstractNum w:abstractNumId="592">
    <w:nsid w:val="6B6FD84E"/>
    <w:multiLevelType w:val="hybridMultilevel"/>
    <w:lvl w:ilvl="0">
      <w:lvlJc w:val="left"/>
      <w:lvlText w:val="%1."/>
      <w:numFmt w:val="decimal"/>
      <w:start w:val="17"/>
    </w:lvl>
  </w:abstractNum>
  <w:abstractNum w:abstractNumId="593">
    <w:nsid w:val="497FD5B0"/>
    <w:multiLevelType w:val="hybridMultilevel"/>
    <w:lvl w:ilvl="0">
      <w:lvlJc w:val="left"/>
      <w:lvlText w:val="%1."/>
      <w:numFmt w:val="decimal"/>
      <w:start w:val="18"/>
    </w:lvl>
  </w:abstractNum>
  <w:abstractNum w:abstractNumId="594">
    <w:nsid w:val="61A5C3E4"/>
    <w:multiLevelType w:val="hybridMultilevel"/>
    <w:lvl w:ilvl="0">
      <w:lvlJc w:val="left"/>
      <w:lvlText w:val="%1."/>
      <w:numFmt w:val="decimal"/>
      <w:start w:val="19"/>
    </w:lvl>
  </w:abstractNum>
  <w:abstractNum w:abstractNumId="595">
    <w:nsid w:val="FADB8F8"/>
    <w:multiLevelType w:val="hybridMultilevel"/>
    <w:lvl w:ilvl="0">
      <w:lvlJc w:val="left"/>
      <w:lvlText w:val="%1."/>
      <w:numFmt w:val="decimal"/>
      <w:start w:val="20"/>
    </w:lvl>
  </w:abstractNum>
  <w:abstractNum w:abstractNumId="596">
    <w:nsid w:val="3DEB451A"/>
    <w:multiLevelType w:val="hybridMultilevel"/>
    <w:lvl w:ilvl="0">
      <w:lvlJc w:val="left"/>
      <w:lvlText w:val="(%1)"/>
      <w:numFmt w:val="lowerLetter"/>
      <w:start w:val="1"/>
    </w:lvl>
  </w:abstractNum>
  <w:abstractNum w:abstractNumId="597">
    <w:nsid w:val="A577FD6"/>
    <w:multiLevelType w:val="hybridMultilevel"/>
    <w:lvl w:ilvl="0">
      <w:lvlJc w:val="left"/>
      <w:lvlText w:val="(%1)"/>
      <w:numFmt w:val="lowerLetter"/>
      <w:start w:val="2"/>
    </w:lvl>
  </w:abstractNum>
  <w:abstractNum w:abstractNumId="598">
    <w:nsid w:val="1E5313D"/>
    <w:multiLevelType w:val="hybridMultilevel"/>
    <w:lvl w:ilvl="0">
      <w:lvlJc w:val="left"/>
      <w:lvlText w:val="%1."/>
      <w:numFmt w:val="decimal"/>
      <w:start w:val="21"/>
    </w:lvl>
  </w:abstractNum>
  <w:abstractNum w:abstractNumId="599">
    <w:nsid w:val="1B37F412"/>
    <w:multiLevelType w:val="hybridMultilevel"/>
    <w:lvl w:ilvl="0">
      <w:lvlJc w:val="left"/>
      <w:lvlText w:val="%1."/>
      <w:numFmt w:val="decimal"/>
      <w:start w:val="22"/>
    </w:lvl>
    <w:lvl w:ilvl="1">
      <w:lvlJc w:val="left"/>
      <w:lvlText w:val="(%2)"/>
      <w:numFmt w:val="lowerLetter"/>
      <w:start w:val="1"/>
    </w:lvl>
  </w:abstractNum>
  <w:abstractNum w:abstractNumId="600">
    <w:nsid w:val="4C9BB1B"/>
    <w:multiLevelType w:val="hybridMultilevel"/>
    <w:lvl w:ilvl="0">
      <w:lvlJc w:val="left"/>
      <w:lvlText w:val="%1."/>
      <w:numFmt w:val="decimal"/>
      <w:start w:val="24"/>
    </w:lvl>
  </w:abstractNum>
  <w:abstractNum w:abstractNumId="601">
    <w:nsid w:val="22766F7E"/>
    <w:multiLevelType w:val="hybridMultilevel"/>
    <w:lvl w:ilvl="0">
      <w:lvlJc w:val="left"/>
      <w:lvlText w:val="%1."/>
      <w:numFmt w:val="decimal"/>
      <w:start w:val="25"/>
    </w:lvl>
  </w:abstractNum>
  <w:abstractNum w:abstractNumId="602">
    <w:nsid w:val="2936B69A"/>
    <w:multiLevelType w:val="hybridMultilevel"/>
    <w:lvl w:ilvl="0">
      <w:lvlJc w:val="left"/>
      <w:lvlText w:val="%1."/>
      <w:numFmt w:val="decimal"/>
      <w:start w:val="26"/>
    </w:lvl>
  </w:abstractNum>
  <w:abstractNum w:abstractNumId="603">
    <w:nsid w:val="5E194EEC"/>
    <w:multiLevelType w:val="hybridMultilevel"/>
    <w:lvl w:ilvl="0">
      <w:lvlJc w:val="left"/>
      <w:lvlText w:val="%1."/>
      <w:numFmt w:val="decimal"/>
      <w:start w:val="27"/>
    </w:lvl>
  </w:abstractNum>
  <w:abstractNum w:abstractNumId="604">
    <w:nsid w:val="3B69ECD"/>
    <w:multiLevelType w:val="hybridMultilevel"/>
    <w:lvl w:ilvl="0">
      <w:lvlJc w:val="left"/>
      <w:lvlText w:val="%1."/>
      <w:numFmt w:val="decimal"/>
      <w:start w:val="28"/>
    </w:lvl>
  </w:abstractNum>
  <w:abstractNum w:abstractNumId="605">
    <w:nsid w:val="77361526"/>
    <w:multiLevelType w:val="hybridMultilevel"/>
    <w:lvl w:ilvl="0">
      <w:lvlJc w:val="left"/>
      <w:lvlText w:val="%1."/>
      <w:numFmt w:val="decimal"/>
      <w:start w:val="29"/>
    </w:lvl>
  </w:abstractNum>
  <w:abstractNum w:abstractNumId="606">
    <w:nsid w:val="7338868F"/>
    <w:multiLevelType w:val="hybridMultilevel"/>
    <w:lvl w:ilvl="0">
      <w:lvlJc w:val="left"/>
      <w:lvlText w:val="(%1)"/>
      <w:numFmt w:val="lowerLetter"/>
      <w:start w:val="1"/>
    </w:lvl>
    <w:lvl w:ilvl="1">
      <w:lvlJc w:val="left"/>
      <w:lvlText w:val="(%2)"/>
      <w:numFmt w:val="lowerRoman"/>
      <w:start w:val="1"/>
    </w:lvl>
  </w:abstractNum>
  <w:abstractNum w:abstractNumId="607">
    <w:nsid w:val="5377D7E"/>
    <w:multiLevelType w:val="hybridMultilevel"/>
    <w:lvl w:ilvl="0">
      <w:lvlJc w:val="left"/>
      <w:lvlText w:val="(%1)"/>
      <w:numFmt w:val="lowerLetter"/>
      <w:start w:val="3"/>
    </w:lvl>
  </w:abstractNum>
  <w:abstractNum w:abstractNumId="608">
    <w:nsid w:val="41751BB2"/>
    <w:multiLevelType w:val="hybridMultilevel"/>
    <w:lvl w:ilvl="0">
      <w:lvlJc w:val="left"/>
      <w:lvlText w:val="(%1)"/>
      <w:numFmt w:val="lowerLetter"/>
      <w:start w:val="4"/>
    </w:lvl>
  </w:abstractNum>
  <w:abstractNum w:abstractNumId="609">
    <w:nsid w:val="5F3D3B70"/>
    <w:multiLevelType w:val="hybridMultilevel"/>
    <w:lvl w:ilvl="0">
      <w:lvlJc w:val="left"/>
      <w:lvlText w:val="%1."/>
      <w:numFmt w:val="decimal"/>
      <w:start w:val="1"/>
    </w:lvl>
    <w:lvl w:ilvl="1">
      <w:lvlJc w:val="left"/>
      <w:lvlText w:val="(%2)"/>
      <w:numFmt w:val="lowerLetter"/>
      <w:start w:val="1"/>
    </w:lvl>
  </w:abstractNum>
  <w:abstractNum w:abstractNumId="610">
    <w:nsid w:val="223FA5B6"/>
    <w:multiLevelType w:val="hybridMultilevel"/>
    <w:lvl w:ilvl="0">
      <w:lvlJc w:val="left"/>
      <w:lvlText w:val="(%1)"/>
      <w:numFmt w:val="lowerLetter"/>
      <w:start w:val="1"/>
    </w:lvl>
  </w:abstractNum>
  <w:abstractNum w:abstractNumId="611">
    <w:nsid w:val="29D0A5DF"/>
    <w:multiLevelType w:val="hybridMultilevel"/>
    <w:lvl w:ilvl="0">
      <w:lvlJc w:val="left"/>
      <w:lvlText w:val="%1."/>
      <w:numFmt w:val="decimal"/>
      <w:start w:val="1"/>
    </w:lvl>
    <w:lvl w:ilvl="1">
      <w:lvlJc w:val="left"/>
      <w:lvlText w:val="%2."/>
      <w:numFmt w:val="lowerLetter"/>
      <w:start w:val="1"/>
    </w:lvl>
  </w:abstractNum>
  <w:abstractNum w:abstractNumId="612">
    <w:nsid w:val="442DC352"/>
    <w:multiLevelType w:val="hybridMultilevel"/>
    <w:lvl w:ilvl="0">
      <w:lvlJc w:val="left"/>
      <w:lvlText w:val="%1."/>
      <w:numFmt w:val="decimal"/>
      <w:start w:val="1"/>
    </w:lvl>
  </w:abstractNum>
  <w:abstractNum w:abstractNumId="613">
    <w:nsid w:val="37B526D2"/>
    <w:multiLevelType w:val="hybridMultilevel"/>
    <w:lvl w:ilvl="0">
      <w:lvlJc w:val="left"/>
      <w:lvlText w:val="%1."/>
      <w:numFmt w:val="decimal"/>
      <w:start w:val="3"/>
    </w:lvl>
  </w:abstractNum>
  <w:abstractNum w:abstractNumId="614">
    <w:nsid w:val="7BE319E5"/>
    <w:multiLevelType w:val="hybridMultilevel"/>
    <w:lvl w:ilvl="0">
      <w:lvlJc w:val="left"/>
      <w:lvlText w:val="%1"/>
      <w:numFmt w:val="decimal"/>
      <w:start w:val="27"/>
    </w:lvl>
  </w:abstractNum>
  <w:abstractNum w:abstractNumId="615">
    <w:nsid w:val="4A2CDADC"/>
    <w:multiLevelType w:val="hybridMultilevel"/>
    <w:lvl w:ilvl="0">
      <w:lvlJc w:val="left"/>
      <w:lvlText w:val="%1."/>
      <w:numFmt w:val="decimal"/>
      <w:start w:val="1"/>
    </w:lvl>
    <w:lvl w:ilvl="1">
      <w:lvlJc w:val="left"/>
      <w:lvlText w:val="(%2)"/>
      <w:numFmt w:val="lowerLetter"/>
      <w:start w:val="1"/>
    </w:lvl>
  </w:abstractNum>
  <w:abstractNum w:abstractNumId="616">
    <w:nsid w:val="BB02F47"/>
    <w:multiLevelType w:val="hybridMultilevel"/>
    <w:lvl w:ilvl="0">
      <w:lvlJc w:val="left"/>
      <w:lvlText w:val="%1."/>
      <w:numFmt w:val="decimal"/>
      <w:start w:val="1"/>
    </w:lvl>
    <w:lvl w:ilvl="1">
      <w:lvlJc w:val="left"/>
      <w:lvlText w:val="(%2)"/>
      <w:numFmt w:val="lowerLetter"/>
      <w:start w:val="1"/>
    </w:lvl>
  </w:abstractNum>
  <w:abstractNum w:abstractNumId="617">
    <w:nsid w:val="30DD9510"/>
    <w:multiLevelType w:val="hybridMultilevel"/>
    <w:lvl w:ilvl="0">
      <w:lvlJc w:val="left"/>
      <w:lvlText w:val="(%1)"/>
      <w:numFmt w:val="decimal"/>
      <w:start w:val="1"/>
    </w:lvl>
  </w:abstractNum>
  <w:abstractNum w:abstractNumId="618">
    <w:nsid w:val="56D43898"/>
    <w:multiLevelType w:val="hybridMultilevel"/>
    <w:lvl w:ilvl="0">
      <w:lvlJc w:val="left"/>
      <w:lvlText w:val="(%1)"/>
      <w:numFmt w:val="upperLetter"/>
      <w:start w:val="1"/>
    </w:lvl>
  </w:abstractNum>
  <w:abstractNum w:abstractNumId="619">
    <w:nsid w:val="76931B84"/>
    <w:multiLevelType w:val="hybridMultilevel"/>
    <w:lvl w:ilvl="0">
      <w:lvlJc w:val="left"/>
      <w:lvlText w:val="%1."/>
      <w:numFmt w:val="decimal"/>
      <w:start w:val="1"/>
    </w:lvl>
  </w:abstractNum>
  <w:abstractNum w:abstractNumId="620">
    <w:nsid w:val="6C17FCD6"/>
    <w:multiLevelType w:val="hybridMultilevel"/>
    <w:lvl w:ilvl="0">
      <w:lvlJc w:val="left"/>
      <w:lvlText w:val="(%1)"/>
      <w:numFmt w:val="lowerLetter"/>
      <w:start w:val="1"/>
    </w:lvl>
  </w:abstractNum>
  <w:abstractNum w:abstractNumId="621">
    <w:nsid w:val="4FA4B5A1"/>
    <w:multiLevelType w:val="hybridMultilevel"/>
    <w:lvl w:ilvl="0">
      <w:lvlJc w:val="left"/>
      <w:lvlText w:val="%1"/>
      <w:numFmt w:val="decimal"/>
      <w:start w:val="1"/>
    </w:lvl>
    <w:lvl w:ilvl="1">
      <w:lvlJc w:val="left"/>
      <w:lvlText w:val="(%2)"/>
      <w:numFmt w:val="lowerLetter"/>
      <w:start w:val="1"/>
    </w:lvl>
  </w:abstractNum>
  <w:abstractNum w:abstractNumId="622">
    <w:nsid w:val="3189923B"/>
    <w:multiLevelType w:val="hybridMultilevel"/>
    <w:lvl w:ilvl="0">
      <w:lvlJc w:val="left"/>
      <w:lvlText w:val="%1."/>
      <w:numFmt w:val="decimal"/>
      <w:start w:val="2"/>
    </w:lvl>
    <w:lvl w:ilvl="1">
      <w:lvlJc w:val="left"/>
      <w:lvlText w:val="%2"/>
      <w:numFmt w:val="lowerLetter"/>
      <w:start w:val="1"/>
    </w:lvl>
  </w:abstractNum>
  <w:abstractNum w:abstractNumId="623">
    <w:nsid w:val="5787D524"/>
    <w:multiLevelType w:val="hybridMultilevel"/>
    <w:lvl w:ilvl="0">
      <w:lvlJc w:val="left"/>
      <w:lvlText w:val="%1."/>
      <w:numFmt w:val="decimal"/>
      <w:start w:val="3"/>
    </w:lvl>
  </w:abstractNum>
  <w:abstractNum w:abstractNumId="624">
    <w:nsid w:val="19248B51"/>
    <w:multiLevelType w:val="hybridMultilevel"/>
    <w:lvl w:ilvl="0">
      <w:lvlJc w:val="left"/>
      <w:lvlText w:val="%1."/>
      <w:numFmt w:val="decimal"/>
      <w:start w:val="4"/>
    </w:lvl>
  </w:abstractNum>
  <w:abstractNum w:abstractNumId="625">
    <w:nsid w:val="132F561F"/>
    <w:multiLevelType w:val="hybridMultilevel"/>
    <w:lvl w:ilvl="0">
      <w:lvlJc w:val="left"/>
      <w:lvlText w:val="%1."/>
      <w:numFmt w:val="decimal"/>
      <w:start w:val="5"/>
    </w:lvl>
  </w:abstractNum>
  <w:abstractNum w:abstractNumId="626">
    <w:nsid w:val="67358E1D"/>
    <w:multiLevelType w:val="hybridMultilevel"/>
    <w:lvl w:ilvl="0">
      <w:lvlJc w:val="left"/>
      <w:lvlText w:val="%1."/>
      <w:numFmt w:val="decimal"/>
      <w:start w:val="6"/>
    </w:lvl>
  </w:abstractNum>
  <w:abstractNum w:abstractNumId="627">
    <w:nsid w:val="570FD06B"/>
    <w:multiLevelType w:val="hybridMultilevel"/>
    <w:lvl w:ilvl="0">
      <w:lvlJc w:val="left"/>
      <w:lvlText w:val="%1."/>
      <w:numFmt w:val="decimal"/>
      <w:start w:val="7"/>
    </w:lvl>
  </w:abstractNum>
  <w:abstractNum w:abstractNumId="628">
    <w:nsid w:val="1D86D5F5"/>
    <w:multiLevelType w:val="hybridMultilevel"/>
    <w:lvl w:ilvl="0">
      <w:lvlJc w:val="left"/>
      <w:lvlText w:val="(%1)"/>
      <w:numFmt w:val="lowerLetter"/>
      <w:start w:val="1"/>
    </w:lvl>
  </w:abstractNum>
  <w:abstractNum w:abstractNumId="629">
    <w:nsid w:val="691ABF5A"/>
    <w:multiLevelType w:val="hybridMultilevel"/>
    <w:lvl w:ilvl="0">
      <w:lvlJc w:val="left"/>
      <w:lvlText w:val="(%1)"/>
      <w:numFmt w:val="lowerLetter"/>
      <w:start w:val="1"/>
    </w:lvl>
  </w:abstractNum>
  <w:abstractNum w:abstractNumId="630">
    <w:nsid w:val="7247C47D"/>
    <w:multiLevelType w:val="hybridMultilevel"/>
    <w:lvl w:ilvl="0">
      <w:lvlJc w:val="left"/>
      <w:lvlText w:val="%1"/>
      <w:numFmt w:val="decimal"/>
      <w:start w:val="1"/>
    </w:lvl>
    <w:lvl w:ilvl="1">
      <w:lvlJc w:val="left"/>
      <w:lvlText w:val="(%2)"/>
      <w:numFmt w:val="lowerLetter"/>
      <w:start w:val="3"/>
    </w:lvl>
  </w:abstractNum>
  <w:abstractNum w:abstractNumId="631">
    <w:nsid w:val="22509110"/>
    <w:multiLevelType w:val="hybridMultilevel"/>
    <w:lvl w:ilvl="0">
      <w:lvlJc w:val="left"/>
      <w:lvlText w:val="%1."/>
      <w:numFmt w:val="decimal"/>
      <w:start w:val="8"/>
    </w:lvl>
    <w:lvl w:ilvl="1">
      <w:lvlJc w:val="left"/>
      <w:lvlText w:val="%2"/>
      <w:numFmt w:val="lowerLetter"/>
      <w:start w:val="1"/>
    </w:lvl>
  </w:abstractNum>
  <w:abstractNum w:abstractNumId="632">
    <w:nsid w:val="B912ED8"/>
    <w:multiLevelType w:val="hybridMultilevel"/>
    <w:lvl w:ilvl="0">
      <w:lvlJc w:val="left"/>
      <w:lvlText w:val="(%1)"/>
      <w:numFmt w:val="lowerLetter"/>
      <w:start w:val="1"/>
    </w:lvl>
  </w:abstractNum>
  <w:abstractNum w:abstractNumId="633">
    <w:nsid w:val="1B7E7B17"/>
    <w:multiLevelType w:val="hybridMultilevel"/>
    <w:lvl w:ilvl="0">
      <w:lvlJc w:val="left"/>
      <w:lvlText w:val="%1."/>
      <w:numFmt w:val="decimal"/>
      <w:start w:val="9"/>
    </w:lvl>
  </w:abstractNum>
  <w:abstractNum w:abstractNumId="634">
    <w:nsid w:val="69DFFC"/>
    <w:multiLevelType w:val="hybridMultilevel"/>
    <w:lvl w:ilvl="0">
      <w:lvlJc w:val="left"/>
      <w:lvlText w:val="(%1)"/>
      <w:numFmt w:val="lowerLetter"/>
      <w:start w:val="1"/>
    </w:lvl>
  </w:abstractNum>
  <w:abstractNum w:abstractNumId="635">
    <w:nsid w:val="F47CDA5"/>
    <w:multiLevelType w:val="hybridMultilevel"/>
    <w:lvl w:ilvl="0">
      <w:lvlJc w:val="left"/>
      <w:lvlText w:val="%1"/>
      <w:numFmt w:val="decimal"/>
      <w:start w:val="1"/>
    </w:lvl>
    <w:lvl w:ilvl="1">
      <w:lvlJc w:val="left"/>
      <w:lvlText w:val="(%2)"/>
      <w:numFmt w:val="lowerLetter"/>
      <w:start w:val="1"/>
    </w:lvl>
  </w:abstractNum>
  <w:abstractNum w:abstractNumId="636">
    <w:nsid w:val="12B4903D"/>
    <w:multiLevelType w:val="hybridMultilevel"/>
    <w:lvl w:ilvl="0">
      <w:lvlJc w:val="left"/>
      <w:lvlText w:val="%1."/>
      <w:numFmt w:val="decimal"/>
      <w:start w:val="10"/>
    </w:lvl>
    <w:lvl w:ilvl="1">
      <w:lvlJc w:val="left"/>
      <w:lvlText w:val="%2"/>
      <w:numFmt w:val="lowerLetter"/>
      <w:start w:val="1"/>
    </w:lvl>
  </w:abstractNum>
  <w:abstractNum w:abstractNumId="637">
    <w:nsid w:val="73A2668C"/>
    <w:multiLevelType w:val="hybridMultilevel"/>
    <w:lvl w:ilvl="0">
      <w:lvlJc w:val="left"/>
      <w:lvlText w:val="%1."/>
      <w:numFmt w:val="decimal"/>
      <w:start w:val="11"/>
    </w:lvl>
  </w:abstractNum>
  <w:abstractNum w:abstractNumId="638">
    <w:nsid w:val="147F4B24"/>
    <w:multiLevelType w:val="hybridMultilevel"/>
    <w:lvl w:ilvl="0">
      <w:lvlJc w:val="left"/>
      <w:lvlText w:val="%1."/>
      <w:numFmt w:val="decimal"/>
      <w:start w:val="12"/>
    </w:lvl>
  </w:abstractNum>
  <w:abstractNum w:abstractNumId="639">
    <w:nsid w:val="5429ABEF"/>
    <w:multiLevelType w:val="hybridMultilevel"/>
    <w:lvl w:ilvl="0">
      <w:lvlJc w:val="left"/>
      <w:lvlText w:val="%1."/>
      <w:numFmt w:val="decimal"/>
      <w:start w:val="13"/>
    </w:lvl>
  </w:abstractNum>
  <w:abstractNum w:abstractNumId="640">
    <w:nsid w:val="52DFA1FC"/>
    <w:multiLevelType w:val="hybridMultilevel"/>
    <w:lvl w:ilvl="0">
      <w:lvlJc w:val="left"/>
      <w:lvlText w:val="(%1)"/>
      <w:numFmt w:val="lowerLetter"/>
      <w:start w:val="1"/>
    </w:lvl>
  </w:abstractNum>
  <w:abstractNum w:abstractNumId="641">
    <w:nsid w:val="36BEF0DA"/>
    <w:multiLevelType w:val="hybridMultilevel"/>
    <w:lvl w:ilvl="0">
      <w:lvlJc w:val="left"/>
      <w:lvlText w:val="%1."/>
      <w:numFmt w:val="decimal"/>
      <w:start w:val="14"/>
    </w:lvl>
  </w:abstractNum>
  <w:abstractNum w:abstractNumId="642">
    <w:nsid w:val="7DFA51CE"/>
    <w:multiLevelType w:val="hybridMultilevel"/>
    <w:lvl w:ilvl="0">
      <w:lvlJc w:val="left"/>
      <w:lvlText w:val="(%1)"/>
      <w:numFmt w:val="lowerLetter"/>
      <w:start w:val="1"/>
    </w:lvl>
    <w:lvl w:ilvl="1">
      <w:lvlJc w:val="left"/>
      <w:lvlText w:val="(%2)"/>
      <w:numFmt w:val="lowerRoman"/>
      <w:start w:val="1"/>
    </w:lvl>
  </w:abstractNum>
  <w:abstractNum w:abstractNumId="643">
    <w:nsid w:val="170D654E"/>
    <w:multiLevelType w:val="hybridMultilevel"/>
    <w:lvl w:ilvl="0">
      <w:lvlJc w:val="left"/>
      <w:lvlText w:val="(%1)"/>
      <w:numFmt w:val="lowerRoman"/>
      <w:start w:val="4"/>
    </w:lvl>
  </w:abstractNum>
  <w:abstractNum w:abstractNumId="644">
    <w:nsid w:val="6E7417AC"/>
    <w:multiLevelType w:val="hybridMultilevel"/>
    <w:lvl w:ilvl="0">
      <w:lvlJc w:val="left"/>
      <w:lvlText w:val="%1"/>
      <w:numFmt w:val="lowerLetter"/>
      <w:start w:val="1"/>
    </w:lvl>
    <w:lvl w:ilvl="1">
      <w:lvlJc w:val="left"/>
      <w:lvlText w:val="(%2)"/>
      <w:numFmt w:val="lowerRoman"/>
      <w:start w:val="9"/>
    </w:lvl>
  </w:abstractNum>
  <w:abstractNum w:abstractNumId="645">
    <w:nsid w:val="79DD6BB3"/>
    <w:multiLevelType w:val="hybridMultilevel"/>
    <w:lvl w:ilvl="0">
      <w:lvlJc w:val="left"/>
      <w:lvlText w:val="(%1)"/>
      <w:numFmt w:val="lowerLetter"/>
      <w:start w:val="2"/>
    </w:lvl>
    <w:lvl w:ilvl="1">
      <w:lvlJc w:val="left"/>
      <w:lvlText w:val="%2"/>
      <w:numFmt w:val="lowerRoman"/>
      <w:start w:val="1"/>
    </w:lvl>
  </w:abstractNum>
  <w:abstractNum w:abstractNumId="646">
    <w:nsid w:val="613A402A"/>
    <w:multiLevelType w:val="hybridMultilevel"/>
    <w:lvl w:ilvl="0">
      <w:lvlJc w:val="left"/>
      <w:lvlText w:val="(%1)"/>
      <w:numFmt w:val="lowerLetter"/>
      <w:start w:val="1"/>
    </w:lvl>
  </w:abstractNum>
  <w:abstractNum w:abstractNumId="647">
    <w:nsid w:val="7A2446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8">
    <w:nsid w:val="2ABB00C4"/>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49">
    <w:nsid w:val="380E78C3"/>
    <w:multiLevelType w:val="hybridMultilevel"/>
    <w:lvl w:ilvl="0">
      <w:lvlJc w:val="left"/>
      <w:lvlText w:val="(%1)"/>
      <w:numFmt w:val="lowerLetter"/>
      <w:start w:val="1"/>
    </w:lvl>
  </w:abstractNum>
  <w:abstractNum w:abstractNumId="650">
    <w:nsid w:val="70B76277"/>
    <w:multiLevelType w:val="hybridMultilevel"/>
    <w:lvl w:ilvl="0">
      <w:lvlJc w:val="left"/>
      <w:lvlText w:val="(%1)"/>
      <w:numFmt w:val="lowerLetter"/>
      <w:start w:val="1"/>
    </w:lvl>
  </w:abstractNum>
  <w:abstractNum w:abstractNumId="651">
    <w:nsid w:val="16D2FD9A"/>
    <w:multiLevelType w:val="hybridMultilevel"/>
    <w:lvl w:ilvl="0">
      <w:lvlJc w:val="left"/>
      <w:lvlText w:val="(%1)"/>
      <w:numFmt w:val="lowerLetter"/>
      <w:start w:val="1"/>
    </w:lvl>
  </w:abstractNum>
  <w:abstractNum w:abstractNumId="652">
    <w:nsid w:val="7B32E64"/>
    <w:multiLevelType w:val="hybridMultilevel"/>
    <w:lvl w:ilvl="0">
      <w:lvlJc w:val="left"/>
      <w:lvlText w:val="%1."/>
      <w:numFmt w:val="decimal"/>
      <w:start w:val="16"/>
    </w:lvl>
  </w:abstractNum>
  <w:abstractNum w:abstractNumId="653">
    <w:nsid w:val="2240F4B2"/>
    <w:multiLevelType w:val="hybridMultilevel"/>
    <w:lvl w:ilvl="0">
      <w:lvlJc w:val="left"/>
      <w:lvlText w:val="(%1)"/>
      <w:numFmt w:val="lowerLetter"/>
      <w:start w:val="2"/>
    </w:lvl>
  </w:abstractNum>
  <w:abstractNum w:abstractNumId="654">
    <w:nsid w:val="6E5AD2BE"/>
    <w:multiLevelType w:val="hybridMultilevel"/>
    <w:lvl w:ilvl="0">
      <w:lvlJc w:val="left"/>
      <w:lvlText w:val="%1."/>
      <w:numFmt w:val="decimal"/>
      <w:start w:val="17"/>
    </w:lvl>
  </w:abstractNum>
  <w:abstractNum w:abstractNumId="655">
    <w:nsid w:val="20D7B9B5"/>
    <w:multiLevelType w:val="hybridMultilevel"/>
    <w:lvl w:ilvl="0">
      <w:lvlJc w:val="left"/>
      <w:lvlText w:val="%1."/>
      <w:numFmt w:val="decimal"/>
      <w:start w:val="18"/>
    </w:lvl>
  </w:abstractNum>
  <w:abstractNum w:abstractNumId="656">
    <w:nsid w:val="35704AD1"/>
    <w:multiLevelType w:val="hybridMultilevel"/>
    <w:lvl w:ilvl="0">
      <w:lvlJc w:val="left"/>
      <w:lvlText w:val="%1."/>
      <w:numFmt w:val="decimal"/>
      <w:start w:val="19"/>
    </w:lvl>
  </w:abstractNum>
  <w:abstractNum w:abstractNumId="657">
    <w:nsid w:val="559060DB"/>
    <w:multiLevelType w:val="hybridMultilevel"/>
    <w:lvl w:ilvl="0">
      <w:lvlJc w:val="left"/>
      <w:lvlText w:val="%1."/>
      <w:numFmt w:val="decimal"/>
      <w:start w:val="20"/>
    </w:lvl>
  </w:abstractNum>
  <w:abstractNum w:abstractNumId="658">
    <w:nsid w:val="77E78A20"/>
    <w:multiLevelType w:val="hybridMultilevel"/>
    <w:lvl w:ilvl="0">
      <w:lvlJc w:val="left"/>
      <w:lvlText w:val="%1."/>
      <w:numFmt w:val="decimal"/>
      <w:start w:val="21"/>
    </w:lvl>
  </w:abstractNum>
  <w:abstractNum w:abstractNumId="659">
    <w:nsid w:val="52F720C6"/>
    <w:multiLevelType w:val="hybridMultilevel"/>
    <w:lvl w:ilvl="0">
      <w:lvlJc w:val="left"/>
      <w:lvlText w:val="%1."/>
      <w:numFmt w:val="decimal"/>
      <w:start w:val="22"/>
    </w:lvl>
  </w:abstractNum>
  <w:abstractNum w:abstractNumId="660">
    <w:nsid w:val="3EAB2035"/>
    <w:multiLevelType w:val="hybridMultilevel"/>
    <w:lvl w:ilvl="0">
      <w:lvlJc w:val="left"/>
      <w:lvlText w:val="%1."/>
      <w:numFmt w:val="decimal"/>
      <w:start w:val="23"/>
    </w:lvl>
  </w:abstractNum>
  <w:abstractNum w:abstractNumId="661">
    <w:nsid w:val="6A2F4E9D"/>
    <w:multiLevelType w:val="hybridMultilevel"/>
    <w:lvl w:ilvl="0">
      <w:lvlJc w:val="left"/>
      <w:lvlText w:val="%1."/>
      <w:numFmt w:val="decimal"/>
      <w:start w:val="24"/>
    </w:lvl>
  </w:abstractNum>
  <w:abstractNum w:abstractNumId="662">
    <w:nsid w:val="7547B1D6"/>
    <w:multiLevelType w:val="hybridMultilevel"/>
    <w:lvl w:ilvl="0">
      <w:lvlJc w:val="left"/>
      <w:lvlText w:val="%1."/>
      <w:numFmt w:val="decimal"/>
      <w:start w:val="25"/>
    </w:lvl>
  </w:abstractNum>
  <w:abstractNum w:abstractNumId="663">
    <w:nsid w:val="4A3C4F0E"/>
    <w:multiLevelType w:val="hybridMultilevel"/>
    <w:lvl w:ilvl="0">
      <w:lvlJc w:val="left"/>
      <w:lvlText w:val="%1."/>
      <w:numFmt w:val="decimal"/>
      <w:start w:val="27"/>
    </w:lvl>
  </w:abstractNum>
  <w:abstractNum w:abstractNumId="664">
    <w:nsid w:val="5ADC9B4"/>
    <w:multiLevelType w:val="hybridMultilevel"/>
    <w:lvl w:ilvl="0">
      <w:lvlJc w:val="left"/>
      <w:lvlText w:val="%1."/>
      <w:numFmt w:val="decimal"/>
      <w:start w:val="28"/>
    </w:lvl>
  </w:abstractNum>
  <w:abstractNum w:abstractNumId="665">
    <w:nsid w:val="75B191D3"/>
    <w:multiLevelType w:val="hybridMultilevel"/>
    <w:lvl w:ilvl="0">
      <w:lvlJc w:val="left"/>
      <w:lvlText w:val="%1."/>
      <w:numFmt w:val="decimal"/>
      <w:start w:val="29"/>
    </w:lvl>
  </w:abstractNum>
  <w:abstractNum w:abstractNumId="666">
    <w:nsid w:val="59841CB3"/>
    <w:multiLevelType w:val="hybridMultilevel"/>
    <w:lvl w:ilvl="0">
      <w:lvlJc w:val="left"/>
      <w:lvlText w:val="%1."/>
      <w:numFmt w:val="decimal"/>
      <w:start w:val="30"/>
    </w:lvl>
  </w:abstractNum>
  <w:abstractNum w:abstractNumId="667">
    <w:nsid w:val="186259F2"/>
    <w:multiLevelType w:val="hybridMultilevel"/>
    <w:lvl w:ilvl="0">
      <w:lvlJc w:val="left"/>
      <w:lvlText w:val="(%1)"/>
      <w:numFmt w:val="lowerLetter"/>
      <w:start w:val="1"/>
    </w:lvl>
    <w:lvl w:ilvl="1">
      <w:lvlJc w:val="left"/>
      <w:lvlText w:val="(%2)"/>
      <w:numFmt w:val="lowerRoman"/>
      <w:start w:val="1"/>
    </w:lvl>
  </w:abstractNum>
  <w:abstractNum w:abstractNumId="668">
    <w:nsid w:val="6953F85F"/>
    <w:multiLevelType w:val="hybridMultilevel"/>
    <w:lvl w:ilvl="0">
      <w:lvlJc w:val="left"/>
      <w:lvlText w:val="%1."/>
      <w:numFmt w:val="decimal"/>
      <w:start w:val="1"/>
    </w:lvl>
  </w:abstractNum>
  <w:abstractNum w:abstractNumId="669">
    <w:nsid w:val="6E0367D7"/>
    <w:multiLevelType w:val="hybridMultilevel"/>
    <w:lvl w:ilvl="0">
      <w:lvlJc w:val="left"/>
      <w:lvlText w:val="%1"/>
      <w:numFmt w:val="decimal"/>
      <w:start w:val="1"/>
    </w:lvl>
    <w:lvl w:ilvl="1">
      <w:lvlJc w:val="left"/>
      <w:lvlText w:val="(%2)"/>
      <w:numFmt w:val="lowerLetter"/>
      <w:start w:val="1"/>
    </w:lvl>
  </w:abstractNum>
  <w:abstractNum w:abstractNumId="670">
    <w:nsid w:val="6C8C05E1"/>
    <w:multiLevelType w:val="hybridMultilevel"/>
    <w:lvl w:ilvl="0">
      <w:lvlJc w:val="left"/>
      <w:lvlText w:val="%1."/>
      <w:numFmt w:val="decimal"/>
      <w:start w:val="2"/>
    </w:lvl>
    <w:lvl w:ilvl="1">
      <w:lvlJc w:val="left"/>
      <w:lvlText w:val="%2"/>
      <w:numFmt w:val="lowerLetter"/>
      <w:start w:val="1"/>
    </w:lvl>
  </w:abstractNum>
  <w:abstractNum w:abstractNumId="671">
    <w:nsid w:val="3C339A5B"/>
    <w:multiLevelType w:val="hybridMultilevel"/>
    <w:lvl w:ilvl="0">
      <w:lvlJc w:val="left"/>
      <w:lvlText w:val="(%1)"/>
      <w:numFmt w:val="lowerLetter"/>
      <w:start w:val="1"/>
    </w:lvl>
  </w:abstractNum>
  <w:abstractNum w:abstractNumId="672">
    <w:nsid w:val="24C258B1"/>
    <w:multiLevelType w:val="hybridMultilevel"/>
    <w:lvl w:ilvl="0">
      <w:lvlJc w:val="left"/>
      <w:lvlText w:val="%1."/>
      <w:numFmt w:val="decimal"/>
      <w:start w:val="3"/>
    </w:lvl>
    <w:lvl w:ilvl="1">
      <w:lvlJc w:val="left"/>
      <w:lvlText w:val="(%2)"/>
      <w:numFmt w:val="lowerLetter"/>
      <w:start w:val="1"/>
    </w:lvl>
  </w:abstractNum>
  <w:abstractNum w:abstractNumId="673">
    <w:nsid w:val="6A8657B0"/>
    <w:multiLevelType w:val="hybridMultilevel"/>
    <w:lvl w:ilvl="0">
      <w:lvlJc w:val="left"/>
      <w:lvlText w:val="%1."/>
      <w:numFmt w:val="decimal"/>
      <w:start w:val="1"/>
    </w:lvl>
  </w:abstractNum>
  <w:abstractNum w:abstractNumId="674">
    <w:nsid w:val="5340FFA9"/>
    <w:multiLevelType w:val="hybridMultilevel"/>
    <w:lvl w:ilvl="0">
      <w:lvlJc w:val="left"/>
      <w:lvlText w:val="%1."/>
      <w:numFmt w:val="decimal"/>
      <w:start w:val="2"/>
    </w:lvl>
  </w:abstractNum>
  <w:abstractNum w:abstractNumId="675">
    <w:nsid w:val="1336705D"/>
    <w:multiLevelType w:val="hybridMultilevel"/>
    <w:lvl w:ilvl="0">
      <w:lvlJc w:val="left"/>
      <w:lvlText w:val="(%1)"/>
      <w:numFmt w:val="decimal"/>
      <w:start w:val="1"/>
    </w:lvl>
  </w:abstractNum>
  <w:abstractNum w:abstractNumId="676">
    <w:nsid w:val="6463C363"/>
    <w:multiLevelType w:val="hybridMultilevel"/>
    <w:lvl w:ilvl="0">
      <w:lvlJc w:val="left"/>
      <w:lvlText w:val="(%1)"/>
      <w:numFmt w:val="upperLetter"/>
      <w:start w:val="1"/>
    </w:lvl>
  </w:abstractNum>
  <w:abstractNum w:abstractNumId="677">
    <w:nsid w:val="347B3FD3"/>
    <w:multiLevelType w:val="hybridMultilevel"/>
    <w:lvl w:ilvl="0">
      <w:lvlJc w:val="left"/>
      <w:lvlText w:val="%1."/>
      <w:numFmt w:val="decimal"/>
      <w:start w:val="1"/>
    </w:lvl>
  </w:abstractNum>
  <w:abstractNum w:abstractNumId="678">
    <w:nsid w:val="D5AB751"/>
    <w:multiLevelType w:val="hybridMultilevel"/>
    <w:lvl w:ilvl="0">
      <w:lvlJc w:val="left"/>
      <w:lvlText w:val="(%1)"/>
      <w:numFmt w:val="lowerLetter"/>
      <w:start w:val="1"/>
    </w:lvl>
  </w:abstractNum>
  <w:abstractNum w:abstractNumId="679">
    <w:nsid w:val="F1EC427"/>
    <w:multiLevelType w:val="hybridMultilevel"/>
    <w:lvl w:ilvl="0">
      <w:lvlJc w:val="left"/>
      <w:lvlText w:val="(%1)"/>
      <w:numFmt w:val="lowerLetter"/>
      <w:start w:val="1"/>
    </w:lvl>
  </w:abstractNum>
  <w:abstractNum w:abstractNumId="680">
    <w:nsid w:val="6C89B896"/>
    <w:multiLevelType w:val="hybridMultilevel"/>
    <w:lvl w:ilvl="0">
      <w:lvlJc w:val="left"/>
      <w:lvlText w:val="%1."/>
      <w:numFmt w:val="decimal"/>
      <w:start w:val="2"/>
    </w:lvl>
  </w:abstractNum>
  <w:abstractNum w:abstractNumId="681">
    <w:nsid w:val="7E1219C8"/>
    <w:multiLevelType w:val="hybridMultilevel"/>
    <w:lvl w:ilvl="0">
      <w:lvlJc w:val="left"/>
      <w:lvlText w:val="%1."/>
      <w:numFmt w:val="decimal"/>
      <w:start w:val="3"/>
    </w:lvl>
  </w:abstractNum>
  <w:abstractNum w:abstractNumId="682">
    <w:nsid w:val="25F1C1C1"/>
    <w:multiLevelType w:val="hybridMultilevel"/>
    <w:lvl w:ilvl="0">
      <w:lvlJc w:val="left"/>
      <w:lvlText w:val="%1."/>
      <w:numFmt w:val="decimal"/>
      <w:start w:val="4"/>
    </w:lvl>
  </w:abstractNum>
  <w:abstractNum w:abstractNumId="683">
    <w:nsid w:val="743CE6FA"/>
    <w:multiLevelType w:val="hybridMultilevel"/>
    <w:lvl w:ilvl="0">
      <w:lvlJc w:val="left"/>
      <w:lvlText w:val="%1."/>
      <w:numFmt w:val="decimal"/>
      <w:start w:val="5"/>
    </w:lvl>
  </w:abstractNum>
  <w:abstractNum w:abstractNumId="684">
    <w:nsid w:val="20530E7B"/>
    <w:multiLevelType w:val="hybridMultilevel"/>
    <w:lvl w:ilvl="0">
      <w:lvlJc w:val="left"/>
      <w:lvlText w:val="%1."/>
      <w:numFmt w:val="decimal"/>
      <w:start w:val="6"/>
    </w:lvl>
  </w:abstractNum>
  <w:abstractNum w:abstractNumId="685">
    <w:nsid w:val="144C9480"/>
    <w:multiLevelType w:val="hybridMultilevel"/>
    <w:lvl w:ilvl="0">
      <w:lvlJc w:val="left"/>
      <w:lvlText w:val="(%1)"/>
      <w:numFmt w:val="lowerLetter"/>
      <w:start w:val="1"/>
    </w:lvl>
  </w:abstractNum>
  <w:abstractNum w:abstractNumId="686">
    <w:nsid w:val="1514A0AF"/>
    <w:multiLevelType w:val="hybridMultilevel"/>
    <w:lvl w:ilvl="0">
      <w:lvlJc w:val="left"/>
      <w:lvlText w:val="(%1)"/>
      <w:numFmt w:val="lowerRoman"/>
      <w:start w:val="1"/>
    </w:lvl>
  </w:abstractNum>
  <w:abstractNum w:abstractNumId="687">
    <w:nsid w:val="55C3594C"/>
    <w:multiLevelType w:val="hybridMultilevel"/>
    <w:lvl w:ilvl="0">
      <w:lvlJc w:val="left"/>
      <w:lvlText w:val="(%1)"/>
      <w:numFmt w:val="lowerLetter"/>
      <w:start w:val="1"/>
    </w:lvl>
  </w:abstractNum>
  <w:abstractNum w:abstractNumId="688">
    <w:nsid w:val="69DCF55B"/>
    <w:multiLevelType w:val="hybridMultilevel"/>
    <w:lvl w:ilvl="0">
      <w:lvlJc w:val="left"/>
      <w:lvlText w:val="(%1)"/>
      <w:numFmt w:val="lowerLetter"/>
      <w:start w:val="4"/>
    </w:lvl>
    <w:lvl w:ilvl="1">
      <w:lvlJc w:val="left"/>
      <w:lvlText w:val="(%2)"/>
      <w:numFmt w:val="lowerRoman"/>
      <w:start w:val="1"/>
    </w:lvl>
  </w:abstractNum>
  <w:abstractNum w:abstractNumId="689">
    <w:nsid w:val="CFC2ACF"/>
    <w:multiLevelType w:val="hybridMultilevel"/>
    <w:lvl w:ilvl="0">
      <w:lvlJc w:val="left"/>
      <w:lvlText w:val="(%1)"/>
      <w:numFmt w:val="lowerLetter"/>
      <w:start w:val="5"/>
    </w:lvl>
  </w:abstractNum>
  <w:abstractNum w:abstractNumId="690">
    <w:nsid w:val="28BA7A13"/>
    <w:multiLevelType w:val="hybridMultilevel"/>
    <w:lvl w:ilvl="0">
      <w:lvlJc w:val="left"/>
      <w:lvlText w:val="%1."/>
      <w:numFmt w:val="decimal"/>
      <w:start w:val="7"/>
    </w:lvl>
  </w:abstractNum>
  <w:abstractNum w:abstractNumId="691">
    <w:nsid w:val="28881591"/>
    <w:multiLevelType w:val="hybridMultilevel"/>
    <w:lvl w:ilvl="0">
      <w:lvlJc w:val="left"/>
      <w:lvlText w:val="%1."/>
      <w:numFmt w:val="decimal"/>
      <w:start w:val="8"/>
    </w:lvl>
  </w:abstractNum>
  <w:abstractNum w:abstractNumId="692">
    <w:nsid w:val="772B796C"/>
    <w:multiLevelType w:val="hybridMultilevel"/>
    <w:lvl w:ilvl="0">
      <w:lvlJc w:val="left"/>
      <w:lvlText w:val="(%1)"/>
      <w:numFmt w:val="lowerLetter"/>
      <w:start w:val="1"/>
    </w:lvl>
  </w:abstractNum>
  <w:abstractNum w:abstractNumId="693">
    <w:nsid w:val="1E022BE9"/>
    <w:multiLevelType w:val="hybridMultilevel"/>
    <w:lvl w:ilvl="0">
      <w:lvlJc w:val="left"/>
      <w:lvlText w:val="%1"/>
      <w:numFmt w:val="decimal"/>
      <w:start w:val="1"/>
    </w:lvl>
    <w:lvl w:ilvl="1">
      <w:lvlJc w:val="left"/>
      <w:lvlText w:val="(%2)"/>
      <w:numFmt w:val="lowerRoman"/>
      <w:start w:val="1"/>
    </w:lvl>
  </w:abstractNum>
  <w:abstractNum w:abstractNumId="694">
    <w:nsid w:val="72C4649F"/>
    <w:multiLevelType w:val="hybridMultilevel"/>
    <w:lvl w:ilvl="0">
      <w:lvlJc w:val="left"/>
      <w:lvlText w:val="%1."/>
      <w:numFmt w:val="decimal"/>
      <w:start w:val="9"/>
    </w:lvl>
    <w:lvl w:ilvl="1">
      <w:lvlJc w:val="left"/>
      <w:lvlText w:val="%2"/>
      <w:numFmt w:val="lowerRoman"/>
      <w:start w:val="1"/>
    </w:lvl>
  </w:abstractNum>
  <w:abstractNum w:abstractNumId="695">
    <w:nsid w:val="7CD94321"/>
    <w:multiLevelType w:val="hybridMultilevel"/>
    <w:lvl w:ilvl="0">
      <w:lvlJc w:val="left"/>
      <w:lvlText w:val="(%1)"/>
      <w:numFmt w:val="lowerLetter"/>
      <w:start w:val="1"/>
    </w:lvl>
  </w:abstractNum>
  <w:abstractNum w:abstractNumId="696">
    <w:nsid w:val="13B3BDBC"/>
    <w:multiLevelType w:val="hybridMultilevel"/>
    <w:lvl w:ilvl="0">
      <w:lvlJc w:val="left"/>
      <w:lvlText w:val="(%1)"/>
      <w:numFmt w:val="lowerLetter"/>
      <w:start w:val="1"/>
    </w:lvl>
  </w:abstractNum>
  <w:abstractNum w:abstractNumId="697">
    <w:nsid w:val="4C488152"/>
    <w:multiLevelType w:val="hybridMultilevel"/>
    <w:lvl w:ilvl="0">
      <w:lvlJc w:val="left"/>
      <w:lvlText w:val="(%1)"/>
      <w:numFmt w:val="lowerLetter"/>
      <w:start w:val="1"/>
    </w:lvl>
  </w:abstractNum>
  <w:abstractNum w:abstractNumId="698">
    <w:nsid w:val="153B9D13"/>
    <w:multiLevelType w:val="hybridMultilevel"/>
    <w:lvl w:ilvl="0">
      <w:lvlJc w:val="left"/>
      <w:lvlText w:val="(%1)"/>
      <w:numFmt w:val="lowerLetter"/>
      <w:start w:val="1"/>
    </w:lvl>
  </w:abstractNum>
  <w:abstractNum w:abstractNumId="699">
    <w:nsid w:val="7D07B61B"/>
    <w:multiLevelType w:val="hybridMultilevel"/>
    <w:lvl w:ilvl="0">
      <w:lvlJc w:val="left"/>
      <w:lvlText w:val="(%1)"/>
      <w:numFmt w:val="lowerLetter"/>
      <w:start w:val="1"/>
    </w:lvl>
  </w:abstractNum>
  <w:abstractNum w:abstractNumId="700">
    <w:nsid w:val="3A4BE92A"/>
    <w:multiLevelType w:val="hybridMultilevel"/>
    <w:lvl w:ilvl="0">
      <w:lvlJc w:val="left"/>
      <w:lvlText w:val="(%1)"/>
      <w:numFmt w:val="lowerLetter"/>
      <w:start w:val="3"/>
    </w:lvl>
    <w:lvl w:ilvl="1">
      <w:lvlJc w:val="left"/>
      <w:lvlText w:val="(%2)"/>
      <w:numFmt w:val="lowerRoman"/>
      <w:start w:val="1"/>
    </w:lvl>
  </w:abstractNum>
  <w:abstractNum w:abstractNumId="701">
    <w:nsid w:val="1C7A2F4"/>
    <w:multiLevelType w:val="hybridMultilevel"/>
    <w:lvl w:ilvl="0">
      <w:lvlJc w:val="left"/>
      <w:lvlText w:val="%1"/>
      <w:numFmt w:val="decimal"/>
      <w:start w:val="1"/>
    </w:lvl>
    <w:lvl w:ilvl="1">
      <w:lvlJc w:val="left"/>
      <w:lvlText w:val="(%2)"/>
      <w:numFmt w:val="lowerLetter"/>
      <w:start w:val="1"/>
    </w:lvl>
  </w:abstractNum>
  <w:abstractNum w:abstractNumId="702">
    <w:nsid w:val="393B5076"/>
    <w:multiLevelType w:val="hybridMultilevel"/>
    <w:lvl w:ilvl="0">
      <w:lvlJc w:val="left"/>
      <w:lvlText w:val="%1."/>
      <w:numFmt w:val="decimal"/>
      <w:start w:val="10"/>
    </w:lvl>
    <w:lvl w:ilvl="1">
      <w:lvlJc w:val="left"/>
      <w:lvlText w:val="%2"/>
      <w:numFmt w:val="lowerLetter"/>
      <w:start w:val="1"/>
    </w:lvl>
  </w:abstractNum>
  <w:abstractNum w:abstractNumId="703">
    <w:nsid w:val="5F0E41DB"/>
    <w:multiLevelType w:val="hybridMultilevel"/>
    <w:lvl w:ilvl="0">
      <w:lvlJc w:val="left"/>
      <w:lvlText w:val="%1"/>
      <w:numFmt w:val="decimal"/>
      <w:start w:val="1"/>
    </w:lvl>
    <w:lvl w:ilvl="1">
      <w:lvlJc w:val="left"/>
      <w:lvlText w:val="(%2)"/>
      <w:numFmt w:val="lowerLetter"/>
      <w:start w:val="1"/>
    </w:lvl>
  </w:abstractNum>
  <w:abstractNum w:abstractNumId="704">
    <w:nsid w:val="6C4DFAA4"/>
    <w:multiLevelType w:val="hybridMultilevel"/>
    <w:lvl w:ilvl="0">
      <w:lvlJc w:val="left"/>
      <w:lvlText w:val="%1."/>
      <w:numFmt w:val="decimal"/>
      <w:start w:val="11"/>
    </w:lvl>
    <w:lvl w:ilvl="1">
      <w:lvlJc w:val="left"/>
      <w:lvlText w:val="%2"/>
      <w:numFmt w:val="lowerLetter"/>
      <w:start w:val="1"/>
    </w:lvl>
  </w:abstractNum>
  <w:abstractNum w:abstractNumId="705">
    <w:nsid w:val="C7C501F"/>
    <w:multiLevelType w:val="hybridMultilevel"/>
    <w:lvl w:ilvl="0">
      <w:lvlJc w:val="left"/>
      <w:lvlText w:val="(%1)"/>
      <w:numFmt w:val="lowerLetter"/>
      <w:start w:val="1"/>
    </w:lvl>
  </w:abstractNum>
  <w:abstractNum w:abstractNumId="706">
    <w:nsid w:val="7244B239"/>
    <w:multiLevelType w:val="hybridMultilevel"/>
    <w:lvl w:ilvl="0">
      <w:lvlJc w:val="left"/>
      <w:lvlText w:val="%1"/>
      <w:numFmt w:val="decimal"/>
      <w:start w:val="1"/>
    </w:lvl>
    <w:lvl w:ilvl="1">
      <w:lvlJc w:val="left"/>
      <w:lvlText w:val="(%2)"/>
      <w:numFmt w:val="lowerLetter"/>
      <w:start w:val="1"/>
    </w:lvl>
  </w:abstractNum>
  <w:abstractNum w:abstractNumId="707">
    <w:nsid w:val="50B1BE08"/>
    <w:multiLevelType w:val="hybridMultilevel"/>
    <w:lvl w:ilvl="0">
      <w:lvlJc w:val="left"/>
      <w:lvlText w:val="%1."/>
      <w:numFmt w:val="decimal"/>
      <w:start w:val="12"/>
    </w:lvl>
    <w:lvl w:ilvl="1">
      <w:lvlJc w:val="left"/>
      <w:lvlText w:val="%2"/>
      <w:numFmt w:val="lowerLetter"/>
      <w:start w:val="1"/>
    </w:lvl>
  </w:abstractNum>
  <w:abstractNum w:abstractNumId="708">
    <w:nsid w:val="40F78FF3"/>
    <w:multiLevelType w:val="hybridMultilevel"/>
    <w:lvl w:ilvl="0">
      <w:lvlJc w:val="left"/>
      <w:lvlText w:val="(%1)"/>
      <w:numFmt w:val="lowerLetter"/>
      <w:start w:val="1"/>
    </w:lvl>
  </w:abstractNum>
  <w:abstractNum w:abstractNumId="709">
    <w:nsid w:val="7F9F698A"/>
    <w:multiLevelType w:val="hybridMultilevel"/>
    <w:lvl w:ilvl="0">
      <w:lvlJc w:val="left"/>
      <w:lvlText w:val="%1."/>
      <w:numFmt w:val="decimal"/>
      <w:start w:val="13"/>
    </w:lvl>
  </w:abstractNum>
  <w:abstractNum w:abstractNumId="710">
    <w:nsid w:val="5FD0822F"/>
    <w:multiLevelType w:val="hybridMultilevel"/>
    <w:lvl w:ilvl="0">
      <w:lvlJc w:val="left"/>
      <w:lvlText w:val="(%1)"/>
      <w:numFmt w:val="lowerLetter"/>
      <w:start w:val="1"/>
    </w:lvl>
  </w:abstractNum>
  <w:abstractNum w:abstractNumId="711">
    <w:nsid w:val="2D814889"/>
    <w:multiLevelType w:val="hybridMultilevel"/>
    <w:lvl w:ilvl="0">
      <w:lvlJc w:val="left"/>
      <w:lvlText w:val="%1."/>
      <w:numFmt w:val="decimal"/>
      <w:start w:val="14"/>
    </w:lvl>
  </w:abstractNum>
  <w:abstractNum w:abstractNumId="712">
    <w:nsid w:val="7DB18352"/>
    <w:multiLevelType w:val="hybridMultilevel"/>
    <w:lvl w:ilvl="0">
      <w:lvlJc w:val="left"/>
      <w:lvlText w:val="(%1)"/>
      <w:numFmt w:val="lowerLetter"/>
      <w:start w:val="1"/>
    </w:lvl>
  </w:abstractNum>
  <w:abstractNum w:abstractNumId="713">
    <w:nsid w:val="5C243F1"/>
    <w:multiLevelType w:val="hybridMultilevel"/>
    <w:lvl w:ilvl="0">
      <w:lvlJc w:val="left"/>
      <w:lvlText w:val="%1."/>
      <w:numFmt w:val="decimal"/>
      <w:start w:val="15"/>
    </w:lvl>
  </w:abstractNum>
  <w:abstractNum w:abstractNumId="714">
    <w:nsid w:val="21BE2F84"/>
    <w:multiLevelType w:val="hybridMultilevel"/>
    <w:lvl w:ilvl="0">
      <w:lvlJc w:val="left"/>
      <w:lvlText w:val="%1."/>
      <w:numFmt w:val="decimal"/>
      <w:start w:val="16"/>
    </w:lvl>
  </w:abstractNum>
  <w:abstractNum w:abstractNumId="715">
    <w:nsid w:val="1E0491CD"/>
    <w:multiLevelType w:val="hybridMultilevel"/>
    <w:lvl w:ilvl="0">
      <w:lvlJc w:val="left"/>
      <w:lvlText w:val="(%1)"/>
      <w:numFmt w:val="lowerLetter"/>
      <w:start w:val="1"/>
    </w:lvl>
  </w:abstractNum>
  <w:abstractNum w:abstractNumId="716">
    <w:nsid w:val="1A0ED871"/>
    <w:multiLevelType w:val="hybridMultilevel"/>
    <w:lvl w:ilvl="0">
      <w:lvlJc w:val="left"/>
      <w:lvlText w:val="%1."/>
      <w:numFmt w:val="decimal"/>
      <w:start w:val="17"/>
    </w:lvl>
  </w:abstractNum>
  <w:abstractNum w:abstractNumId="717">
    <w:nsid w:val="36D2D033"/>
    <w:multiLevelType w:val="hybridMultilevel"/>
    <w:lvl w:ilvl="0">
      <w:lvlJc w:val="left"/>
      <w:lvlText w:val="%1."/>
      <w:numFmt w:val="decimal"/>
      <w:start w:val="18"/>
    </w:lvl>
  </w:abstractNum>
  <w:abstractNum w:abstractNumId="718">
    <w:nsid w:val="73C7EB1A"/>
    <w:multiLevelType w:val="hybridMultilevel"/>
    <w:lvl w:ilvl="0">
      <w:lvlJc w:val="left"/>
      <w:lvlText w:val="%1."/>
      <w:numFmt w:val="decimal"/>
      <w:start w:val="19"/>
    </w:lvl>
  </w:abstractNum>
  <w:abstractNum w:abstractNumId="719">
    <w:nsid w:val="3EBCDCC"/>
    <w:multiLevelType w:val="hybridMultilevel"/>
    <w:lvl w:ilvl="0">
      <w:lvlJc w:val="left"/>
      <w:lvlText w:val="%1."/>
      <w:numFmt w:val="decimal"/>
      <w:start w:val="20"/>
    </w:lvl>
  </w:abstractNum>
  <w:abstractNum w:abstractNumId="720">
    <w:nsid w:val="43CEFB03"/>
    <w:multiLevelType w:val="hybridMultilevel"/>
    <w:lvl w:ilvl="0">
      <w:lvlJc w:val="left"/>
      <w:lvlText w:val="(%1)"/>
      <w:numFmt w:val="lowerLetter"/>
      <w:start w:val="1"/>
    </w:lvl>
  </w:abstractNum>
  <w:abstractNum w:abstractNumId="721">
    <w:nsid w:val="1C82652D"/>
    <w:multiLevelType w:val="hybridMultilevel"/>
    <w:lvl w:ilvl="0">
      <w:lvlJc w:val="left"/>
      <w:lvlText w:val="%1."/>
      <w:numFmt w:val="decimal"/>
      <w:start w:val="21"/>
    </w:lvl>
  </w:abstractNum>
  <w:abstractNum w:abstractNumId="722">
    <w:nsid w:val="2C73E35D"/>
    <w:multiLevelType w:val="hybridMultilevel"/>
    <w:lvl w:ilvl="0">
      <w:lvlJc w:val="left"/>
      <w:lvlText w:val="%1."/>
      <w:numFmt w:val="decimal"/>
      <w:start w:val="22"/>
    </w:lvl>
    <w:lvl w:ilvl="1">
      <w:lvlJc w:val="left"/>
      <w:lvlText w:val="(%2)"/>
      <w:numFmt w:val="lowerLetter"/>
      <w:start w:val="1"/>
    </w:lvl>
  </w:abstractNum>
  <w:abstractNum w:abstractNumId="723">
    <w:nsid w:val="3AFA746F"/>
    <w:multiLevelType w:val="hybridMultilevel"/>
    <w:lvl w:ilvl="0">
      <w:lvlJc w:val="left"/>
      <w:lvlText w:val="%1."/>
      <w:numFmt w:val="decimal"/>
      <w:start w:val="24"/>
    </w:lvl>
  </w:abstractNum>
  <w:abstractNum w:abstractNumId="724">
    <w:nsid w:val="3A849116"/>
    <w:multiLevelType w:val="hybridMultilevel"/>
    <w:lvl w:ilvl="0">
      <w:lvlJc w:val="left"/>
      <w:lvlText w:val="%1."/>
      <w:numFmt w:val="decimal"/>
      <w:start w:val="25"/>
    </w:lvl>
  </w:abstractNum>
  <w:abstractNum w:abstractNumId="725">
    <w:nsid w:val="1F3847FC"/>
    <w:multiLevelType w:val="hybridMultilevel"/>
    <w:lvl w:ilvl="0">
      <w:lvlJc w:val="left"/>
      <w:lvlText w:val="%1."/>
      <w:numFmt w:val="decimal"/>
      <w:start w:val="26"/>
    </w:lvl>
  </w:abstractNum>
  <w:abstractNum w:abstractNumId="726">
    <w:nsid w:val="37D3B790"/>
    <w:multiLevelType w:val="hybridMultilevel"/>
    <w:lvl w:ilvl="0">
      <w:lvlJc w:val="left"/>
      <w:lvlText w:val="%1."/>
      <w:numFmt w:val="decimal"/>
      <w:start w:val="27"/>
    </w:lvl>
  </w:abstractNum>
  <w:abstractNum w:abstractNumId="727">
    <w:nsid w:val="4E384ED3"/>
    <w:multiLevelType w:val="hybridMultilevel"/>
    <w:lvl w:ilvl="0">
      <w:lvlJc w:val="left"/>
      <w:lvlText w:val="%1."/>
      <w:numFmt w:val="decimal"/>
      <w:start w:val="28"/>
    </w:lvl>
  </w:abstractNum>
  <w:abstractNum w:abstractNumId="728">
    <w:nsid w:val="6B80C94F"/>
    <w:multiLevelType w:val="hybridMultilevel"/>
    <w:lvl w:ilvl="0">
      <w:lvlJc w:val="left"/>
      <w:lvlText w:val="%1."/>
      <w:numFmt w:val="decimal"/>
      <w:start w:val="29"/>
    </w:lvl>
  </w:abstractNum>
  <w:abstractNum w:abstractNumId="729">
    <w:nsid w:val="4D0F54A3"/>
    <w:multiLevelType w:val="hybridMultilevel"/>
    <w:lvl w:ilvl="0">
      <w:lvlJc w:val="left"/>
      <w:lvlText w:val="(%1)"/>
      <w:numFmt w:val="lowerLetter"/>
      <w:start w:val="1"/>
    </w:lvl>
    <w:lvl w:ilvl="1">
      <w:lvlJc w:val="left"/>
      <w:lvlText w:val="(%2)"/>
      <w:numFmt w:val="lowerRoman"/>
      <w:start w:val="1"/>
    </w:lvl>
  </w:abstractNum>
  <w:abstractNum w:abstractNumId="730">
    <w:nsid w:val="4B4004EE"/>
    <w:multiLevelType w:val="hybridMultilevel"/>
    <w:lvl w:ilvl="0">
      <w:lvlJc w:val="left"/>
      <w:lvlText w:val="(%1)"/>
      <w:numFmt w:val="lowerLetter"/>
      <w:start w:val="3"/>
    </w:lvl>
  </w:abstractNum>
  <w:abstractNum w:abstractNumId="731">
    <w:nsid w:val="25CCB279"/>
    <w:multiLevelType w:val="hybridMultilevel"/>
    <w:lvl w:ilvl="0">
      <w:lvlJc w:val="left"/>
      <w:lvlText w:val="(%1)"/>
      <w:numFmt w:val="lowerLetter"/>
      <w:start w:val="4"/>
    </w:lvl>
  </w:abstractNum>
  <w:abstractNum w:abstractNumId="732">
    <w:nsid w:val="4ED6F798"/>
    <w:multiLevelType w:val="hybridMultilevel"/>
    <w:lvl w:ilvl="0">
      <w:lvlJc w:val="left"/>
      <w:lvlText w:val="%1."/>
      <w:numFmt w:val="decimal"/>
      <w:start w:val="3"/>
    </w:lvl>
    <w:lvl w:ilvl="1">
      <w:lvlJc w:val="left"/>
      <w:lvlText w:val="(%2)"/>
      <w:numFmt w:val="lowerLetter"/>
      <w:start w:val="1"/>
    </w:lvl>
  </w:abstractNum>
  <w:abstractNum w:abstractNumId="733">
    <w:nsid w:val="47B5565"/>
    <w:multiLevelType w:val="hybridMultilevel"/>
    <w:lvl w:ilvl="0">
      <w:lvlJc w:val="left"/>
      <w:lvlText w:val="(%1)"/>
      <w:numFmt w:val="lowerLetter"/>
      <w:start w:val="1"/>
    </w:lvl>
  </w:abstractNum>
  <w:abstractNum w:abstractNumId="734">
    <w:nsid w:val="4DAF454"/>
    <w:multiLevelType w:val="hybridMultilevel"/>
    <w:lvl w:ilvl="0">
      <w:lvlJc w:val="left"/>
      <w:lvlText w:val="%1."/>
      <w:numFmt w:val="decimal"/>
      <w:start w:val="5"/>
    </w:lvl>
    <w:lvl w:ilvl="1">
      <w:lvlJc w:val="left"/>
      <w:lvlText w:val="%2."/>
      <w:numFmt w:val="lowerLetter"/>
      <w:start w:val="1"/>
    </w:lvl>
  </w:abstractNum>
  <w:abstractNum w:abstractNumId="735">
    <w:nsid w:val="3B24F23C"/>
    <w:multiLevelType w:val="hybridMultilevel"/>
    <w:lvl w:ilvl="0">
      <w:lvlJc w:val="left"/>
      <w:lvlText w:val="%1."/>
      <w:numFmt w:val="decimal"/>
      <w:start w:val="4"/>
    </w:lvl>
  </w:abstractNum>
  <w:abstractNum w:abstractNumId="736">
    <w:nsid w:val="10F7A584"/>
    <w:multiLevelType w:val="hybridMultilevel"/>
    <w:lvl w:ilvl="0">
      <w:lvlJc w:val="left"/>
      <w:lvlText w:val="%1."/>
      <w:numFmt w:val="decimal"/>
      <w:start w:val="6"/>
    </w:lvl>
  </w:abstractNum>
  <w:abstractNum w:abstractNumId="737">
    <w:nsid w:val="771FA68D"/>
    <w:multiLevelType w:val="hybridMultilevel"/>
    <w:lvl w:ilvl="0">
      <w:lvlJc w:val="left"/>
      <w:lvlText w:val="%1"/>
      <w:numFmt w:val="decimal"/>
      <w:start w:val="28"/>
    </w:lvl>
  </w:abstractNum>
  <w:abstractNum w:abstractNumId="738">
    <w:nsid w:val="BD6B044"/>
    <w:multiLevelType w:val="hybridMultilevel"/>
    <w:lvl w:ilvl="0">
      <w:lvlJc w:val="left"/>
      <w:lvlText w:val="%1."/>
      <w:numFmt w:val="decimal"/>
      <w:start w:val="7"/>
    </w:lvl>
    <w:lvl w:ilvl="1">
      <w:lvlJc w:val="left"/>
      <w:lvlText w:val="(%2)"/>
      <w:numFmt w:val="lowerLetter"/>
      <w:start w:val="1"/>
    </w:lvl>
  </w:abstractNum>
  <w:abstractNum w:abstractNumId="739">
    <w:nsid w:val="51EF3577"/>
    <w:multiLevelType w:val="hybridMultilevel"/>
    <w:lvl w:ilvl="0">
      <w:lvlJc w:val="left"/>
      <w:lvlText w:val="%1."/>
      <w:numFmt w:val="decimal"/>
      <w:start w:val="1"/>
    </w:lvl>
    <w:lvl w:ilvl="1">
      <w:lvlJc w:val="left"/>
      <w:lvlText w:val="(%2)"/>
      <w:numFmt w:val="lowerLetter"/>
      <w:start w:val="1"/>
    </w:lvl>
  </w:abstractNum>
  <w:abstractNum w:abstractNumId="740">
    <w:nsid w:val="76BF1017"/>
    <w:multiLevelType w:val="hybridMultilevel"/>
    <w:lvl w:ilvl="0">
      <w:lvlJc w:val="left"/>
      <w:lvlText w:val="(%1)"/>
      <w:numFmt w:val="decimal"/>
      <w:start w:val="1"/>
    </w:lvl>
  </w:abstractNum>
  <w:abstractNum w:abstractNumId="741">
    <w:nsid w:val="6BA73274"/>
    <w:multiLevelType w:val="hybridMultilevel"/>
    <w:lvl w:ilvl="0">
      <w:lvlJc w:val="left"/>
      <w:lvlText w:val="(%1)"/>
      <w:numFmt w:val="upperLetter"/>
      <w:start w:val="1"/>
    </w:lvl>
  </w:abstractNum>
  <w:abstractNum w:abstractNumId="742">
    <w:nsid w:val="7F707E01"/>
    <w:multiLevelType w:val="hybridMultilevel"/>
    <w:lvl w:ilvl="0">
      <w:lvlJc w:val="left"/>
      <w:lvlText w:val="%1."/>
      <w:numFmt w:val="decimal"/>
      <w:start w:val="1"/>
    </w:lvl>
  </w:abstractNum>
  <w:abstractNum w:abstractNumId="743">
    <w:nsid w:val="7470936A"/>
    <w:multiLevelType w:val="hybridMultilevel"/>
    <w:lvl w:ilvl="0">
      <w:lvlJc w:val="left"/>
      <w:lvlText w:val="(%1)"/>
      <w:numFmt w:val="lowerLetter"/>
      <w:start w:val="1"/>
    </w:lvl>
  </w:abstractNum>
  <w:abstractNum w:abstractNumId="744">
    <w:nsid w:val="71697665"/>
    <w:multiLevelType w:val="hybridMultilevel"/>
    <w:lvl w:ilvl="0">
      <w:lvlJc w:val="left"/>
      <w:lvlText w:val="%1"/>
      <w:numFmt w:val="decimal"/>
      <w:start w:val="1"/>
    </w:lvl>
    <w:lvl w:ilvl="1">
      <w:lvlJc w:val="left"/>
      <w:lvlText w:val="(%2)"/>
      <w:numFmt w:val="lowerLetter"/>
      <w:start w:val="1"/>
    </w:lvl>
  </w:abstractNum>
  <w:abstractNum w:abstractNumId="745">
    <w:nsid w:val="212EAD85"/>
    <w:multiLevelType w:val="hybridMultilevel"/>
    <w:lvl w:ilvl="0">
      <w:lvlJc w:val="left"/>
      <w:lvlText w:val="%1."/>
      <w:numFmt w:val="decimal"/>
      <w:start w:val="2"/>
    </w:lvl>
    <w:lvl w:ilvl="1">
      <w:lvlJc w:val="left"/>
      <w:lvlText w:val="%2"/>
      <w:numFmt w:val="lowerLetter"/>
      <w:start w:val="1"/>
    </w:lvl>
  </w:abstractNum>
  <w:abstractNum w:abstractNumId="746">
    <w:nsid w:val="12752537"/>
    <w:multiLevelType w:val="hybridMultilevel"/>
    <w:lvl w:ilvl="0">
      <w:lvlJc w:val="left"/>
      <w:lvlText w:val="%1."/>
      <w:numFmt w:val="decimal"/>
      <w:start w:val="3"/>
    </w:lvl>
  </w:abstractNum>
  <w:abstractNum w:abstractNumId="747">
    <w:nsid w:val="B784ED6"/>
    <w:multiLevelType w:val="hybridMultilevel"/>
    <w:lvl w:ilvl="0">
      <w:lvlJc w:val="left"/>
      <w:lvlText w:val="%1."/>
      <w:numFmt w:val="decimal"/>
      <w:start w:val="4"/>
    </w:lvl>
  </w:abstractNum>
  <w:abstractNum w:abstractNumId="748">
    <w:nsid w:val="58017DB8"/>
    <w:multiLevelType w:val="hybridMultilevel"/>
    <w:lvl w:ilvl="0">
      <w:lvlJc w:val="left"/>
      <w:lvlText w:val="%1."/>
      <w:numFmt w:val="decimal"/>
      <w:start w:val="5"/>
    </w:lvl>
  </w:abstractNum>
  <w:abstractNum w:abstractNumId="749">
    <w:nsid w:val="63D1051"/>
    <w:multiLevelType w:val="hybridMultilevel"/>
    <w:lvl w:ilvl="0">
      <w:lvlJc w:val="left"/>
      <w:lvlText w:val="%1."/>
      <w:numFmt w:val="decimal"/>
      <w:start w:val="6"/>
    </w:lvl>
  </w:abstractNum>
  <w:abstractNum w:abstractNumId="750">
    <w:nsid w:val="F641CA2"/>
    <w:multiLevelType w:val="hybridMultilevel"/>
    <w:lvl w:ilvl="0">
      <w:lvlJc w:val="left"/>
      <w:lvlText w:val="%1."/>
      <w:numFmt w:val="decimal"/>
      <w:start w:val="7"/>
    </w:lvl>
  </w:abstractNum>
  <w:abstractNum w:abstractNumId="751">
    <w:nsid w:val="1BD078BB"/>
    <w:multiLevelType w:val="hybridMultilevel"/>
    <w:lvl w:ilvl="0">
      <w:lvlJc w:val="left"/>
      <w:lvlText w:val="(%1)"/>
      <w:numFmt w:val="lowerLetter"/>
      <w:start w:val="1"/>
    </w:lvl>
  </w:abstractNum>
  <w:abstractNum w:abstractNumId="752">
    <w:nsid w:val="22BF757E"/>
    <w:multiLevelType w:val="hybridMultilevel"/>
    <w:lvl w:ilvl="0">
      <w:lvlJc w:val="left"/>
      <w:lvlText w:val="(%1)"/>
      <w:numFmt w:val="lowerLetter"/>
      <w:start w:val="1"/>
    </w:lvl>
  </w:abstractNum>
  <w:abstractNum w:abstractNumId="753">
    <w:nsid w:val="3BD80000"/>
    <w:multiLevelType w:val="hybridMultilevel"/>
    <w:lvl w:ilvl="0">
      <w:lvlJc w:val="left"/>
      <w:lvlText w:val="%1"/>
      <w:numFmt w:val="decimal"/>
      <w:start w:val="1"/>
    </w:lvl>
    <w:lvl w:ilvl="1">
      <w:lvlJc w:val="left"/>
      <w:lvlText w:val="(%2)"/>
      <w:numFmt w:val="lowerLetter"/>
      <w:start w:val="3"/>
    </w:lvl>
  </w:abstractNum>
  <w:abstractNum w:abstractNumId="754">
    <w:nsid w:val="56CAED2B"/>
    <w:multiLevelType w:val="hybridMultilevel"/>
    <w:lvl w:ilvl="0">
      <w:lvlJc w:val="left"/>
      <w:lvlText w:val="%1."/>
      <w:numFmt w:val="decimal"/>
      <w:start w:val="8"/>
    </w:lvl>
    <w:lvl w:ilvl="1">
      <w:lvlJc w:val="left"/>
      <w:lvlText w:val="%2"/>
      <w:numFmt w:val="lowerLetter"/>
      <w:start w:val="1"/>
    </w:lvl>
  </w:abstractNum>
  <w:abstractNum w:abstractNumId="755">
    <w:nsid w:val="5D440695"/>
    <w:multiLevelType w:val="hybridMultilevel"/>
    <w:lvl w:ilvl="0">
      <w:lvlJc w:val="left"/>
      <w:lvlText w:val="(%1)"/>
      <w:numFmt w:val="lowerLetter"/>
      <w:start w:val="1"/>
    </w:lvl>
  </w:abstractNum>
  <w:abstractNum w:abstractNumId="756">
    <w:nsid w:val="5B1047FC"/>
    <w:multiLevelType w:val="hybridMultilevel"/>
    <w:lvl w:ilvl="0">
      <w:lvlJc w:val="left"/>
      <w:lvlText w:val="%1."/>
      <w:numFmt w:val="decimal"/>
      <w:start w:val="9"/>
    </w:lvl>
  </w:abstractNum>
  <w:abstractNum w:abstractNumId="757">
    <w:nsid w:val="E9EA4BB"/>
    <w:multiLevelType w:val="hybridMultilevel"/>
    <w:lvl w:ilvl="0">
      <w:lvlJc w:val="left"/>
      <w:lvlText w:val="(%1)"/>
      <w:numFmt w:val="lowerLetter"/>
      <w:start w:val="1"/>
    </w:lvl>
  </w:abstractNum>
  <w:abstractNum w:abstractNumId="758">
    <w:nsid w:val="2B7C5568"/>
    <w:multiLevelType w:val="hybridMultilevel"/>
    <w:lvl w:ilvl="0">
      <w:lvlJc w:val="left"/>
      <w:lvlText w:val="%1"/>
      <w:numFmt w:val="decimal"/>
      <w:start w:val="1"/>
    </w:lvl>
    <w:lvl w:ilvl="1">
      <w:lvlJc w:val="left"/>
      <w:lvlText w:val="(%2)"/>
      <w:numFmt w:val="lowerLetter"/>
      <w:start w:val="1"/>
    </w:lvl>
  </w:abstractNum>
  <w:abstractNum w:abstractNumId="759">
    <w:nsid w:val="4691114B"/>
    <w:multiLevelType w:val="hybridMultilevel"/>
    <w:lvl w:ilvl="0">
      <w:lvlJc w:val="left"/>
      <w:lvlText w:val="%1."/>
      <w:numFmt w:val="decimal"/>
      <w:start w:val="10"/>
    </w:lvl>
    <w:lvl w:ilvl="1">
      <w:lvlJc w:val="left"/>
      <w:lvlText w:val="%2"/>
      <w:numFmt w:val="lowerLetter"/>
      <w:start w:val="1"/>
    </w:lvl>
  </w:abstractNum>
  <w:abstractNum w:abstractNumId="760">
    <w:nsid w:val="5BADF95F"/>
    <w:multiLevelType w:val="hybridMultilevel"/>
    <w:lvl w:ilvl="0">
      <w:lvlJc w:val="left"/>
      <w:lvlText w:val="%1."/>
      <w:numFmt w:val="decimal"/>
      <w:start w:val="11"/>
    </w:lvl>
  </w:abstractNum>
  <w:abstractNum w:abstractNumId="761">
    <w:nsid w:val="76BC5A56"/>
    <w:multiLevelType w:val="hybridMultilevel"/>
    <w:lvl w:ilvl="0">
      <w:lvlJc w:val="left"/>
      <w:lvlText w:val="%1."/>
      <w:numFmt w:val="decimal"/>
      <w:start w:val="12"/>
    </w:lvl>
  </w:abstractNum>
  <w:abstractNum w:abstractNumId="762">
    <w:nsid w:val="6C5DC3C4"/>
    <w:multiLevelType w:val="hybridMultilevel"/>
    <w:lvl w:ilvl="0">
      <w:lvlJc w:val="left"/>
      <w:lvlText w:val="%1."/>
      <w:numFmt w:val="decimal"/>
      <w:start w:val="13"/>
    </w:lvl>
  </w:abstractNum>
  <w:abstractNum w:abstractNumId="763">
    <w:nsid w:val="2A84F0F7"/>
    <w:multiLevelType w:val="hybridMultilevel"/>
    <w:lvl w:ilvl="0">
      <w:lvlJc w:val="left"/>
      <w:lvlText w:val="(%1)"/>
      <w:numFmt w:val="lowerLetter"/>
      <w:start w:val="1"/>
    </w:lvl>
  </w:abstractNum>
  <w:abstractNum w:abstractNumId="764">
    <w:nsid w:val="7B37AFBB"/>
    <w:multiLevelType w:val="hybridMultilevel"/>
    <w:lvl w:ilvl="0">
      <w:lvlJc w:val="left"/>
      <w:lvlText w:val="%1."/>
      <w:numFmt w:val="decimal"/>
      <w:start w:val="14"/>
    </w:lvl>
  </w:abstractNum>
  <w:abstractNum w:abstractNumId="765">
    <w:nsid w:val="7138B819"/>
    <w:multiLevelType w:val="hybridMultilevel"/>
    <w:lvl w:ilvl="0">
      <w:lvlJc w:val="left"/>
      <w:lvlText w:val="(%1)"/>
      <w:numFmt w:val="lowerLetter"/>
      <w:start w:val="1"/>
    </w:lvl>
    <w:lvl w:ilvl="1">
      <w:lvlJc w:val="left"/>
      <w:lvlText w:val="(%2)"/>
      <w:numFmt w:val="lowerRoman"/>
      <w:start w:val="1"/>
    </w:lvl>
  </w:abstractNum>
  <w:abstractNum w:abstractNumId="766">
    <w:nsid w:val="65A9E333"/>
    <w:multiLevelType w:val="hybridMultilevel"/>
    <w:lvl w:ilvl="0">
      <w:lvlJc w:val="left"/>
      <w:lvlText w:val="(%1)"/>
      <w:numFmt w:val="lowerRoman"/>
      <w:start w:val="4"/>
    </w:lvl>
  </w:abstractNum>
  <w:abstractNum w:abstractNumId="767">
    <w:nsid w:val="C2F5540"/>
    <w:multiLevelType w:val="hybridMultilevel"/>
    <w:lvl w:ilvl="0">
      <w:lvlJc w:val="left"/>
      <w:lvlText w:val="%1"/>
      <w:numFmt w:val="lowerLetter"/>
      <w:start w:val="1"/>
    </w:lvl>
    <w:lvl w:ilvl="1">
      <w:lvlJc w:val="left"/>
      <w:lvlText w:val="(%2)"/>
      <w:numFmt w:val="lowerRoman"/>
      <w:start w:val="9"/>
    </w:lvl>
  </w:abstractNum>
  <w:abstractNum w:abstractNumId="768">
    <w:nsid w:val="68585EA6"/>
    <w:multiLevelType w:val="hybridMultilevel"/>
    <w:lvl w:ilvl="0">
      <w:lvlJc w:val="left"/>
      <w:lvlText w:val="(%1)"/>
      <w:numFmt w:val="lowerLetter"/>
      <w:start w:val="2"/>
    </w:lvl>
    <w:lvl w:ilvl="1">
      <w:lvlJc w:val="left"/>
      <w:lvlText w:val="%2"/>
      <w:numFmt w:val="lowerRoman"/>
      <w:start w:val="1"/>
    </w:lvl>
  </w:abstractNum>
  <w:abstractNum w:abstractNumId="769">
    <w:nsid w:val="71809378"/>
    <w:multiLevelType w:val="hybridMultilevel"/>
    <w:lvl w:ilvl="0">
      <w:lvlJc w:val="left"/>
      <w:lvlText w:val="(%1)"/>
      <w:numFmt w:val="lowerLetter"/>
      <w:start w:val="1"/>
    </w:lvl>
  </w:abstractNum>
  <w:abstractNum w:abstractNumId="770">
    <w:nsid w:val="5E1E8AB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1">
    <w:nsid w:val="5F176EBE"/>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772">
    <w:nsid w:val="5D27C5EC"/>
    <w:multiLevelType w:val="hybridMultilevel"/>
    <w:lvl w:ilvl="0">
      <w:lvlJc w:val="left"/>
      <w:lvlText w:val="(%1)"/>
      <w:numFmt w:val="lowerLetter"/>
      <w:start w:val="1"/>
    </w:lvl>
  </w:abstractNum>
  <w:abstractNum w:abstractNumId="773">
    <w:nsid w:val="5D8F08B8"/>
    <w:multiLevelType w:val="hybridMultilevel"/>
    <w:lvl w:ilvl="0">
      <w:lvlJc w:val="left"/>
      <w:lvlText w:val="(%1)"/>
      <w:numFmt w:val="lowerLetter"/>
      <w:start w:val="1"/>
    </w:lvl>
  </w:abstractNum>
  <w:abstractNum w:abstractNumId="774">
    <w:nsid w:val="53880228"/>
    <w:multiLevelType w:val="hybridMultilevel"/>
    <w:lvl w:ilvl="0">
      <w:lvlJc w:val="left"/>
      <w:lvlText w:val="(%1)"/>
      <w:numFmt w:val="lowerLetter"/>
      <w:start w:val="1"/>
    </w:lvl>
  </w:abstractNum>
  <w:abstractNum w:abstractNumId="775">
    <w:nsid w:val="4E913C51"/>
    <w:multiLevelType w:val="hybridMultilevel"/>
    <w:lvl w:ilvl="0">
      <w:lvlJc w:val="left"/>
      <w:lvlText w:val="%1."/>
      <w:numFmt w:val="decimal"/>
      <w:start w:val="16"/>
    </w:lvl>
  </w:abstractNum>
  <w:abstractNum w:abstractNumId="776">
    <w:nsid w:val="7EBDB63D"/>
    <w:multiLevelType w:val="hybridMultilevel"/>
    <w:lvl w:ilvl="0">
      <w:lvlJc w:val="left"/>
      <w:lvlText w:val="(%1)"/>
      <w:numFmt w:val="lowerLetter"/>
      <w:start w:val="2"/>
    </w:lvl>
  </w:abstractNum>
  <w:abstractNum w:abstractNumId="777">
    <w:nsid w:val="65FD275F"/>
    <w:multiLevelType w:val="hybridMultilevel"/>
    <w:lvl w:ilvl="0">
      <w:lvlJc w:val="left"/>
      <w:lvlText w:val="%1."/>
      <w:numFmt w:val="decimal"/>
      <w:start w:val="17"/>
    </w:lvl>
  </w:abstractNum>
  <w:abstractNum w:abstractNumId="778">
    <w:nsid w:val="5A098B27"/>
    <w:multiLevelType w:val="hybridMultilevel"/>
    <w:lvl w:ilvl="0">
      <w:lvlJc w:val="left"/>
      <w:lvlText w:val="%1."/>
      <w:numFmt w:val="decimal"/>
      <w:start w:val="18"/>
    </w:lvl>
  </w:abstractNum>
  <w:abstractNum w:abstractNumId="779">
    <w:nsid w:val="56BF33F6"/>
    <w:multiLevelType w:val="hybridMultilevel"/>
    <w:lvl w:ilvl="0">
      <w:lvlJc w:val="left"/>
      <w:lvlText w:val="%1."/>
      <w:numFmt w:val="decimal"/>
      <w:start w:val="19"/>
    </w:lvl>
  </w:abstractNum>
  <w:abstractNum w:abstractNumId="780">
    <w:nsid w:val="6C3A37B1"/>
    <w:multiLevelType w:val="hybridMultilevel"/>
    <w:lvl w:ilvl="0">
      <w:lvlJc w:val="left"/>
      <w:lvlText w:val="%1."/>
      <w:numFmt w:val="decimal"/>
      <w:start w:val="20"/>
    </w:lvl>
  </w:abstractNum>
  <w:abstractNum w:abstractNumId="781">
    <w:nsid w:val="696DA7C9"/>
    <w:multiLevelType w:val="hybridMultilevel"/>
    <w:lvl w:ilvl="0">
      <w:lvlJc w:val="left"/>
      <w:lvlText w:val="%1."/>
      <w:numFmt w:val="decimal"/>
      <w:start w:val="21"/>
    </w:lvl>
  </w:abstractNum>
  <w:abstractNum w:abstractNumId="782">
    <w:nsid w:val="728FACB1"/>
    <w:multiLevelType w:val="hybridMultilevel"/>
    <w:lvl w:ilvl="0">
      <w:lvlJc w:val="left"/>
      <w:lvlText w:val="%1."/>
      <w:numFmt w:val="decimal"/>
      <w:start w:val="22"/>
    </w:lvl>
  </w:abstractNum>
  <w:abstractNum w:abstractNumId="783">
    <w:nsid w:val="EF9AD2F"/>
    <w:multiLevelType w:val="hybridMultilevel"/>
    <w:lvl w:ilvl="0">
      <w:lvlJc w:val="left"/>
      <w:lvlText w:val="%1."/>
      <w:numFmt w:val="decimal"/>
      <w:start w:val="23"/>
    </w:lvl>
  </w:abstractNum>
  <w:abstractNum w:abstractNumId="784">
    <w:nsid w:val="2545A7C9"/>
    <w:multiLevelType w:val="hybridMultilevel"/>
    <w:lvl w:ilvl="0">
      <w:lvlJc w:val="left"/>
      <w:lvlText w:val="%1."/>
      <w:numFmt w:val="decimal"/>
      <w:start w:val="24"/>
    </w:lvl>
  </w:abstractNum>
  <w:abstractNum w:abstractNumId="785">
    <w:nsid w:val="495A99DC"/>
    <w:multiLevelType w:val="hybridMultilevel"/>
    <w:lvl w:ilvl="0">
      <w:lvlJc w:val="left"/>
      <w:lvlText w:val="%1."/>
      <w:numFmt w:val="decimal"/>
      <w:start w:val="25"/>
    </w:lvl>
  </w:abstractNum>
  <w:abstractNum w:abstractNumId="786">
    <w:nsid w:val="6C3DB3C4"/>
    <w:multiLevelType w:val="hybridMultilevel"/>
    <w:lvl w:ilvl="0">
      <w:lvlJc w:val="left"/>
      <w:lvlText w:val="%1."/>
      <w:numFmt w:val="decimal"/>
      <w:start w:val="27"/>
    </w:lvl>
  </w:abstractNum>
  <w:abstractNum w:abstractNumId="787">
    <w:nsid w:val="55EFC6"/>
    <w:multiLevelType w:val="hybridMultilevel"/>
    <w:lvl w:ilvl="0">
      <w:lvlJc w:val="left"/>
      <w:lvlText w:val="%1."/>
      <w:numFmt w:val="decimal"/>
      <w:start w:val="28"/>
    </w:lvl>
  </w:abstractNum>
  <w:abstractNum w:abstractNumId="788">
    <w:nsid w:val="57F93E98"/>
    <w:multiLevelType w:val="hybridMultilevel"/>
    <w:lvl w:ilvl="0">
      <w:lvlJc w:val="left"/>
      <w:lvlText w:val="%1."/>
      <w:numFmt w:val="decimal"/>
      <w:start w:val="29"/>
    </w:lvl>
  </w:abstractNum>
  <w:abstractNum w:abstractNumId="789">
    <w:nsid w:val="17BA092C"/>
    <w:multiLevelType w:val="hybridMultilevel"/>
    <w:lvl w:ilvl="0">
      <w:lvlJc w:val="left"/>
      <w:lvlText w:val="%1."/>
      <w:numFmt w:val="decimal"/>
      <w:start w:val="30"/>
    </w:lvl>
  </w:abstractNum>
  <w:abstractNum w:abstractNumId="790">
    <w:nsid w:val="46E70111"/>
    <w:multiLevelType w:val="hybridMultilevel"/>
    <w:lvl w:ilvl="0">
      <w:lvlJc w:val="left"/>
      <w:lvlText w:val="(%1)"/>
      <w:numFmt w:val="lowerLetter"/>
      <w:start w:val="1"/>
    </w:lvl>
    <w:lvl w:ilvl="1">
      <w:lvlJc w:val="left"/>
      <w:lvlText w:val="(%2)"/>
      <w:numFmt w:val="lowerRoman"/>
      <w:start w:val="1"/>
    </w:lvl>
  </w:abstractNum>
  <w:abstractNum w:abstractNumId="791">
    <w:nsid w:val="33A737F7"/>
    <w:multiLevelType w:val="hybridMultilevel"/>
    <w:lvl w:ilvl="0">
      <w:lvlJc w:val="left"/>
      <w:lvlText w:val="%1."/>
      <w:numFmt w:val="decimal"/>
      <w:start w:val="4"/>
    </w:lvl>
  </w:abstractNum>
  <w:abstractNum w:abstractNumId="792">
    <w:nsid w:val="E766383"/>
    <w:multiLevelType w:val="hybridMultilevel"/>
    <w:lvl w:ilvl="0">
      <w:lvlJc w:val="left"/>
      <w:lvlText w:val="%1"/>
      <w:numFmt w:val="decimal"/>
      <w:start w:val="1"/>
    </w:lvl>
    <w:lvl w:ilvl="1">
      <w:lvlJc w:val="left"/>
      <w:lvlText w:val="(%2)"/>
      <w:numFmt w:val="lowerLetter"/>
      <w:start w:val="1"/>
    </w:lvl>
  </w:abstractNum>
  <w:abstractNum w:abstractNumId="793">
    <w:nsid w:val="3344C4D6"/>
    <w:multiLevelType w:val="hybridMultilevel"/>
    <w:lvl w:ilvl="0">
      <w:lvlJc w:val="left"/>
      <w:lvlText w:val="%1."/>
      <w:numFmt w:val="decimal"/>
      <w:start w:val="5"/>
    </w:lvl>
    <w:lvl w:ilvl="1">
      <w:lvlJc w:val="left"/>
      <w:lvlText w:val="%2"/>
      <w:numFmt w:val="lowerLetter"/>
      <w:start w:val="1"/>
    </w:lvl>
  </w:abstractNum>
  <w:abstractNum w:abstractNumId="794">
    <w:nsid w:val="5E2C28EE"/>
    <w:multiLevelType w:val="hybridMultilevel"/>
    <w:lvl w:ilvl="0">
      <w:lvlJc w:val="left"/>
      <w:lvlText w:val="(%1)"/>
      <w:numFmt w:val="lowerLetter"/>
      <w:start w:val="1"/>
    </w:lvl>
  </w:abstractNum>
  <w:abstractNum w:abstractNumId="795">
    <w:nsid w:val="9AE133E"/>
    <w:multiLevelType w:val="hybridMultilevel"/>
    <w:lvl w:ilvl="0">
      <w:lvlJc w:val="left"/>
      <w:lvlText w:val="%1."/>
      <w:numFmt w:val="decimal"/>
      <w:start w:val="6"/>
    </w:lvl>
    <w:lvl w:ilvl="1">
      <w:lvlJc w:val="left"/>
      <w:lvlText w:val="(%2)"/>
      <w:numFmt w:val="lowerLetter"/>
      <w:start w:val="1"/>
    </w:lvl>
  </w:abstractNum>
  <w:abstractNum w:abstractNumId="796">
    <w:nsid w:val="247D7CEF"/>
    <w:multiLevelType w:val="hybridMultilevel"/>
    <w:lvl w:ilvl="0">
      <w:lvlJc w:val="left"/>
      <w:lvlText w:val="%1."/>
      <w:numFmt w:val="decimal"/>
      <w:start w:val="1"/>
    </w:lvl>
  </w:abstractNum>
  <w:abstractNum w:abstractNumId="797">
    <w:nsid w:val="43D60C21"/>
    <w:multiLevelType w:val="hybridMultilevel"/>
    <w:lvl w:ilvl="0">
      <w:lvlJc w:val="left"/>
      <w:lvlText w:val="%1."/>
      <w:numFmt w:val="decimal"/>
      <w:start w:val="2"/>
    </w:lvl>
  </w:abstractNum>
  <w:abstractNum w:abstractNumId="798">
    <w:nsid w:val="15DD687E"/>
    <w:multiLevelType w:val="hybridMultilevel"/>
    <w:lvl w:ilvl="0">
      <w:lvlJc w:val="left"/>
      <w:lvlText w:val="(%1)"/>
      <w:numFmt w:val="lowerLetter"/>
      <w:start w:val="2"/>
    </w:lvl>
    <w:lvl w:ilvl="1">
      <w:lvlJc w:val="left"/>
      <w:lvlText w:val="%2."/>
      <w:numFmt w:val="decimal"/>
      <w:start w:val="3"/>
    </w:lvl>
  </w:abstractNum>
  <w:abstractNum w:abstractNumId="799">
    <w:nsid w:val="CD5DB95"/>
    <w:multiLevelType w:val="hybridMultilevel"/>
    <w:lvl w:ilvl="0">
      <w:lvlJc w:val="left"/>
      <w:lvlText w:val="%1."/>
      <w:numFmt w:val="decimal"/>
      <w:start w:val="9"/>
    </w:lvl>
  </w:abstractNum>
  <w:abstractNum w:abstractNumId="800">
    <w:nsid w:val="35569F99"/>
    <w:multiLevelType w:val="hybridMultilevel"/>
    <w:lvl w:ilvl="0">
      <w:lvlJc w:val="left"/>
      <w:lvlText w:val="%1"/>
      <w:numFmt w:val="decimal"/>
      <w:start w:val="29"/>
    </w:lvl>
  </w:abstractNum>
  <w:abstractNum w:abstractNumId="801">
    <w:nsid w:val="73FBF336"/>
    <w:multiLevelType w:val="hybridMultilevel"/>
    <w:lvl w:ilvl="0">
      <w:lvlJc w:val="left"/>
      <w:lvlText w:val="ð"/>
      <w:numFmt w:val="bullet"/>
      <w:start w:val="1"/>
    </w:lvl>
  </w:abstractNum>
  <w:abstractNum w:abstractNumId="802">
    <w:nsid w:val="6BED4A53"/>
    <w:multiLevelType w:val="hybridMultilevel"/>
    <w:lvl w:ilvl="0">
      <w:lvlJc w:val="left"/>
      <w:lvlText w:val="%1."/>
      <w:numFmt w:val="lowerRoman"/>
      <w:start w:val="1"/>
    </w:lvl>
  </w:abstractNum>
  <w:abstractNum w:abstractNumId="803">
    <w:nsid w:val="127E6585"/>
    <w:multiLevelType w:val="hybridMultilevel"/>
    <w:lvl w:ilvl="0">
      <w:lvlJc w:val="left"/>
      <w:lvlText w:val="(%1)"/>
      <w:numFmt w:val="lowerLetter"/>
      <w:start w:val="1"/>
    </w:lvl>
  </w:abstractNum>
  <w:abstractNum w:abstractNumId="804">
    <w:nsid w:val="518AFBEE"/>
    <w:multiLevelType w:val="hybridMultilevel"/>
    <w:lvl w:ilvl="0">
      <w:lvlJc w:val="left"/>
      <w:lvlText w:val="(%1)"/>
      <w:numFmt w:val="lowerLetter"/>
      <w:start w:val="5"/>
    </w:lvl>
  </w:abstractNum>
  <w:abstractNum w:abstractNumId="805">
    <w:nsid w:val="3F754C7B"/>
    <w:multiLevelType w:val="hybridMultilevel"/>
    <w:lvl w:ilvl="0">
      <w:lvlJc w:val="left"/>
      <w:lvlText w:val="%1."/>
      <w:numFmt w:val="lowerRoman"/>
      <w:start w:val="1"/>
    </w:lvl>
    <w:lvl w:ilvl="1">
      <w:lvlJc w:val="left"/>
      <w:lvlText w:val="%2."/>
      <w:numFmt w:val="decimal"/>
      <w:start w:val="1"/>
    </w:lvl>
  </w:abstractNum>
  <w:abstractNum w:abstractNumId="806">
    <w:nsid w:val="610FA1D6"/>
    <w:multiLevelType w:val="hybridMultilevel"/>
    <w:lvl w:ilvl="0">
      <w:lvlJc w:val="left"/>
      <w:lvlText w:val="%1"/>
      <w:numFmt w:val="lowerRoman"/>
      <w:start w:val="1"/>
    </w:lvl>
    <w:lvl w:ilvl="1">
      <w:lvlJc w:val="left"/>
      <w:lvlText w:val="%2."/>
      <w:numFmt w:val="decimal"/>
      <w:start w:val="2"/>
    </w:lvl>
  </w:abstractNum>
  <w:abstractNum w:abstractNumId="807">
    <w:nsid w:val="5048B22C"/>
    <w:multiLevelType w:val="hybridMultilevel"/>
    <w:lvl w:ilvl="0">
      <w:lvlJc w:val="left"/>
      <w:lvlText w:val="%1."/>
      <w:numFmt w:val="lowerRoman"/>
      <w:start w:val="2"/>
    </w:lvl>
    <w:lvl w:ilvl="1">
      <w:lvlJc w:val="left"/>
      <w:lvlText w:val="%2"/>
      <w:numFmt w:val="decimal"/>
      <w:start w:val="1"/>
    </w:lvl>
  </w:abstractNum>
  <w:abstractNum w:abstractNumId="808">
    <w:nsid w:val="257273DB"/>
    <w:multiLevelType w:val="hybridMultilevel"/>
    <w:lvl w:ilvl="0">
      <w:lvlJc w:val="left"/>
      <w:lvlText w:val="%1."/>
      <w:numFmt w:val="decimal"/>
      <w:start w:val="1"/>
    </w:lvl>
  </w:abstractNum>
  <w:abstractNum w:abstractNumId="809">
    <w:nsid w:val="3B192CFD"/>
    <w:multiLevelType w:val="hybridMultilevel"/>
    <w:lvl w:ilvl="0">
      <w:lvlJc w:val="left"/>
      <w:lvlText w:val="%1."/>
      <w:numFmt w:val="decimal"/>
      <w:start w:val="2"/>
    </w:lvl>
  </w:abstractNum>
  <w:abstractNum w:abstractNumId="810">
    <w:nsid w:val="2707E622"/>
    <w:multiLevelType w:val="hybridMultilevel"/>
    <w:lvl w:ilvl="0">
      <w:lvlJc w:val="left"/>
      <w:lvlText w:val="%1."/>
      <w:numFmt w:val="lowerRoman"/>
      <w:start w:val="2"/>
    </w:lvl>
  </w:abstractNum>
  <w:abstractNum w:abstractNumId="811">
    <w:nsid w:val="11ACAB8C"/>
    <w:multiLevelType w:val="hybridMultilevel"/>
    <w:lvl w:ilvl="0">
      <w:lvlJc w:val="left"/>
      <w:lvlText w:val="%1."/>
      <w:numFmt w:val="lowerRoman"/>
      <w:start w:val="3"/>
    </w:lvl>
  </w:abstractNum>
  <w:abstractNum w:abstractNumId="812">
    <w:nsid w:val="2486D4C7"/>
    <w:multiLevelType w:val="hybridMultilevel"/>
    <w:lvl w:ilvl="0">
      <w:lvlJc w:val="left"/>
      <w:lvlText w:val="%1"/>
      <w:numFmt w:val="lowerRoman"/>
      <w:start w:val="1"/>
    </w:lvl>
    <w:lvl w:ilvl="1">
      <w:lvlJc w:val="left"/>
      <w:lvlText w:val="%2."/>
      <w:numFmt w:val="lowerRoman"/>
      <w:start w:val="1"/>
    </w:lvl>
  </w:abstractNum>
  <w:abstractNum w:abstractNumId="813">
    <w:nsid w:val="199792D3"/>
    <w:multiLevelType w:val="hybridMultilevel"/>
    <w:lvl w:ilvl="0">
      <w:lvlJc w:val="left"/>
      <w:lvlText w:val="(%1)"/>
      <w:numFmt w:val="lowerRoman"/>
      <w:start w:val="2"/>
    </w:lvl>
    <w:lvl w:ilvl="1">
      <w:lvlJc w:val="left"/>
      <w:lvlText w:val="%2."/>
      <w:numFmt w:val="lowerRoman"/>
      <w:start w:val="2"/>
    </w:lvl>
  </w:abstractNum>
  <w:abstractNum w:abstractNumId="814">
    <w:nsid w:val="20A658BB"/>
    <w:multiLevelType w:val="hybridMultilevel"/>
    <w:lvl w:ilvl="0">
      <w:lvlJc w:val="left"/>
      <w:lvlText w:val="%1."/>
      <w:numFmt w:val="lowerRoman"/>
      <w:start w:val="4"/>
    </w:lvl>
  </w:abstractNum>
  <w:abstractNum w:abstractNumId="815">
    <w:nsid w:val="49CC7C90"/>
    <w:multiLevelType w:val="hybridMultilevel"/>
    <w:lvl w:ilvl="0">
      <w:lvlJc w:val="left"/>
      <w:lvlText w:val="%1"/>
      <w:numFmt w:val="lowerRoman"/>
      <w:start w:val="1"/>
    </w:lvl>
    <w:lvl w:ilvl="1">
      <w:lvlJc w:val="left"/>
      <w:lvlText w:val="%2."/>
      <w:numFmt w:val="lowerRoman"/>
      <w:start w:val="1"/>
    </w:lvl>
  </w:abstractNum>
  <w:abstractNum w:abstractNumId="816">
    <w:nsid w:val="62F22CB0"/>
    <w:multiLevelType w:val="hybridMultilevel"/>
    <w:lvl w:ilvl="0">
      <w:lvlJc w:val="left"/>
      <w:lvlText w:val="(%1)"/>
      <w:numFmt w:val="lowerRoman"/>
      <w:start w:val="3"/>
    </w:lvl>
    <w:lvl w:ilvl="1">
      <w:lvlJc w:val="left"/>
      <w:lvlText w:val="%2"/>
      <w:numFmt w:val="lowerRoman"/>
      <w:start w:val="1"/>
    </w:lvl>
  </w:abstractNum>
  <w:abstractNum w:abstractNumId="817">
    <w:nsid w:val="CE40C80"/>
    <w:multiLevelType w:val="hybridMultilevel"/>
    <w:lvl w:ilvl="0">
      <w:lvlJc w:val="left"/>
      <w:lvlText w:val="%1."/>
      <w:numFmt w:val="lowerRoman"/>
      <w:start w:val="1"/>
    </w:lvl>
  </w:abstractNum>
  <w:abstractNum w:abstractNumId="818">
    <w:nsid w:val="4A226C56"/>
    <w:multiLevelType w:val="hybridMultilevel"/>
    <w:lvl w:ilvl="0">
      <w:lvlJc w:val="left"/>
      <w:lvlText w:val="%1."/>
      <w:numFmt w:val="lowerRoman"/>
      <w:start w:val="1"/>
    </w:lvl>
  </w:abstractNum>
  <w:abstractNum w:abstractNumId="819">
    <w:nsid w:val="3AEB6B48"/>
    <w:multiLevelType w:val="hybridMultilevel"/>
    <w:lvl w:ilvl="0">
      <w:lvlJc w:val="left"/>
      <w:lvlText w:val="%1."/>
      <w:numFmt w:val="lowerRoman"/>
      <w:start w:val="2"/>
    </w:lvl>
  </w:abstractNum>
  <w:abstractNum w:abstractNumId="820">
    <w:nsid w:val="249E15AC"/>
    <w:multiLevelType w:val="hybridMultilevel"/>
    <w:lvl w:ilvl="0">
      <w:lvlJc w:val="left"/>
      <w:lvlText w:val="%1."/>
      <w:numFmt w:val="lowerRoman"/>
      <w:start w:val="1"/>
    </w:lvl>
    <w:lvl w:ilvl="1">
      <w:lvlJc w:val="left"/>
      <w:lvlText w:val="%2."/>
      <w:numFmt w:val="decimal"/>
      <w:start w:val="1"/>
    </w:lvl>
  </w:abstractNum>
  <w:abstractNum w:abstractNumId="821">
    <w:nsid w:val="11096D68"/>
    <w:multiLevelType w:val="hybridMultilevel"/>
    <w:lvl w:ilvl="0">
      <w:lvlJc w:val="left"/>
      <w:lvlText w:val="%1."/>
      <w:numFmt w:val="decimal"/>
      <w:start w:val="2"/>
    </w:lvl>
  </w:abstractNum>
  <w:abstractNum w:abstractNumId="822">
    <w:nsid w:val="6E92A33F"/>
    <w:multiLevelType w:val="hybridMultilevel"/>
    <w:lvl w:ilvl="0">
      <w:lvlJc w:val="left"/>
      <w:lvlText w:val="%1"/>
      <w:numFmt w:val="lowerRoman"/>
      <w:start w:val="1"/>
    </w:lvl>
    <w:lvl w:ilvl="1">
      <w:lvlJc w:val="left"/>
      <w:lvlText w:val="%2."/>
      <w:numFmt w:val="decimal"/>
      <w:start w:val="3"/>
    </w:lvl>
  </w:abstractNum>
  <w:abstractNum w:abstractNumId="823">
    <w:nsid w:val="3314792F"/>
    <w:multiLevelType w:val="hybridMultilevel"/>
    <w:lvl w:ilvl="0">
      <w:lvlJc w:val="left"/>
      <w:lvlText w:val="%1."/>
      <w:numFmt w:val="lowerRoman"/>
      <w:start w:val="3"/>
    </w:lvl>
    <w:lvl w:ilvl="1">
      <w:lvlJc w:val="left"/>
      <w:lvlText w:val="%2"/>
      <w:numFmt w:val="decimal"/>
      <w:start w:val="1"/>
    </w:lvl>
  </w:abstractNum>
  <w:abstractNum w:abstractNumId="824">
    <w:nsid w:val="444E323E"/>
    <w:multiLevelType w:val="hybridMultilevel"/>
    <w:lvl w:ilvl="0">
      <w:lvlJc w:val="left"/>
      <w:lvlText w:val="%1."/>
      <w:numFmt w:val="lowerRoman"/>
      <w:start w:val="6"/>
    </w:lvl>
  </w:abstractNum>
  <w:abstractNum w:abstractNumId="825">
    <w:nsid w:val="4CBECC2D"/>
    <w:multiLevelType w:val="hybridMultilevel"/>
    <w:lvl w:ilvl="0">
      <w:lvlJc w:val="left"/>
      <w:lvlText w:val="%1."/>
      <w:numFmt w:val="lowerRoman"/>
      <w:start w:val="9"/>
    </w:lvl>
  </w:abstractNum>
  <w:abstractNum w:abstractNumId="826">
    <w:nsid w:val="3CC28C6E"/>
    <w:multiLevelType w:val="hybridMultilevel"/>
    <w:lvl w:ilvl="0">
      <w:lvlJc w:val="left"/>
      <w:lvlText w:val="%1"/>
      <w:numFmt w:val="lowerLetter"/>
      <w:start w:val="1"/>
    </w:lvl>
    <w:lvl w:ilvl="1">
      <w:lvlJc w:val="left"/>
      <w:lvlText w:val="%2."/>
      <w:numFmt w:val="lowerLetter"/>
      <w:start w:val="8"/>
    </w:lvl>
  </w:abstractNum>
  <w:abstractNum w:abstractNumId="827">
    <w:nsid w:val="68CBAF2D"/>
    <w:multiLevelType w:val="hybridMultilevel"/>
    <w:lvl w:ilvl="0">
      <w:lvlJc w:val="left"/>
      <w:lvlText w:val="(%1)"/>
      <w:numFmt w:val="lowerLetter"/>
      <w:start w:val="2"/>
    </w:lvl>
    <w:lvl w:ilvl="1">
      <w:lvlJc w:val="left"/>
      <w:lvlText w:val="%2"/>
      <w:numFmt w:val="lowerLetter"/>
      <w:start w:val="1"/>
    </w:lvl>
  </w:abstractNum>
  <w:abstractNum w:abstractNumId="828">
    <w:nsid w:val="1094D84E"/>
    <w:multiLevelType w:val="hybridMultilevel"/>
    <w:lvl w:ilvl="0">
      <w:lvlJc w:val="left"/>
      <w:lvlText w:val="%1."/>
      <w:numFmt w:val="lowerRoman"/>
      <w:start w:val="1"/>
    </w:lvl>
  </w:abstractNum>
  <w:abstractNum w:abstractNumId="829">
    <w:nsid w:val="529FF4EC"/>
    <w:multiLevelType w:val="hybridMultilevel"/>
    <w:lvl w:ilvl="0">
      <w:lvlJc w:val="left"/>
      <w:lvlText w:val="%1."/>
      <w:numFmt w:val="lowerRoman"/>
      <w:start w:val="1"/>
    </w:lvl>
  </w:abstractNum>
  <w:abstractNum w:abstractNumId="830">
    <w:nsid w:val="75A18AC2"/>
    <w:multiLevelType w:val="hybridMultilevel"/>
    <w:lvl w:ilvl="0">
      <w:lvlJc w:val="left"/>
      <w:lvlText w:val="%1."/>
      <w:numFmt w:val="lowerRoman"/>
      <w:start w:val="3"/>
    </w:lvl>
  </w:abstractNum>
  <w:abstractNum w:abstractNumId="831">
    <w:nsid w:val="45EB77E8"/>
    <w:multiLevelType w:val="hybridMultilevel"/>
    <w:lvl w:ilvl="0">
      <w:lvlJc w:val="left"/>
      <w:lvlText w:val="%1"/>
      <w:numFmt w:val="lowerRoman"/>
      <w:start w:val="1"/>
    </w:lvl>
    <w:lvl w:ilvl="1">
      <w:lvlJc w:val="left"/>
      <w:lvlText w:val="%2."/>
      <w:numFmt w:val="lowerRoman"/>
      <w:start w:val="1"/>
    </w:lvl>
  </w:abstractNum>
  <w:abstractNum w:abstractNumId="832">
    <w:nsid w:val="469BE822"/>
    <w:multiLevelType w:val="hybridMultilevel"/>
    <w:lvl w:ilvl="0">
      <w:lvlJc w:val="left"/>
      <w:lvlText w:val="(%1)"/>
      <w:numFmt w:val="lowerRoman"/>
      <w:start w:val="3"/>
    </w:lvl>
    <w:lvl w:ilvl="1">
      <w:lvlJc w:val="left"/>
      <w:lvlText w:val="%2"/>
      <w:numFmt w:val="lowerRoman"/>
      <w:start w:val="1"/>
    </w:lvl>
  </w:abstractNum>
  <w:abstractNum w:abstractNumId="833">
    <w:nsid w:val="618ED516"/>
    <w:multiLevelType w:val="hybridMultilevel"/>
    <w:lvl w:ilvl="0">
      <w:lvlJc w:val="left"/>
      <w:lvlText w:val="%1."/>
      <w:numFmt w:val="lowerRoman"/>
      <w:start w:val="1"/>
    </w:lvl>
    <w:lvl w:ilvl="1">
      <w:lvlJc w:val="left"/>
      <w:lvlText w:val="%2."/>
      <w:numFmt w:val="decimal"/>
      <w:start w:val="1"/>
    </w:lvl>
  </w:abstractNum>
  <w:abstractNum w:abstractNumId="834">
    <w:nsid w:val="5869DD6D"/>
    <w:multiLevelType w:val="hybridMultilevel"/>
    <w:lvl w:ilvl="0">
      <w:lvlJc w:val="left"/>
      <w:lvlText w:val="%1."/>
      <w:numFmt w:val="lowerRoman"/>
      <w:start w:val="1"/>
    </w:lvl>
  </w:abstractNum>
  <w:abstractNum w:abstractNumId="835">
    <w:nsid w:val="1826E411"/>
    <w:multiLevelType w:val="hybridMultilevel"/>
    <w:lvl w:ilvl="0">
      <w:lvlJc w:val="left"/>
      <w:lvlText w:val="%1."/>
      <w:numFmt w:val="lowerRoman"/>
      <w:start w:val="1"/>
    </w:lvl>
  </w:abstractNum>
  <w:abstractNum w:abstractNumId="836">
    <w:nsid w:val="21042191"/>
    <w:multiLevelType w:val="hybridMultilevel"/>
    <w:lvl w:ilvl="0">
      <w:lvlJc w:val="left"/>
      <w:lvlText w:val="%1."/>
      <w:numFmt w:val="lowerRoman"/>
      <w:start w:val="1"/>
    </w:lvl>
  </w:abstractNum>
  <w:abstractNum w:abstractNumId="837">
    <w:nsid w:val="39797F44"/>
    <w:multiLevelType w:val="hybridMultilevel"/>
    <w:lvl w:ilvl="0">
      <w:lvlJc w:val="left"/>
      <w:lvlText w:val="%1."/>
      <w:numFmt w:val="lowerRoman"/>
      <w:start w:val="1"/>
    </w:lvl>
  </w:abstractNum>
  <w:abstractNum w:abstractNumId="838">
    <w:nsid w:val="686F963D"/>
    <w:multiLevelType w:val="hybridMultilevel"/>
    <w:lvl w:ilvl="0">
      <w:lvlJc w:val="left"/>
      <w:lvlText w:val="%1."/>
      <w:numFmt w:val="lowerRoman"/>
      <w:start w:val="1"/>
    </w:lvl>
  </w:abstractNum>
  <w:abstractNum w:abstractNumId="839">
    <w:nsid w:val="4676956C"/>
    <w:multiLevelType w:val="hybridMultilevel"/>
    <w:lvl w:ilvl="0">
      <w:lvlJc w:val="left"/>
      <w:lvlText w:val="%1."/>
      <w:numFmt w:val="lowerRoman"/>
      <w:start w:val="2"/>
    </w:lvl>
  </w:abstractNum>
  <w:abstractNum w:abstractNumId="840">
    <w:nsid w:val="7492AC41"/>
    <w:multiLevelType w:val="hybridMultilevel"/>
    <w:lvl w:ilvl="0">
      <w:lvlJc w:val="left"/>
      <w:lvlText w:val="(%1)"/>
      <w:numFmt w:val="lowerLetter"/>
      <w:start w:val="4"/>
    </w:lvl>
    <w:lvl w:ilvl="1">
      <w:lvlJc w:val="left"/>
      <w:lvlText w:val="%2."/>
      <w:numFmt w:val="lowerLetter"/>
      <w:start w:val="11"/>
    </w:lvl>
  </w:abstractNum>
  <w:abstractNum w:abstractNumId="841">
    <w:nsid w:val="F777C5F"/>
    <w:multiLevelType w:val="hybridMultilevel"/>
    <w:lvl w:ilvl="0">
      <w:lvlJc w:val="left"/>
      <w:lvlText w:val="%1."/>
      <w:numFmt w:val="lowerRoman"/>
      <w:start w:val="1"/>
    </w:lvl>
  </w:abstractNum>
  <w:abstractNum w:abstractNumId="842">
    <w:nsid w:val="582340F8"/>
    <w:multiLevelType w:val="hybridMultilevel"/>
    <w:lvl w:ilvl="0">
      <w:lvlJc w:val="left"/>
      <w:lvlText w:val="%1."/>
      <w:numFmt w:val="lowerRoman"/>
      <w:start w:val="1"/>
    </w:lvl>
    <w:lvl w:ilvl="1">
      <w:lvlJc w:val="left"/>
      <w:lvlText w:val="%2."/>
      <w:numFmt w:val="decimal"/>
      <w:start w:val="1"/>
    </w:lvl>
  </w:abstractNum>
  <w:abstractNum w:abstractNumId="843">
    <w:nsid w:val="19198108"/>
    <w:multiLevelType w:val="hybridMultilevel"/>
    <w:lvl w:ilvl="0">
      <w:lvlJc w:val="left"/>
      <w:lvlText w:val="%1"/>
      <w:numFmt w:val="lowerLetter"/>
      <w:start w:val="1"/>
    </w:lvl>
    <w:lvl w:ilvl="1">
      <w:lvlJc w:val="left"/>
      <w:lvlText w:val="%2."/>
      <w:numFmt w:val="lowerRoman"/>
      <w:start w:val="1"/>
    </w:lvl>
  </w:abstractNum>
  <w:abstractNum w:abstractNumId="844">
    <w:nsid w:val="290F0F32"/>
    <w:multiLevelType w:val="hybridMultilevel"/>
    <w:lvl w:ilvl="0">
      <w:lvlJc w:val="left"/>
      <w:lvlText w:val="%1."/>
      <w:numFmt w:val="lowerLetter"/>
      <w:start w:val="15"/>
    </w:lvl>
    <w:lvl w:ilvl="1">
      <w:lvlJc w:val="left"/>
      <w:lvlText w:val="%2"/>
      <w:numFmt w:val="lowerRoman"/>
      <w:start w:val="1"/>
    </w:lvl>
  </w:abstractNum>
  <w:abstractNum w:abstractNumId="845">
    <w:nsid w:val="78C999B4"/>
    <w:multiLevelType w:val="hybridMultilevel"/>
    <w:lvl w:ilvl="0">
      <w:lvlJc w:val="left"/>
      <w:lvlText w:val="%1."/>
      <w:numFmt w:val="lowerRoman"/>
      <w:start w:val="1"/>
    </w:lvl>
  </w:abstractNum>
  <w:abstractNum w:abstractNumId="846">
    <w:nsid w:val="62E5FD99"/>
    <w:multiLevelType w:val="hybridMultilevel"/>
    <w:lvl w:ilvl="0">
      <w:lvlJc w:val="left"/>
      <w:lvlText w:val="%1."/>
      <w:numFmt w:val="lowerRoman"/>
      <w:start w:val="3"/>
    </w:lvl>
  </w:abstractNum>
  <w:abstractNum w:abstractNumId="847">
    <w:nsid w:val="C013BE2"/>
    <w:multiLevelType w:val="hybridMultilevel"/>
    <w:lvl w:ilvl="0">
      <w:lvlJc w:val="left"/>
      <w:lvlText w:val="%1."/>
      <w:numFmt w:val="lowerRoman"/>
      <w:start w:val="4"/>
    </w:lvl>
  </w:abstractNum>
  <w:abstractNum w:abstractNumId="848">
    <w:nsid w:val="5ADA634"/>
    <w:multiLevelType w:val="hybridMultilevel"/>
    <w:lvl w:ilvl="0">
      <w:lvlJc w:val="left"/>
      <w:lvlText w:val="%1."/>
      <w:numFmt w:val="lowerRoman"/>
      <w:start w:val="1"/>
    </w:lvl>
  </w:abstractNum>
  <w:abstractNum w:abstractNumId="849">
    <w:nsid w:val="2D0869EF"/>
    <w:multiLevelType w:val="hybridMultilevel"/>
    <w:lvl w:ilvl="0">
      <w:lvlJc w:val="left"/>
      <w:lvlText w:val="%1."/>
      <w:numFmt w:val="lowerRoman"/>
      <w:start w:val="1"/>
    </w:lvl>
  </w:abstractNum>
  <w:abstractNum w:abstractNumId="850">
    <w:nsid w:val="46ECA72A"/>
    <w:multiLevelType w:val="hybridMultilevel"/>
    <w:lvl w:ilvl="0">
      <w:lvlJc w:val="left"/>
      <w:lvlText w:val="%1"/>
      <w:numFmt w:val="upperLetter"/>
      <w:start w:val="1"/>
    </w:lvl>
    <w:lvl w:ilvl="1">
      <w:lvlJc w:val="left"/>
      <w:lvlText w:val="%2."/>
      <w:numFmt w:val="lowerRoman"/>
      <w:start w:val="1"/>
    </w:lvl>
  </w:abstractNum>
  <w:abstractNum w:abstractNumId="851">
    <w:nsid w:val="2A4BBBE0"/>
    <w:multiLevelType w:val="hybridMultilevel"/>
    <w:lvl w:ilvl="0">
      <w:lvlJc w:val="left"/>
      <w:lvlText w:val="(%1)"/>
      <w:numFmt w:val="upperLetter"/>
      <w:start w:val="1"/>
    </w:lvl>
    <w:lvl w:ilvl="1">
      <w:lvlJc w:val="left"/>
      <w:lvlText w:val="%2."/>
      <w:numFmt w:val="lowerRoman"/>
      <w:start w:val="2"/>
    </w:lvl>
  </w:abstractNum>
  <w:abstractNum w:abstractNumId="852">
    <w:nsid w:val="3E11D757"/>
    <w:multiLevelType w:val="hybridMultilevel"/>
    <w:lvl w:ilvl="0">
      <w:lvlJc w:val="left"/>
      <w:lvlText w:val="%1."/>
      <w:numFmt w:val="decimal"/>
      <w:start w:val="1"/>
    </w:lvl>
  </w:abstractNum>
  <w:abstractNum w:abstractNumId="853">
    <w:nsid w:val="357F4A69"/>
    <w:multiLevelType w:val="hybridMultilevel"/>
    <w:lvl w:ilvl="0">
      <w:lvlJc w:val="left"/>
      <w:lvlText w:val="%1."/>
      <w:numFmt w:val="decimal"/>
      <w:start w:val="3"/>
    </w:lvl>
  </w:abstractNum>
  <w:abstractNum w:abstractNumId="854">
    <w:nsid w:val="5D603510"/>
    <w:multiLevelType w:val="hybridMultilevel"/>
    <w:lvl w:ilvl="0">
      <w:lvlJc w:val="left"/>
      <w:lvlText w:val="%1)"/>
      <w:numFmt w:val="decimal"/>
      <w:start w:val="396"/>
    </w:lvl>
  </w:abstractNum>
  <w:abstractNum w:abstractNumId="855">
    <w:nsid w:val="2600995"/>
    <w:multiLevelType w:val="hybridMultilevel"/>
    <w:lvl w:ilvl="0">
      <w:lvlJc w:val="left"/>
      <w:lvlText w:val="(%1)"/>
      <w:numFmt w:val="lowerLetter"/>
      <w:start w:val="1"/>
    </w:lvl>
  </w:abstractNum>
  <w:abstractNum w:abstractNumId="856">
    <w:nsid w:val="23E1696"/>
    <w:multiLevelType w:val="hybridMultilevel"/>
    <w:lvl w:ilvl="0">
      <w:lvlJc w:val="left"/>
      <w:lvlText w:val="(%1)"/>
      <w:numFmt w:val="lowerLetter"/>
      <w:start w:val="1"/>
    </w:lvl>
  </w:abstractNum>
  <w:abstractNum w:abstractNumId="857">
    <w:nsid w:val="1A22C17E"/>
    <w:multiLevelType w:val="hybridMultilevel"/>
    <w:lvl w:ilvl="0">
      <w:lvlJc w:val="left"/>
      <w:lvlText w:val="(%1)"/>
      <w:numFmt w:val="lowerLetter"/>
      <w:start w:val="6"/>
    </w:lvl>
  </w:abstractNum>
  <w:abstractNum w:abstractNumId="858">
    <w:nsid w:val="6B2BB8C2"/>
    <w:multiLevelType w:val="hybridMultilevel"/>
    <w:lvl w:ilvl="0">
      <w:lvlJc w:val="left"/>
      <w:lvlText w:val="(%1)"/>
      <w:numFmt w:val="lowerLetter"/>
      <w:start w:val="1"/>
    </w:lvl>
    <w:lvl w:ilvl="1">
      <w:lvlJc w:val="left"/>
      <w:lvlText w:val="(%2)"/>
      <w:numFmt w:val="lowerRoman"/>
      <w:start w:val="1"/>
    </w:lvl>
  </w:abstractNum>
  <w:abstractNum w:abstractNumId="859">
    <w:nsid w:val="12D2EEE5"/>
    <w:multiLevelType w:val="hybridMultilevel"/>
    <w:lvl w:ilvl="0">
      <w:lvlJc w:val="left"/>
      <w:lvlText w:val="(%1)"/>
      <w:numFmt w:val="lowerRoman"/>
      <w:start w:val="1"/>
    </w:lvl>
  </w:abstractNum>
  <w:abstractNum w:abstractNumId="860">
    <w:nsid w:val="6CC2B66A"/>
    <w:multiLevelType w:val="hybridMultilevel"/>
    <w:lvl w:ilvl="0">
      <w:lvlJc w:val="left"/>
      <w:lvlText w:val="(%1)"/>
      <w:numFmt w:val="lowerRoman"/>
      <w:start w:val="2"/>
    </w:lvl>
  </w:abstractNum>
  <w:abstractNum w:abstractNumId="861">
    <w:nsid w:val="60CD4385"/>
    <w:multiLevelType w:val="hybridMultilevel"/>
    <w:lvl w:ilvl="0">
      <w:lvlJc w:val="left"/>
      <w:lvlText w:val="(%1)"/>
      <w:numFmt w:val="lowerLetter"/>
      <w:start w:val="2"/>
    </w:lvl>
  </w:abstractNum>
  <w:abstractNum w:abstractNumId="862">
    <w:nsid w:val="58BE66CD"/>
    <w:multiLevelType w:val="hybridMultilevel"/>
    <w:lvl w:ilvl="0">
      <w:lvlJc w:val="left"/>
      <w:lvlText w:val="(%1)"/>
      <w:numFmt w:val="lowerLetter"/>
      <w:start w:val="4"/>
    </w:lvl>
  </w:abstractNum>
  <w:abstractNum w:abstractNumId="863">
    <w:nsid w:val="335E9E8D"/>
    <w:multiLevelType w:val="hybridMultilevel"/>
    <w:lvl w:ilvl="0">
      <w:lvlJc w:val="left"/>
      <w:lvlText w:val="%1"/>
      <w:numFmt w:val="lowerLetter"/>
      <w:start w:val="1"/>
    </w:lvl>
    <w:lvl w:ilvl="1">
      <w:lvlJc w:val="left"/>
      <w:lvlText w:val="(%2)"/>
      <w:numFmt w:val="lowerLetter"/>
      <w:start w:val="1"/>
    </w:lvl>
  </w:abstractNum>
  <w:abstractNum w:abstractNumId="864">
    <w:nsid w:val="425C189B"/>
    <w:multiLevelType w:val="hybridMultilevel"/>
    <w:lvl w:ilvl="0">
      <w:lvlJc w:val="left"/>
      <w:lvlText w:val="(%1)"/>
      <w:numFmt w:val="lowerLetter"/>
      <w:start w:val="35"/>
    </w:lvl>
    <w:lvl w:ilvl="1">
      <w:lvlJc w:val="left"/>
      <w:lvlText w:val="(%2)"/>
      <w:numFmt w:val="lowerLetter"/>
      <w:start w:val="2"/>
    </w:lvl>
  </w:abstractNum>
  <w:abstractNum w:abstractNumId="865">
    <w:nsid w:val="3128443A"/>
    <w:multiLevelType w:val="hybridMultilevel"/>
    <w:lvl w:ilvl="0">
      <w:lvlJc w:val="left"/>
      <w:lvlText w:val="(%1)"/>
      <w:numFmt w:val="lowerLetter"/>
      <w:start w:val="3"/>
    </w:lvl>
  </w:abstractNum>
  <w:abstractNum w:abstractNumId="866">
    <w:nsid w:val="4B85829E"/>
    <w:multiLevelType w:val="hybridMultilevel"/>
    <w:lvl w:ilvl="0">
      <w:lvlJc w:val="left"/>
      <w:lvlText w:val="(%1)"/>
      <w:numFmt w:val="lowerLetter"/>
      <w:start w:val="1"/>
    </w:lvl>
  </w:abstractNum>
  <w:abstractNum w:abstractNumId="867">
    <w:nsid w:val="63603A2C"/>
    <w:multiLevelType w:val="hybridMultilevel"/>
    <w:lvl w:ilvl="0">
      <w:lvlJc w:val="left"/>
      <w:lvlText w:val="(%1)"/>
      <w:numFmt w:val="lowerLetter"/>
      <w:start w:val="1"/>
    </w:lvl>
  </w:abstractNum>
  <w:abstractNum w:abstractNumId="868">
    <w:nsid w:val="6AA1C37E"/>
    <w:multiLevelType w:val="hybridMultilevel"/>
    <w:lvl w:ilvl="0">
      <w:lvlJc w:val="left"/>
      <w:lvlText w:val="(%1)"/>
      <w:numFmt w:val="lowerLetter"/>
      <w:start w:val="2"/>
    </w:lvl>
  </w:abstractNum>
  <w:abstractNum w:abstractNumId="869">
    <w:nsid w:val="33F518DB"/>
    <w:multiLevelType w:val="hybridMultilevel"/>
    <w:lvl w:ilvl="0">
      <w:lvlJc w:val="left"/>
      <w:lvlText w:val="(%1)"/>
      <w:numFmt w:val="lowerLetter"/>
      <w:start w:val="1"/>
    </w:lvl>
  </w:abstractNum>
  <w:abstractNum w:abstractNumId="870">
    <w:nsid w:val="29D6CF99"/>
    <w:multiLevelType w:val="hybridMultilevel"/>
    <w:lvl w:ilvl="0">
      <w:lvlJc w:val="left"/>
      <w:lvlText w:val="(%1)"/>
      <w:numFmt w:val="lowerLetter"/>
      <w:start w:val="2"/>
    </w:lvl>
  </w:abstractNum>
  <w:abstractNum w:abstractNumId="871">
    <w:nsid w:val="5F346FC0"/>
    <w:multiLevelType w:val="hybridMultilevel"/>
    <w:lvl w:ilvl="0">
      <w:lvlJc w:val="left"/>
      <w:lvlText w:val="(%1)"/>
      <w:numFmt w:val="lowerLetter"/>
      <w:start w:val="1"/>
    </w:lvl>
    <w:lvl w:ilvl="1">
      <w:lvlJc w:val="left"/>
      <w:lvlText w:val="(%2)"/>
      <w:numFmt w:val="lowerLetter"/>
      <w:start w:val="9"/>
    </w:lvl>
  </w:abstractNum>
  <w:abstractNum w:abstractNumId="872">
    <w:nsid w:val="436C953A"/>
    <w:multiLevelType w:val="hybridMultilevel"/>
    <w:lvl w:ilvl="0">
      <w:lvlJc w:val="left"/>
      <w:lvlText w:val="(%1)"/>
      <w:numFmt w:val="lowerRoman"/>
      <w:start w:val="2"/>
    </w:lvl>
  </w:abstractNum>
  <w:abstractNum w:abstractNumId="873">
    <w:nsid w:val="1FA1091"/>
    <w:multiLevelType w:val="hybridMultilevel"/>
    <w:lvl w:ilvl="0">
      <w:lvlJc w:val="left"/>
      <w:lvlText w:val="%1"/>
      <w:numFmt w:val="lowerLetter"/>
      <w:start w:val="1"/>
    </w:lvl>
    <w:lvl w:ilvl="1">
      <w:lvlJc w:val="left"/>
      <w:lvlText w:val="(%2)"/>
      <w:numFmt w:val="lowerLetter"/>
      <w:start w:val="61"/>
    </w:lvl>
  </w:abstractNum>
  <w:abstractNum w:abstractNumId="874">
    <w:nsid w:val="784DF0C8"/>
    <w:multiLevelType w:val="hybridMultilevel"/>
    <w:lvl w:ilvl="0">
      <w:lvlJc w:val="left"/>
      <w:lvlText w:val="(%1)"/>
      <w:numFmt w:val="lowerLetter"/>
      <w:start w:val="3"/>
    </w:lvl>
    <w:lvl w:ilvl="1">
      <w:lvlJc w:val="left"/>
      <w:lvlText w:val="%2"/>
      <w:numFmt w:val="lowerLetter"/>
      <w:start w:val="1"/>
    </w:lvl>
  </w:abstractNum>
  <w:abstractNum w:abstractNumId="875">
    <w:nsid w:val="6C7BA46C"/>
    <w:multiLevelType w:val="hybridMultilevel"/>
    <w:lvl w:ilvl="0">
      <w:lvlJc w:val="left"/>
      <w:lvlText w:val="(%1)"/>
      <w:numFmt w:val="lowerLetter"/>
      <w:start w:val="5"/>
    </w:lvl>
  </w:abstractNum>
  <w:abstractNum w:abstractNumId="876">
    <w:nsid w:val="7AC3AA45"/>
    <w:multiLevelType w:val="hybridMultilevel"/>
    <w:lvl w:ilvl="0">
      <w:lvlJc w:val="left"/>
      <w:lvlText w:val="(%1)"/>
      <w:numFmt w:val="lowerLetter"/>
      <w:start w:val="6"/>
    </w:lvl>
  </w:abstractNum>
  <w:abstractNum w:abstractNumId="877">
    <w:nsid w:val="5B33EE61"/>
    <w:multiLevelType w:val="hybridMultilevel"/>
    <w:lvl w:ilvl="0">
      <w:lvlJc w:val="left"/>
      <w:lvlText w:val="(%1)"/>
      <w:numFmt w:val="lowerLetter"/>
      <w:start w:val="8"/>
    </w:lvl>
  </w:abstractNum>
  <w:abstractNum w:abstractNumId="878">
    <w:nsid w:val="787CE04F"/>
    <w:multiLevelType w:val="hybridMultilevel"/>
    <w:lvl w:ilvl="0">
      <w:lvlJc w:val="left"/>
      <w:lvlText w:val="(%1)"/>
      <w:numFmt w:val="lowerRoman"/>
      <w:start w:val="1"/>
    </w:lvl>
  </w:abstractNum>
  <w:abstractNum w:abstractNumId="879">
    <w:nsid w:val="715079"/>
    <w:multiLevelType w:val="hybridMultilevel"/>
    <w:lvl w:ilvl="0">
      <w:lvlJc w:val="left"/>
      <w:lvlText w:val="(%1)"/>
      <w:numFmt w:val="lowerLetter"/>
      <w:start w:val="2"/>
    </w:lvl>
  </w:abstractNum>
  <w:abstractNum w:abstractNumId="880">
    <w:nsid w:val="83C5851"/>
    <w:multiLevelType w:val="hybridMultilevel"/>
    <w:lvl w:ilvl="0">
      <w:lvlJc w:val="left"/>
      <w:lvlText w:val="(%1)"/>
      <w:numFmt w:val="lowerLetter"/>
      <w:start w:val="1"/>
    </w:lvl>
  </w:abstractNum>
  <w:abstractNum w:abstractNumId="881">
    <w:nsid w:val="3F698779"/>
    <w:multiLevelType w:val="hybridMultilevel"/>
    <w:lvl w:ilvl="0">
      <w:lvlJc w:val="left"/>
      <w:lvlText w:val="(%1)"/>
      <w:numFmt w:val="lowerLetter"/>
      <w:start w:val="4"/>
    </w:lvl>
  </w:abstractNum>
  <w:abstractNum w:abstractNumId="882">
    <w:nsid w:val="2ABD0C5A"/>
    <w:multiLevelType w:val="hybridMultilevel"/>
    <w:lvl w:ilvl="0">
      <w:lvlJc w:val="left"/>
      <w:lvlText w:val="(%1)"/>
      <w:numFmt w:val="lowerLetter"/>
      <w:start w:val="1"/>
    </w:lvl>
  </w:abstractNum>
  <w:abstractNum w:abstractNumId="883">
    <w:nsid w:val="464E2FA8"/>
    <w:multiLevelType w:val="hybridMultilevel"/>
    <w:lvl w:ilvl="0">
      <w:lvlJc w:val="left"/>
      <w:lvlText w:val="(%1)"/>
      <w:numFmt w:val="lowerLetter"/>
      <w:start w:val="4"/>
    </w:lvl>
  </w:abstractNum>
  <w:abstractNum w:abstractNumId="884">
    <w:nsid w:val="74E8D1E3"/>
    <w:multiLevelType w:val="hybridMultilevel"/>
    <w:lvl w:ilvl="0">
      <w:lvlJc w:val="left"/>
      <w:lvlText w:val="(%1)"/>
      <w:numFmt w:val="lowerLetter"/>
      <w:start w:val="1"/>
    </w:lvl>
  </w:abstractNum>
  <w:abstractNum w:abstractNumId="885">
    <w:nsid w:val="81D416A"/>
    <w:multiLevelType w:val="hybridMultilevel"/>
    <w:lvl w:ilvl="0">
      <w:lvlJc w:val="left"/>
      <w:lvlText w:val="(%1)"/>
      <w:numFmt w:val="lowerLetter"/>
      <w:start w:val="3"/>
    </w:lvl>
  </w:abstractNum>
  <w:abstractNum w:abstractNumId="886">
    <w:nsid w:val="48AE393E"/>
    <w:multiLevelType w:val="hybridMultilevel"/>
    <w:lvl w:ilvl="0">
      <w:lvlJc w:val="left"/>
      <w:lvlText w:val="(%1)"/>
      <w:numFmt w:val="lowerLetter"/>
      <w:start w:val="1"/>
    </w:lvl>
    <w:lvl w:ilvl="1">
      <w:lvlJc w:val="left"/>
      <w:lvlText w:val="(%2)"/>
      <w:numFmt w:val="lowerRoman"/>
      <w:start w:val="1"/>
    </w:lvl>
  </w:abstractNum>
  <w:abstractNum w:abstractNumId="887">
    <w:nsid w:val="7726E879"/>
    <w:multiLevelType w:val="hybridMultilevel"/>
    <w:lvl w:ilvl="0">
      <w:lvlJc w:val="left"/>
      <w:lvlText w:val="(%1)"/>
      <w:numFmt w:val="lowerLetter"/>
      <w:start w:val="2"/>
    </w:lvl>
  </w:abstractNum>
  <w:abstractNum w:abstractNumId="888">
    <w:nsid w:val="224002E8"/>
    <w:multiLevelType w:val="hybridMultilevel"/>
    <w:lvl w:ilvl="0">
      <w:lvlJc w:val="left"/>
      <w:lvlText w:val="(%1)"/>
      <w:numFmt w:val="lowerLetter"/>
      <w:start w:val="1"/>
    </w:lvl>
  </w:abstractNum>
  <w:abstractNum w:abstractNumId="889">
    <w:nsid w:val="33D9F200"/>
    <w:multiLevelType w:val="hybridMultilevel"/>
    <w:lvl w:ilvl="0">
      <w:lvlJc w:val="left"/>
      <w:lvlText w:val="(%1)"/>
      <w:numFmt w:val="lowerLetter"/>
      <w:start w:val="1"/>
    </w:lvl>
  </w:abstractNum>
  <w:abstractNum w:abstractNumId="890">
    <w:nsid w:val="9F9D75E"/>
    <w:multiLevelType w:val="hybridMultilevel"/>
    <w:lvl w:ilvl="0">
      <w:lvlJc w:val="left"/>
      <w:lvlText w:val="(%1)"/>
      <w:numFmt w:val="lowerLetter"/>
      <w:start w:val="1"/>
    </w:lvl>
  </w:abstractNum>
  <w:abstractNum w:abstractNumId="891">
    <w:nsid w:val="F02B952"/>
    <w:multiLevelType w:val="hybridMultilevel"/>
    <w:lvl w:ilvl="0">
      <w:lvlJc w:val="left"/>
      <w:lvlText w:val="(%1)"/>
      <w:numFmt w:val="lowerLetter"/>
      <w:start w:val="1"/>
    </w:lvl>
  </w:abstractNum>
  <w:abstractNum w:abstractNumId="892">
    <w:nsid w:val="14A73585"/>
    <w:multiLevelType w:val="hybridMultilevel"/>
    <w:lvl w:ilvl="0">
      <w:lvlJc w:val="left"/>
      <w:lvlText w:val="(%1)"/>
      <w:numFmt w:val="lowerLetter"/>
      <w:start w:val="2"/>
    </w:lvl>
  </w:abstractNum>
  <w:abstractNum w:abstractNumId="893">
    <w:nsid w:val="62B83E2B"/>
    <w:multiLevelType w:val="hybridMultilevel"/>
    <w:lvl w:ilvl="0">
      <w:lvlJc w:val="left"/>
      <w:lvlText w:val="(%1)"/>
      <w:numFmt w:val="lowerLetter"/>
      <w:start w:val="1"/>
    </w:lvl>
  </w:abstractNum>
  <w:abstractNum w:abstractNumId="894">
    <w:nsid w:val="426157DF"/>
    <w:multiLevelType w:val="hybridMultilevel"/>
    <w:lvl w:ilvl="0">
      <w:lvlJc w:val="left"/>
      <w:lvlText w:val="(%1)"/>
      <w:numFmt w:val="lowerLetter"/>
      <w:start w:val="2"/>
    </w:lvl>
  </w:abstractNum>
  <w:abstractNum w:abstractNumId="895">
    <w:nsid w:val="57034E20"/>
    <w:multiLevelType w:val="hybridMultilevel"/>
    <w:lvl w:ilvl="0">
      <w:lvlJc w:val="left"/>
      <w:lvlText w:val="(%1)"/>
      <w:numFmt w:val="lowerLetter"/>
      <w:start w:val="1"/>
    </w:lvl>
  </w:abstractNum>
  <w:abstractNum w:abstractNumId="896">
    <w:nsid w:val="13E08266"/>
    <w:multiLevelType w:val="hybridMultilevel"/>
    <w:lvl w:ilvl="0">
      <w:lvlJc w:val="left"/>
      <w:lvlText w:val="(%1)"/>
      <w:numFmt w:val="lowerLetter"/>
      <w:start w:val="1"/>
    </w:lvl>
    <w:lvl w:ilvl="1">
      <w:lvlJc w:val="left"/>
      <w:lvlText w:val="(%2)"/>
      <w:numFmt w:val="lowerRoman"/>
      <w:start w:val="1"/>
    </w:lvl>
  </w:abstractNum>
  <w:abstractNum w:abstractNumId="897">
    <w:nsid w:val="DE6DA7D"/>
    <w:multiLevelType w:val="hybridMultilevel"/>
    <w:lvl w:ilvl="0">
      <w:lvlJc w:val="left"/>
      <w:lvlText w:val="(%1)"/>
      <w:numFmt w:val="lowerRoman"/>
      <w:start w:val="2"/>
    </w:lvl>
  </w:abstractNum>
  <w:abstractNum w:abstractNumId="898">
    <w:nsid w:val="3A63884D"/>
    <w:multiLevelType w:val="hybridMultilevel"/>
    <w:lvl w:ilvl="0">
      <w:lvlJc w:val="left"/>
      <w:lvlText w:val="(%1)"/>
      <w:numFmt w:val="lowerLetter"/>
      <w:start w:val="1"/>
    </w:lvl>
  </w:abstractNum>
  <w:abstractNum w:abstractNumId="899">
    <w:nsid w:val="7E8245E4"/>
    <w:multiLevelType w:val="hybridMultilevel"/>
    <w:lvl w:ilvl="0">
      <w:lvlJc w:val="left"/>
      <w:lvlText w:val="(%1)"/>
      <w:numFmt w:val="lowerLetter"/>
      <w:start w:val="1"/>
    </w:lvl>
  </w:abstractNum>
  <w:abstractNum w:abstractNumId="900">
    <w:nsid w:val="41DBF358"/>
    <w:multiLevelType w:val="hybridMultilevel"/>
    <w:lvl w:ilvl="0">
      <w:lvlJc w:val="left"/>
      <w:lvlText w:val="(%1)"/>
      <w:numFmt w:val="lowerLetter"/>
      <w:start w:val="2"/>
    </w:lvl>
  </w:abstractNum>
  <w:abstractNum w:abstractNumId="901">
    <w:nsid w:val="643A57E6"/>
    <w:multiLevelType w:val="hybridMultilevel"/>
    <w:lvl w:ilvl="0">
      <w:lvlJc w:val="left"/>
      <w:lvlText w:val="(%1)"/>
      <w:numFmt w:val="lowerLetter"/>
      <w:start w:val="3"/>
    </w:lvl>
  </w:abstractNum>
  <w:abstractNum w:abstractNumId="902">
    <w:nsid w:val="5DB6B5A4"/>
    <w:multiLevelType w:val="hybridMultilevel"/>
    <w:lvl w:ilvl="0">
      <w:lvlJc w:val="left"/>
      <w:lvlText w:val="(%1)"/>
      <w:numFmt w:val="lowerLetter"/>
      <w:start w:val="4"/>
    </w:lvl>
  </w:abstractNum>
  <w:abstractNum w:abstractNumId="903">
    <w:nsid w:val="5488892"/>
    <w:multiLevelType w:val="hybridMultilevel"/>
    <w:lvl w:ilvl="0">
      <w:lvlJc w:val="left"/>
      <w:lvlText w:val="(%1)"/>
      <w:numFmt w:val="lowerLetter"/>
      <w:start w:val="1"/>
    </w:lvl>
  </w:abstractNum>
  <w:abstractNum w:abstractNumId="904">
    <w:nsid w:val="66346877"/>
    <w:multiLevelType w:val="hybridMultilevel"/>
    <w:lvl w:ilvl="0">
      <w:lvlJc w:val="left"/>
      <w:lvlText w:val="(%1)"/>
      <w:numFmt w:val="lowerLetter"/>
      <w:start w:val="1"/>
    </w:lvl>
  </w:abstractNum>
  <w:abstractNum w:abstractNumId="905">
    <w:nsid w:val="5604A66D"/>
    <w:multiLevelType w:val="hybridMultilevel"/>
    <w:lvl w:ilvl="0">
      <w:lvlJc w:val="left"/>
      <w:lvlText w:val="(%1)"/>
      <w:numFmt w:val="lowerLetter"/>
      <w:start w:val="4"/>
    </w:lvl>
  </w:abstractNum>
  <w:abstractNum w:abstractNumId="906">
    <w:nsid w:val="71C42CFF"/>
    <w:multiLevelType w:val="hybridMultilevel"/>
    <w:lvl w:ilvl="0">
      <w:lvlJc w:val="left"/>
      <w:lvlText w:val="%1"/>
      <w:numFmt w:val="upperLetter"/>
      <w:start w:val="1"/>
    </w:lvl>
    <w:lvl w:ilvl="1">
      <w:lvlJc w:val="left"/>
      <w:lvlText w:val="(%2)"/>
      <w:numFmt w:val="lowerLetter"/>
      <w:start w:val="1"/>
    </w:lvl>
  </w:abstractNum>
  <w:abstractNum w:abstractNumId="907">
    <w:nsid w:val="60F812BD"/>
    <w:multiLevelType w:val="hybridMultilevel"/>
    <w:lvl w:ilvl="0">
      <w:lvlJc w:val="left"/>
      <w:lvlText w:val="(%1)"/>
      <w:numFmt w:val="upperLetter"/>
      <w:start w:val="1"/>
    </w:lvl>
    <w:lvl w:ilvl="1">
      <w:lvlJc w:val="left"/>
      <w:lvlText w:val="%2"/>
      <w:numFmt w:val="lowerLetter"/>
      <w:start w:val="1"/>
    </w:lvl>
  </w:abstractNum>
  <w:abstractNum w:abstractNumId="908">
    <w:nsid w:val="313894CE"/>
    <w:multiLevelType w:val="hybridMultilevel"/>
    <w:lvl w:ilvl="0">
      <w:lvlJc w:val="left"/>
      <w:lvlText w:val="%1"/>
      <w:numFmt w:val="lowerLetter"/>
      <w:start w:val="1"/>
    </w:lvl>
    <w:lvl w:ilvl="1">
      <w:lvlJc w:val="left"/>
      <w:lvlText w:val="(%2)"/>
      <w:numFmt w:val="lowerLetter"/>
      <w:start w:val="2"/>
    </w:lvl>
  </w:abstractNum>
  <w:abstractNum w:abstractNumId="909">
    <w:nsid w:val="6A410D4E"/>
    <w:multiLevelType w:val="hybridMultilevel"/>
    <w:lvl w:ilvl="0">
      <w:lvlJc w:val="left"/>
      <w:lvlText w:val="(%1)"/>
      <w:numFmt w:val="lowerLetter"/>
      <w:start w:val="9"/>
    </w:lvl>
    <w:lvl w:ilvl="1">
      <w:lvlJc w:val="left"/>
      <w:lvlText w:val="(%2)"/>
      <w:numFmt w:val="lowerLetter"/>
      <w:start w:val="3"/>
    </w:lvl>
  </w:abstractNum>
  <w:abstractNum w:abstractNumId="910">
    <w:nsid w:val="61696336"/>
    <w:multiLevelType w:val="hybridMultilevel"/>
    <w:lvl w:ilvl="0">
      <w:lvlJc w:val="left"/>
      <w:lvlText w:val="(%1)"/>
      <w:numFmt w:val="lowerLetter"/>
      <w:start w:val="6"/>
    </w:lvl>
  </w:abstractNum>
  <w:abstractNum w:abstractNumId="911">
    <w:nsid w:val="3974ED1F"/>
    <w:multiLevelType w:val="hybridMultilevel"/>
    <w:lvl w:ilvl="0">
      <w:lvlJc w:val="left"/>
      <w:lvlText w:val="%1."/>
      <w:numFmt w:val="decimal"/>
      <w:start w:val="1"/>
    </w:lvl>
  </w:abstractNum>
  <w:abstractNum w:abstractNumId="912">
    <w:nsid w:val="29AA94C7"/>
    <w:multiLevelType w:val="hybridMultilevel"/>
    <w:lvl w:ilvl="0">
      <w:lvlJc w:val="left"/>
      <w:lvlText w:val="%1."/>
      <w:numFmt w:val="decimal"/>
      <w:start w:val="3"/>
    </w:lvl>
  </w:abstractNum>
  <w:abstractNum w:abstractNumId="913">
    <w:nsid w:val="C266F90"/>
    <w:multiLevelType w:val="hybridMultilevel"/>
    <w:lvl w:ilvl="0">
      <w:lvlJc w:val="left"/>
      <w:lvlText w:val="%1."/>
      <w:numFmt w:val="decimal"/>
      <w:start w:val="4"/>
    </w:lvl>
  </w:abstractNum>
  <w:abstractNum w:abstractNumId="914">
    <w:nsid w:val="7FC31CC8"/>
    <w:multiLevelType w:val="hybridMultilevel"/>
    <w:lvl w:ilvl="0">
      <w:lvlJc w:val="left"/>
      <w:lvlText w:val="%1)"/>
      <w:numFmt w:val="decimal"/>
      <w:start w:val="396"/>
    </w:lvl>
  </w:abstractNum>
  <w:abstractNum w:abstractNumId="915">
    <w:nsid w:val="1E9366AA"/>
    <w:multiLevelType w:val="hybridMultilevel"/>
    <w:lvl w:ilvl="0">
      <w:lvlJc w:val="left"/>
      <w:lvlText w:val="(%1)"/>
      <w:numFmt w:val="lowerRoman"/>
      <w:start w:val="2"/>
    </w:lvl>
  </w:abstractNum>
  <w:abstractNum w:abstractNumId="916">
    <w:nsid w:val="1443B0FA"/>
    <w:multiLevelType w:val="hybridMultilevel"/>
    <w:lvl w:ilvl="0">
      <w:lvlJc w:val="left"/>
      <w:lvlText w:val="(%1)"/>
      <w:numFmt w:val="lowerRoman"/>
      <w:start w:val="1"/>
    </w:lvl>
  </w:abstractNum>
  <w:abstractNum w:abstractNumId="917">
    <w:nsid w:val="48715606"/>
    <w:multiLevelType w:val="hybridMultilevel"/>
    <w:lvl w:ilvl="0">
      <w:lvlJc w:val="left"/>
      <w:lvlText w:val="(%1)"/>
      <w:numFmt w:val="lowerRoman"/>
      <w:start w:val="1"/>
    </w:lvl>
  </w:abstractNum>
  <w:abstractNum w:abstractNumId="918">
    <w:nsid w:val="15BA4F24"/>
    <w:multiLevelType w:val="hybridMultilevel"/>
    <w:lvl w:ilvl="0">
      <w:lvlJc w:val="left"/>
      <w:lvlText w:val="(%1)"/>
      <w:numFmt w:val="lowerRoman"/>
      <w:start w:val="1"/>
    </w:lvl>
  </w:abstractNum>
  <w:abstractNum w:abstractNumId="919">
    <w:nsid w:val="3683B3E2"/>
    <w:multiLevelType w:val="hybridMultilevel"/>
    <w:lvl w:ilvl="0">
      <w:lvlJc w:val="left"/>
      <w:lvlText w:val="(%1)"/>
      <w:numFmt w:val="lowerRoman"/>
      <w:start w:val="5"/>
    </w:lvl>
  </w:abstractNum>
  <w:abstractNum w:abstractNumId="920">
    <w:nsid w:val="7C4B4806"/>
    <w:multiLevelType w:val="hybridMultilevel"/>
    <w:lvl w:ilvl="0">
      <w:lvlJc w:val="left"/>
      <w:lvlText w:val="(%1)"/>
      <w:numFmt w:val="lowerRoman"/>
      <w:start w:val="1"/>
    </w:lvl>
  </w:abstractNum>
  <w:abstractNum w:abstractNumId="921">
    <w:nsid w:val="1FB42682"/>
    <w:multiLevelType w:val="hybridMultilevel"/>
    <w:lvl w:ilvl="0">
      <w:lvlJc w:val="left"/>
      <w:lvlText w:val="(%1)"/>
      <w:numFmt w:val="lowerRoman"/>
      <w:start w:val="1"/>
    </w:lvl>
    <w:lvl w:ilvl="1">
      <w:lvlJc w:val="left"/>
      <w:lvlText w:val="(%2)"/>
      <w:numFmt w:val="upperLetter"/>
      <w:start w:val="1"/>
    </w:lvl>
  </w:abstractNum>
  <w:abstractNum w:abstractNumId="922">
    <w:nsid w:val="45866D35"/>
    <w:multiLevelType w:val="hybridMultilevel"/>
    <w:lvl w:ilvl="0">
      <w:lvlJc w:val="left"/>
      <w:lvlText w:val="(%1)"/>
      <w:numFmt w:val="upperLetter"/>
      <w:start w:val="2"/>
    </w:lvl>
  </w:abstractNum>
  <w:abstractNum w:abstractNumId="923">
    <w:nsid w:val="10F27D8C"/>
    <w:multiLevelType w:val="hybridMultilevel"/>
    <w:lvl w:ilvl="0">
      <w:lvlJc w:val="left"/>
      <w:lvlText w:val="(%1)"/>
      <w:numFmt w:val="lowerRoman"/>
      <w:start w:val="1"/>
    </w:lvl>
  </w:abstractNum>
  <w:abstractNum w:abstractNumId="924">
    <w:nsid w:val="26C64AE"/>
    <w:multiLevelType w:val="hybridMultilevel"/>
    <w:lvl w:ilvl="0">
      <w:lvlJc w:val="left"/>
      <w:lvlText w:val="(%1)"/>
      <w:numFmt w:val="lowerRoman"/>
      <w:start w:val="4"/>
    </w:lvl>
  </w:abstractNum>
  <w:abstractNum w:abstractNumId="925">
    <w:nsid w:val="7E7C514"/>
    <w:multiLevelType w:val="hybridMultilevel"/>
    <w:lvl w:ilvl="0">
      <w:lvlJc w:val="left"/>
      <w:lvlText w:val="(%1)"/>
      <w:numFmt w:val="lowerRoman"/>
      <w:start w:val="8"/>
    </w:lvl>
  </w:abstractNum>
  <w:abstractNum w:abstractNumId="926">
    <w:nsid w:val="67F5CBAC"/>
    <w:multiLevelType w:val="hybridMultilevel"/>
    <w:lvl w:ilvl="0">
      <w:lvlJc w:val="left"/>
      <w:lvlText w:val="(%1)"/>
      <w:numFmt w:val="lowerLetter"/>
      <w:start w:val="1"/>
    </w:lvl>
  </w:abstractNum>
  <w:abstractNum w:abstractNumId="927">
    <w:nsid w:val="164CE714"/>
    <w:multiLevelType w:val="hybridMultilevel"/>
    <w:lvl w:ilvl="0">
      <w:lvlJc w:val="left"/>
      <w:lvlText w:val="(%1)"/>
      <w:numFmt w:val="lowerLetter"/>
      <w:start w:val="1"/>
    </w:lvl>
  </w:abstractNum>
  <w:abstractNum w:abstractNumId="928">
    <w:nsid w:val="15CE9F92"/>
    <w:multiLevelType w:val="hybridMultilevel"/>
    <w:lvl w:ilvl="0">
      <w:lvlJc w:val="left"/>
      <w:lvlText w:val="(%1)"/>
      <w:numFmt w:val="lowerLetter"/>
      <w:start w:val="6"/>
    </w:lvl>
  </w:abstractNum>
  <w:abstractNum w:abstractNumId="929">
    <w:nsid w:val="225953F9"/>
    <w:multiLevelType w:val="hybridMultilevel"/>
    <w:lvl w:ilvl="0">
      <w:lvlJc w:val="left"/>
      <w:lvlText w:val="(%1)"/>
      <w:numFmt w:val="lowerLetter"/>
      <w:start w:val="1"/>
    </w:lvl>
    <w:lvl w:ilvl="1">
      <w:lvlJc w:val="left"/>
      <w:lvlText w:val="(%2)"/>
      <w:numFmt w:val="lowerRoman"/>
      <w:start w:val="1"/>
    </w:lvl>
  </w:abstractNum>
  <w:abstractNum w:abstractNumId="930">
    <w:nsid w:val="14CF2CF8"/>
    <w:multiLevelType w:val="hybridMultilevel"/>
    <w:lvl w:ilvl="0">
      <w:lvlJc w:val="left"/>
      <w:lvlText w:val="(%1)"/>
      <w:numFmt w:val="lowerRoman"/>
      <w:start w:val="1"/>
    </w:lvl>
  </w:abstractNum>
  <w:abstractNum w:abstractNumId="931">
    <w:nsid w:val="57AA92EA"/>
    <w:multiLevelType w:val="hybridMultilevel"/>
    <w:lvl w:ilvl="0">
      <w:lvlJc w:val="left"/>
      <w:lvlText w:val="(%1)"/>
      <w:numFmt w:val="lowerRoman"/>
      <w:start w:val="2"/>
    </w:lvl>
  </w:abstractNum>
  <w:abstractNum w:abstractNumId="932">
    <w:nsid w:val="693ABDF"/>
    <w:multiLevelType w:val="hybridMultilevel"/>
    <w:lvl w:ilvl="0">
      <w:lvlJc w:val="left"/>
      <w:lvlText w:val="(%1)"/>
      <w:numFmt w:val="lowerLetter"/>
      <w:start w:val="2"/>
    </w:lvl>
  </w:abstractNum>
  <w:abstractNum w:abstractNumId="933">
    <w:nsid w:val="7285E29D"/>
    <w:multiLevelType w:val="hybridMultilevel"/>
    <w:lvl w:ilvl="0">
      <w:lvlJc w:val="left"/>
      <w:lvlText w:val="(%1)"/>
      <w:numFmt w:val="lowerLetter"/>
      <w:start w:val="4"/>
    </w:lvl>
  </w:abstractNum>
  <w:abstractNum w:abstractNumId="934">
    <w:nsid w:val="5CF31B7D"/>
    <w:multiLevelType w:val="hybridMultilevel"/>
    <w:lvl w:ilvl="0">
      <w:lvlJc w:val="left"/>
      <w:lvlText w:val="%1"/>
      <w:numFmt w:val="lowerLetter"/>
      <w:start w:val="1"/>
    </w:lvl>
    <w:lvl w:ilvl="1">
      <w:lvlJc w:val="left"/>
      <w:lvlText w:val="(%2)"/>
      <w:numFmt w:val="lowerLetter"/>
      <w:start w:val="1"/>
    </w:lvl>
  </w:abstractNum>
  <w:abstractNum w:abstractNumId="935">
    <w:nsid w:val="6CC81457"/>
    <w:multiLevelType w:val="hybridMultilevel"/>
    <w:lvl w:ilvl="0">
      <w:lvlJc w:val="left"/>
      <w:lvlText w:val="(%1)"/>
      <w:numFmt w:val="lowerLetter"/>
      <w:start w:val="35"/>
    </w:lvl>
    <w:lvl w:ilvl="1">
      <w:lvlJc w:val="left"/>
      <w:lvlText w:val="(%2)"/>
      <w:numFmt w:val="lowerLetter"/>
      <w:start w:val="2"/>
    </w:lvl>
  </w:abstractNum>
  <w:abstractNum w:abstractNumId="936">
    <w:nsid w:val="488A890A"/>
    <w:multiLevelType w:val="hybridMultilevel"/>
    <w:lvl w:ilvl="0">
      <w:lvlJc w:val="left"/>
      <w:lvlText w:val="(%1)"/>
      <w:numFmt w:val="lowerLetter"/>
      <w:start w:val="3"/>
    </w:lvl>
  </w:abstractNum>
  <w:abstractNum w:abstractNumId="937">
    <w:nsid w:val="4EB7487C"/>
    <w:multiLevelType w:val="hybridMultilevel"/>
    <w:lvl w:ilvl="0">
      <w:lvlJc w:val="left"/>
      <w:lvlText w:val="(%1)"/>
      <w:numFmt w:val="lowerLetter"/>
      <w:start w:val="1"/>
    </w:lvl>
  </w:abstractNum>
  <w:abstractNum w:abstractNumId="938">
    <w:nsid w:val="4DC02714"/>
    <w:multiLevelType w:val="hybridMultilevel"/>
    <w:lvl w:ilvl="0">
      <w:lvlJc w:val="left"/>
      <w:lvlText w:val="(%1)"/>
      <w:numFmt w:val="lowerLetter"/>
      <w:start w:val="1"/>
    </w:lvl>
  </w:abstractNum>
  <w:abstractNum w:abstractNumId="939">
    <w:nsid w:val="79C31DD8"/>
    <w:multiLevelType w:val="hybridMultilevel"/>
    <w:lvl w:ilvl="0">
      <w:lvlJc w:val="left"/>
      <w:lvlText w:val="(%1)"/>
      <w:numFmt w:val="lowerLetter"/>
      <w:start w:val="2"/>
    </w:lvl>
  </w:abstractNum>
  <w:abstractNum w:abstractNumId="940">
    <w:nsid w:val="38F855CA"/>
    <w:multiLevelType w:val="hybridMultilevel"/>
    <w:lvl w:ilvl="0">
      <w:lvlJc w:val="left"/>
      <w:lvlText w:val="(%1)"/>
      <w:numFmt w:val="lowerLetter"/>
      <w:start w:val="1"/>
    </w:lvl>
  </w:abstractNum>
  <w:abstractNum w:abstractNumId="941">
    <w:nsid w:val="2F298A4A"/>
    <w:multiLevelType w:val="hybridMultilevel"/>
    <w:lvl w:ilvl="0">
      <w:lvlJc w:val="left"/>
      <w:lvlText w:val="(%1)"/>
      <w:numFmt w:val="lowerLetter"/>
      <w:start w:val="2"/>
    </w:lvl>
  </w:abstractNum>
  <w:abstractNum w:abstractNumId="942">
    <w:nsid w:val="33380AF8"/>
    <w:multiLevelType w:val="hybridMultilevel"/>
    <w:lvl w:ilvl="0">
      <w:lvlJc w:val="left"/>
      <w:lvlText w:val="(%1)"/>
      <w:numFmt w:val="lowerLetter"/>
      <w:start w:val="1"/>
    </w:lvl>
    <w:lvl w:ilvl="1">
      <w:lvlJc w:val="left"/>
      <w:lvlText w:val="(%2)"/>
      <w:numFmt w:val="lowerLetter"/>
      <w:start w:val="9"/>
    </w:lvl>
  </w:abstractNum>
  <w:abstractNum w:abstractNumId="943">
    <w:nsid w:val="62A2EA91"/>
    <w:multiLevelType w:val="hybridMultilevel"/>
    <w:lvl w:ilvl="0">
      <w:lvlJc w:val="left"/>
      <w:lvlText w:val="(%1)"/>
      <w:numFmt w:val="lowerRoman"/>
      <w:start w:val="2"/>
    </w:lvl>
  </w:abstractNum>
  <w:abstractNum w:abstractNumId="944">
    <w:nsid w:val="3B4FF9DB"/>
    <w:multiLevelType w:val="hybridMultilevel"/>
    <w:lvl w:ilvl="0">
      <w:lvlJc w:val="left"/>
      <w:lvlText w:val="%1"/>
      <w:numFmt w:val="lowerLetter"/>
      <w:start w:val="1"/>
    </w:lvl>
    <w:lvl w:ilvl="1">
      <w:lvlJc w:val="left"/>
      <w:lvlText w:val="(%2)"/>
      <w:numFmt w:val="lowerLetter"/>
      <w:start w:val="61"/>
    </w:lvl>
  </w:abstractNum>
  <w:abstractNum w:abstractNumId="945">
    <w:nsid w:val="32FB27C0"/>
    <w:multiLevelType w:val="hybridMultilevel"/>
    <w:lvl w:ilvl="0">
      <w:lvlJc w:val="left"/>
      <w:lvlText w:val="(%1)"/>
      <w:numFmt w:val="lowerLetter"/>
      <w:start w:val="3"/>
    </w:lvl>
    <w:lvl w:ilvl="1">
      <w:lvlJc w:val="left"/>
      <w:lvlText w:val="%2"/>
      <w:numFmt w:val="lowerLetter"/>
      <w:start w:val="1"/>
    </w:lvl>
  </w:abstractNum>
  <w:abstractNum w:abstractNumId="946">
    <w:nsid w:val="136513C"/>
    <w:multiLevelType w:val="hybridMultilevel"/>
    <w:lvl w:ilvl="0">
      <w:lvlJc w:val="left"/>
      <w:lvlText w:val="(%1)"/>
      <w:numFmt w:val="lowerLetter"/>
      <w:start w:val="5"/>
    </w:lvl>
  </w:abstractNum>
  <w:abstractNum w:abstractNumId="947">
    <w:nsid w:val="4F93AAD5"/>
    <w:multiLevelType w:val="hybridMultilevel"/>
    <w:lvl w:ilvl="0">
      <w:lvlJc w:val="left"/>
      <w:lvlText w:val="(%1)"/>
      <w:numFmt w:val="lowerLetter"/>
      <w:start w:val="6"/>
    </w:lvl>
  </w:abstractNum>
  <w:abstractNum w:abstractNumId="948">
    <w:nsid w:val="7B6C7DC6"/>
    <w:multiLevelType w:val="hybridMultilevel"/>
    <w:lvl w:ilvl="0">
      <w:lvlJc w:val="left"/>
      <w:lvlText w:val="(%1)"/>
      <w:numFmt w:val="lowerLetter"/>
      <w:start w:val="8"/>
    </w:lvl>
  </w:abstractNum>
  <w:abstractNum w:abstractNumId="949">
    <w:nsid w:val="16F0A060"/>
    <w:multiLevelType w:val="hybridMultilevel"/>
    <w:lvl w:ilvl="0">
      <w:lvlJc w:val="left"/>
      <w:lvlText w:val="(%1)"/>
      <w:numFmt w:val="lowerRoman"/>
      <w:start w:val="1"/>
    </w:lvl>
  </w:abstractNum>
  <w:abstractNum w:abstractNumId="950">
    <w:nsid w:val="6175EB8"/>
    <w:multiLevelType w:val="hybridMultilevel"/>
    <w:lvl w:ilvl="0">
      <w:lvlJc w:val="left"/>
      <w:lvlText w:val="(%1)"/>
      <w:numFmt w:val="lowerLetter"/>
      <w:start w:val="2"/>
    </w:lvl>
  </w:abstractNum>
  <w:abstractNum w:abstractNumId="951">
    <w:nsid w:val="77B7C5CC"/>
    <w:multiLevelType w:val="hybridMultilevel"/>
    <w:lvl w:ilvl="0">
      <w:lvlJc w:val="left"/>
      <w:lvlText w:val="(%1)"/>
      <w:numFmt w:val="lowerLetter"/>
      <w:start w:val="1"/>
    </w:lvl>
  </w:abstractNum>
  <w:abstractNum w:abstractNumId="952">
    <w:nsid w:val="36A4C6E2"/>
    <w:multiLevelType w:val="hybridMultilevel"/>
    <w:lvl w:ilvl="0">
      <w:lvlJc w:val="left"/>
      <w:lvlText w:val="(%1)"/>
      <w:numFmt w:val="lowerLetter"/>
      <w:start w:val="4"/>
    </w:lvl>
  </w:abstractNum>
  <w:abstractNum w:abstractNumId="953">
    <w:nsid w:val="4B9DCBED"/>
    <w:multiLevelType w:val="hybridMultilevel"/>
    <w:lvl w:ilvl="0">
      <w:lvlJc w:val="left"/>
      <w:lvlText w:val="(%1)"/>
      <w:numFmt w:val="lowerLetter"/>
      <w:start w:val="1"/>
    </w:lvl>
  </w:abstractNum>
  <w:abstractNum w:abstractNumId="954">
    <w:nsid w:val="8AA4358"/>
    <w:multiLevelType w:val="hybridMultilevel"/>
    <w:lvl w:ilvl="0">
      <w:lvlJc w:val="left"/>
      <w:lvlText w:val="(%1)"/>
      <w:numFmt w:val="lowerLetter"/>
      <w:start w:val="4"/>
    </w:lvl>
  </w:abstractNum>
  <w:abstractNum w:abstractNumId="955">
    <w:nsid w:val="39112B90"/>
    <w:multiLevelType w:val="hybridMultilevel"/>
    <w:lvl w:ilvl="0">
      <w:lvlJc w:val="left"/>
      <w:lvlText w:val="(%1)"/>
      <w:numFmt w:val="lowerLetter"/>
      <w:start w:val="1"/>
    </w:lvl>
  </w:abstractNum>
  <w:abstractNum w:abstractNumId="956">
    <w:nsid w:val="53859101"/>
    <w:multiLevelType w:val="hybridMultilevel"/>
    <w:lvl w:ilvl="0">
      <w:lvlJc w:val="left"/>
      <w:lvlText w:val="%1"/>
      <w:numFmt w:val="lowerLetter"/>
      <w:start w:val="1"/>
    </w:lvl>
    <w:lvl w:ilvl="1">
      <w:lvlJc w:val="left"/>
      <w:lvlText w:val="(%2)"/>
      <w:numFmt w:val="lowerLetter"/>
      <w:start w:val="3"/>
    </w:lvl>
  </w:abstractNum>
  <w:abstractNum w:abstractNumId="957">
    <w:nsid w:val="70A00F05"/>
    <w:multiLevelType w:val="hybridMultilevel"/>
    <w:lvl w:ilvl="0">
      <w:lvlJc w:val="left"/>
      <w:lvlText w:val="(%1)"/>
      <w:numFmt w:val="lowerLetter"/>
      <w:start w:val="61"/>
    </w:lvl>
    <w:lvl w:ilvl="1">
      <w:lvlJc w:val="left"/>
      <w:lvlText w:val="%2"/>
      <w:numFmt w:val="lowerLetter"/>
      <w:start w:val="1"/>
    </w:lvl>
  </w:abstractNum>
  <w:abstractNum w:abstractNumId="958">
    <w:nsid w:val="4F5E12A4"/>
    <w:multiLevelType w:val="hybridMultilevel"/>
    <w:lvl w:ilvl="0">
      <w:lvlJc w:val="left"/>
      <w:lvlText w:val="(%1)"/>
      <w:numFmt w:val="lowerLetter"/>
      <w:start w:val="1"/>
    </w:lvl>
    <w:lvl w:ilvl="1">
      <w:lvlJc w:val="left"/>
      <w:lvlText w:val="(%2)"/>
      <w:numFmt w:val="lowerRoman"/>
      <w:start w:val="1"/>
    </w:lvl>
  </w:abstractNum>
  <w:abstractNum w:abstractNumId="959">
    <w:nsid w:val="69543093"/>
    <w:multiLevelType w:val="hybridMultilevel"/>
    <w:lvl w:ilvl="0">
      <w:lvlJc w:val="left"/>
      <w:lvlText w:val="(%1)"/>
      <w:numFmt w:val="lowerLetter"/>
      <w:start w:val="2"/>
    </w:lvl>
  </w:abstractNum>
  <w:abstractNum w:abstractNumId="960">
    <w:nsid w:val="12F962FE"/>
    <w:multiLevelType w:val="hybridMultilevel"/>
    <w:lvl w:ilvl="0">
      <w:lvlJc w:val="left"/>
      <w:lvlText w:val="(%1)"/>
      <w:numFmt w:val="lowerLetter"/>
      <w:start w:val="1"/>
    </w:lvl>
  </w:abstractNum>
  <w:abstractNum w:abstractNumId="961">
    <w:nsid w:val="642D3F9D"/>
    <w:multiLevelType w:val="hybridMultilevel"/>
    <w:lvl w:ilvl="0">
      <w:lvlJc w:val="left"/>
      <w:lvlText w:val="(%1)"/>
      <w:numFmt w:val="lowerLetter"/>
      <w:start w:val="1"/>
    </w:lvl>
  </w:abstractNum>
  <w:abstractNum w:abstractNumId="962">
    <w:nsid w:val="40FEC37E"/>
    <w:multiLevelType w:val="hybridMultilevel"/>
    <w:lvl w:ilvl="0">
      <w:lvlJc w:val="left"/>
      <w:lvlText w:val="(%1)"/>
      <w:numFmt w:val="lowerLetter"/>
      <w:start w:val="1"/>
    </w:lvl>
  </w:abstractNum>
  <w:abstractNum w:abstractNumId="963">
    <w:nsid w:val="198D0EDE"/>
    <w:multiLevelType w:val="hybridMultilevel"/>
    <w:lvl w:ilvl="0">
      <w:lvlJc w:val="left"/>
      <w:lvlText w:val="(%1)"/>
      <w:numFmt w:val="lowerLetter"/>
      <w:start w:val="1"/>
    </w:lvl>
  </w:abstractNum>
  <w:abstractNum w:abstractNumId="964">
    <w:nsid w:val="56B3223A"/>
    <w:multiLevelType w:val="hybridMultilevel"/>
    <w:lvl w:ilvl="0">
      <w:lvlJc w:val="left"/>
      <w:lvlText w:val="(%1)"/>
      <w:numFmt w:val="lowerLetter"/>
      <w:start w:val="2"/>
    </w:lvl>
  </w:abstractNum>
  <w:abstractNum w:abstractNumId="965">
    <w:nsid w:val="1DF1DEFB"/>
    <w:multiLevelType w:val="hybridMultilevel"/>
    <w:lvl w:ilvl="0">
      <w:lvlJc w:val="left"/>
      <w:lvlText w:val="(%1)"/>
      <w:numFmt w:val="lowerLetter"/>
      <w:start w:val="1"/>
    </w:lvl>
  </w:abstractNum>
  <w:abstractNum w:abstractNumId="966">
    <w:nsid w:val="6552335"/>
    <w:multiLevelType w:val="hybridMultilevel"/>
    <w:lvl w:ilvl="0">
      <w:lvlJc w:val="left"/>
      <w:lvlText w:val="(%1)"/>
      <w:numFmt w:val="lowerLetter"/>
      <w:start w:val="2"/>
    </w:lvl>
  </w:abstractNum>
  <w:abstractNum w:abstractNumId="967">
    <w:nsid w:val="1F3DAB44"/>
    <w:multiLevelType w:val="hybridMultilevel"/>
    <w:lvl w:ilvl="0">
      <w:lvlJc w:val="left"/>
      <w:lvlText w:val="(%1)"/>
      <w:numFmt w:val="lowerLetter"/>
      <w:start w:val="1"/>
    </w:lvl>
  </w:abstractNum>
  <w:abstractNum w:abstractNumId="968">
    <w:nsid w:val="6CA92777"/>
    <w:multiLevelType w:val="hybridMultilevel"/>
    <w:lvl w:ilvl="0">
      <w:lvlJc w:val="left"/>
      <w:lvlText w:val="(%1)"/>
      <w:numFmt w:val="lowerLetter"/>
      <w:start w:val="1"/>
    </w:lvl>
    <w:lvl w:ilvl="1">
      <w:lvlJc w:val="left"/>
      <w:lvlText w:val="(%2)"/>
      <w:numFmt w:val="lowerRoman"/>
      <w:start w:val="1"/>
    </w:lvl>
  </w:abstractNum>
  <w:abstractNum w:abstractNumId="969">
    <w:nsid w:val="54154A49"/>
    <w:multiLevelType w:val="hybridMultilevel"/>
    <w:lvl w:ilvl="0">
      <w:lvlJc w:val="left"/>
      <w:lvlText w:val="(%1)"/>
      <w:numFmt w:val="lowerRoman"/>
      <w:start w:val="2"/>
    </w:lvl>
  </w:abstractNum>
  <w:abstractNum w:abstractNumId="970">
    <w:nsid w:val="1900C91C"/>
    <w:multiLevelType w:val="hybridMultilevel"/>
    <w:lvl w:ilvl="0">
      <w:lvlJc w:val="left"/>
      <w:lvlText w:val="(%1)"/>
      <w:numFmt w:val="lowerLetter"/>
      <w:start w:val="1"/>
    </w:lvl>
  </w:abstractNum>
  <w:abstractNum w:abstractNumId="971">
    <w:nsid w:val="25A17D41"/>
    <w:multiLevelType w:val="hybridMultilevel"/>
    <w:lvl w:ilvl="0">
      <w:lvlJc w:val="left"/>
      <w:lvlText w:val="(%1)"/>
      <w:numFmt w:val="lowerLetter"/>
      <w:start w:val="1"/>
    </w:lvl>
  </w:abstractNum>
  <w:abstractNum w:abstractNumId="972">
    <w:nsid w:val="33ED493"/>
    <w:multiLevelType w:val="hybridMultilevel"/>
    <w:lvl w:ilvl="0">
      <w:lvlJc w:val="left"/>
      <w:lvlText w:val="(%1)"/>
      <w:numFmt w:val="lowerLetter"/>
      <w:start w:val="2"/>
    </w:lvl>
  </w:abstractNum>
  <w:abstractNum w:abstractNumId="973">
    <w:nsid w:val="4C38D414"/>
    <w:multiLevelType w:val="hybridMultilevel"/>
    <w:lvl w:ilvl="0">
      <w:lvlJc w:val="left"/>
      <w:lvlText w:val="(%1)"/>
      <w:numFmt w:val="lowerLetter"/>
      <w:start w:val="3"/>
    </w:lvl>
  </w:abstractNum>
  <w:abstractNum w:abstractNumId="974">
    <w:nsid w:val="84467D2"/>
    <w:multiLevelType w:val="hybridMultilevel"/>
    <w:lvl w:ilvl="0">
      <w:lvlJc w:val="left"/>
      <w:lvlText w:val="(%1)"/>
      <w:numFmt w:val="lowerLetter"/>
      <w:start w:val="4"/>
    </w:lvl>
  </w:abstractNum>
  <w:abstractNum w:abstractNumId="975">
    <w:nsid w:val="3E8ECE6E"/>
    <w:multiLevelType w:val="hybridMultilevel"/>
    <w:lvl w:ilvl="0">
      <w:lvlJc w:val="left"/>
      <w:lvlText w:val="(%1)"/>
      <w:numFmt w:val="lowerLetter"/>
      <w:start w:val="1"/>
    </w:lvl>
  </w:abstractNum>
  <w:abstractNum w:abstractNumId="976">
    <w:nsid w:val="7F33FBD4"/>
    <w:multiLevelType w:val="hybridMultilevel"/>
    <w:lvl w:ilvl="0">
      <w:lvlJc w:val="left"/>
      <w:lvlText w:val="(%1)"/>
      <w:numFmt w:val="lowerLetter"/>
      <w:start w:val="1"/>
    </w:lvl>
  </w:abstractNum>
  <w:abstractNum w:abstractNumId="977">
    <w:nsid w:val="97AB90E"/>
    <w:multiLevelType w:val="hybridMultilevel"/>
    <w:lvl w:ilvl="0">
      <w:lvlJc w:val="left"/>
      <w:lvlText w:val="(%1)"/>
      <w:numFmt w:val="lowerLetter"/>
      <w:start w:val="4"/>
    </w:lvl>
  </w:abstractNum>
  <w:abstractNum w:abstractNumId="978">
    <w:nsid w:val="E227944"/>
    <w:multiLevelType w:val="hybridMultilevel"/>
    <w:lvl w:ilvl="0">
      <w:lvlJc w:val="left"/>
      <w:lvlText w:val="%1"/>
      <w:numFmt w:val="upperLetter"/>
      <w:start w:val="1"/>
    </w:lvl>
    <w:lvl w:ilvl="1">
      <w:lvlJc w:val="left"/>
      <w:lvlText w:val="(%2)"/>
      <w:numFmt w:val="lowerLetter"/>
      <w:start w:val="1"/>
    </w:lvl>
  </w:abstractNum>
  <w:abstractNum w:abstractNumId="979">
    <w:nsid w:val="7AA0799A"/>
    <w:multiLevelType w:val="hybridMultilevel"/>
    <w:lvl w:ilvl="0">
      <w:lvlJc w:val="left"/>
      <w:lvlText w:val="(%1)"/>
      <w:numFmt w:val="upperLetter"/>
      <w:start w:val="1"/>
    </w:lvl>
    <w:lvl w:ilvl="1">
      <w:lvlJc w:val="left"/>
      <w:lvlText w:val="%2"/>
      <w:numFmt w:val="lowerLetter"/>
      <w:start w:val="1"/>
    </w:lvl>
  </w:abstractNum>
  <w:abstractNum w:abstractNumId="980">
    <w:nsid w:val="206B596E"/>
    <w:multiLevelType w:val="hybridMultilevel"/>
    <w:lvl w:ilvl="0">
      <w:lvlJc w:val="left"/>
      <w:lvlText w:val="%1"/>
      <w:numFmt w:val="lowerLetter"/>
      <w:start w:val="1"/>
    </w:lvl>
    <w:lvl w:ilvl="1">
      <w:lvlJc w:val="left"/>
      <w:lvlText w:val="(%2)"/>
      <w:numFmt w:val="lowerLetter"/>
      <w:start w:val="2"/>
    </w:lvl>
  </w:abstractNum>
  <w:abstractNum w:abstractNumId="981">
    <w:nsid w:val="1439D7FC"/>
    <w:multiLevelType w:val="hybridMultilevel"/>
    <w:lvl w:ilvl="0">
      <w:lvlJc w:val="left"/>
      <w:lvlText w:val="(%1)"/>
      <w:numFmt w:val="lowerLetter"/>
      <w:start w:val="9"/>
    </w:lvl>
    <w:lvl w:ilvl="1">
      <w:lvlJc w:val="left"/>
      <w:lvlText w:val="(%2)"/>
      <w:numFmt w:val="lowerLetter"/>
      <w:start w:val="3"/>
    </w:lvl>
  </w:abstractNum>
  <w:abstractNum w:abstractNumId="982">
    <w:nsid w:val="72583F67"/>
    <w:multiLevelType w:val="hybridMultilevel"/>
    <w:lvl w:ilvl="0">
      <w:lvlJc w:val="left"/>
      <w:lvlText w:val="(%1)"/>
      <w:numFmt w:val="lowerLetter"/>
      <w:start w:val="6"/>
    </w:lvl>
  </w:abstractNum>
  <w:abstractNum w:abstractNumId="983">
    <w:nsid w:val="57102051"/>
    <w:multiLevelType w:val="hybridMultilevel"/>
    <w:lvl w:ilvl="0">
      <w:lvlJc w:val="left"/>
      <w:lvlText w:val="%1."/>
      <w:numFmt w:val="decimal"/>
      <w:start w:val="1"/>
    </w:lvl>
  </w:abstractNum>
  <w:abstractNum w:abstractNumId="984">
    <w:nsid w:val="5FD7A3E9"/>
    <w:multiLevelType w:val="hybridMultilevel"/>
    <w:lvl w:ilvl="0">
      <w:lvlJc w:val="left"/>
      <w:lvlText w:val="%1."/>
      <w:numFmt w:val="decimal"/>
      <w:start w:val="3"/>
    </w:lvl>
  </w:abstractNum>
  <w:abstractNum w:abstractNumId="985">
    <w:nsid w:val="7B0282BF"/>
    <w:multiLevelType w:val="hybridMultilevel"/>
    <w:lvl w:ilvl="0">
      <w:lvlJc w:val="left"/>
      <w:lvlText w:val="%1."/>
      <w:numFmt w:val="decimal"/>
      <w:start w:val="5"/>
    </w:lvl>
  </w:abstractNum>
  <w:abstractNum w:abstractNumId="986">
    <w:nsid w:val="10214B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jpe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2020-08-28T16:28:01Z</dcterms:created>
  <dcterms:modified xsi:type="dcterms:W3CDTF">2020-08-28T16:28:01Z</dcterms:modified>
</cp:coreProperties>
</file>