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RAYNE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GEORGE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W1U 8NU</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688,577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4"/>
              </w:rPr>
              <w:t>2,400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686,177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5.51</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685,377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Does not include 1,845,000 shares beneficially owned by LMS Capital, of which Mr. Rayne serves as a non-executive director.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09/27/2016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2019-12-24T08:49:02Z</dcterms:created>
  <dcterms:modified xsi:type="dcterms:W3CDTF">2019-12-24T08:49:02Z</dcterms:modified>
</cp:coreProperties>
</file>