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17, 2014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333-167959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POST-EFFECTIVE AMENDMENT NO. 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line="231" w:lineRule="auto"/>
        <w:rPr>
          <w:sz w:val="20"/>
          <w:szCs w:val="20"/>
          <w:color w:val="auto"/>
        </w:rPr>
      </w:pPr>
      <w:r>
        <w:rPr>
          <w:rFonts w:ascii="Arial" w:cs="Arial" w:eastAsia="Arial" w:hAnsi="Arial"/>
          <w:sz w:val="22"/>
          <w:szCs w:val="22"/>
          <w:b w:val="1"/>
          <w:bCs w:val="1"/>
          <w:color w:val="auto"/>
        </w:rPr>
        <w:t>FORM S-8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REGISTRATION STATEMENT UNDER THE SECURITIES ACT OF 1933</w:t>
      </w:r>
    </w:p>
    <w:p>
      <w:pPr>
        <w:spacing w:after="0" w:line="1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Weatherford International public limited company</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940" w:type="dxa"/>
        <w:tblCellMar>
          <w:top w:w="0" w:type="dxa"/>
          <w:left w:w="0" w:type="dxa"/>
          <w:bottom w:w="0" w:type="dxa"/>
          <w:right w:w="0" w:type="dxa"/>
        </w:tblCellMar>
      </w:tblPr>
      <w:tr>
        <w:trPr>
          <w:trHeight w:val="216"/>
        </w:trPr>
        <w:tc>
          <w:tcPr>
            <w:tcW w:w="7580" w:type="dxa"/>
            <w:vAlign w:val="bottom"/>
          </w:tcPr>
          <w:p>
            <w:pPr>
              <w:ind w:left="780"/>
              <w:spacing w:after="0"/>
              <w:rPr>
                <w:sz w:val="20"/>
                <w:szCs w:val="20"/>
                <w:color w:val="auto"/>
              </w:rPr>
            </w:pPr>
            <w:r>
              <w:rPr>
                <w:rFonts w:ascii="Arial" w:cs="Arial" w:eastAsia="Arial" w:hAnsi="Arial"/>
                <w:sz w:val="18"/>
                <w:szCs w:val="18"/>
                <w:b w:val="1"/>
                <w:bCs w:val="1"/>
                <w:color w:val="auto"/>
              </w:rPr>
              <w:t>Ireland</w:t>
            </w:r>
          </w:p>
        </w:tc>
        <w:tc>
          <w:tcPr>
            <w:tcW w:w="1420" w:type="dxa"/>
            <w:vAlign w:val="bottom"/>
          </w:tcPr>
          <w:p>
            <w:pPr>
              <w:jc w:val="center"/>
              <w:ind w:left="86"/>
              <w:spacing w:after="0"/>
              <w:rPr>
                <w:sz w:val="20"/>
                <w:szCs w:val="20"/>
                <w:color w:val="auto"/>
              </w:rPr>
            </w:pPr>
            <w:r>
              <w:rPr>
                <w:rFonts w:ascii="Arial" w:cs="Arial" w:eastAsia="Arial" w:hAnsi="Arial"/>
                <w:sz w:val="18"/>
                <w:szCs w:val="18"/>
                <w:b w:val="1"/>
                <w:bCs w:val="1"/>
                <w:color w:val="auto"/>
                <w:w w:val="89"/>
              </w:rPr>
              <w:t>98-0606750</w:t>
            </w:r>
          </w:p>
        </w:tc>
      </w:tr>
      <w:tr>
        <w:trPr>
          <w:trHeight w:val="135"/>
        </w:trPr>
        <w:tc>
          <w:tcPr>
            <w:tcW w:w="7580" w:type="dxa"/>
            <w:vAlign w:val="bottom"/>
          </w:tcPr>
          <w:p>
            <w:pPr>
              <w:jc w:val="center"/>
              <w:ind w:right="5337"/>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1420" w:type="dxa"/>
            <w:vAlign w:val="bottom"/>
          </w:tcPr>
          <w:p>
            <w:pPr>
              <w:jc w:val="center"/>
              <w:ind w:left="8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7580" w:type="dxa"/>
            <w:vAlign w:val="bottom"/>
          </w:tcPr>
          <w:p>
            <w:pPr>
              <w:jc w:val="center"/>
              <w:ind w:right="5337"/>
              <w:spacing w:after="0"/>
              <w:rPr>
                <w:sz w:val="20"/>
                <w:szCs w:val="20"/>
                <w:color w:val="auto"/>
              </w:rPr>
            </w:pPr>
            <w:r>
              <w:rPr>
                <w:rFonts w:ascii="Arial" w:cs="Arial" w:eastAsia="Arial" w:hAnsi="Arial"/>
                <w:sz w:val="13"/>
                <w:szCs w:val="13"/>
                <w:b w:val="1"/>
                <w:bCs w:val="1"/>
                <w:color w:val="auto"/>
                <w:w w:val="88"/>
              </w:rPr>
              <w:t>incorporation or organization)</w:t>
            </w:r>
          </w:p>
        </w:tc>
        <w:tc>
          <w:tcPr>
            <w:tcW w:w="1420" w:type="dxa"/>
            <w:vAlign w:val="bottom"/>
          </w:tcPr>
          <w:p>
            <w:pPr>
              <w:jc w:val="center"/>
              <w:ind w:left="86"/>
              <w:spacing w:after="0"/>
              <w:rPr>
                <w:sz w:val="20"/>
                <w:szCs w:val="20"/>
                <w:color w:val="auto"/>
              </w:rPr>
            </w:pPr>
            <w:r>
              <w:rPr>
                <w:rFonts w:ascii="Arial" w:cs="Arial" w:eastAsia="Arial" w:hAnsi="Arial"/>
                <w:sz w:val="13"/>
                <w:szCs w:val="13"/>
                <w:b w:val="1"/>
                <w:bCs w:val="1"/>
                <w:color w:val="auto"/>
                <w:w w:val="91"/>
              </w:rPr>
              <w:t>Identification Number)</w:t>
            </w:r>
          </w:p>
        </w:tc>
      </w:tr>
      <w:tr>
        <w:trPr>
          <w:trHeight w:val="241"/>
        </w:trPr>
        <w:tc>
          <w:tcPr>
            <w:tcW w:w="7580" w:type="dxa"/>
            <w:vAlign w:val="bottom"/>
          </w:tcPr>
          <w:p>
            <w:pPr>
              <w:jc w:val="center"/>
              <w:ind w:right="5337"/>
              <w:spacing w:after="0"/>
              <w:rPr>
                <w:sz w:val="20"/>
                <w:szCs w:val="20"/>
                <w:color w:val="auto"/>
              </w:rPr>
            </w:pPr>
            <w:r>
              <w:rPr>
                <w:rFonts w:ascii="Arial" w:cs="Arial" w:eastAsia="Arial" w:hAnsi="Arial"/>
                <w:sz w:val="18"/>
                <w:szCs w:val="18"/>
                <w:b w:val="1"/>
                <w:bCs w:val="1"/>
                <w:color w:val="auto"/>
                <w:w w:val="87"/>
              </w:rPr>
              <w:t>Bahnhofstrasse 1</w:t>
            </w:r>
          </w:p>
        </w:tc>
        <w:tc>
          <w:tcPr>
            <w:tcW w:w="1420" w:type="dxa"/>
            <w:vAlign w:val="bottom"/>
          </w:tcPr>
          <w:p>
            <w:pPr>
              <w:spacing w:after="0"/>
              <w:rPr>
                <w:sz w:val="20"/>
                <w:szCs w:val="20"/>
                <w:color w:val="auto"/>
              </w:rPr>
            </w:pPr>
          </w:p>
        </w:tc>
      </w:tr>
      <w:tr>
        <w:trPr>
          <w:trHeight w:val="216"/>
        </w:trPr>
        <w:tc>
          <w:tcPr>
            <w:tcW w:w="7580" w:type="dxa"/>
            <w:vAlign w:val="bottom"/>
          </w:tcPr>
          <w:p>
            <w:pPr>
              <w:jc w:val="center"/>
              <w:ind w:right="5337"/>
              <w:spacing w:after="0"/>
              <w:rPr>
                <w:sz w:val="20"/>
                <w:szCs w:val="20"/>
                <w:color w:val="auto"/>
              </w:rPr>
            </w:pPr>
            <w:r>
              <w:rPr>
                <w:rFonts w:ascii="Arial" w:cs="Arial" w:eastAsia="Arial" w:hAnsi="Arial"/>
                <w:sz w:val="18"/>
                <w:szCs w:val="18"/>
                <w:b w:val="1"/>
                <w:bCs w:val="1"/>
                <w:color w:val="auto"/>
                <w:w w:val="90"/>
              </w:rPr>
              <w:t>6340 Baar, Switzerland</w:t>
            </w:r>
          </w:p>
        </w:tc>
        <w:tc>
          <w:tcPr>
            <w:tcW w:w="1420" w:type="dxa"/>
            <w:vAlign w:val="bottom"/>
          </w:tcPr>
          <w:p>
            <w:pPr>
              <w:jc w:val="center"/>
              <w:ind w:left="86"/>
              <w:spacing w:after="0"/>
              <w:rPr>
                <w:sz w:val="20"/>
                <w:szCs w:val="20"/>
                <w:color w:val="auto"/>
              </w:rPr>
            </w:pPr>
            <w:r>
              <w:rPr>
                <w:rFonts w:ascii="Arial" w:cs="Arial" w:eastAsia="Arial" w:hAnsi="Arial"/>
                <w:sz w:val="18"/>
                <w:szCs w:val="18"/>
                <w:b w:val="1"/>
                <w:bCs w:val="1"/>
                <w:color w:val="auto"/>
                <w:w w:val="96"/>
              </w:rPr>
              <w:t>N/A</w:t>
            </w:r>
          </w:p>
        </w:tc>
      </w:tr>
      <w:tr>
        <w:trPr>
          <w:trHeight w:val="164"/>
        </w:trPr>
        <w:tc>
          <w:tcPr>
            <w:tcW w:w="7580" w:type="dxa"/>
            <w:vAlign w:val="bottom"/>
          </w:tcPr>
          <w:p>
            <w:pPr>
              <w:jc w:val="center"/>
              <w:ind w:right="5337"/>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1420" w:type="dxa"/>
            <w:vAlign w:val="bottom"/>
          </w:tcPr>
          <w:p>
            <w:pPr>
              <w:jc w:val="center"/>
              <w:ind w:left="86"/>
              <w:spacing w:after="0"/>
              <w:rPr>
                <w:sz w:val="20"/>
                <w:szCs w:val="20"/>
                <w:color w:val="auto"/>
              </w:rPr>
            </w:pPr>
            <w:r>
              <w:rPr>
                <w:rFonts w:ascii="Arial" w:cs="Arial" w:eastAsia="Arial" w:hAnsi="Arial"/>
                <w:sz w:val="13"/>
                <w:szCs w:val="13"/>
                <w:b w:val="1"/>
                <w:bCs w:val="1"/>
                <w:color w:val="auto"/>
                <w:w w:val="90"/>
              </w:rPr>
              <w:t>(Zip Code)</w:t>
            </w:r>
          </w:p>
        </w:tc>
      </w:tr>
      <w:tr>
        <w:trPr>
          <w:trHeight w:val="448"/>
        </w:trPr>
        <w:tc>
          <w:tcPr>
            <w:tcW w:w="7580" w:type="dxa"/>
            <w:vAlign w:val="bottom"/>
          </w:tcPr>
          <w:p>
            <w:pPr>
              <w:jc w:val="center"/>
              <w:ind w:left="1897"/>
              <w:spacing w:after="0"/>
              <w:rPr>
                <w:sz w:val="20"/>
                <w:szCs w:val="20"/>
                <w:color w:val="auto"/>
              </w:rPr>
            </w:pPr>
            <w:r>
              <w:rPr>
                <w:rFonts w:ascii="Arial" w:cs="Arial" w:eastAsia="Arial" w:hAnsi="Arial"/>
                <w:sz w:val="18"/>
                <w:szCs w:val="18"/>
                <w:b w:val="1"/>
                <w:bCs w:val="1"/>
                <w:color w:val="auto"/>
                <w:w w:val="92"/>
              </w:rPr>
              <w:t>Weatherford International plc 2010 Omnibus Incentive Plan</w:t>
            </w:r>
          </w:p>
        </w:tc>
        <w:tc>
          <w:tcPr>
            <w:tcW w:w="1420" w:type="dxa"/>
            <w:vAlign w:val="bottom"/>
          </w:tcPr>
          <w:p>
            <w:pPr>
              <w:spacing w:after="0"/>
              <w:rPr>
                <w:sz w:val="24"/>
                <w:szCs w:val="24"/>
                <w:color w:val="auto"/>
              </w:rPr>
            </w:pPr>
          </w:p>
        </w:tc>
      </w:tr>
      <w:tr>
        <w:trPr>
          <w:trHeight w:val="270"/>
        </w:trPr>
        <w:tc>
          <w:tcPr>
            <w:tcW w:w="7580" w:type="dxa"/>
            <w:vAlign w:val="bottom"/>
          </w:tcPr>
          <w:p>
            <w:pPr>
              <w:jc w:val="center"/>
              <w:ind w:left="1877"/>
              <w:spacing w:after="0"/>
              <w:rPr>
                <w:sz w:val="20"/>
                <w:szCs w:val="20"/>
                <w:color w:val="auto"/>
              </w:rPr>
            </w:pPr>
            <w:r>
              <w:rPr>
                <w:rFonts w:ascii="Arial" w:cs="Arial" w:eastAsia="Arial" w:hAnsi="Arial"/>
                <w:sz w:val="18"/>
                <w:szCs w:val="18"/>
                <w:b w:val="1"/>
                <w:bCs w:val="1"/>
                <w:color w:val="auto"/>
                <w:w w:val="93"/>
              </w:rPr>
              <w:t>(f/k/a Weatherford International Ltd. 2010 Omnibus Incentive Plan)</w:t>
            </w:r>
          </w:p>
        </w:tc>
        <w:tc>
          <w:tcPr>
            <w:tcW w:w="1420" w:type="dxa"/>
            <w:vAlign w:val="bottom"/>
          </w:tcPr>
          <w:p>
            <w:pPr>
              <w:spacing w:after="0"/>
              <w:rPr>
                <w:sz w:val="23"/>
                <w:szCs w:val="23"/>
                <w:color w:val="auto"/>
              </w:rPr>
            </w:pPr>
          </w:p>
        </w:tc>
      </w:tr>
      <w:tr>
        <w:trPr>
          <w:trHeight w:val="184"/>
        </w:trPr>
        <w:tc>
          <w:tcPr>
            <w:tcW w:w="7580" w:type="dxa"/>
            <w:vAlign w:val="bottom"/>
          </w:tcPr>
          <w:p>
            <w:pPr>
              <w:jc w:val="center"/>
              <w:ind w:left="1877"/>
              <w:spacing w:after="0"/>
              <w:rPr>
                <w:sz w:val="20"/>
                <w:szCs w:val="20"/>
                <w:color w:val="auto"/>
              </w:rPr>
            </w:pPr>
            <w:r>
              <w:rPr>
                <w:rFonts w:ascii="Arial" w:cs="Arial" w:eastAsia="Arial" w:hAnsi="Arial"/>
                <w:sz w:val="13"/>
                <w:szCs w:val="13"/>
                <w:b w:val="1"/>
                <w:bCs w:val="1"/>
                <w:color w:val="auto"/>
                <w:w w:val="89"/>
              </w:rPr>
              <w:t>(Full title of the plan)</w:t>
            </w:r>
          </w:p>
        </w:tc>
        <w:tc>
          <w:tcPr>
            <w:tcW w:w="1420" w:type="dxa"/>
            <w:vAlign w:val="bottom"/>
          </w:tcPr>
          <w:p>
            <w:pPr>
              <w:spacing w:after="0"/>
              <w:rPr>
                <w:sz w:val="16"/>
                <w:szCs w:val="16"/>
                <w:color w:val="auto"/>
              </w:rPr>
            </w:pPr>
          </w:p>
        </w:tc>
      </w:tr>
      <w:tr>
        <w:trPr>
          <w:trHeight w:val="234"/>
        </w:trPr>
        <w:tc>
          <w:tcPr>
            <w:tcW w:w="7580" w:type="dxa"/>
            <w:vAlign w:val="bottom"/>
          </w:tcPr>
          <w:p>
            <w:pPr>
              <w:jc w:val="center"/>
              <w:ind w:left="1877"/>
              <w:spacing w:after="0"/>
              <w:rPr>
                <w:sz w:val="20"/>
                <w:szCs w:val="20"/>
                <w:color w:val="auto"/>
              </w:rPr>
            </w:pPr>
            <w:r>
              <w:rPr>
                <w:rFonts w:ascii="Arial" w:cs="Arial" w:eastAsia="Arial" w:hAnsi="Arial"/>
                <w:sz w:val="18"/>
                <w:szCs w:val="18"/>
                <w:b w:val="1"/>
                <w:bCs w:val="1"/>
                <w:color w:val="auto"/>
                <w:w w:val="89"/>
              </w:rPr>
              <w:t>___________________________________________</w:t>
            </w:r>
          </w:p>
        </w:tc>
        <w:tc>
          <w:tcPr>
            <w:tcW w:w="1420" w:type="dxa"/>
            <w:vAlign w:val="bottom"/>
          </w:tcPr>
          <w:p>
            <w:pPr>
              <w:spacing w:after="0"/>
              <w:rPr>
                <w:sz w:val="20"/>
                <w:szCs w:val="20"/>
                <w:color w:val="auto"/>
              </w:rPr>
            </w:pPr>
          </w:p>
        </w:tc>
      </w:tr>
      <w:tr>
        <w:trPr>
          <w:trHeight w:val="414"/>
        </w:trPr>
        <w:tc>
          <w:tcPr>
            <w:tcW w:w="7580" w:type="dxa"/>
            <w:vAlign w:val="bottom"/>
          </w:tcPr>
          <w:p>
            <w:pPr>
              <w:jc w:val="center"/>
              <w:ind w:left="1897"/>
              <w:spacing w:after="0"/>
              <w:rPr>
                <w:sz w:val="20"/>
                <w:szCs w:val="20"/>
                <w:color w:val="auto"/>
              </w:rPr>
            </w:pPr>
            <w:r>
              <w:rPr>
                <w:rFonts w:ascii="Arial" w:cs="Arial" w:eastAsia="Arial" w:hAnsi="Arial"/>
                <w:sz w:val="18"/>
                <w:szCs w:val="18"/>
                <w:b w:val="1"/>
                <w:bCs w:val="1"/>
                <w:color w:val="auto"/>
                <w:w w:val="90"/>
              </w:rPr>
              <w:t>Alejandro Cestero</w:t>
            </w:r>
          </w:p>
        </w:tc>
        <w:tc>
          <w:tcPr>
            <w:tcW w:w="1420" w:type="dxa"/>
            <w:vAlign w:val="bottom"/>
          </w:tcPr>
          <w:p>
            <w:pPr>
              <w:spacing w:after="0"/>
              <w:rPr>
                <w:sz w:val="24"/>
                <w:szCs w:val="24"/>
                <w:color w:val="auto"/>
              </w:rPr>
            </w:pPr>
          </w:p>
        </w:tc>
      </w:tr>
      <w:tr>
        <w:trPr>
          <w:trHeight w:val="216"/>
        </w:trPr>
        <w:tc>
          <w:tcPr>
            <w:tcW w:w="7580" w:type="dxa"/>
            <w:vAlign w:val="bottom"/>
          </w:tcPr>
          <w:p>
            <w:pPr>
              <w:jc w:val="center"/>
              <w:ind w:left="1877"/>
              <w:spacing w:after="0"/>
              <w:rPr>
                <w:sz w:val="20"/>
                <w:szCs w:val="20"/>
                <w:color w:val="auto"/>
              </w:rPr>
            </w:pPr>
            <w:r>
              <w:rPr>
                <w:rFonts w:ascii="Arial" w:cs="Arial" w:eastAsia="Arial" w:hAnsi="Arial"/>
                <w:sz w:val="18"/>
                <w:szCs w:val="18"/>
                <w:b w:val="1"/>
                <w:bCs w:val="1"/>
                <w:color w:val="auto"/>
                <w:w w:val="93"/>
              </w:rPr>
              <w:t>Weatherford International plc</w:t>
            </w:r>
          </w:p>
        </w:tc>
        <w:tc>
          <w:tcPr>
            <w:tcW w:w="1420" w:type="dxa"/>
            <w:vAlign w:val="bottom"/>
          </w:tcPr>
          <w:p>
            <w:pPr>
              <w:spacing w:after="0"/>
              <w:rPr>
                <w:sz w:val="18"/>
                <w:szCs w:val="18"/>
                <w:color w:val="auto"/>
              </w:rPr>
            </w:pPr>
          </w:p>
        </w:tc>
      </w:tr>
      <w:tr>
        <w:trPr>
          <w:trHeight w:val="216"/>
        </w:trPr>
        <w:tc>
          <w:tcPr>
            <w:tcW w:w="7580" w:type="dxa"/>
            <w:vAlign w:val="bottom"/>
          </w:tcPr>
          <w:p>
            <w:pPr>
              <w:jc w:val="center"/>
              <w:ind w:left="1897"/>
              <w:spacing w:after="0"/>
              <w:rPr>
                <w:sz w:val="20"/>
                <w:szCs w:val="20"/>
                <w:color w:val="auto"/>
              </w:rPr>
            </w:pPr>
            <w:r>
              <w:rPr>
                <w:rFonts w:ascii="Arial" w:cs="Arial" w:eastAsia="Arial" w:hAnsi="Arial"/>
                <w:sz w:val="18"/>
                <w:szCs w:val="18"/>
                <w:b w:val="1"/>
                <w:bCs w:val="1"/>
                <w:color w:val="auto"/>
                <w:w w:val="90"/>
              </w:rPr>
              <w:t>Vice President, Co-General Counsel and Corporate Secretary</w:t>
            </w:r>
          </w:p>
        </w:tc>
        <w:tc>
          <w:tcPr>
            <w:tcW w:w="1420" w:type="dxa"/>
            <w:vAlign w:val="bottom"/>
          </w:tcPr>
          <w:p>
            <w:pPr>
              <w:spacing w:after="0"/>
              <w:rPr>
                <w:sz w:val="18"/>
                <w:szCs w:val="18"/>
                <w:color w:val="auto"/>
              </w:rPr>
            </w:pPr>
          </w:p>
        </w:tc>
      </w:tr>
      <w:tr>
        <w:trPr>
          <w:trHeight w:val="216"/>
        </w:trPr>
        <w:tc>
          <w:tcPr>
            <w:tcW w:w="7580" w:type="dxa"/>
            <w:vAlign w:val="bottom"/>
          </w:tcPr>
          <w:p>
            <w:pPr>
              <w:jc w:val="center"/>
              <w:ind w:left="1877"/>
              <w:spacing w:after="0"/>
              <w:rPr>
                <w:sz w:val="20"/>
                <w:szCs w:val="20"/>
                <w:color w:val="auto"/>
              </w:rPr>
            </w:pPr>
            <w:r>
              <w:rPr>
                <w:rFonts w:ascii="Arial" w:cs="Arial" w:eastAsia="Arial" w:hAnsi="Arial"/>
                <w:sz w:val="18"/>
                <w:szCs w:val="18"/>
                <w:b w:val="1"/>
                <w:bCs w:val="1"/>
                <w:color w:val="auto"/>
                <w:w w:val="87"/>
              </w:rPr>
              <w:t>2000 St. James Place</w:t>
            </w:r>
          </w:p>
        </w:tc>
        <w:tc>
          <w:tcPr>
            <w:tcW w:w="1420" w:type="dxa"/>
            <w:vAlign w:val="bottom"/>
          </w:tcPr>
          <w:p>
            <w:pPr>
              <w:spacing w:after="0"/>
              <w:rPr>
                <w:sz w:val="18"/>
                <w:szCs w:val="18"/>
                <w:color w:val="auto"/>
              </w:rPr>
            </w:pPr>
          </w:p>
        </w:tc>
      </w:tr>
      <w:tr>
        <w:trPr>
          <w:trHeight w:val="216"/>
        </w:trPr>
        <w:tc>
          <w:tcPr>
            <w:tcW w:w="7580" w:type="dxa"/>
            <w:vAlign w:val="bottom"/>
          </w:tcPr>
          <w:p>
            <w:pPr>
              <w:jc w:val="center"/>
              <w:ind w:left="1877"/>
              <w:spacing w:after="0"/>
              <w:rPr>
                <w:sz w:val="20"/>
                <w:szCs w:val="20"/>
                <w:color w:val="auto"/>
              </w:rPr>
            </w:pPr>
            <w:r>
              <w:rPr>
                <w:rFonts w:ascii="Arial" w:cs="Arial" w:eastAsia="Arial" w:hAnsi="Arial"/>
                <w:sz w:val="18"/>
                <w:szCs w:val="18"/>
                <w:b w:val="1"/>
                <w:bCs w:val="1"/>
                <w:color w:val="auto"/>
                <w:w w:val="87"/>
              </w:rPr>
              <w:t>Houston, Texas 77056</w:t>
            </w:r>
          </w:p>
        </w:tc>
        <w:tc>
          <w:tcPr>
            <w:tcW w:w="1420" w:type="dxa"/>
            <w:vAlign w:val="bottom"/>
          </w:tcPr>
          <w:p>
            <w:pPr>
              <w:spacing w:after="0"/>
              <w:rPr>
                <w:sz w:val="18"/>
                <w:szCs w:val="18"/>
                <w:color w:val="auto"/>
              </w:rPr>
            </w:pPr>
          </w:p>
        </w:tc>
      </w:tr>
      <w:tr>
        <w:trPr>
          <w:trHeight w:val="216"/>
        </w:trPr>
        <w:tc>
          <w:tcPr>
            <w:tcW w:w="7580" w:type="dxa"/>
            <w:vAlign w:val="bottom"/>
          </w:tcPr>
          <w:p>
            <w:pPr>
              <w:jc w:val="center"/>
              <w:ind w:left="1897"/>
              <w:spacing w:after="0"/>
              <w:rPr>
                <w:sz w:val="20"/>
                <w:szCs w:val="20"/>
                <w:color w:val="auto"/>
              </w:rPr>
            </w:pPr>
            <w:r>
              <w:rPr>
                <w:rFonts w:ascii="Arial" w:cs="Arial" w:eastAsia="Arial" w:hAnsi="Arial"/>
                <w:sz w:val="18"/>
                <w:szCs w:val="18"/>
                <w:b w:val="1"/>
                <w:bCs w:val="1"/>
                <w:color w:val="auto"/>
                <w:w w:val="90"/>
              </w:rPr>
              <w:t>(713) 836-4000</w:t>
            </w:r>
          </w:p>
        </w:tc>
        <w:tc>
          <w:tcPr>
            <w:tcW w:w="1420" w:type="dxa"/>
            <w:vAlign w:val="bottom"/>
          </w:tcPr>
          <w:p>
            <w:pPr>
              <w:spacing w:after="0"/>
              <w:rPr>
                <w:sz w:val="18"/>
                <w:szCs w:val="18"/>
                <w:color w:val="auto"/>
              </w:rPr>
            </w:pPr>
          </w:p>
        </w:tc>
      </w:tr>
      <w:tr>
        <w:trPr>
          <w:trHeight w:val="148"/>
        </w:trPr>
        <w:tc>
          <w:tcPr>
            <w:tcW w:w="7580" w:type="dxa"/>
            <w:vAlign w:val="bottom"/>
          </w:tcPr>
          <w:p>
            <w:pPr>
              <w:jc w:val="center"/>
              <w:ind w:left="1877"/>
              <w:spacing w:after="0" w:line="149" w:lineRule="exact"/>
              <w:rPr>
                <w:sz w:val="20"/>
                <w:szCs w:val="20"/>
                <w:color w:val="auto"/>
              </w:rPr>
            </w:pPr>
            <w:r>
              <w:rPr>
                <w:rFonts w:ascii="Arial" w:cs="Arial" w:eastAsia="Arial" w:hAnsi="Arial"/>
                <w:sz w:val="13"/>
                <w:szCs w:val="13"/>
                <w:b w:val="1"/>
                <w:bCs w:val="1"/>
                <w:color w:val="auto"/>
                <w:w w:val="85"/>
              </w:rPr>
              <w:t>(Name, address and telephone number, including area code, of agent for service)</w:t>
            </w:r>
          </w:p>
        </w:tc>
        <w:tc>
          <w:tcPr>
            <w:tcW w:w="1420" w:type="dxa"/>
            <w:vAlign w:val="bottom"/>
          </w:tcPr>
          <w:p>
            <w:pPr>
              <w:spacing w:after="0"/>
              <w:rPr>
                <w:sz w:val="12"/>
                <w:szCs w:val="12"/>
                <w:color w:val="auto"/>
              </w:rPr>
            </w:pPr>
          </w:p>
        </w:tc>
      </w:tr>
      <w:tr>
        <w:trPr>
          <w:trHeight w:val="234"/>
        </w:trPr>
        <w:tc>
          <w:tcPr>
            <w:tcW w:w="7580" w:type="dxa"/>
            <w:vAlign w:val="bottom"/>
          </w:tcPr>
          <w:p>
            <w:pPr>
              <w:jc w:val="center"/>
              <w:ind w:left="1877"/>
              <w:spacing w:after="0"/>
              <w:rPr>
                <w:sz w:val="20"/>
                <w:szCs w:val="20"/>
                <w:color w:val="auto"/>
              </w:rPr>
            </w:pPr>
            <w:r>
              <w:rPr>
                <w:rFonts w:ascii="Arial" w:cs="Arial" w:eastAsia="Arial" w:hAnsi="Arial"/>
                <w:sz w:val="18"/>
                <w:szCs w:val="18"/>
                <w:b w:val="1"/>
                <w:bCs w:val="1"/>
                <w:color w:val="auto"/>
                <w:w w:val="89"/>
              </w:rPr>
              <w:t>___________________________________________</w:t>
            </w:r>
          </w:p>
        </w:tc>
        <w:tc>
          <w:tcPr>
            <w:tcW w:w="1420" w:type="dxa"/>
            <w:vAlign w:val="bottom"/>
          </w:tcPr>
          <w:p>
            <w:pPr>
              <w:spacing w:after="0"/>
              <w:rPr>
                <w:sz w:val="20"/>
                <w:szCs w:val="20"/>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with copy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Jonathan B. Newton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Baker &amp; McKenzie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 Louisiana, Suite 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427-5000</w:t>
      </w:r>
    </w:p>
    <w:p>
      <w:pPr>
        <w:spacing w:after="0" w:line="9" w:lineRule="exact"/>
        <w:rPr>
          <w:rFonts w:ascii="Arial" w:cs="Arial" w:eastAsia="Arial" w:hAnsi="Arial"/>
          <w:sz w:val="18"/>
          <w:szCs w:val="18"/>
          <w:b w:val="1"/>
          <w:bCs w:val="1"/>
          <w:color w:val="auto"/>
        </w:rPr>
      </w:pPr>
    </w:p>
    <w:p>
      <w:pPr>
        <w:ind w:left="37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___________________________________________</w:t>
      </w:r>
    </w:p>
    <w:p>
      <w:pPr>
        <w:spacing w:after="0" w:line="21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4" w:lineRule="exact"/>
        <w:rPr>
          <w:sz w:val="24"/>
          <w:szCs w:val="24"/>
          <w:color w:val="auto"/>
        </w:rPr>
      </w:pPr>
    </w:p>
    <w:tbl>
      <w:tblPr>
        <w:tblLayout w:type="fixed"/>
        <w:tblInd w:w="480" w:type="dxa"/>
        <w:tblCellMar>
          <w:top w:w="0" w:type="dxa"/>
          <w:left w:w="0" w:type="dxa"/>
          <w:bottom w:w="0" w:type="dxa"/>
          <w:right w:w="0" w:type="dxa"/>
        </w:tblCellMar>
      </w:tblPr>
      <w:tr>
        <w:trPr>
          <w:trHeight w:val="235"/>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680" w:type="dxa"/>
            <w:vAlign w:val="bottom"/>
          </w:tcPr>
          <w:p>
            <w:pPr>
              <w:ind w:left="360"/>
              <w:spacing w:after="0"/>
              <w:rPr>
                <w:sz w:val="20"/>
                <w:szCs w:val="20"/>
                <w:color w:val="auto"/>
              </w:rPr>
            </w:pPr>
            <w:r>
              <w:rPr>
                <w:rFonts w:ascii="Arial" w:cs="Arial" w:eastAsia="Arial" w:hAnsi="Arial"/>
                <w:sz w:val="18"/>
                <w:szCs w:val="18"/>
                <w:color w:val="auto"/>
              </w:rPr>
              <w:t>x</w:t>
            </w:r>
          </w:p>
        </w:tc>
        <w:tc>
          <w:tcPr>
            <w:tcW w:w="3220" w:type="dxa"/>
            <w:vAlign w:val="bottom"/>
          </w:tcPr>
          <w:p>
            <w:pPr>
              <w:ind w:left="82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440"/>
              <w:spacing w:after="0"/>
              <w:rPr>
                <w:sz w:val="20"/>
                <w:szCs w:val="20"/>
                <w:color w:val="auto"/>
              </w:rPr>
            </w:pPr>
            <w:r>
              <w:rPr>
                <w:rFonts w:ascii="Arial" w:cs="Arial" w:eastAsia="Arial" w:hAnsi="Arial"/>
                <w:sz w:val="10"/>
                <w:szCs w:val="10"/>
                <w:color w:val="auto"/>
                <w:w w:val="71"/>
              </w:rPr>
              <w:t>o</w:t>
            </w:r>
          </w:p>
        </w:tc>
      </w:tr>
      <w:tr>
        <w:trPr>
          <w:trHeight w:val="500"/>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4680" w:type="dxa"/>
            <w:vAlign w:val="bottom"/>
          </w:tcPr>
          <w:p>
            <w:pPr>
              <w:ind w:left="360"/>
              <w:spacing w:after="0"/>
              <w:rPr>
                <w:sz w:val="20"/>
                <w:szCs w:val="20"/>
                <w:color w:val="auto"/>
              </w:rPr>
            </w:pPr>
            <w:r>
              <w:rPr>
                <w:rFonts w:ascii="Arial" w:cs="Arial" w:eastAsia="Arial" w:hAnsi="Arial"/>
                <w:sz w:val="14"/>
                <w:szCs w:val="14"/>
                <w:color w:val="auto"/>
              </w:rPr>
              <w:t xml:space="preserve">o </w:t>
            </w:r>
            <w:r>
              <w:rPr>
                <w:rFonts w:ascii="Arial" w:cs="Arial" w:eastAsia="Arial" w:hAnsi="Arial"/>
                <w:sz w:val="18"/>
                <w:szCs w:val="18"/>
                <w:color w:val="auto"/>
              </w:rPr>
              <w:t>(Do not check if a smaller reporting company)</w:t>
            </w:r>
          </w:p>
        </w:tc>
        <w:tc>
          <w:tcPr>
            <w:tcW w:w="3220" w:type="dxa"/>
            <w:vAlign w:val="bottom"/>
          </w:tcPr>
          <w:p>
            <w:pPr>
              <w:ind w:left="82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440"/>
              <w:spacing w:after="0"/>
              <w:rPr>
                <w:sz w:val="20"/>
                <w:szCs w:val="20"/>
                <w:color w:val="auto"/>
              </w:rPr>
            </w:pPr>
            <w:r>
              <w:rPr>
                <w:rFonts w:ascii="Arial" w:cs="Arial" w:eastAsia="Arial" w:hAnsi="Arial"/>
                <w:sz w:val="10"/>
                <w:szCs w:val="10"/>
                <w:color w:val="auto"/>
                <w:w w:val="71"/>
              </w:rPr>
              <w:t>o</w:t>
            </w:r>
          </w:p>
        </w:tc>
      </w:tr>
    </w:tbl>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7"/>
          <w:szCs w:val="17"/>
          <w:color w:val="auto"/>
        </w:rPr>
        <w:t>This Post-Effective Amendment No. 1 to Registration Statement on Form S-8, Registration No. 333</w:t>
      </w:r>
      <w:r>
        <w:rPr>
          <w:rFonts w:ascii="MS PGothic" w:cs="MS PGothic" w:eastAsia="MS PGothic" w:hAnsi="MS PGothic"/>
          <w:sz w:val="17"/>
          <w:szCs w:val="17"/>
          <w:color w:val="auto"/>
        </w:rPr>
        <w:t>‑</w:t>
      </w:r>
      <w:r>
        <w:rPr>
          <w:rFonts w:ascii="Arial" w:cs="Arial" w:eastAsia="Arial" w:hAnsi="Arial"/>
          <w:sz w:val="17"/>
          <w:szCs w:val="17"/>
          <w:color w:val="auto"/>
        </w:rPr>
        <w:t>167959 (as amended, this “Registration Statement”) is being filed pursuant to Rule 414 under the Securities Act of 1933, as amended (the “Securities Act”), by Weatherford International plc, a public limited company organized under the laws of Ireland (“Weatherford Ireland”), as the successor issuer to Weatherford International Ltd., a Swiss joint</w:t>
      </w:r>
      <w:r>
        <w:rPr>
          <w:rFonts w:ascii="MS PGothic" w:cs="MS PGothic" w:eastAsia="MS PGothic" w:hAnsi="MS PGothic"/>
          <w:sz w:val="17"/>
          <w:szCs w:val="17"/>
          <w:color w:val="auto"/>
        </w:rPr>
        <w:t>‑</w:t>
      </w:r>
      <w:r>
        <w:rPr>
          <w:rFonts w:ascii="Arial" w:cs="Arial" w:eastAsia="Arial" w:hAnsi="Arial"/>
          <w:sz w:val="17"/>
          <w:szCs w:val="17"/>
          <w:color w:val="auto"/>
        </w:rPr>
        <w:t>stock corporation (“Weatherford Switzerland”), to reflect a merger transaction whereby Weatherford Ireland became the new public holding company and the parent of the Weatherford group of companies (the “Merger”). The Merger was effected through a merger agreement between Weatherford Switzerland and Weatherford Ireland, dated as of April 2, 2014, pursuant to which each registered share of Weatherford Switzerland was cancelled as consideration for the allotment of one ordinary share of Weatherford Ireland (excluding shares held by, or for the benefit of, Weatherford Switzerland or any of its subsidiaries). In connection with the Merger, Weatherford Ireland assumed Weatherford Switzerland’s obligation to deliver shares under the Weatherford International plc 2010 Omnibus Incentive Plan (f/k/a Weatherford International Ltd. 2010 Omnibus Incentive Plan) (the “Plan”). Consequently, ordinary shares of Weatherford Ireland will henceforth be issuable under the Plan in lieu of the registered shares of Weatherford Switzerland. Weatherford Ireland hereby expressly adopts the Registration Statement as its own registration statement for all purposes of the Securities Act and the Securities Exchange Act of 1934, as amended (the “Exchange Act”).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document(s) containing the employee benefit plan information required by Item 1 of Form S-8 and the statement of availability of registrant information and any other information required by Item 2 of Form S-8 will be sent or given to participants as specified by Rule 428 under the Securities Act. In accordance with Rule 428 and the requirements of Part I of Form S-8, such documents are not being filed with the United States Securities and Exchange Commission (the “Commission”) either as part of this Registration Statement or as prospectuses or prospectus supplements pursuant to Rule 424 under the Securities Act. The registrant will maintain a file of such documents in accordance with the provisions of Rule 428. Upon request, the registrant will furnish to the Commission or its staff a copy of any or all of the documents included in such file.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documents, which Weatherford Switzerland or Weatherford Ireland has filed with the Commission pursuant to the Exchange Act, are incorporated in this Registration Statement by reference and shall be deemed to be a part hereof:</w:t>
      </w:r>
    </w:p>
    <w:p>
      <w:pPr>
        <w:spacing w:after="0" w:line="170" w:lineRule="exact"/>
        <w:rPr>
          <w:sz w:val="20"/>
          <w:szCs w:val="20"/>
          <w:color w:val="auto"/>
        </w:rPr>
      </w:pPr>
    </w:p>
    <w:p>
      <w:pPr>
        <w:ind w:left="660" w:right="20" w:hanging="26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Switzerland’s Annual Report on Form 10-K for the fiscal year ended December 31, 2013, as filed with the Commission on February 25, 2014;</w:t>
      </w:r>
    </w:p>
    <w:p>
      <w:pPr>
        <w:spacing w:after="0" w:line="8" w:lineRule="exact"/>
        <w:rPr>
          <w:rFonts w:ascii="Arial" w:cs="Arial" w:eastAsia="Arial" w:hAnsi="Arial"/>
          <w:sz w:val="18"/>
          <w:szCs w:val="18"/>
          <w:color w:val="auto"/>
        </w:rPr>
      </w:pPr>
    </w:p>
    <w:p>
      <w:pPr>
        <w:ind w:left="660" w:right="20" w:hanging="26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Switzerland’s Amendment No. 1 to its Annual Report on Form 10-K for the fiscal year ended December 31, 2013, as filed with the Commission on April 16, 2014;</w:t>
      </w:r>
    </w:p>
    <w:p>
      <w:pPr>
        <w:spacing w:after="0" w:line="8" w:lineRule="exact"/>
        <w:rPr>
          <w:rFonts w:ascii="Arial" w:cs="Arial" w:eastAsia="Arial" w:hAnsi="Arial"/>
          <w:sz w:val="18"/>
          <w:szCs w:val="18"/>
          <w:color w:val="auto"/>
        </w:rPr>
      </w:pPr>
    </w:p>
    <w:p>
      <w:pPr>
        <w:ind w:left="660" w:hanging="260"/>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Weatherford Switzerland’s Quarterly Report on Form 10-Q for the quarter ended March 31, 2014, as filed with the Commission on April 29, 2014;</w:t>
      </w:r>
    </w:p>
    <w:p>
      <w:pPr>
        <w:spacing w:after="0" w:line="86" w:lineRule="exact"/>
        <w:rPr>
          <w:rFonts w:ascii="Arial" w:cs="Arial" w:eastAsia="Arial" w:hAnsi="Arial"/>
          <w:sz w:val="16"/>
          <w:szCs w:val="16"/>
          <w:color w:val="auto"/>
        </w:rPr>
      </w:pPr>
    </w:p>
    <w:p>
      <w:pPr>
        <w:jc w:val="both"/>
        <w:ind w:left="660" w:hanging="260"/>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Switzerland’s Current Reports on Form 8-K (other than information furnished rather than filed and corresponding information furnished under Item 9.01 or included as an exhibit thereto) filed with the Commission on February 3, 2014, February 25, 2014, March 4, 2014, April 2, 2014, April 10, 2014, April 24, 2014 and June 17, 2014;</w:t>
      </w:r>
    </w:p>
    <w:p>
      <w:pPr>
        <w:spacing w:after="0" w:line="19" w:lineRule="exact"/>
        <w:rPr>
          <w:rFonts w:ascii="Arial" w:cs="Arial" w:eastAsia="Arial" w:hAnsi="Arial"/>
          <w:sz w:val="18"/>
          <w:szCs w:val="18"/>
          <w:color w:val="auto"/>
        </w:rPr>
      </w:pPr>
    </w:p>
    <w:p>
      <w:pPr>
        <w:ind w:left="660" w:right="20" w:hanging="26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Ireland’s Current Report on Form 8-K, as filed with the Commission (other than information furnished rather than filed and corresponding information furnished under Item 9.01 or included as an exhibit thereto) on June 17, 2014; and</w:t>
      </w:r>
    </w:p>
    <w:p>
      <w:pPr>
        <w:spacing w:after="0" w:line="8" w:lineRule="exact"/>
        <w:rPr>
          <w:rFonts w:ascii="Arial" w:cs="Arial" w:eastAsia="Arial" w:hAnsi="Arial"/>
          <w:sz w:val="18"/>
          <w:szCs w:val="18"/>
          <w:color w:val="auto"/>
        </w:rPr>
      </w:pPr>
    </w:p>
    <w:p>
      <w:pPr>
        <w:ind w:left="660" w:hanging="26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Weatherford Ireland’s Ordinary Shares contained in Item 8.01 of Weatherford Ireland’s Current Report on Form 8-K, as filed with the Commission on June 17, 2014.</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document filed by Weatherford Ireland with the Commission pursuant to Sections 13(a), 13(c), 14 and 15(d) of the Exchange Act (other than information furnished rather than filed and corresponding information furnished under Item 9.01 of Form 8-K or included as an exhibit thereto), subsequent to the date of this Registration Statement and prior to the filing of any further post-effective amendment to this Registration Statement which indicates that all securities offered herby have been sold</w:t>
      </w:r>
    </w:p>
    <w:p>
      <w:pPr>
        <w:sectPr>
          <w:pgSz w:w="11900" w:h="16838" w:orient="portrait"/>
          <w:cols w:equalWidth="0" w:num="1">
            <w:col w:w="11420"/>
          </w:cols>
          <w:pgMar w:left="240" w:top="580" w:right="239" w:bottom="1440" w:gutter="0" w:footer="0" w:header="0"/>
        </w:sectPr>
      </w:pPr>
    </w:p>
    <w:bookmarkStart w:id="2" w:name="page3"/>
    <w:bookmarkEnd w:id="2"/>
    <w:p>
      <w:pPr>
        <w:jc w:val="both"/>
        <w:ind w:right="20"/>
        <w:spacing w:after="0" w:line="277" w:lineRule="auto"/>
        <w:rPr>
          <w:sz w:val="20"/>
          <w:szCs w:val="20"/>
          <w:color w:val="auto"/>
        </w:rPr>
      </w:pPr>
      <w:r>
        <w:rPr>
          <w:rFonts w:ascii="Arial" w:cs="Arial" w:eastAsia="Arial" w:hAnsi="Arial"/>
          <w:sz w:val="18"/>
          <w:szCs w:val="18"/>
          <w:color w:val="auto"/>
        </w:rPr>
        <w:t>or which deregisters all securities then remaining unsold, shall be deemed to be incorporated by reference in this Registration Statement and to be a part hereof from the date of filing of such documents.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herein, in any amendment hereto or in a document incorporated by reference herein shall be deemed to be modified or superseded for purposes of this Registration Statement to the extent that a statement contained herein or in any subsequently-filed amendment to this Registration Statement or in any document that also is incorporated by reference herein modifies or supersedes such statement. Any statement so modified or superseded shall not be deemed, except as so modified or superseded, to constitute a part of this Registration Statement.</w:t>
      </w:r>
    </w:p>
    <w:p>
      <w:pPr>
        <w:spacing w:after="0" w:line="1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Weatherford Ireland’s memorandum and articles of association confer an indemnity on its directors and officers, which is limited by the Irish Companies Acts 1963-2013 (the “Irish Companies Acts”). The Irish Companies Acts prescribe that such an indemnity, in effect, only permits a company to pay the costs or discharge the liability of a director or the secretary in defending proceedings, whether civil or criminal, in which judgment is given in his or her favor or in which he or she is acquitted, or where an Irish court otherwise grants relief because the director or the secretary acted honestly and reasonably and ought fairly to be excused. This restriction in the Irish Companies Acts does not apply to executives who are not directors or the secretary of Weatherford Ireland. Any provision whereby an Irish company seeks to indemnify its directors or its secretary over and above this shall be void under Irish law, whether contained in its articles of association or any contract between the director and the Irish company.</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Weatherford Ireland’s articles of association also contain indemnification and expense advancement provisions for persons who are not directors or the secretary of Weatherford Ireland.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Irish companies may take out directors and officers liability insurance as well as other types of insurance, for their directors and officers.</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Weatherford Ireland and Weatherford International Ltd. (“Weatherford Bermuda”), a Bermuda exempted company and wholly owned, indirect subsidiary of Weatherford Ireland have entered (and/or, if required, any other subsidiary of Weatherford Ireland may enter) into indemnification agreements (or deed poll indemnities) with or as to each of Weatherford Ireland’s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Irish law, a company may not exempt any director or the secretary from liability for negligence, default, breach of duty or breach of trust of which he or she may be guilty in relation to the company. However, where a breach of duty has been established, directors or the secretary may be statutorily exempted by an Irish court from personal liability for negligence or breach of duty if, among other things, the court determines that they have acted honestly and reasonably, and that they may fairly be excused as a result.</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584" w:right="239" w:bottom="1440" w:gutter="0" w:footer="0" w:header="0"/>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a part of this registration statement or incorporated by reference herein: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Exhibit Number</w:t>
            </w:r>
          </w:p>
        </w:tc>
        <w:tc>
          <w:tcPr>
            <w:tcW w:w="958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411"/>
        </w:trPr>
        <w:tc>
          <w:tcPr>
            <w:tcW w:w="172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7"/>
              </w:rPr>
              <w:t>Memorandum and Articles of Association of Weatherford International public limited company (incorporated by reference to</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Exhibit 3.1 to Weatherford International plc’s Current Report on Form 8-K filed on June 17,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1"/>
              </w:rPr>
              <w:t>Weatherford International plc 2010 Omnibus Incentive Plan (as Amended and Restated) (incorporated by reference to Exhibit 10.6</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to Weatherford International plc’s Current Report on Form 8-K filed on June 17,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9"/>
              </w:rPr>
              <w:t>Form or Restricted Share Unit Award Agreement pursuant to Weatherford International plc 2010 Omnibus Incentive Plan</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3"/>
              </w:rPr>
              <w:t>(incorporated by reference to Exhibit 10.7 to Weatherford International plc’s Current Report on Form 8-K filed on June 17,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1"/>
              </w:rPr>
              <w:t>Form of Performance Unit Award Agreement pursuant to Weatherford International plc 2010 Omnibus Incentive Plan (incorporated</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by reference to Exhibit 10.8 to Weatherford International plc’s Current Report on Form 8-K filed on June 17,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4"/>
              </w:rPr>
              <w:t>Form of Restricted Share Unit Award Agreement - U.K. pursuant to Weatherford International plc 2010 Omnibus Incentive Plan</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3"/>
              </w:rPr>
              <w:t>(incorporated by reference to Exhibit 10.9 to Weatherford International plc’s Current Report on Form 8-K filed on June 17, 2014).</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Opinion of Matheson regarding the legality of securities being registered.</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KPMG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Ernst &amp; Young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Matheson (included in Exhibit 5.1).</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Power of Attorney (included on the signature page to the Registration Statement).</w:t>
            </w:r>
          </w:p>
        </w:tc>
      </w:tr>
    </w:tbl>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63" w:lineRule="exact"/>
        <w:rPr>
          <w:rFonts w:ascii="Arial" w:cs="Arial" w:eastAsia="Arial" w:hAnsi="Arial"/>
          <w:sz w:val="18"/>
          <w:szCs w:val="18"/>
          <w:color w:val="auto"/>
        </w:rPr>
      </w:pPr>
    </w:p>
    <w:p>
      <w:pPr>
        <w:ind w:left="1960" w:hanging="331"/>
        <w:spacing w:after="0"/>
        <w:tabs>
          <w:tab w:leader="none" w:pos="196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63" w:lineRule="exact"/>
        <w:rPr>
          <w:rFonts w:ascii="Arial" w:cs="Arial" w:eastAsia="Arial" w:hAnsi="Arial"/>
          <w:sz w:val="18"/>
          <w:szCs w:val="18"/>
          <w:color w:val="auto"/>
        </w:rPr>
      </w:pPr>
    </w:p>
    <w:p>
      <w:pPr>
        <w:jc w:val="both"/>
        <w:ind w:left="1960" w:hanging="331"/>
        <w:spacing w:after="0" w:line="291" w:lineRule="auto"/>
        <w:tabs>
          <w:tab w:leader="none" w:pos="1960" w:val="left"/>
        </w:tabs>
        <w:numPr>
          <w:ilvl w:val="2"/>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5" w:lineRule="exact"/>
        <w:rPr>
          <w:rFonts w:ascii="Arial" w:cs="Arial" w:eastAsia="Arial" w:hAnsi="Arial"/>
          <w:sz w:val="16"/>
          <w:szCs w:val="16"/>
          <w:color w:val="auto"/>
        </w:rPr>
      </w:pPr>
    </w:p>
    <w:p>
      <w:pPr>
        <w:jc w:val="both"/>
        <w:ind w:left="1960" w:hanging="331"/>
        <w:spacing w:after="0" w:line="276" w:lineRule="auto"/>
        <w:tabs>
          <w:tab w:leader="none" w:pos="1960"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 provided, however, that the undertakings set forth in paragraphs (a)(1)(i) and (a)(1)(ii)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0" w:lineRule="exact"/>
        <w:rPr>
          <w:rFonts w:ascii="Arial" w:cs="Arial" w:eastAsia="Arial" w:hAnsi="Arial"/>
          <w:sz w:val="17"/>
          <w:szCs w:val="17"/>
          <w:color w:val="auto"/>
        </w:rPr>
      </w:pPr>
    </w:p>
    <w:p>
      <w:pPr>
        <w:jc w:val="both"/>
        <w:ind w:left="1300" w:hanging="320"/>
        <w:spacing w:after="0" w:line="221" w:lineRule="exact"/>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w:t>
      </w:r>
      <w:r>
        <w:rPr>
          <w:rFonts w:ascii="MS PGothic" w:cs="MS PGothic" w:eastAsia="MS PGothic" w:hAnsi="MS PGothic"/>
          <w:sz w:val="18"/>
          <w:szCs w:val="18"/>
          <w:color w:val="auto"/>
        </w:rPr>
        <w:t>‑</w:t>
      </w:r>
      <w:r>
        <w:rPr>
          <w:rFonts w:ascii="Arial" w:cs="Arial" w:eastAsia="Arial" w:hAnsi="Arial"/>
          <w:sz w:val="18"/>
          <w:szCs w:val="18"/>
          <w:color w:val="auto"/>
        </w:rPr>
        <w:t>effective amendment shall be deemed to be a new registration statement relating to the securities offered therein, and the offering of such securities at that time shall be deemed to be the initial bona fide offering thereof.</w:t>
      </w:r>
    </w:p>
    <w:p>
      <w:pPr>
        <w:spacing w:after="0" w:line="39"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w:t>
      </w:r>
    </w:p>
    <w:p>
      <w:pPr>
        <w:sectPr>
          <w:pgSz w:w="11900" w:h="16838" w:orient="portrait"/>
          <w:cols w:equalWidth="0" w:num="1">
            <w:col w:w="11420"/>
          </w:cols>
          <w:pgMar w:left="240" w:top="580" w:right="239" w:bottom="1440" w:gutter="0" w:footer="0" w:header="0"/>
        </w:sectPr>
      </w:pPr>
    </w:p>
    <w:bookmarkStart w:id="4" w:name="page5"/>
    <w:bookmarkEnd w:id="4"/>
    <w:p>
      <w:pPr>
        <w:jc w:val="both"/>
        <w:ind w:left="328"/>
        <w:spacing w:after="0" w:line="305" w:lineRule="auto"/>
        <w:rPr>
          <w:sz w:val="20"/>
          <w:szCs w:val="20"/>
          <w:color w:val="auto"/>
        </w:rPr>
      </w:pPr>
      <w:r>
        <w:rPr>
          <w:rFonts w:ascii="Arial" w:cs="Arial" w:eastAsia="Arial" w:hAnsi="Arial"/>
          <w:sz w:val="18"/>
          <w:szCs w:val="18"/>
          <w:color w:val="auto"/>
        </w:rPr>
        <w:t>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 w:lineRule="exact"/>
        <w:rPr>
          <w:sz w:val="20"/>
          <w:szCs w:val="20"/>
          <w:color w:val="auto"/>
        </w:rPr>
      </w:pPr>
    </w:p>
    <w:p>
      <w:pPr>
        <w:jc w:val="both"/>
        <w:ind w:left="328" w:hanging="328"/>
        <w:spacing w:after="0" w:line="254"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88"/>
          </w:cols>
          <w:pgMar w:left="572" w:top="61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Post</w:t>
      </w:r>
      <w:r>
        <w:rPr>
          <w:rFonts w:ascii="MS PGothic" w:cs="MS PGothic" w:eastAsia="MS PGothic" w:hAnsi="MS PGothic"/>
          <w:sz w:val="18"/>
          <w:szCs w:val="18"/>
          <w:color w:val="auto"/>
        </w:rPr>
        <w:t>‑</w:t>
      </w:r>
      <w:r>
        <w:rPr>
          <w:rFonts w:ascii="Arial" w:cs="Arial" w:eastAsia="Arial" w:hAnsi="Arial"/>
          <w:sz w:val="18"/>
          <w:szCs w:val="18"/>
          <w:color w:val="auto"/>
        </w:rPr>
        <w:t>Effective Amendment No. 1 to the Registration Statement to be signed on its behalf by the undersigned, thereunto duly authorized, in the City of Houston, State of Texas on June 17, 2014.</w:t>
      </w:r>
    </w:p>
    <w:p>
      <w:pPr>
        <w:ind w:left="4000"/>
        <w:spacing w:after="0"/>
        <w:rPr>
          <w:sz w:val="20"/>
          <w:szCs w:val="20"/>
          <w:color w:val="auto"/>
        </w:rPr>
      </w:pPr>
      <w:r>
        <w:rPr>
          <w:rFonts w:ascii="Arial" w:cs="Arial" w:eastAsia="Arial" w:hAnsi="Arial"/>
          <w:sz w:val="18"/>
          <w:szCs w:val="18"/>
          <w:b w:val="1"/>
          <w:bCs w:val="1"/>
          <w:color w:val="auto"/>
        </w:rPr>
        <w:t>WEATHERFORD INTERNATIONAL PLC</w:t>
      </w:r>
    </w:p>
    <w:p>
      <w:pPr>
        <w:spacing w:after="0" w:line="15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/s/Dr. Bernard J. Duroc-Danner</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Dr. Bernard J. Duroc-Danner</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President, Chief Executive Officer, Chairman of the Board</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and Director (Principal Executive Officer)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Dr. Bernard J. Duroc-Danner and Alejandro Cestero, and each of them (with full power to act alone), as his true and lawful attorneys-in-fact and agents, with full power of substitution and re-substitution, for him in his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on Form S-8 has been signed by the following persons in the capacities indicated below on June 17, 2014.</w:t>
      </w:r>
    </w:p>
    <w:p>
      <w:pPr>
        <w:sectPr>
          <w:pgSz w:w="11900" w:h="16838" w:orient="portrait"/>
          <w:cols w:equalWidth="0" w:num="1">
            <w:col w:w="11420"/>
          </w:cols>
          <w:pgMar w:left="240" w:top="580" w:right="239" w:bottom="1440" w:gutter="0" w:footer="0" w:header="0"/>
        </w:sectPr>
      </w:pPr>
    </w:p>
    <w:p>
      <w:pPr>
        <w:spacing w:after="0" w:line="112"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34290</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jc w:val="center"/>
        <w:ind w:left="980"/>
        <w:spacing w:after="0"/>
        <w:rPr>
          <w:sz w:val="20"/>
          <w:szCs w:val="20"/>
          <w:color w:val="auto"/>
        </w:rPr>
      </w:pPr>
      <w:r>
        <w:rPr>
          <w:rFonts w:ascii="Arial" w:cs="Arial" w:eastAsia="Arial" w:hAnsi="Arial"/>
          <w:sz w:val="16"/>
          <w:szCs w:val="16"/>
          <w:u w:val="single" w:color="auto"/>
          <w:color w:val="auto"/>
        </w:rPr>
        <w:t>/s/Dr. Bernard J. Duroc-Danner</w:t>
      </w:r>
    </w:p>
    <w:p>
      <w:pPr>
        <w:spacing w:after="0" w:line="46" w:lineRule="exact"/>
        <w:rPr>
          <w:sz w:val="20"/>
          <w:szCs w:val="20"/>
          <w:color w:val="auto"/>
        </w:rPr>
      </w:pPr>
    </w:p>
    <w:p>
      <w:pPr>
        <w:jc w:val="center"/>
        <w:ind w:left="980"/>
        <w:spacing w:after="0"/>
        <w:rPr>
          <w:sz w:val="20"/>
          <w:szCs w:val="20"/>
          <w:color w:val="auto"/>
        </w:rPr>
      </w:pPr>
      <w:r>
        <w:rPr>
          <w:rFonts w:ascii="Arial" w:cs="Arial" w:eastAsia="Arial" w:hAnsi="Arial"/>
          <w:sz w:val="17"/>
          <w:szCs w:val="17"/>
          <w:color w:val="auto"/>
        </w:rPr>
        <w:t>Dr. Bernard J. Duroc-Danner</w:t>
      </w:r>
    </w:p>
    <w:p>
      <w:pPr>
        <w:spacing w:after="0" w:line="60" w:lineRule="exact"/>
        <w:rPr>
          <w:sz w:val="20"/>
          <w:szCs w:val="20"/>
          <w:color w:val="auto"/>
        </w:rPr>
      </w:pPr>
    </w:p>
    <w:p>
      <w:pPr>
        <w:ind w:left="1680"/>
        <w:spacing w:after="0"/>
        <w:rPr>
          <w:sz w:val="20"/>
          <w:szCs w:val="20"/>
          <w:color w:val="auto"/>
        </w:rPr>
      </w:pPr>
      <w:r>
        <w:rPr>
          <w:rFonts w:ascii="Arial" w:cs="Arial" w:eastAsia="Arial" w:hAnsi="Arial"/>
          <w:sz w:val="18"/>
          <w:szCs w:val="18"/>
          <w:u w:val="single" w:color="auto"/>
          <w:color w:val="auto"/>
        </w:rPr>
        <w:t>/s/Krishna Shivram</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Krishna Shivram</w:t>
      </w:r>
    </w:p>
    <w:p>
      <w:pPr>
        <w:spacing w:after="0" w:line="49" w:lineRule="exact"/>
        <w:rPr>
          <w:sz w:val="20"/>
          <w:szCs w:val="20"/>
          <w:color w:val="auto"/>
        </w:rPr>
      </w:pPr>
    </w:p>
    <w:p>
      <w:pPr>
        <w:ind w:left="1640"/>
        <w:spacing w:after="0"/>
        <w:rPr>
          <w:sz w:val="20"/>
          <w:szCs w:val="20"/>
          <w:color w:val="auto"/>
        </w:rPr>
      </w:pPr>
      <w:r>
        <w:rPr>
          <w:rFonts w:ascii="Arial" w:cs="Arial" w:eastAsia="Arial" w:hAnsi="Arial"/>
          <w:sz w:val="18"/>
          <w:szCs w:val="18"/>
          <w:u w:val="single" w:color="auto"/>
          <w:color w:val="auto"/>
        </w:rPr>
        <w:t>/s/Douglas M. Mills</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Douglas M. Mills</w:t>
      </w:r>
    </w:p>
    <w:p>
      <w:pPr>
        <w:spacing w:after="0" w:line="49" w:lineRule="exact"/>
        <w:rPr>
          <w:sz w:val="20"/>
          <w:szCs w:val="20"/>
          <w:color w:val="auto"/>
        </w:rPr>
      </w:pPr>
    </w:p>
    <w:p>
      <w:pPr>
        <w:jc w:val="right"/>
        <w:ind w:right="800"/>
        <w:spacing w:after="0"/>
        <w:rPr>
          <w:sz w:val="20"/>
          <w:szCs w:val="20"/>
          <w:color w:val="auto"/>
        </w:rPr>
      </w:pPr>
      <w:r>
        <w:rPr>
          <w:rFonts w:ascii="Arial" w:cs="Arial" w:eastAsia="Arial" w:hAnsi="Arial"/>
          <w:sz w:val="18"/>
          <w:szCs w:val="18"/>
          <w:u w:val="single" w:color="auto"/>
          <w:color w:val="auto"/>
        </w:rPr>
        <w:t>/s/David J. Butters</w:t>
      </w:r>
    </w:p>
    <w:p>
      <w:pPr>
        <w:spacing w:after="0" w:line="23" w:lineRule="exact"/>
        <w:rPr>
          <w:sz w:val="20"/>
          <w:szCs w:val="20"/>
          <w:color w:val="auto"/>
        </w:rPr>
      </w:pPr>
    </w:p>
    <w:p>
      <w:pPr>
        <w:jc w:val="right"/>
        <w:ind w:right="800"/>
        <w:spacing w:after="0"/>
        <w:rPr>
          <w:sz w:val="20"/>
          <w:szCs w:val="20"/>
          <w:color w:val="auto"/>
        </w:rPr>
      </w:pPr>
      <w:r>
        <w:rPr>
          <w:rFonts w:ascii="Arial" w:cs="Arial" w:eastAsia="Arial" w:hAnsi="Arial"/>
          <w:sz w:val="18"/>
          <w:szCs w:val="18"/>
          <w:color w:val="auto"/>
        </w:rPr>
        <w:t>David J. Butters</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/s/John D. Gass</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John D. Gass</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/s/Francis S. Kalman</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Francis S. Kalman</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/s/William E. Macaulay</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William E. Macaulay</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/s/Robert K. Moses, Jr.</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Robert K. Moses, Jr.</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/s/Dr. Guillermo Ortiz</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Dr. Guillermo Ortiz</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/s/Sir Emyr Jones Parry</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Sir Emyr Jones Parry</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/s/Robert A. Rayne</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Robert A. Rayne</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/s/Alejandro Cestero</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Alejandro Cestero</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34290</wp:posOffset>
            </wp:positionV>
            <wp:extent cx="4159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59250" cy="8890"/>
                    </a:xfrm>
                    <a:prstGeom prst="rect">
                      <a:avLst/>
                    </a:prstGeom>
                    <a:noFill/>
                  </pic:spPr>
                </pic:pic>
              </a:graphicData>
            </a:graphic>
          </wp:anchor>
        </w:drawing>
      </w:r>
    </w:p>
    <w:p>
      <w:pPr>
        <w:spacing w:after="0" w:line="61" w:lineRule="exact"/>
        <w:rPr>
          <w:sz w:val="20"/>
          <w:szCs w:val="20"/>
          <w:color w:val="auto"/>
        </w:rPr>
      </w:pPr>
    </w:p>
    <w:p>
      <w:pPr>
        <w:ind w:right="1760"/>
        <w:spacing w:after="0" w:line="277" w:lineRule="auto"/>
        <w:rPr>
          <w:sz w:val="20"/>
          <w:szCs w:val="20"/>
          <w:color w:val="auto"/>
        </w:rPr>
      </w:pPr>
      <w:r>
        <w:rPr>
          <w:rFonts w:ascii="Arial" w:cs="Arial" w:eastAsia="Arial" w:hAnsi="Arial"/>
          <w:sz w:val="18"/>
          <w:szCs w:val="18"/>
          <w:color w:val="auto"/>
        </w:rPr>
        <w:t>President, Chief Executive Officer, Chairman of the Board and Director (Principal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Authorized U.S. Representative</w:t>
      </w:r>
    </w:p>
    <w:p>
      <w:pPr>
        <w:sectPr>
          <w:pgSz w:w="11900" w:h="16838" w:orient="portrait"/>
          <w:cols w:equalWidth="0" w:num="2">
            <w:col w:w="3760" w:space="720"/>
            <w:col w:w="6940"/>
          </w:cols>
          <w:pgMar w:left="240" w:top="580"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459"/>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Exhibit Number</w:t>
            </w:r>
          </w:p>
        </w:tc>
        <w:tc>
          <w:tcPr>
            <w:tcW w:w="958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411"/>
        </w:trPr>
        <w:tc>
          <w:tcPr>
            <w:tcW w:w="172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7"/>
              </w:rPr>
              <w:t>Memorandum and Articles of Association of Weatherford International public limited company (incorporated by reference to</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Exhibit 3.1 to Weatherford International plc’s Current Report on Form 8-K filed on June 17,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1"/>
              </w:rPr>
              <w:t>Weatherford International plc 2010 Omnibus Incentive Plan (as Amended and Restated) (incorporated by reference to Exhibit 10.6</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to Weatherford International plc’s Current Report on Form 8-K filed on June 17,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9"/>
              </w:rPr>
              <w:t>Form or Restricted Share Unit Award Agreement pursuant to Weatherford International plc 2010 Omnibus Incentive Plan</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3"/>
              </w:rPr>
              <w:t>(incorporated by reference to Exhibit 10.7 to Weatherford International plc’s Current Report on Form 8-K filed on June 17,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1"/>
              </w:rPr>
              <w:t>Form of Performance Unit Award Agreement pursuant to Weatherford International plc 2010 Omnibus Incentive Plan (incorporated</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by reference to Exhibit 10.8 to Weatherford International plc’s Current Report on Form 8-K filed on June 17,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4"/>
              </w:rPr>
              <w:t>Form of Restricted Share Unit Award Agreement - U.K. pursuant to Weatherford International plc 2010 Omnibus Incentive Plan</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3"/>
              </w:rPr>
              <w:t>(incorporated by reference to Exhibit 10.9 to Weatherford International plc’s Current Report on Form 8-K filed on June 17, 2014).</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Opinion of Matheson regarding the legality of securities being registered.</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KPMG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Ernst &amp; Young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Matheson (included in Exhibit 5.1).</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Power of Attorney (included on the signature page to the Registration Statement).</w:t>
            </w:r>
          </w:p>
        </w:tc>
      </w:tr>
    </w:tbl>
    <w:p>
      <w:pPr>
        <w:sectPr>
          <w:pgSz w:w="11900" w:h="16838" w:orient="portrait"/>
          <w:cols w:equalWidth="0" w:num="1">
            <w:col w:w="11420"/>
          </w:cols>
          <w:pgMar w:left="240" w:top="742"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85725</wp:posOffset>
            </wp:positionV>
            <wp:extent cx="3164205" cy="132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6420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Weatherford International plc</w:t>
      </w:r>
    </w:p>
    <w:p>
      <w:pPr>
        <w:ind w:left="700"/>
        <w:spacing w:after="0" w:line="234" w:lineRule="auto"/>
        <w:rPr>
          <w:sz w:val="20"/>
          <w:szCs w:val="20"/>
          <w:color w:val="auto"/>
        </w:rPr>
      </w:pPr>
      <w:r>
        <w:rPr>
          <w:rFonts w:ascii="Arial" w:cs="Arial" w:eastAsia="Arial" w:hAnsi="Arial"/>
          <w:sz w:val="18"/>
          <w:szCs w:val="18"/>
          <w:color w:val="auto"/>
        </w:rPr>
        <w:t>Alpenstrasse 15</w:t>
      </w:r>
    </w:p>
    <w:p>
      <w:pPr>
        <w:ind w:left="700"/>
        <w:spacing w:after="0" w:line="235" w:lineRule="auto"/>
        <w:rPr>
          <w:sz w:val="20"/>
          <w:szCs w:val="20"/>
          <w:color w:val="auto"/>
        </w:rPr>
      </w:pPr>
      <w:r>
        <w:rPr>
          <w:rFonts w:ascii="Arial" w:cs="Arial" w:eastAsia="Arial" w:hAnsi="Arial"/>
          <w:sz w:val="18"/>
          <w:szCs w:val="18"/>
          <w:color w:val="auto"/>
        </w:rPr>
        <w:t>6300 Zug</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Switzerland</w:t>
      </w:r>
    </w:p>
    <w:p>
      <w:pPr>
        <w:spacing w:after="0" w:line="387" w:lineRule="exact"/>
        <w:rPr>
          <w:sz w:val="20"/>
          <w:szCs w:val="20"/>
          <w:color w:val="auto"/>
        </w:rPr>
      </w:pPr>
    </w:p>
    <w:p>
      <w:pPr>
        <w:ind w:left="720"/>
        <w:spacing w:after="0"/>
        <w:tabs>
          <w:tab w:leader="none" w:pos="4120" w:val="left"/>
          <w:tab w:leader="none" w:pos="9740" w:val="left"/>
        </w:tabs>
        <w:rPr>
          <w:sz w:val="20"/>
          <w:szCs w:val="20"/>
          <w:color w:val="auto"/>
        </w:rPr>
      </w:pPr>
      <w:r>
        <w:rPr>
          <w:rFonts w:ascii="Arial" w:cs="Arial" w:eastAsia="Arial" w:hAnsi="Arial"/>
          <w:sz w:val="14"/>
          <w:szCs w:val="14"/>
          <w:color w:val="auto"/>
        </w:rPr>
        <w:t>Our Ref</w:t>
      </w:r>
      <w:r>
        <w:rPr>
          <w:sz w:val="20"/>
          <w:szCs w:val="20"/>
          <w:color w:val="auto"/>
        </w:rPr>
        <w:tab/>
      </w:r>
      <w:r>
        <w:rPr>
          <w:rFonts w:ascii="Arial" w:cs="Arial" w:eastAsia="Arial" w:hAnsi="Arial"/>
          <w:sz w:val="14"/>
          <w:szCs w:val="14"/>
          <w:color w:val="auto"/>
        </w:rPr>
        <w:t>Your Ref</w:t>
      </w:r>
      <w:r>
        <w:rPr>
          <w:sz w:val="20"/>
          <w:szCs w:val="20"/>
          <w:color w:val="auto"/>
        </w:rPr>
        <w:tab/>
      </w:r>
      <w:r>
        <w:rPr>
          <w:rFonts w:ascii="Arial" w:cs="Arial" w:eastAsia="Arial" w:hAnsi="Arial"/>
          <w:sz w:val="15"/>
          <w:szCs w:val="15"/>
          <w:color w:val="auto"/>
        </w:rPr>
        <w:t>17 June 2014</w:t>
      </w:r>
    </w:p>
    <w:p>
      <w:pPr>
        <w:spacing w:after="0" w:line="9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FBO 661725.4</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39" w:lineRule="exact"/>
        <w:rPr>
          <w:sz w:val="20"/>
          <w:szCs w:val="20"/>
          <w:color w:val="auto"/>
        </w:rPr>
      </w:pPr>
    </w:p>
    <w:p>
      <w:pPr>
        <w:ind w:right="4620"/>
        <w:spacing w:after="0" w:line="272" w:lineRule="auto"/>
        <w:rPr>
          <w:sz w:val="20"/>
          <w:szCs w:val="20"/>
          <w:color w:val="auto"/>
        </w:rPr>
      </w:pPr>
      <w:r>
        <w:rPr>
          <w:rFonts w:ascii="Arial" w:cs="Arial" w:eastAsia="Arial" w:hAnsi="Arial"/>
          <w:sz w:val="20"/>
          <w:szCs w:val="20"/>
          <w:b w:val="1"/>
          <w:bCs w:val="1"/>
          <w:color w:val="auto"/>
        </w:rPr>
        <w:t>Weatherford International plc, an Irish public company limited by shares Post-Effective Amendment on Form S-8 (File No. 333-167959)</w:t>
      </w:r>
    </w:p>
    <w:p>
      <w:pPr>
        <w:spacing w:after="0" w:line="235"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We have acted on behalf of Weatherford International plc, a public limited company incorporated under the laws of Ireland with company number 540406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post-effective amendment to the registration statement on Form S-8 (File No. 333-167959) (the “</w:t>
      </w:r>
      <w:r>
        <w:rPr>
          <w:rFonts w:ascii="Arial" w:cs="Arial" w:eastAsia="Arial" w:hAnsi="Arial"/>
          <w:sz w:val="18"/>
          <w:szCs w:val="18"/>
          <w:b w:val="1"/>
          <w:bCs w:val="1"/>
          <w:color w:val="auto"/>
        </w:rPr>
        <w:t>Post-Effective Amendment</w:t>
      </w:r>
      <w:r>
        <w:rPr>
          <w:rFonts w:ascii="Arial" w:cs="Arial" w:eastAsia="Arial" w:hAnsi="Arial"/>
          <w:sz w:val="18"/>
          <w:szCs w:val="18"/>
          <w:color w:val="auto"/>
        </w:rPr>
        <w:t>”) to be filed by the Company, pursuant to the Securities Act of 1933 of the United States of America,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with the Securities and Exchange Commission of the United States of America (the “</w:t>
      </w:r>
      <w:r>
        <w:rPr>
          <w:rFonts w:ascii="Arial" w:cs="Arial" w:eastAsia="Arial" w:hAnsi="Arial"/>
          <w:sz w:val="18"/>
          <w:szCs w:val="18"/>
          <w:b w:val="1"/>
          <w:bCs w:val="1"/>
          <w:color w:val="auto"/>
        </w:rPr>
        <w:t>SEC</w:t>
      </w:r>
      <w:r>
        <w:rPr>
          <w:rFonts w:ascii="Arial" w:cs="Arial" w:eastAsia="Arial" w:hAnsi="Arial"/>
          <w:sz w:val="18"/>
          <w:szCs w:val="18"/>
          <w:color w:val="auto"/>
        </w:rPr>
        <w:t>”) with respect to the Company’s ordinary shares (nominal value of US$0.001 per share) (the “</w:t>
      </w:r>
      <w:r>
        <w:rPr>
          <w:rFonts w:ascii="Arial" w:cs="Arial" w:eastAsia="Arial" w:hAnsi="Arial"/>
          <w:sz w:val="18"/>
          <w:szCs w:val="18"/>
          <w:b w:val="1"/>
          <w:bCs w:val="1"/>
          <w:color w:val="auto"/>
        </w:rPr>
        <w:t>Shares</w:t>
      </w:r>
      <w:r>
        <w:rPr>
          <w:rFonts w:ascii="Arial" w:cs="Arial" w:eastAsia="Arial" w:hAnsi="Arial"/>
          <w:sz w:val="18"/>
          <w:szCs w:val="18"/>
          <w:color w:val="auto"/>
        </w:rPr>
        <w:t>”) to be issued and delivered under the Weatherford International plc 2010 Omnibus Incentive Plan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180" w:lineRule="exact"/>
        <w:rPr>
          <w:sz w:val="20"/>
          <w:szCs w:val="20"/>
          <w:color w:val="auto"/>
        </w:rPr>
      </w:pPr>
    </w:p>
    <w:p>
      <w:pPr>
        <w:ind w:left="620" w:hanging="612"/>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Scope of appointment and basis of opinion</w:t>
      </w:r>
    </w:p>
    <w:p>
      <w:pPr>
        <w:spacing w:after="0" w:line="12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We have been requested by the Company to provide this opinion.</w:t>
      </w:r>
    </w:p>
    <w:p>
      <w:pPr>
        <w:spacing w:after="0" w:line="10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For the purpose of giving this opinion, we have examined:</w:t>
      </w:r>
    </w:p>
    <w:p>
      <w:pPr>
        <w:spacing w:after="0" w:line="117" w:lineRule="exact"/>
        <w:rPr>
          <w:sz w:val="20"/>
          <w:szCs w:val="20"/>
          <w:color w:val="auto"/>
        </w:rPr>
      </w:pPr>
    </w:p>
    <w:p>
      <w:pPr>
        <w:ind w:left="1260" w:hanging="64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final form of the Post-Effective Amendment to be filed by the Company with the SEC;</w:t>
      </w:r>
    </w:p>
    <w:p>
      <w:pPr>
        <w:spacing w:after="0" w:line="103" w:lineRule="exact"/>
        <w:rPr>
          <w:rFonts w:ascii="Arial" w:cs="Arial" w:eastAsia="Arial" w:hAnsi="Arial"/>
          <w:sz w:val="18"/>
          <w:szCs w:val="18"/>
          <w:color w:val="auto"/>
        </w:rPr>
      </w:pPr>
    </w:p>
    <w:p>
      <w:pPr>
        <w:ind w:left="1260" w:hanging="644"/>
        <w:spacing w:after="0" w:line="352"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copy of the memorandum and articles of association of the Company, certified by the secretary of the Company as being true, complete and up-to-date;</w:t>
      </w:r>
    </w:p>
    <w:p>
      <w:pPr>
        <w:spacing w:after="0" w:line="14" w:lineRule="exact"/>
        <w:rPr>
          <w:rFonts w:ascii="Arial" w:cs="Arial" w:eastAsia="Arial" w:hAnsi="Arial"/>
          <w:sz w:val="18"/>
          <w:szCs w:val="18"/>
          <w:color w:val="auto"/>
        </w:rPr>
      </w:pPr>
    </w:p>
    <w:p>
      <w:pPr>
        <w:ind w:left="1260" w:hanging="644"/>
        <w:spacing w:after="0" w:line="371"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copy minutes of a meeting of the board of directors’ of the Company held on 3 March 2014 and 6 June 2014, certified by the secretary to be a true and complete copy of those board minutes which have not since been amended or rescinded;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323215</wp:posOffset>
            </wp:positionV>
            <wp:extent cx="5848985" cy="986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9861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1260" w:hanging="644"/>
        <w:spacing w:after="0" w:line="347" w:lineRule="auto"/>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copy written resolutions of the shareholders of the Company dated 6 June 2014, certified by the secretary to be true and complete copies of those shareholders’ resolutions which have not since been amended or rescinded;</w:t>
      </w:r>
    </w:p>
    <w:p>
      <w:pPr>
        <w:ind w:left="1260" w:hanging="644"/>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certificate of the secretary of the Company (the “</w:t>
      </w:r>
      <w:r>
        <w:rPr>
          <w:rFonts w:ascii="Arial" w:cs="Arial" w:eastAsia="Arial" w:hAnsi="Arial"/>
          <w:sz w:val="18"/>
          <w:szCs w:val="18"/>
          <w:b w:val="1"/>
          <w:bCs w:val="1"/>
          <w:color w:val="auto"/>
        </w:rPr>
        <w:t>Certificate</w:t>
      </w:r>
      <w:r>
        <w:rPr>
          <w:rFonts w:ascii="Arial" w:cs="Arial" w:eastAsia="Arial" w:hAnsi="Arial"/>
          <w:sz w:val="18"/>
          <w:szCs w:val="18"/>
          <w:color w:val="auto"/>
        </w:rPr>
        <w:t>”); and</w:t>
      </w:r>
    </w:p>
    <w:p>
      <w:pPr>
        <w:spacing w:after="0" w:line="125" w:lineRule="exact"/>
        <w:rPr>
          <w:rFonts w:ascii="Arial" w:cs="Arial" w:eastAsia="Arial" w:hAnsi="Arial"/>
          <w:sz w:val="18"/>
          <w:szCs w:val="18"/>
          <w:color w:val="auto"/>
        </w:rPr>
      </w:pPr>
    </w:p>
    <w:p>
      <w:pPr>
        <w:jc w:val="both"/>
        <w:ind w:left="1260" w:hanging="644"/>
        <w:spacing w:after="0" w:line="354" w:lineRule="auto"/>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facsimile copy of the results of searches made on 16 June 2014 at the Irish Companies Registration Office, in the Register of Winding Up Petitions at the Central Office of the High Court of Ireland and at the Judgments’ Office in the Central Office of the High Court of Ireland against the Company (together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2" w:lineRule="exact"/>
        <w:rPr>
          <w:sz w:val="20"/>
          <w:szCs w:val="20"/>
          <w:color w:val="auto"/>
        </w:rPr>
      </w:pPr>
    </w:p>
    <w:p>
      <w:pPr>
        <w:jc w:val="both"/>
        <w:ind w:left="620" w:hanging="620"/>
        <w:spacing w:after="0" w:line="360" w:lineRule="auto"/>
        <w:tabs>
          <w:tab w:leader="none" w:pos="6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We have made no searches or enquiries concerning, and we have not examined any contracts, instruments or documents entered into by or affecting the Company or any other person, or any corporate records of the aforesaid, save for those searches, enquiries, contracts, instruments, documents or corporate records specified as being made or examined in this opinion.</w:t>
      </w:r>
    </w:p>
    <w:p>
      <w:pPr>
        <w:jc w:val="both"/>
        <w:ind w:left="620" w:hanging="620"/>
        <w:spacing w:after="0" w:line="360" w:lineRule="auto"/>
        <w:tabs>
          <w:tab w:leader="none" w:pos="6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We express no opinion and make no representation or warranty as to any matter of fact. Furthermore, we have not been responsible for the investigation or verification of the facts or the reasonableness of any assumption or statements of opinion contained or represented by the Company in the Post-Effective Amendment or the Plan nor have we attempted to determine whether any material facts have been omitted therefrom.</w:t>
      </w:r>
    </w:p>
    <w:p>
      <w:pPr>
        <w:spacing w:after="0" w:line="1" w:lineRule="exact"/>
        <w:rPr>
          <w:sz w:val="20"/>
          <w:szCs w:val="20"/>
          <w:color w:val="auto"/>
        </w:rPr>
      </w:pPr>
    </w:p>
    <w:p>
      <w:pPr>
        <w:jc w:val="both"/>
        <w:ind w:left="620" w:hanging="620"/>
        <w:spacing w:after="0" w:line="360" w:lineRule="auto"/>
        <w:tabs>
          <w:tab w:leader="none" w:pos="6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We have not investigated the laws of any country other than Ireland and this opinion is given only with respect to the laws of Ireland in effect at the date of this opinion. We have assumed, without enquiry, that there is nothing in the laws of any other jurisdiction which would or might affect the opinions as stated herein.</w:t>
      </w:r>
    </w:p>
    <w:p>
      <w:pPr>
        <w:jc w:val="both"/>
        <w:ind w:left="620" w:hanging="620"/>
        <w:spacing w:after="0" w:line="360" w:lineRule="auto"/>
        <w:tabs>
          <w:tab w:leader="none" w:pos="6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This opinion is to be construed in accordance with, and governed by, the laws of Ireland, and is given solely on the basis that any issues of interpretation or liability arising hereunder may only be brought before the Irish courts, which will have exclusive jurisdiction in respect of such matters.</w:t>
      </w:r>
    </w:p>
    <w:p>
      <w:pPr>
        <w:jc w:val="both"/>
        <w:ind w:left="620" w:hanging="620"/>
        <w:spacing w:after="0" w:line="360" w:lineRule="auto"/>
        <w:tabs>
          <w:tab w:leader="none" w:pos="6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This opinion is delivered in connection with the filing of the Post-Effective Amendment with the SEC and is strictly limited to the matters stated herein and does not extend to, and is not to be read as extending by implication to, any other matter. We hereby consent to the filing of this opinion as an exhibit to the Post-Effective Amendment and to the use of our name therein. In giving this consent, we do not hereby admit that we come within the category of persons whose consent is required under section 7 of the Securities Act or the rules and regulations of the SEC promulgated thereunder. This opinion is furnished to you and the persons entitled to rely upon it pursuant to the applicable provisions of the Securities Act for use in connection with the filing of the Post-Effective Amendment and is not to be use, circulated, quoted or otherwise referred to for any other purpose without our express written consent.</w:t>
      </w:r>
    </w:p>
    <w:p>
      <w:pPr>
        <w:spacing w:after="0" w:line="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color w:val="auto"/>
        </w:rPr>
        <w:t>We assume no obligation to update the opinions set forth in this letter.</w:t>
      </w:r>
    </w:p>
    <w:p>
      <w:pPr>
        <w:spacing w:after="0" w:line="90" w:lineRule="exact"/>
        <w:rPr>
          <w:sz w:val="20"/>
          <w:szCs w:val="20"/>
          <w:color w:val="auto"/>
        </w:rPr>
      </w:pPr>
    </w:p>
    <w:p>
      <w:pPr>
        <w:ind w:left="620" w:hanging="612"/>
        <w:spacing w:after="0"/>
        <w:tabs>
          <w:tab w:leader="none" w:pos="62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Assumptions</w:t>
      </w:r>
    </w:p>
    <w:p>
      <w:pPr>
        <w:spacing w:after="0" w:line="134"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18"/>
          <w:szCs w:val="18"/>
          <w:color w:val="auto"/>
        </w:rPr>
        <w:t>For the purpose of giving this opinion we have assumed:</w:t>
      </w:r>
    </w:p>
    <w:p>
      <w:pPr>
        <w:spacing w:after="0" w:line="319" w:lineRule="exact"/>
        <w:rPr>
          <w:rFonts w:ascii="Arial" w:cs="Arial" w:eastAsia="Arial" w:hAnsi="Arial"/>
          <w:sz w:val="20"/>
          <w:szCs w:val="20"/>
          <w:color w:val="auto"/>
        </w:rPr>
      </w:pPr>
    </w:p>
    <w:p>
      <w:pPr>
        <w:ind w:left="1260" w:hanging="644"/>
        <w:spacing w:after="0"/>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authenticity and completeness of all documents submitted to us as originals;</w:t>
      </w:r>
    </w:p>
    <w:p>
      <w:pPr>
        <w:spacing w:after="0" w:line="103" w:lineRule="exact"/>
        <w:rPr>
          <w:rFonts w:ascii="Arial" w:cs="Arial" w:eastAsia="Arial" w:hAnsi="Arial"/>
          <w:sz w:val="18"/>
          <w:szCs w:val="18"/>
          <w:color w:val="auto"/>
        </w:rPr>
      </w:pPr>
    </w:p>
    <w:p>
      <w:pPr>
        <w:ind w:left="1260" w:hanging="644"/>
        <w:spacing w:after="0" w:line="371" w:lineRule="auto"/>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completeness and conformity to originals of all documents supplied to us as certified, conformed or photostatic copies or received by us by facsimile or email transmission and the authenticity and completeness of the originals of such documents;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666666"/>
        </w:rPr>
        <w:t>30574360.1</w:t>
      </w:r>
    </w:p>
    <w:p>
      <w:pPr>
        <w:sectPr>
          <w:pgSz w:w="11900" w:h="16838" w:orient="portrait"/>
          <w:cols w:equalWidth="0" w:num="1">
            <w:col w:w="11420"/>
          </w:cols>
          <w:pgMar w:left="240" w:top="976" w:right="239" w:bottom="1440" w:gutter="0" w:footer="0" w:header="0"/>
        </w:sectPr>
      </w:pPr>
    </w:p>
    <w:bookmarkStart w:id="9" w:name="page10"/>
    <w:bookmarkEnd w:id="9"/>
    <w:p>
      <w:pPr>
        <w:ind w:left="1260" w:hanging="644"/>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the genuineness of the signatures and seals on all original and copy documents which we have examined;</w:t>
      </w:r>
    </w:p>
    <w:p>
      <w:pPr>
        <w:spacing w:after="0" w:line="103" w:lineRule="exact"/>
        <w:rPr>
          <w:rFonts w:ascii="Arial" w:cs="Arial" w:eastAsia="Arial" w:hAnsi="Arial"/>
          <w:sz w:val="18"/>
          <w:szCs w:val="18"/>
          <w:color w:val="auto"/>
        </w:rPr>
      </w:pPr>
    </w:p>
    <w:p>
      <w:pPr>
        <w:jc w:val="both"/>
        <w:ind w:left="1260" w:hanging="644"/>
        <w:spacing w:after="0" w:line="356"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the proceedings described in the copy minutes of the meeting of the board of directors of the Company referred to above and examined for the purposes of this opinion were conducted in the manner therein described, that the meeting was properly convened and constituted and that the resolutions referred to therein were duly passed and adopted and have not since been amended or rescinded;</w:t>
      </w:r>
    </w:p>
    <w:p>
      <w:pPr>
        <w:spacing w:after="0" w:line="14" w:lineRule="exact"/>
        <w:rPr>
          <w:rFonts w:ascii="Arial" w:cs="Arial" w:eastAsia="Arial" w:hAnsi="Arial"/>
          <w:sz w:val="18"/>
          <w:szCs w:val="18"/>
          <w:color w:val="auto"/>
        </w:rPr>
      </w:pPr>
    </w:p>
    <w:p>
      <w:pPr>
        <w:ind w:left="1260" w:hanging="644"/>
        <w:spacing w:after="0" w:line="352"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the written resolutions of the shareholders referred to above were duly passed and adopted and have not since been amended or rescinded;</w:t>
      </w:r>
    </w:p>
    <w:p>
      <w:pPr>
        <w:spacing w:after="0" w:line="14" w:lineRule="exact"/>
        <w:rPr>
          <w:rFonts w:ascii="Arial" w:cs="Arial" w:eastAsia="Arial" w:hAnsi="Arial"/>
          <w:sz w:val="18"/>
          <w:szCs w:val="18"/>
          <w:color w:val="auto"/>
        </w:rPr>
      </w:pPr>
    </w:p>
    <w:p>
      <w:pPr>
        <w:jc w:val="both"/>
        <w:ind w:left="1260" w:hanging="644"/>
        <w:spacing w:after="0" w:line="358"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at the time of the allotment of any Shares: (i) the Company will have a sufficient number of authorised but unissued Shares in its capital (at least equal to the number of Shares to be allotted and issued); (ii) the directors of the Company will have been generally and unconditionally authorised by ordinary resolution of the shareholders, in accordance with section 20 of the Companies (Amendment) Act 1983, as amended (the “</w:t>
      </w:r>
      <w:r>
        <w:rPr>
          <w:rFonts w:ascii="Arial" w:cs="Arial" w:eastAsia="Arial" w:hAnsi="Arial"/>
          <w:sz w:val="18"/>
          <w:szCs w:val="18"/>
          <w:b w:val="1"/>
          <w:bCs w:val="1"/>
          <w:color w:val="auto"/>
        </w:rPr>
        <w:t>1983 Act</w:t>
      </w:r>
      <w:r>
        <w:rPr>
          <w:rFonts w:ascii="Arial" w:cs="Arial" w:eastAsia="Arial" w:hAnsi="Arial"/>
          <w:sz w:val="18"/>
          <w:szCs w:val="18"/>
          <w:color w:val="auto"/>
        </w:rPr>
        <w:t>”), to allot a sufficient number of Shares (at least equal to the number of Shares to be allotted and issued); and (iii) if issued for cash consideration, such Shares will be allotted and issued in accordance with section 23(1) of the 1983 Act or the directors will have been empowered, by special resolution of the shareholders, passed in accordance with section 23 and section 24(1) of the 1983 Act, to allot and issue such Shares as of the said section 23(1) did not apply to such allotment and issue;</w:t>
      </w:r>
    </w:p>
    <w:p>
      <w:pPr>
        <w:spacing w:after="0" w:line="1" w:lineRule="exact"/>
        <w:rPr>
          <w:rFonts w:ascii="Arial" w:cs="Arial" w:eastAsia="Arial" w:hAnsi="Arial"/>
          <w:sz w:val="18"/>
          <w:szCs w:val="18"/>
          <w:color w:val="auto"/>
        </w:rPr>
      </w:pPr>
    </w:p>
    <w:p>
      <w:pPr>
        <w:ind w:left="1260" w:hanging="644"/>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at the time of the allotment of any Shares, the Post-Effective Amendment will be effective and continue to be effective;</w:t>
      </w:r>
    </w:p>
    <w:p>
      <w:pPr>
        <w:spacing w:after="0" w:line="117" w:lineRule="exact"/>
        <w:rPr>
          <w:rFonts w:ascii="Arial" w:cs="Arial" w:eastAsia="Arial" w:hAnsi="Arial"/>
          <w:sz w:val="18"/>
          <w:szCs w:val="18"/>
          <w:color w:val="auto"/>
        </w:rPr>
      </w:pPr>
    </w:p>
    <w:p>
      <w:pPr>
        <w:jc w:val="both"/>
        <w:ind w:left="1260" w:hanging="644"/>
        <w:spacing w:after="0" w:line="357"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any Shares allotted and issued in accordance with the Post-Effective Amendment will be paid-up in consideration of the receipt by the Company from the party to whom the Shares are to be issued, prior to, or simultaneously with the issue of such Shares, of cash and other consideration at least equal to the nominal value of such Shares and, to the extent that any of the consideration for such Shares is payable otherwise than in cash, that the provisions of sections 29 to 33 of the 1983 Act have been complied with;</w:t>
      </w:r>
    </w:p>
    <w:p>
      <w:pPr>
        <w:spacing w:after="0" w:line="13" w:lineRule="exact"/>
        <w:rPr>
          <w:rFonts w:ascii="Arial" w:cs="Arial" w:eastAsia="Arial" w:hAnsi="Arial"/>
          <w:sz w:val="18"/>
          <w:szCs w:val="18"/>
          <w:color w:val="auto"/>
        </w:rPr>
      </w:pPr>
    </w:p>
    <w:p>
      <w:pPr>
        <w:jc w:val="both"/>
        <w:ind w:left="1260" w:hanging="644"/>
        <w:spacing w:after="0" w:line="356"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no Shares will be allotted and issued: (i) for consideration of an undertaking from an person that he or another will do work or perform services for the Company or for any other person; (ii) for consideration otherwise than in cash that includes an undertaking which is to be or may be performed more than five years after the date of allotment; or (iii) for other consideration which, from time to time, is not considered good or adequate consideration;</w:t>
      </w:r>
    </w:p>
    <w:p>
      <w:pPr>
        <w:spacing w:after="0" w:line="14" w:lineRule="exact"/>
        <w:rPr>
          <w:rFonts w:ascii="Arial" w:cs="Arial" w:eastAsia="Arial" w:hAnsi="Arial"/>
          <w:sz w:val="18"/>
          <w:szCs w:val="18"/>
          <w:color w:val="auto"/>
        </w:rPr>
      </w:pPr>
    </w:p>
    <w:p>
      <w:pPr>
        <w:jc w:val="both"/>
        <w:ind w:left="1260" w:hanging="644"/>
        <w:spacing w:after="0" w:line="354"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no Shares will be allotted and issued other than pursuant to a resolution of the board of directors of the Company (or duly authorised committee thereof) that has been validly and sufficiently proposed and passed in accordance with the articles of association of the Company;</w:t>
      </w:r>
    </w:p>
    <w:p>
      <w:pPr>
        <w:spacing w:after="0" w:line="15" w:lineRule="exact"/>
        <w:rPr>
          <w:rFonts w:ascii="Arial" w:cs="Arial" w:eastAsia="Arial" w:hAnsi="Arial"/>
          <w:sz w:val="18"/>
          <w:szCs w:val="18"/>
          <w:color w:val="auto"/>
        </w:rPr>
      </w:pPr>
    </w:p>
    <w:p>
      <w:pPr>
        <w:jc w:val="both"/>
        <w:ind w:left="1260" w:hanging="644"/>
        <w:spacing w:after="0" w:line="363"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the offering or sale (including the marketing) of any Shares will be made, effected and conducted in accordance with and will not violate: (i) the memorandum or articles of association, from time to time, of the Company; (ii) any applicable laws and regulations (including, without limitation, (A) the securities laws and regulations of any jurisdiction (including Ireland) or supra-national authority which impose any restrictions, or mandatory requirements, in relation to the offering or sale of any shares to the public in any jurisdiction (including Ireland) and any prospectus (or analogous disclosure document)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666666"/>
        </w:rPr>
        <w:t>30574360.1</w:t>
      </w:r>
    </w:p>
    <w:p>
      <w:pPr>
        <w:sectPr>
          <w:pgSz w:w="11900" w:h="16838" w:orient="portrait"/>
          <w:cols w:equalWidth="0" w:num="1">
            <w:col w:w="11420"/>
          </w:cols>
          <w:pgMar w:left="240" w:top="760" w:right="239" w:bottom="1440" w:gutter="0" w:footer="0" w:header="0"/>
        </w:sectPr>
      </w:pPr>
    </w:p>
    <w:bookmarkStart w:id="10" w:name="page11"/>
    <w:bookmarkEnd w:id="10"/>
    <w:p>
      <w:pPr>
        <w:jc w:val="both"/>
        <w:ind w:left="1260"/>
        <w:spacing w:after="0" w:line="40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prepared in connection therewith; and (B) the competition, anti-trust or merger control laws and regulations of any jurisdiction (including Ireland) or supra-national authority); and (iii) any requirement or restriction imposed by any court, governmental body or supra-national authority having jurisdiction over the Company or the members of its group;</w:t>
      </w:r>
    </w:p>
    <w:p>
      <w:pPr>
        <w:spacing w:after="0" w:line="14" w:lineRule="exact"/>
        <w:rPr>
          <w:sz w:val="20"/>
          <w:szCs w:val="20"/>
          <w:color w:val="auto"/>
        </w:rPr>
      </w:pPr>
    </w:p>
    <w:p>
      <w:pPr>
        <w:jc w:val="both"/>
        <w:ind w:left="1260" w:hanging="644"/>
        <w:spacing w:after="0" w:line="356"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the Company has not given, nor shall it give, directly or indirectly, and whether by means of a loan, guarantee, the provision of security or otherwise, any financial assistance, as contemplated by section 60 of the Companies Act 1963, for the purpose of, or in connection with, the purchase or subscription by any person of or for any Shares save as permitted by, or pursuant to an exemption to, the said section 60;</w:t>
      </w:r>
    </w:p>
    <w:p>
      <w:pPr>
        <w:spacing w:after="0" w:line="14" w:lineRule="exact"/>
        <w:rPr>
          <w:rFonts w:ascii="Arial" w:cs="Arial" w:eastAsia="Arial" w:hAnsi="Arial"/>
          <w:sz w:val="18"/>
          <w:szCs w:val="18"/>
          <w:color w:val="auto"/>
        </w:rPr>
      </w:pPr>
    </w:p>
    <w:p>
      <w:pPr>
        <w:ind w:left="1260" w:hanging="644"/>
        <w:spacing w:after="0" w:line="352"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accuracy and completeness as to factual matters of the representations and warranties of the Company contained in the Post-Effective Amendment and the accuracy of the Certificate;</w:t>
      </w:r>
    </w:p>
    <w:p>
      <w:pPr>
        <w:spacing w:after="0" w:line="14" w:lineRule="exact"/>
        <w:rPr>
          <w:rFonts w:ascii="Arial" w:cs="Arial" w:eastAsia="Arial" w:hAnsi="Arial"/>
          <w:sz w:val="18"/>
          <w:szCs w:val="18"/>
          <w:color w:val="auto"/>
        </w:rPr>
      </w:pPr>
    </w:p>
    <w:p>
      <w:pPr>
        <w:ind w:left="1260" w:right="20" w:hanging="644"/>
        <w:spacing w:after="0" w:line="352"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there are no agreements or arrangements in existence which in any way amend or vary or are inconsistent with the terms of the Post-Effective Amendment or the Plan or in any way bear upon, or are inconsistent with, the contents of this opinion;</w:t>
      </w:r>
    </w:p>
    <w:p>
      <w:pPr>
        <w:spacing w:after="0" w:line="14" w:lineRule="exact"/>
        <w:rPr>
          <w:rFonts w:ascii="Arial" w:cs="Arial" w:eastAsia="Arial" w:hAnsi="Arial"/>
          <w:sz w:val="18"/>
          <w:szCs w:val="18"/>
          <w:color w:val="auto"/>
        </w:rPr>
      </w:pPr>
    </w:p>
    <w:p>
      <w:pPr>
        <w:jc w:val="both"/>
        <w:ind w:left="1260" w:hanging="644"/>
        <w:spacing w:after="0" w:line="354"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in approving the filing by the Company of the Post-Effective Amendment, the directors of the Company have acted in a manner they consider, in good faith, to be in the best interests of the Company for its legitimate business purposes and would be most likely to promote the success of the Company for the benefit of its members as a whole;</w:t>
      </w:r>
    </w:p>
    <w:p>
      <w:pPr>
        <w:spacing w:after="0" w:line="15" w:lineRule="exact"/>
        <w:rPr>
          <w:rFonts w:ascii="Arial" w:cs="Arial" w:eastAsia="Arial" w:hAnsi="Arial"/>
          <w:sz w:val="18"/>
          <w:szCs w:val="18"/>
          <w:color w:val="auto"/>
        </w:rPr>
      </w:pPr>
    </w:p>
    <w:p>
      <w:pPr>
        <w:jc w:val="both"/>
        <w:ind w:left="1260" w:hanging="644"/>
        <w:spacing w:after="0" w:line="356"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the information disclosed by the Searches was accurate at the date the Searches were made and has not been altered and that the Searches did not fail to disclose any information which had been delivered for registration but did not appear from the information available at the time the Searches were made or which ought to have been delivered for registration at that time but had not been so delivered and that no additional matters would have been disclosed by searches carried out since that time;</w:t>
      </w:r>
    </w:p>
    <w:p>
      <w:pPr>
        <w:spacing w:after="0" w:line="14" w:lineRule="exact"/>
        <w:rPr>
          <w:rFonts w:ascii="Arial" w:cs="Arial" w:eastAsia="Arial" w:hAnsi="Arial"/>
          <w:sz w:val="18"/>
          <w:szCs w:val="18"/>
          <w:color w:val="auto"/>
        </w:rPr>
      </w:pPr>
    </w:p>
    <w:p>
      <w:pPr>
        <w:jc w:val="both"/>
        <w:ind w:left="1260" w:hanging="644"/>
        <w:spacing w:after="0" w:line="357"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(i) the Company was, or will be, fully solvent (A) at the time of, and immediately after, the filing of the Post-Effective Amendment and (B) at the date hereof; (ii) the Company would not, as a consequence of doing any act or thing which the Post-Effective Amendment contemplates, permits or requires the Company to do, be insolvent; and (iii) no steps have been taken or, to the best of the knowledge, information and belief of the directors of the Company, are being taken to appoint a receiver, liquidator or an examiner over the Company or any part of its undertaking or assets, or to strike the Company off the Register of Companies or to otherwise dissolve or wind up the Company; and</w:t>
      </w:r>
    </w:p>
    <w:p>
      <w:pPr>
        <w:spacing w:after="0" w:line="16" w:lineRule="exact"/>
        <w:rPr>
          <w:rFonts w:ascii="Arial" w:cs="Arial" w:eastAsia="Arial" w:hAnsi="Arial"/>
          <w:sz w:val="18"/>
          <w:szCs w:val="18"/>
          <w:color w:val="auto"/>
        </w:rPr>
      </w:pPr>
    </w:p>
    <w:p>
      <w:pPr>
        <w:ind w:left="1260" w:hanging="644"/>
        <w:spacing w:after="0" w:line="344"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truth of all representations and information given to us in reply to any queries we have made which we have considered necessary for the purposes of giving this opinion.</w:t>
      </w:r>
    </w:p>
    <w:p>
      <w:pPr>
        <w:spacing w:after="0" w:line="1" w:lineRule="exact"/>
        <w:rPr>
          <w:sz w:val="20"/>
          <w:szCs w:val="20"/>
          <w:color w:val="auto"/>
        </w:rPr>
      </w:pPr>
    </w:p>
    <w:p>
      <w:pPr>
        <w:ind w:left="620" w:hanging="612"/>
        <w:spacing w:after="0"/>
        <w:tabs>
          <w:tab w:leader="none" w:pos="62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Opinion</w:t>
      </w:r>
    </w:p>
    <w:p>
      <w:pPr>
        <w:spacing w:after="0" w:line="120" w:lineRule="exact"/>
        <w:rPr>
          <w:rFonts w:ascii="Arial" w:cs="Arial" w:eastAsia="Arial" w:hAnsi="Arial"/>
          <w:sz w:val="20"/>
          <w:szCs w:val="20"/>
          <w:color w:val="auto"/>
        </w:rPr>
      </w:pPr>
    </w:p>
    <w:p>
      <w:pPr>
        <w:jc w:val="both"/>
        <w:ind w:left="620"/>
        <w:spacing w:after="0" w:line="366" w:lineRule="auto"/>
        <w:rPr>
          <w:rFonts w:ascii="Arial" w:cs="Arial" w:eastAsia="Arial" w:hAnsi="Arial"/>
          <w:sz w:val="20"/>
          <w:szCs w:val="20"/>
          <w:color w:val="auto"/>
        </w:rPr>
      </w:pPr>
      <w:r>
        <w:rPr>
          <w:rFonts w:ascii="Arial" w:cs="Arial" w:eastAsia="Arial" w:hAnsi="Arial"/>
          <w:sz w:val="18"/>
          <w:szCs w:val="18"/>
          <w:color w:val="auto"/>
        </w:rPr>
        <w:t>Based upon, and subject to, the foregoing and subject to the qualifications set out in this letter and any matter not disclosed to us, we are of the opinion that, so far as the laws of Ireland are concerned, upon the issuance of Shares in accordance with, and subject to any conditions contained in, the terms of the Plan (including any applicable duly authorised award agreement or other document accompanying the award, issuance or sale of any Shares), subject to receipt by the Company of the full consideration payable in respect thereof, such Shares will be legally issued, fully-paid and non-assessable (which term means that no shareholder shall be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666666"/>
        </w:rPr>
        <w:t>30574360.1</w:t>
      </w:r>
    </w:p>
    <w:p>
      <w:pPr>
        <w:sectPr>
          <w:pgSz w:w="11900" w:h="16838" w:orient="portrait"/>
          <w:cols w:equalWidth="0" w:num="1">
            <w:col w:w="11420"/>
          </w:cols>
          <w:pgMar w:left="240" w:top="787" w:right="239" w:bottom="1440" w:gutter="0" w:footer="0" w:header="0"/>
        </w:sectPr>
      </w:pPr>
    </w:p>
    <w:bookmarkStart w:id="11" w:name="page12"/>
    <w:bookmarkEnd w:id="11"/>
    <w:p>
      <w:pPr>
        <w:ind w:left="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obliged to pay or contribute further amounts to the capital of the Company in connection with the issue of such shares).</w:t>
      </w:r>
    </w:p>
    <w:p>
      <w:pPr>
        <w:spacing w:after="0" w:line="293" w:lineRule="exact"/>
        <w:rPr>
          <w:sz w:val="20"/>
          <w:szCs w:val="20"/>
          <w:color w:val="auto"/>
        </w:rPr>
      </w:pPr>
    </w:p>
    <w:p>
      <w:pPr>
        <w:ind w:left="620" w:hanging="612"/>
        <w:spacing w:after="0"/>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Qualifications</w:t>
      </w:r>
    </w:p>
    <w:p>
      <w:pPr>
        <w:spacing w:after="0" w:line="134"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18"/>
          <w:szCs w:val="18"/>
          <w:color w:val="auto"/>
        </w:rPr>
        <w:t>The opinions set forth in this opinion letter are given subject to the following qualifications:</w:t>
      </w:r>
    </w:p>
    <w:p>
      <w:pPr>
        <w:spacing w:after="0" w:line="319" w:lineRule="exact"/>
        <w:rPr>
          <w:rFonts w:ascii="Arial" w:cs="Arial" w:eastAsia="Arial" w:hAnsi="Arial"/>
          <w:sz w:val="20"/>
          <w:szCs w:val="20"/>
          <w:color w:val="auto"/>
        </w:rPr>
      </w:pPr>
    </w:p>
    <w:p>
      <w:pPr>
        <w:ind w:left="1540" w:hanging="911"/>
        <w:spacing w:after="0" w:line="352"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search at the Companies Registration Office is not capable of revealing whether or not a winding up petition or a petition for the appointment of an examiner has been presented; and</w:t>
      </w:r>
    </w:p>
    <w:p>
      <w:pPr>
        <w:spacing w:after="0" w:line="14" w:lineRule="exact"/>
        <w:rPr>
          <w:rFonts w:ascii="Arial" w:cs="Arial" w:eastAsia="Arial" w:hAnsi="Arial"/>
          <w:sz w:val="18"/>
          <w:szCs w:val="18"/>
          <w:color w:val="auto"/>
        </w:rPr>
      </w:pPr>
    </w:p>
    <w:p>
      <w:pPr>
        <w:ind w:left="1540" w:hanging="911"/>
        <w:spacing w:after="0" w:line="360"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search at the Registry of Winding up Petitions at the Central Office of the High Court is not capable of revealing whether or not a receiver has been appointed.</w:t>
      </w:r>
    </w:p>
    <w:p>
      <w:pPr>
        <w:jc w:val="both"/>
        <w:ind w:left="620"/>
        <w:spacing w:after="0" w:line="365" w:lineRule="auto"/>
        <w:rPr>
          <w:sz w:val="20"/>
          <w:szCs w:val="20"/>
          <w:color w:val="auto"/>
        </w:rPr>
      </w:pPr>
      <w:r>
        <w:rPr>
          <w:rFonts w:ascii="Arial" w:cs="Arial" w:eastAsia="Arial" w:hAnsi="Arial"/>
          <w:sz w:val="18"/>
          <w:szCs w:val="18"/>
          <w:color w:val="auto"/>
        </w:rPr>
        <w:t>Whilst each of the making of a winding up order, the making of an order for the appointment of an examiner and the appointment of a receiver may be revealed by a search at the Companies Registration Office it may not be filed at the Companies Registration Office immediately and, therefore, our searches at the Companies Registration Office may not have revealed such matters.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Matheson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666666"/>
        </w:rPr>
        <w:t>30574360.1</w:t>
      </w:r>
    </w:p>
    <w:p>
      <w:pPr>
        <w:sectPr>
          <w:pgSz w:w="11900" w:h="16838" w:orient="portrait"/>
          <w:cols w:equalWidth="0" w:num="1">
            <w:col w:w="11420"/>
          </w:cols>
          <w:pgMar w:left="240" w:top="760"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on Form S-8 of Weatherford International plc, successor issuer to Weatherford International Ltd., relating to the Weatherford International plc 2010 Omnibus Incentive Plan, of our reports dated February 25, 2014, with respect to the consolidated balance sheet of Weatherford International Ltd. as of December 31, 2013, and the related consolidated statements of operations, comprehensive income (loss), shareholders’ equity, and cash flows for the year ended December 31, 2013, the related financial statement schedule, and the effectiveness of internal control over financial reporting as of December 31, 2013, which reports appear in the December 31, 2013 annual report on Form 10-K of Weatherford International Ltd.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17, 2014</w:t>
      </w:r>
    </w:p>
    <w:p>
      <w:pPr>
        <w:sectPr>
          <w:pgSz w:w="11900" w:h="16838" w:orient="portrait"/>
          <w:cols w:equalWidth="0" w:num="1">
            <w:col w:w="11420"/>
          </w:cols>
          <w:pgMar w:left="240" w:top="580"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20"/>
          <w:szCs w:val="20"/>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consent to the incorporation by reference in the Registration Statement (Form S-8 No. 333-167959) pertaining to the Weatherford International plc 2010 Omnibus Incentive Plan, of our report dated March 4, 2013, with respect to the consolidated financial statements and schedule of Weatherford International Ltd. and Subsidiaries as of December 31, 2012 and for each of the two years in the period then ended, included in its Annual Report (Form 10-K) for the year ended December 31, 2013, filed with the Securities and Exchange Commission.</w:t>
      </w:r>
    </w:p>
    <w:p>
      <w:pPr>
        <w:spacing w:after="0" w:line="1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June 17, 2014</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713"/>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7545E146"/>
    <w:multiLevelType w:val="hybridMultilevel"/>
    <w:lvl w:ilvl="0">
      <w:lvlJc w:val="left"/>
      <w:lvlText w:val="(%1)"/>
      <w:numFmt w:val="lowerLetter"/>
      <w:start w:val="3"/>
    </w:lvl>
  </w:abstractNum>
  <w:abstractNum w:abstractNumId="4">
    <w:nsid w:val="515F007C"/>
    <w:multiLevelType w:val="hybridMultilevel"/>
    <w:lvl w:ilvl="0">
      <w:lvlJc w:val="left"/>
      <w:lvlText w:val="1"/>
      <w:numFmt w:val="bullet"/>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3"/>
    </w:lvl>
  </w:abstractNum>
  <w:abstractNum w:abstractNumId="7">
    <w:nsid w:val="4DB127F8"/>
    <w:multiLevelType w:val="hybridMultilevel"/>
    <w:lvl w:ilvl="0">
      <w:lvlJc w:val="left"/>
      <w:lvlText w:val="2"/>
      <w:numFmt w:val="bullet"/>
      <w:start w:val="1"/>
    </w:lvl>
    <w:lvl w:ilvl="1">
      <w:lvlJc w:val="left"/>
      <w:lvlText w:val="(%2)"/>
      <w:numFmt w:val="lowerLetter"/>
      <w:start w:val="1"/>
    </w:lvl>
  </w:abstractNum>
  <w:abstractNum w:abstractNumId="8">
    <w:nsid w:val="216231B"/>
    <w:multiLevelType w:val="hybridMultilevel"/>
    <w:lvl w:ilvl="0">
      <w:lvlJc w:val="left"/>
      <w:lvlText w:val="(%1)"/>
      <w:numFmt w:val="lowerLetter"/>
      <w:start w:val="3"/>
    </w:lvl>
  </w:abstractNum>
  <w:abstractNum w:abstractNumId="9">
    <w:nsid w:val="1F16E9E8"/>
    <w:multiLevelType w:val="hybridMultilevel"/>
    <w:lvl w:ilvl="0">
      <w:lvlJc w:val="left"/>
      <w:lvlText w:val="(%1)"/>
      <w:numFmt w:val="lowerLetter"/>
      <w:start w:val="12"/>
    </w:lvl>
  </w:abstractNum>
  <w:abstractNum w:abstractNumId="10">
    <w:nsid w:val="1190CDE7"/>
    <w:multiLevelType w:val="hybridMultilevel"/>
    <w:lvl w:ilvl="0">
      <w:lvlJc w:val="left"/>
      <w:lvlText w:val="3"/>
      <w:numFmt w:val="bullet"/>
      <w:start w:val="1"/>
    </w:lvl>
  </w:abstractNum>
  <w:abstractNum w:abstractNumId="11">
    <w:nsid w:val="66EF438D"/>
    <w:multiLevelType w:val="hybridMultilevel"/>
    <w:lvl w:ilvl="0">
      <w:lvlJc w:val="left"/>
      <w:lvlText w:val="4"/>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2019-12-08T10:59:51Z</dcterms:created>
  <dcterms:modified xsi:type="dcterms:W3CDTF">2019-12-08T10:59:51Z</dcterms:modified>
</cp:coreProperties>
</file>