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913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13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Ibrahim Christina M</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Weatherford International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NONE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12/13/2019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4"/>
        <w:spacing w:after="0"/>
        <w:rPr>
          <w:sz w:val="20"/>
          <w:szCs w:val="20"/>
          <w:color w:val="auto"/>
        </w:rPr>
      </w:pPr>
      <w:r>
        <w:rPr>
          <w:rFonts w:ascii="Arial" w:cs="Arial" w:eastAsia="Arial" w:hAnsi="Arial"/>
          <w:sz w:val="17"/>
          <w:szCs w:val="17"/>
          <w:color w:val="0000FF"/>
        </w:rPr>
        <w:t>EVP, GC, CCO &amp; Secretary</w:t>
      </w:r>
    </w:p>
    <w:p>
      <w:pPr>
        <w:spacing w:after="0" w:line="323" w:lineRule="exact"/>
        <w:rPr>
          <w:sz w:val="24"/>
          <w:szCs w:val="24"/>
          <w:color w:val="auto"/>
        </w:rPr>
      </w:pPr>
    </w:p>
    <w:p>
      <w:pPr>
        <w:sectPr>
          <w:pgSz w:w="11900" w:h="16838" w:orient="portrait"/>
          <w:cols w:equalWidth="0" w:num="3">
            <w:col w:w="3360" w:space="720"/>
            <w:col w:w="3320" w:space="656"/>
            <w:col w:w="3464"/>
          </w:cols>
          <w:pgMar w:left="240" w:top="226" w:right="139" w:bottom="0" w:gutter="0" w:footer="0" w:header="0"/>
          <w:type w:val="continuous"/>
        </w:sectPr>
      </w:pP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7"/>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4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 Disposed</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4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43"/>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1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w w:val="98"/>
                <w:vertAlign w:val="subscript"/>
              </w:rPr>
              <w:t>F</w:t>
            </w:r>
            <w:r>
              <w:rPr>
                <w:rFonts w:ascii="Arial" w:cs="Arial" w:eastAsia="Arial" w:hAnsi="Arial"/>
                <w:sz w:val="11"/>
                <w:szCs w:val="11"/>
                <w:color w:val="008000"/>
                <w:w w:val="98"/>
              </w:rPr>
              <w:t>(1)(2)(3)</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2"/>
              </w:rPr>
              <w:t>77,049</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0.0156</w:t>
            </w:r>
            <w:r>
              <w:rPr>
                <w:rFonts w:ascii="Arial" w:cs="Arial" w:eastAsia="Arial" w:hAnsi="Arial"/>
                <w:sz w:val="11"/>
                <w:szCs w:val="11"/>
                <w:color w:val="008000"/>
                <w:w w:val="80"/>
              </w:rPr>
              <w:t>(1)(2)(3)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447,679</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524,274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0.0156</w:t>
            </w:r>
            <w:r>
              <w:rPr>
                <w:rFonts w:ascii="Arial" w:cs="Arial" w:eastAsia="Arial" w:hAnsi="Arial"/>
                <w:sz w:val="22"/>
                <w:szCs w:val="22"/>
                <w:color w:val="008000"/>
                <w:w w:val="86"/>
                <w:vertAlign w:val="superscript"/>
              </w:rPr>
              <w:t>(1)(4)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971,953</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w w:val="98"/>
                <w:vertAlign w:val="subscript"/>
              </w:rPr>
              <w:t>F</w:t>
            </w:r>
            <w:r>
              <w:rPr>
                <w:rFonts w:ascii="Arial" w:cs="Arial" w:eastAsia="Arial" w:hAnsi="Arial"/>
                <w:sz w:val="11"/>
                <w:szCs w:val="11"/>
                <w:color w:val="008000"/>
                <w:w w:val="98"/>
              </w:rPr>
              <w:t>(1)(4)(5)</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206,301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0.0156</w:t>
            </w:r>
            <w:r>
              <w:rPr>
                <w:rFonts w:ascii="Arial" w:cs="Arial" w:eastAsia="Arial" w:hAnsi="Arial"/>
                <w:sz w:val="11"/>
                <w:szCs w:val="11"/>
                <w:color w:val="008000"/>
                <w:w w:val="80"/>
              </w:rPr>
              <w:t>(1)(4)(5)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765,652</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(1)(6)</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765,652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(1)(7)</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531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531</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(1)(8)</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5,898</w:t>
            </w:r>
          </w:p>
        </w:tc>
        <w:tc>
          <w:tcPr>
            <w:tcW w:w="720" w:type="dxa"/>
            <w:vAlign w:val="bottom"/>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(1)(8)</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99.96</w:t>
            </w:r>
          </w:p>
        </w:tc>
        <w:tc>
          <w:tcPr>
            <w:tcW w:w="112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12/13/2019</w:t>
            </w:r>
          </w:p>
        </w:tc>
        <w:tc>
          <w:tcPr>
            <w:tcW w:w="1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5,898</w:t>
            </w:r>
          </w:p>
        </w:tc>
        <w:tc>
          <w:tcPr>
            <w:tcW w:w="280" w:type="dxa"/>
            <w:vAlign w:val="bottom"/>
          </w:tcPr>
          <w:p>
            <w:pPr>
              <w:spacing w:after="0"/>
              <w:rPr>
                <w:sz w:val="5"/>
                <w:szCs w:val="5"/>
                <w:color w:val="auto"/>
              </w:rPr>
            </w:pPr>
          </w:p>
        </w:tc>
        <w:tc>
          <w:tcPr>
            <w:tcW w:w="82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12/13/2019</w:t>
            </w: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12/13/2023</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5,898</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2019, Weatherford International plc (the "Issuer"), Weatherford International Ltd., and Weatherford International, LLC (collectively, the "Company") commenced voluntary cases under Chapter 11 of the United States Bankruptcy Code in the U.S. Bankruptcy Court for the Southern District of Texas (the "Bankruptcy Court") under the caption In re Weatherford International plc, et al. seeking relief under the provisions of Chapter 11 of Title 11 of the United States Code. On September 9, 2019, the Company filed with the Bankruptcy Court the proposed Second Amended Joint Prepackaged Plan of Reorganization of Weatherford International plc and its Affiliate Debtors, dated September 9, 2019 (the "Plan"). On September 11, 2019, the Bankruptcy Court entered an order, Docket No. 343, confirming and approving the Plan. On December 13, 2019 (the "Effective Date"), the Plan became effective pursuant to its terms and the Company emerged from bankruptcy.</w:t>
      </w:r>
    </w:p>
    <w:p>
      <w:pPr>
        <w:spacing w:after="0" w:line="12"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Date, all outstanding restricted stock units vested.</w:t>
      </w:r>
    </w:p>
    <w:p>
      <w:pPr>
        <w:spacing w:after="0" w:line="52" w:lineRule="exact"/>
        <w:rPr>
          <w:rFonts w:ascii="Arial" w:cs="Arial" w:eastAsia="Arial" w:hAnsi="Arial"/>
          <w:sz w:val="13"/>
          <w:szCs w:val="13"/>
          <w:color w:val="008000"/>
        </w:rPr>
      </w:pPr>
    </w:p>
    <w:p>
      <w:pPr>
        <w:ind w:left="40" w:right="3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restricted share units to satisfy the reporting person's tax withholding obligations upon vesting, pursuant to the award agreements and associated equity incentive plan under which the awards were granted.</w:t>
      </w:r>
    </w:p>
    <w:p>
      <w:pPr>
        <w:spacing w:after="0" w:line="9" w:lineRule="exact"/>
        <w:rPr>
          <w:rFonts w:ascii="Arial" w:cs="Arial" w:eastAsia="Arial" w:hAnsi="Arial"/>
          <w:sz w:val="13"/>
          <w:szCs w:val="13"/>
          <w:color w:val="008000"/>
        </w:rPr>
      </w:pPr>
    </w:p>
    <w:p>
      <w:pPr>
        <w:ind w:left="40" w:right="5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Time, all outstanding performance share units previously granted vested at a multiple of two times the number of units granted. Includes awards granted on January 24, 2017 and January 31, 2018.</w:t>
      </w:r>
    </w:p>
    <w:p>
      <w:pPr>
        <w:spacing w:after="0" w:line="9" w:lineRule="exact"/>
        <w:rPr>
          <w:rFonts w:ascii="Arial" w:cs="Arial" w:eastAsia="Arial" w:hAnsi="Arial"/>
          <w:sz w:val="13"/>
          <w:szCs w:val="13"/>
          <w:color w:val="008000"/>
        </w:rPr>
      </w:pPr>
    </w:p>
    <w:p>
      <w:pPr>
        <w:ind w:left="40" w:right="1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performance share units to satisfy the reporting person's tax withholding obligations upon vesting, pursuant to the award agreements and associated equity incentive plan under which the awards were granted.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Effective Date, all of the Issuer's outstanding ordinary shares were cancelled and extinguished pursuant to the Plan.</w:t>
      </w:r>
    </w:p>
    <w:p>
      <w:pPr>
        <w:spacing w:after="0" w:line="52" w:lineRule="exact"/>
        <w:rPr>
          <w:rFonts w:ascii="Arial" w:cs="Arial" w:eastAsia="Arial" w:hAnsi="Arial"/>
          <w:sz w:val="13"/>
          <w:szCs w:val="13"/>
          <w:color w:val="008000"/>
        </w:rPr>
      </w:pPr>
    </w:p>
    <w:p>
      <w:pPr>
        <w:ind w:left="40" w:right="4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shares of the Issuer's ordinary Shares, par value $.001 per share (the "New Ordinary Shares") were issued to the Reporting Person on the Effective Date pursuant to the Plan. The receipt of the New Ordinary Shares by the Reporting Person was involuntary, without additional consideration and in accordance with the Plan approved by the Bankruptcy Court.</w:t>
      </w:r>
    </w:p>
    <w:p>
      <w:pPr>
        <w:spacing w:after="0" w:line="9" w:lineRule="exact"/>
        <w:rPr>
          <w:rFonts w:ascii="Arial" w:cs="Arial" w:eastAsia="Arial" w:hAnsi="Arial"/>
          <w:sz w:val="13"/>
          <w:szCs w:val="13"/>
          <w:color w:val="008000"/>
        </w:rPr>
      </w:pPr>
    </w:p>
    <w:p>
      <w:pPr>
        <w:ind w:left="40" w:right="720" w:firstLine="8"/>
        <w:spacing w:after="0" w:line="29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Warrants to purchase New Ordinary Shares (the "Warrants") were issued to the Reporting Person on the Effective Date pursuant to the Plan. The Warrants may be exercised at any time prior to their expiration. The receipt of the Warrants by the Reporting Person was involuntary, without additional consideration and in accordance with the Plan approved by the Bankruptcy Court.</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Christine M. Morrison, by</w:t>
            </w:r>
          </w:p>
        </w:tc>
        <w:tc>
          <w:tcPr>
            <w:tcW w:w="280" w:type="dxa"/>
            <w:vAlign w:val="bottom"/>
          </w:tcPr>
          <w:p>
            <w:pPr>
              <w:spacing w:after="0"/>
              <w:rPr>
                <w:sz w:val="16"/>
                <w:szCs w:val="16"/>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12/17/2019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rPr>
                <w:sz w:val="20"/>
                <w:szCs w:val="20"/>
                <w:color w:val="auto"/>
              </w:rPr>
            </w:pPr>
            <w:r>
              <w:rPr>
                <w:rFonts w:ascii="Arial" w:cs="Arial" w:eastAsia="Arial" w:hAnsi="Arial"/>
                <w:sz w:val="17"/>
                <w:szCs w:val="17"/>
                <w:color w:val="0000FF"/>
              </w:rPr>
              <w:t>Power of Attorney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2019-12-17T17:39:34Z</dcterms:created>
  <dcterms:modified xsi:type="dcterms:W3CDTF">2019-12-17T17:39:34Z</dcterms:modified>
</cp:coreProperties>
</file>