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10-K</w:t>
      </w:r>
    </w:p>
    <w:p>
      <w:pPr>
        <w:spacing w:after="0" w:line="230" w:lineRule="exact"/>
        <w:rPr>
          <w:sz w:val="24"/>
          <w:szCs w:val="24"/>
          <w:color w:val="auto"/>
        </w:rPr>
      </w:pPr>
    </w:p>
    <w:p>
      <w:pPr>
        <w:ind w:left="380" w:right="224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2016</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sz w:val="24"/>
          <w:szCs w:val="24"/>
          <w:color w:val="auto"/>
        </w:rPr>
      </w:pPr>
    </w:p>
    <w:p>
      <w:pPr>
        <w:ind w:left="38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Ireland</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98-0606750</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CH 6340</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Title of each class</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6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Ordinary Shares, par value $0.001 per share</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84" w:lineRule="exact"/>
        <w:rPr>
          <w:sz w:val="24"/>
          <w:szCs w:val="24"/>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right="440" w:firstLine="27"/>
        <w:spacing w:after="0" w:line="29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 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7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2016 was approximately $5.0 billion based upon the closing price on the New York Stock Exchange as of such date.</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983,392,495 ordinary shares outstanding as of February 6,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2017 Annual General Meeting of Shareholders to be held on June 15, 2017 are incorporated into Part III of this Form 10-K.</w:t>
      </w:r>
    </w:p>
    <w:p>
      <w:pPr>
        <w:sectPr>
          <w:pgSz w:w="11900" w:h="16838" w:orient="portrait"/>
          <w:cols w:equalWidth="0" w:num="1">
            <w:col w:w="11420"/>
          </w:cols>
          <w:pgMar w:left="240" w:top="85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Year Ended December 31, 2016</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7"/>
          </w:tcPr>
          <w:p>
            <w:pPr>
              <w:ind w:left="240"/>
              <w:spacing w:after="0"/>
              <w:rPr>
                <w:sz w:val="20"/>
                <w:szCs w:val="20"/>
                <w:color w:val="auto"/>
              </w:rPr>
            </w:pPr>
            <w:r>
              <w:rPr>
                <w:rFonts w:ascii="Arial" w:cs="Arial" w:eastAsia="Arial" w:hAnsi="Arial"/>
                <w:sz w:val="18"/>
                <w:szCs w:val="18"/>
                <w:b w:val="1"/>
                <w:bCs w:val="1"/>
                <w:color w:val="auto"/>
              </w:rPr>
              <w:t>PAGE</w:t>
            </w: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1A</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2</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4</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Market for Registrant's Common Equity, Related Shareholder Matters and Issuer Purchases of Equity Securities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6</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7A</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Controls and Procedures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9B</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11</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Related Stockholder Matters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13</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Certain Relationships and Related Transactions, and Director Independence</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Principal Accounting Fees and Services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r>
        <w:trPr>
          <w:trHeight w:val="270"/>
        </w:trPr>
        <w:tc>
          <w:tcPr>
            <w:tcW w:w="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r>
      <w:tr>
        <w:trPr>
          <w:trHeight w:val="203"/>
        </w:trPr>
        <w:tc>
          <w:tcPr>
            <w:tcW w:w="13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PART IV</w:t>
              </w:r>
            </w:hyperlink>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15</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Exhibits, Financial Statement Schedules</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105</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Form 10-K Summary</w:t>
              </w:r>
            </w:hyperlink>
          </w:p>
        </w:tc>
        <w:tc>
          <w:tcPr>
            <w:tcW w:w="620" w:type="dxa"/>
            <w:vAlign w:val="bottom"/>
            <w:gridSpan w:val="6"/>
            <w:shd w:val="clear" w:color="auto" w:fill="CCEEFF"/>
          </w:tcPr>
          <w:p>
            <w:pPr>
              <w:jc w:val="center"/>
              <w:ind w:left="270"/>
              <w:spacing w:after="0" w:line="202"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113</w:t>
              </w:r>
            </w:hyperlink>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SIGNATURES</w:t>
              </w:r>
            </w:hyperlink>
          </w:p>
        </w:tc>
        <w:tc>
          <w:tcPr>
            <w:tcW w:w="620" w:type="dxa"/>
            <w:vAlign w:val="bottom"/>
            <w:gridSpan w:val="6"/>
          </w:tcPr>
          <w:p>
            <w:pPr>
              <w:jc w:val="center"/>
              <w:ind w:left="270"/>
              <w:spacing w:after="0" w:line="202"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114</w:t>
              </w:r>
            </w:hyperlink>
          </w:p>
        </w:tc>
        <w:tc>
          <w:tcPr>
            <w:tcW w:w="500" w:type="dxa"/>
            <w:vAlign w:val="bottom"/>
          </w:tcPr>
          <w:p>
            <w:pPr>
              <w:spacing w:after="0"/>
              <w:rPr>
                <w:sz w:val="17"/>
                <w:szCs w:val="17"/>
                <w:color w:val="auto"/>
              </w:rPr>
            </w:pPr>
          </w:p>
        </w:tc>
      </w:tr>
      <w:tr>
        <w:trPr>
          <w:trHeight w:val="831"/>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000" w:type="dxa"/>
            <w:vAlign w:val="bottom"/>
            <w:gridSpan w:val="11"/>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and support reduction plans;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820" w:right="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an Irish public limited company and Swiss tax resident,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Many of our businesses, including those of our predecessor companies, have been operating for more than 50 years.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conduct operations in approximately 90 countries and have service and sales locations in nearly all of the oil and natural gas producing regions in the world. Our operational performance is reviewed on a geographic basis and we report the following regions as separate, distinct reporting segments: North America, Latin America, Europe/Sub-Sahara Africa (“SSA”)/Russia, Middle East/North Africa (“MENA”)/Asia Pacific and Land Drilling Rigs.</w:t>
      </w:r>
    </w:p>
    <w:p>
      <w:pPr>
        <w:spacing w:after="0" w:line="1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website under the “Investor Relations” section. On our website we make available,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them to the SEC. The public may read and copy any materials we have filed with the SEC at the SEC’s Public Reference Room at 100 F Street, NE, Washington, DC 20549. Information on the operation of the Public Reference Room may be obtained by calling the SEC at 1-800-SEC-0330. The SEC maintains a website that contains our reports, proxy and information statements, and our other SEC filings. The address of that site is www.sec.gov. Our ordinary shares are listed on the NYSE under the symbol “WFT”.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components of our strategy include the following:</w:t>
      </w:r>
    </w:p>
    <w:p>
      <w:pPr>
        <w:spacing w:after="0" w:line="63" w:lineRule="exact"/>
        <w:rPr>
          <w:sz w:val="20"/>
          <w:szCs w:val="20"/>
          <w:color w:val="auto"/>
        </w:rPr>
      </w:pPr>
    </w:p>
    <w:p>
      <w:pPr>
        <w:jc w:val="both"/>
        <w:ind w:left="660" w:hanging="328"/>
        <w:spacing w:after="0" w:line="27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the efficiency, productivity and quality of our products and services and their respective delivery to our customers, in order to grow revenues and operating margins from our core operations (Formation Evaluation and Well Construction and Completion and Production) and Land Drilling Rigs in all of our geographic markets at a rate exceeding underlying market activity;</w:t>
      </w:r>
    </w:p>
    <w:p>
      <w:pPr>
        <w:spacing w:after="0" w:line="6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commitment to the innovation, invention and integration, development and commercialization of new products and service that meet the evolving needs of our customers across the reservoir lifecycle;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extending the process, productivity, service quality, safety and competency across our global infrastructure to meet client demands for our core products and services in an operationally efficient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leading provider of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Technology has become increasingly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We have invested a substantial amount of our time and resources into building our technology offerings, which helps us to provide our clients with more efficient tools to find and produce oil and natural gas. We believe our products and services enable our clients to reduce their costs of drilling and production, increase production rates, or both. Furthermore, these offerings afford us additional opportunities to sell our core products and services to our clients.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81" w:lineRule="exact"/>
        <w:rPr>
          <w:sz w:val="20"/>
          <w:szCs w:val="20"/>
          <w:color w:val="auto"/>
        </w:rPr>
      </w:pPr>
    </w:p>
    <w:p>
      <w:pPr>
        <w:jc w:val="both"/>
        <w:ind w:left="840" w:hanging="332"/>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Rental Equipment, Wireline Services, Testing and Production Services, Re-entry and Fishing Services, Cementing Products, Liner Systems, Reservoir Solutions and Surface Logging Systems.</w:t>
      </w:r>
    </w:p>
    <w:p>
      <w:pPr>
        <w:spacing w:after="0" w:line="181"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Evaluation and Well Construction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Within the Formation Evaluation and Well Construction business group we provide formation evaluation services from early well planning to reservoir management services, including core analysis, surface logging, well site geochemistry, logging while drilling and wireline services. Our full suite of formation evaluation services has broad applications across all types of reservoirs. We also provide well construction services to help clients ensure well integrity for the full life cycle of the well using reliable casing and tubing strings, cementation design, reliable liner top isolation and methods that ensure the well reaches total depth in the best condition possible. Further descriptions of our product lines are as follows:</w:t>
      </w:r>
    </w:p>
    <w:p>
      <w:pPr>
        <w:spacing w:after="0" w:line="17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Managed-Pressure Drilling </w:t>
      </w:r>
      <w:r>
        <w:rPr>
          <w:rFonts w:ascii="Arial" w:cs="Arial" w:eastAsia="Arial" w:hAnsi="Arial"/>
          <w:sz w:val="18"/>
          <w:szCs w:val="18"/>
          <w:color w:val="auto"/>
        </w:rPr>
        <w:t>helps to manage wellbore pressure and incorporates various technologies including rotating control devices and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automated control systems as well as several drilling techniques including closed-loop drilling, air drilling, managed-pressure drilling and underbalanced drilling.</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Drilling Services </w:t>
      </w:r>
      <w:r>
        <w:rPr>
          <w:rFonts w:ascii="Arial" w:cs="Arial" w:eastAsia="Arial" w:hAnsi="Arial"/>
          <w:sz w:val="17"/>
          <w:szCs w:val="17"/>
          <w:color w:val="auto"/>
        </w:rPr>
        <w:t>includes directional drilling, logging while drilling, measurement while drilling and rotary steerable systems. This service line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our full range of downhole equipment including high temperature and high pressure sensors, drilling reamers and circulation subs.</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and tubular connection services for the drilling, completion and workover of oil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natural gas wells. The services include automated rig systems, real-time torque-monitoring and remote viewing of makeup and breakout verification.</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Drilling Tools and Rental Equipment </w:t>
      </w:r>
      <w:r>
        <w:rPr>
          <w:rFonts w:ascii="Arial" w:cs="Arial" w:eastAsia="Arial" w:hAnsi="Arial"/>
          <w:sz w:val="18"/>
          <w:szCs w:val="18"/>
          <w:color w:val="auto"/>
        </w:rPr>
        <w:t>includes our patented tools and equipment for drilling oil and natural gas wells. This includes drillpipe and collars,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bottomhole assembly tools, tubular-handling equipment, pressure-control equipment, and machine-shop services.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Wireline Services </w:t>
      </w:r>
      <w:r>
        <w:rPr>
          <w:rFonts w:ascii="Arial" w:cs="Arial" w:eastAsia="Arial" w:hAnsi="Arial"/>
          <w:sz w:val="18"/>
          <w:szCs w:val="18"/>
          <w:color w:val="auto"/>
        </w:rPr>
        <w:t>includes open hole and cased-hole logging services to measure the physical properties of underground formations to determine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potential, location of resources and detection of cement and casing integrity issues of an oil and gas reservoir. The service line also includes well intervention and remediation operations that use cable to convey equipment into oil and natural gas wells.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 well test data and slickline and intervention services. The service line includes drillstem test tools, surface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services, and multiphase flow measurement.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Re-entry and Fishing Services </w:t>
      </w:r>
      <w:r>
        <w:rPr>
          <w:rFonts w:ascii="Arial" w:cs="Arial" w:eastAsia="Arial" w:hAnsi="Arial"/>
          <w:sz w:val="18"/>
          <w:szCs w:val="18"/>
          <w:color w:val="auto"/>
        </w:rPr>
        <w:t>provides re-entry, fishing, wellbore cleaning and well abandonment services as well as advanced multilateral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Cementing Products </w:t>
      </w:r>
      <w:r>
        <w:rPr>
          <w:rFonts w:ascii="Arial" w:cs="Arial" w:eastAsia="Arial" w:hAnsi="Arial"/>
          <w:sz w:val="18"/>
          <w:szCs w:val="18"/>
          <w:color w:val="auto"/>
        </w:rPr>
        <w:t>allows operators to centralize the casing throughout the wellbore and control the displacement of cement and other fluids for proper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zonal isolation. We offer specialized equipment including plugs, float and stage equipment, and torque-and-drag reduction technology. Our cementing engineers also analyze complex wells and provide all job requirements from pre-job planning to installation.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which allow suspension of strings of casing within a wellbore without the need to extend the casing to the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service line offers a comprehensive liner-hanger portfolio, along with engineering and executional experience, for a wide range of applications, including high-temperature and high-pressure wells.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Reservoir Solutions </w:t>
      </w:r>
      <w:r>
        <w:rPr>
          <w:rFonts w:ascii="Arial" w:cs="Arial" w:eastAsia="Arial" w:hAnsi="Arial"/>
          <w:sz w:val="16"/>
          <w:szCs w:val="16"/>
          <w:color w:val="auto"/>
        </w:rPr>
        <w:t>provides rock and fluid analysis for the purpose of evaluating hydrocarbon resources, advisory solutions including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and technologies for assets at various development stages, and software products for production optimization and drilling automation.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Surface Logging Systems </w:t>
      </w:r>
      <w:r>
        <w:rPr>
          <w:rFonts w:ascii="Arial" w:cs="Arial" w:eastAsia="Arial" w:hAnsi="Arial"/>
          <w:sz w:val="18"/>
          <w:szCs w:val="18"/>
          <w:color w:val="auto"/>
        </w:rPr>
        <w:t>provides real-time formation evaluation data from cuttings, gases, and fluids obtained while drilling the well. Our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advanced gas analysis, drilling instrumentation, mud logging services and wellsite consultants.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Production</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Completion and Production business group provides a comprehensive line of products and services, plus specialized technologies, to effectively complete, stimulate and produce wells in all types of reservoirs. Our completion products, reservoir stimulation designs and engineering capabilities are delivered to unlock reserves in deepwater, unconventional and aging reservoirs. Our suite of production optimization services boosts field productivity and profitability through our artificial lift portfolio as well as production workflows and optimization software. Further descriptions are as follows: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provides a mechanical method to producing oil or gas from a well that is lacking sufficient reservoir pressure to produce oil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We provide most forms of lift, including reciprocating rod lift systems, progressing cavity pumping, gas lift systems, hydraulic lift systems, plunger lift systems and hybrid lift systems for special applications. We also offer related automation and control systems.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Stimulation </w:t>
      </w:r>
      <w:r>
        <w:rPr>
          <w:rFonts w:ascii="Arial" w:cs="Arial" w:eastAsia="Arial" w:hAnsi="Arial"/>
          <w:sz w:val="18"/>
          <w:szCs w:val="18"/>
          <w:color w:val="auto"/>
        </w:rPr>
        <w:t>offers clients advanced chemical technology and services for safe and effective production enhancements. We provide a full fleet of pressure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pumping assets and reservoir stimulation services, including acidizing, fracturing and fluid systems, cementing services and coiled tubing intervention. Our U.S. pressure pumping assets are currently idled.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includes downhole equipment and offers clients a comprehensive line of completion tools such as safety systems,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packers, reservoir monitoring, flow control, isolation packers, multi-stage fracturing systems, and sand control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Drilling Rigs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Land Drilling Rigs business group provides onshore contract drilling services and related operations globally for the oil and gas industry. We operate a fleet of land drilling and workover rigs with a concentration in the Middle East and North Africa. With our technologically diverse fleet, we have the capabilities to perform a broad range of advanced drilling projects that include multi-well pad drilling, high pressure high temperature drilling, deep gas drilling, special well design and other unconventional drilling methods in various climatic conditions.</w:t>
      </w:r>
    </w:p>
    <w:p>
      <w:pPr>
        <w:spacing w:after="0" w:line="183"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provide our products and services worldwide and compete in a variety of distinct segments with a number of competitors. Our principal competitors include Schlumberger, Halliburton, Baker Hughes (which is expected to be acquired by GE Oil and Gas in 2017), National Oilwell Varco, Noble Energy, Nabors Industries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 See “Item 1A. – Risk Factors – The oilfield services business is highly competitive, which may adversely affect our ability to succeed. Additionally, the impact of consolidation and acquisitions of our competitors is difficult to predict and may harm our business.”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our customers are engaged in the energy industry. Most of our international sales are to large international or national oil companies and these sales have resulted in a concentration of receivables from certain national oil companies worldwide, especially in Latin America. As of December 31, 2016, Latin America accounted for 38% of our net outstanding accounts receivables. Venezuela, Ecuador and Mexico represent 43%, 16% and 10%, respectively, of the Latin America balance. During 2016, 2015 and 2014, no individual customer accounted for 10% or more of our consolidated revenues.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in nature, day-rate based and cancellable should our customer wish to alter the scope of work. Consequently, our backlog of firm orders is not material to the Company.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also developed significant expertise, trade secrets, and know-how with respect to manufacturing equipment and providing services. Our expenditures for research and development totaled $159 million in 2016, $231 million in 2015 and $290 million in 2014.</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typically extends from the grant of the patent through and until 20 years after the filing date of the patent application.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expiration of any one of our patents would have a material adverse effect on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impact of climate changes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operations are subject to federal, state and local laws and regulations relating to the energy industry in general and the environment in particular. In December 2015, the U.S. Environmental Protection Agency (“EPA”) conducted an investigation and records review regarding our pressure pumping facilities for perceived violations of the Resource Conservation and Recovery Act (“RCRA”). The EPA has alleged that we failed to meet RCRA notification requirements and failed to operate within its stated generator status. During 2016, we settled and paid a fine of $335,200 related to this matter.</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2016 expenditures to comply with environmental laws and regulations were not material, and we currently do not expect the cost of compliance with environmental laws and regulations for 2017 to be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2016, we employed approximately 30,000 employees, which is 24% and 46% lower than our workforce as of December 31, 2015 and 2014, respectively. In response to the significant decline in the price of crude oil and a lower level of exploration and production spending, we reduced our overall costs and workforce to better align with anticipated activity levels starting in 2014 and throughout 2015 and 2016. See “Item 8. – Financial Statements and Supplementary Data - Note 3 – Restructuring Charges” for details on our workforce reductions. Certain of our operations are subject to union contracts and these contracts cover approximately 17% of our employees. We believe we have a highly motivated and capable workforce despite the significant headcount reductions over the past two years, which were necessary to adapt our Company to the difficult market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of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Demand for our services and products is affected by fluctuations in oil and natural gas prices, especially a substantial or extended decline, which, in turn, affect the level of exploration, development and production activity of our customers and could have a material adverse effect on our business, financial condition, results of operations and impede our growth.</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Demand for our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Therefore, declines in oil and natural gas prices or sustained low oil and natural gas prices (as has occurred since late 2014) or customer perceptions that oil and natural gas prices will remain depressed or further decrease in the future could result in a continued reduction in the demand and pricing for our equipment and will likely continue at lower rates for our services.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Prices for oil and natural gas are highly volatile and are subject to large fluctuations in response to relatively minor changes in the supply of and demand for oil and natural gas. For example, during 2016, West Texas Intermediate (“WTI”) crude oil prices on the New York Mercantile Exchange fluctuated from a low of less than $27.00 per barrel in the first quarter to a high of $54.06 per barrel in late December.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OPEC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our control. Any perceived or actual further reduction in oil and natural gas prices will depress the immediate levels of exploration, development and production activity and decrease spending by our customers, which could have a material adverse effect on our business, financial condition and results of operations.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substantial and sustained decline in oil and natural gas prices has led to a significant decrease in spending by our customers over the past two years, and further decreases in oil and natural gas prices could lead to further cuts in spending. Our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our business, financial condition, results of operations and cash flow.</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business is dependent on capital spending by our customers, and reductions in capital spending by our customers has had and could continue to have an adverse effect on our business, financial condition and results of operations.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substantial and sustained decline in oil and natural gas prices has led to a significant decrease in capital expenditures by our customers. Most of our contracts can be cancelled by our customer at any time. Low commodity prices, the short-term tenor of most of our contracts and the extreme financial stress experienced by our customers (some of whom may have to seek bankruptcy protection) have combined to generate demands by many of our customers for significant reductions in the prices of our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and services. Further reductions in capital spending or requests for further cost reductions by our customers could directly impact our business by reducing demand for our services and products and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our services, the rates we can charge and the utilization of our assets. Moreover, reduced discovery rates of new oil and natural gas reserves or a decrease in the development rate of reserves in our market areas, whether due to increased governmental regulation, limitations on exploration and drilling activity or other factors, could also have a material adverse impact on our business, even in a stronger oil and natural gas price environment. With respect to national oil company customers, we are also subject to risk of policy, regime, currency and budgetary changes all of which may affect their capital expenditures.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credit risks of our concentrated customer base in the energy industry could result in losses.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concentration of our customer base in the energy industry may impact our overall exposure to credit risk as our customers may be similarly affected by prolonged changes in economic and industry conditions. Some of our customers are experiencing extreme financial distress as a result of falling commodity prices and may be forced to seek protection under applicable bankruptcy laws. Furthermore, countries that rely heavily upon income from hydrocarbon exports have been negatively and significantly affected by the drop in oil prices, which could affect our ability to collect from our customers in these countries, particularly national oil companies. Laws in some jurisdictions in which we operate could make collection difficult or time consuming. We perform on-going credit evaluations of our customers and do not generally require collateral in support of our trade receivables. While we maintain reserves for potential credit losses, we cannot assure such reserves will be sufficient to meet write-offs of uncollectible receivables or that our losses from such receivables will be consistent with our expectations. Additionally, in the event of a bankruptcy of any of our customers, we may be treated as an unsecured creditor and may collect substantially less, or none, of the amounts owed to us by such customer.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 and weather conditions could adversely affect demand for our services and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our operations, or our customers’ operations, cause supply disruptions or loss of productivity or result in a loss of revenue or damage to our equipment and facilities, which may or may not be insured. Any of these outcomes could have a material adverse effect on our business, financial condition and results of operations.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oilfield services business is highly competitive, which may adversely affect our ability to succeed. Additionally, the impact of consolidation and acquisitions of our competitors is difficult to predict and may harm our business.</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is highly competitive, particularly with respect to marketing our products and services to our customers and securing equipment and trained personnel. Currently the oilfield service industry has significant excess capacity relative to customer demand, and, in most cases, multiple sources of comparable oilfield services are available from a number of different competitors. This competitive environment could impact our ability to maintain market share, defend, maintain or increase pricing for our products and services and negotiate acceptable contract terms with our customers and suppliers. In order to remain competitive, we must continue to add value for our customers by providing, relative to our peers, new technologies, reliable products and services and competent personnel. The anticipated timing and cost of the development of competitive technology and new product introductions can impact our financial results, particularly if one of our competitors were to develop competing technology that accelerates the obsolescence of any of our products or services. Additionally, we may be disadvantaged competitively and financially by a significant movement of exploration and production operations to areas of the world in which we are not currently active, particularly if one or more of our competitors is already operating in that area of the world.</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Recent, ongoing, and future mergers, combinations and consolidations in our industry could result in existing competitors increasing their market share and may result in stronger competitors, which in turn, could have a material adverse effect on our business, financial condition and results of operations. In 2016, Baker Hughes and GE Oil and Gas announced a plan to merge after the planned merger between Baker Hughes and Halliburton was called off earlier in the year. In 2016, Schlumberger and Cameron International completed their previously announced merger. We may not be able to compete successfully in an increasingly consolidated industry and cannot predict with certainty how industry consolidation will affect our other competitors or 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Physical dangers are inherent in our operations and may expose us to significant potential losses. Personnel and property may be harmed during the process of drilling for oil and natural gas.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w:t>
      </w:r>
    </w:p>
    <w:p>
      <w:pPr>
        <w:spacing w:after="0" w:line="1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from time to time we may enter into contracts with less favorable indemnities or perform work without a contract that protects us. Our indemnity arrangements may also be held to be overly broad in some courts and/or contrary to public policy in some jurisdictions, and to that extent unenforceable. Additionally, some jurisdictions which permit indemnification nonetheless limit its scope by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commotion. If any of our assets are damaged or destroyed as a result of an uninsured cause, we could recognize a loss of those assets.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ordinary course of business, we become the subject of various claims and litigation. We maintain liability insurance, which includes insurance against damage to people, property and the environment, up to maximum limits of $600 million, subject to self-insured retentions and deductibles.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Any of these events would have an adverse impact on our financial performance.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that may expose us to significant liabilities and could reduce our business opportunities and revenues.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The scope of regulation of our industry and our products and services may increase further, including possible increases in liabilities or funding requirements imposed by governmental agencies. We also cannot ensure that our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our business where they are imposed.</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service we previously provided (and may, in the future, resume providing) to clients and regulators are investigating whether any chemicals used in the fracturing process might adversely affect groundwater or whether the fracturing processes could lead to other unintended effects or damages. For example, in December 2016, the EPA released its final report regarding the potential impacts of hydraulic fracturing on drinking water resources, concluding that water cycle activities associated with hydraulic fracturing may impact drinking water resources under certain circumstances.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our costs of providing services or could materially reduce our business opportunities and revenues if our customers decrease their levels of activity in response to such regulation or if we are not able to pass along any cost increases to our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1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Finally, in December 2015, the U.S. joined the international community at the 21st Conference of the Parties of the United Nations Framework Convention on Climate Change in Paris, France that requires member countries to review and “represent a progression” in their intended nationally determined contributions, which set greenhouse gas (“GHG”) emission reduction goals every five years beginning in 2020. The agreement entered into was in full force in November 2016. The implementation of this treaty and other efforts to reduce GHG emissions in the U.S. and other countries could materially affect our customers by reducing demand for oil and natural gas, thereby potentially materially affecting demand for our services.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conduct some of our business using fixed-fee or turn-key contracts, which subject us to risks associated with cost over-runs, operating cost inflation and potential claims for liquidated damages.</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conduct our business under various types of contracts, including in some cases fixed-fee or turn-key contracts where we estimate costs in advance of our performance. We price these types of contracts based in part on assumptions including prices and availability of labor, equipment and materials as well as productivity, performance and future economic conditions. If our cost estimates prove inaccurate, there are errors or ambiguities as to contract specifications or if circumstances change due to, among other things, unanticipated technical problems, difficulties in obtaining permits or approvals, changes in local laws or labor conditions, weather delays, changes in the costs of equipment and materials or our suppliers’ or subcontractors’ inability to perform, then cost over-runs may occur. We may not be able to obtain compensation for additional work performed or expenses incurred in all cases. Additionally, in some contracts we may be required to pay liquidated damages if we do not achieve schedule or performance requirements of our contracts. Our failure to accurately estimate the resources and time required for fixed-fee contracts or our failure to complete our contractual obligations within the time frame and costs committed could result in reduced profits or a loss for that contract. If the contract is significant, or we encounter issues that impact multiple contracts, cost over-runs could have a material adverse effect on our business, financial condition and results of operations. For example, as of December 31, 2016, we recognized cumulative estimated project losses totaling $532 million related to our long-term early production facility construction contracts in Iraq that are accounted for under the percentage-of-completion method.</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our long-lived assets, goodwill, other intangible assets and other assets are further impaired, we may be required to record significant non-cash charges to our earnings.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impairments of goodwill to its implied fair value when the fair value of any of our reporting units becomes less than its carrying value. Our estimates of fair value are based on assumptions about future cash flows of each reporting unit, discount rates applied to these cash flows and current market estimates of value. Based on the uncertainty of future revenue growth rates, gross profit performance, and other assumptions used to estimate our reporting units’ fair value, future reductions in our expected cash flows could cause a material non-cash impairment charge of goodwill, which could have a material adverse effect on our results of operations and financial condition.</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also have certain long-lived assets, other intangible assets and other assets which could be at risk of impairment or may require reserves based upon anticipated future benefits to be derived from such assets. Any change in the valuation of such assets could have a material effect on our profitability. For example, during 2016, 2015 and 2014, we recognized long-lived asset impairment charges of $436 million, $638 million and $495 million, respectively.</w:t>
      </w:r>
    </w:p>
    <w:p>
      <w:pPr>
        <w:spacing w:after="0" w:line="143"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We have significant operations that would be adversely impacted in the event of war, political instability or disruption, civil disturbance, regime changes, treaty changes, economic and legal sanctions, pandemics, changes in global trade policies or weak local economic conditions.</w:t>
      </w:r>
    </w:p>
    <w:p>
      <w:pPr>
        <w:spacing w:after="0" w:line="1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Like most multinational oilfield service companies, we have operations in certain international areas, including parts of the Middle East, Africa, Latin America, the Asia Pacific, Europe and Russia regions that are subject to significant risks of war, political instability and disruption, civil disturbance, regime changes, treaty changes, economic and legal sanctions (such as restrictions against countries that the U.S. government may deem to sponsor terrorism), pandemics, changes in global trade policies or weak local economic conditions. Our operations, which are subject to these various risks unique to each country in which we operate, may be restricted or prohibited if any of the foregoing risks occur, which in turn, could materially and adversely impact our results of operations:</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of oil and natural gas exploration and production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 of the movement and exchange of funds;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collect receivables;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or nationalization of assets in affected jurisdictions;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enactment of additional or stricter U.S., EU or other applicable government or international sanctions;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 of our access to markets for periods of time.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example, the economic sanctions against Russia resulting from its annexation of the Crimean region of Ukraine in March 2014 have, and may continue to, adversely impact our business, results of operations and financial condition of our Russia operations. In the event of further sanctions or changes to existing sanctions our ability to do business in Russia may be further reduced or impacted.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risk loss of assets in any location where hostilities arise and persist. In these areas we also may not be able to perform the work we are contracted to perform, which could lead to forfeiture of performance bonds, or we may not be able to collect payment for work performed. Political instability in our regions of operation may also result in the need for additional security, resources and ability to quickly navigate a changing landscape. In addition, the trade and investment policies of the current U.S. administration regarding some jurisdictions where we operate is currently unclear.</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able to complete the contemplated divestiture of our land drilling rigs or our pressure pumping business and we may not achieve the intended benefits of our 2014 divestitures.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2014, we divested certain of our non-core businesses (land drilling rigs in Russia and Venezuela, engineered chemistry and Integrity drilling fluids, pipeline and specialty services and production services). Due to sustained unfavorable market conditions, we have not yet completed the divestiture of the remaining portion of our land drilling rigs. Any such divestiture, accomplished through an initial public offering, a spin-off, an asset sale, or some combination of the foregoing, will be complex in nature and may be affected by unanticipated developments, such as the continued significant and sustained decrease in the price of crude oil, delays in obtaining regulatory or governmental approvals and challenges in establishing processes and infrastructure for both the underlying business and for potential investors or buyers of the business, which may result in such divestiture being delayed, or not being completed at all. There is no guarantee that we will fully realize the intended benefits of consummating such divestiture transactions.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in November 2016, we shut down our U.S. pressure pumping operations and idled the related assets. We currently intend to dispose of all assets, the related infrastructure and commitments, which we may not be able to conclude on in the intended time frame or with favorable pricing and terms.</w:t>
      </w:r>
    </w:p>
    <w:p>
      <w:pPr>
        <w:spacing w:after="0" w:line="12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2013 and 2014, we settled investigations of prior alleged violations by us and certain of our subsidiaries related to certain trade sanctions laws, participation in the United Nations oil-for-food program governing sales of goods into Iraq and non-compliance with the Foreign Corrupt Practices Act (“FCPA”). These settlement agreements required us to pay $253 million and to retain, for a period of 18 months, an independent monitor responsible for assessing our compliance with the terms of the settlement agreements so as to address and reduce the risk of recurrence of alleged misconduct. Notwithstanding such internal control policies and procedures, including those related to training and compliance, programs for our employees and agents with respect to the FCPA, we cannot assure that our policies, procedures and programs always will prevent or protect us from reckless or criminal acts committed by our employees or agents.</w:t>
      </w:r>
    </w:p>
    <w:p>
      <w:pPr>
        <w:spacing w:after="0" w:line="2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the extent we violate trade sanctions laws, the FCPA , the United Kingdom Bribery Act, or other laws or regulations in the future, additional fines and other penalties may be imposed and there would be uncertainty as to the ultimate amount of any penalties we could pay and there can be no assurance that actual fines or penalties, if any, will not have a material adverse effect on our business, financial condition and results of operations.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6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If another party claims that we have infringed its intellectual property rights, we may be subject to litigation or we may need to take remedial steps to eliminate or mitigate liability.</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third party may claim that we sell equipment or perform services that infringes the third party’s patent rights or unlawfully uses the third party’s trade secrets. Addressing such claims of patent infringement or trade secret misappropriation could result in significant legal and other costs, and may adversely impact our business. To resolve such claims, we may be required to enter into license agreements that require us to make royalty payments to continue selling equipment or providing of services. Alternatively, the development of non-infringing technologies could be costly. If an allegation of patent infringement or trade secret misappropriation cannot be resolved through a license agreement, we might not be able to continue selling particular equipment or providing particular services, which could adversely affect our financial condition, results of operations, and cash flow.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Our significant international operations subject us to economic and repatriation risks, and we may be adversely affected by changes in foreign currency including devaluation and changes in local banking and currency regulations and exchange controls.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in virtually every oil and natural gas exploration and production region in the world. In some parts of the world, such as Latin America, the Middle East and Southeast Asia, the currency of our primary economic environment is generally the U.S. dollar, and we use the U.S. dollar as our functional currency. In other parts of the world, we conduct our business in currencies other than the U.S. dollar, and the functional currency is generally the applicable local currency. As such, we are exposed to significant currency exchange risk and devaluation risk. For example, in 2016, 2015 and 2014, we recognized pre-tax currency-related charges of $41 million, $85 million and $245 million, respectively. In 2016, currency devaluation charges reflect the impact of the devaluation of the Angolan kwanza and the Egyptian pound. In 2015, currency devaluation charges reflect the impacts of the devaluation of the Angolan kwanza and Argentine peso and the recognized remeasurement charges related to the Venezuelan bolivar and the Kazakhstani tenge. The charges in 2014 were related to the devaluation of the Venezuelan bolivar. For information about the currency devaluations, refer to the section entitled “Item 8. – Financial Statements and Supplementary Data – Notes to Consolidated Financial Statements – Note 1 – Summary of Significant Accounting Policies.” Any future change in the exchange rates in these or other countries could cause us to take additional charges on the foreign denominated assets held by our subsidiaries.</w:t>
      </w:r>
    </w:p>
    <w:p>
      <w:pPr>
        <w:spacing w:after="0" w:line="16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also subject to risks resulting from changes in the implementation of exchange controls, as well as limitations on our ability to reinvest earnings from operations in one country to fund the capital needs of our operations in other countries. If we are unable to reinvest earnings or repatriate foreign income, our liquidity may be negatively affected. Additionally, changing tax rules could result in an increased income tax expense on repatriation of funds.</w:t>
      </w:r>
    </w:p>
    <w:p>
      <w:pPr>
        <w:spacing w:after="0" w:line="14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in Venezuela subjects us to actions by the Venezuelan government or our primary customer which could have a material adverse effect on our liquidity, results of operations and financial condition.</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future results of our Venezuelan operations may be adversely affected by many factors, including our ability to take action to mitigate the effect of future exchange controls, actions of the Venezuelan government and the general economic conditions in the country, continued inflation, and future customer payments and spending. We may continue to see a delay in payment on our receivables from our primary customer in Venezuela or may be compelled to accept bonds as payment, which may then be sold at a loss, similar to our bond transactions in 2016 and 2013 related to $120 million and $127 million of net trade receivables, respectively. During the second quarter of 2016, we accepted a note with a face value of $120 million from Petroleos de Venezuela, S.A. (“PDVSA”) in exchange for $120 million in net trade receivables. We carried the note at the lower of cost or fair value and recognized a loss in the second quarter of 2016 of $84 million to adjust the note to fair value. In the fourth quarter of 2016, we sold the economic rights in the note receivable for $44 million. If PDVSA further delays paying or fails to pay a significant amount of our outstanding receivables, or if there is a major action by the Venezuelan government, it could have a material adverse effect on our liquidity, consolidated results of operations and consolidated financial condition.</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rating agencies have lowered and could further lower our credit ratings.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credit ratings were downgraded by multiple credit rating agencies in 2016 and these agencies could further downgrade our credit ratings. Our Standard &amp; Poor’s Global Ratings (“S&amp;P”) credit rating on our senior unsecured debt and short-term ratings are both currently B with a negative outlook. Our Moody’s Investors Services (“Moody’s”) rating on our senior unsecured debt is currently Caa1 and our short-term rating is SGL-3, both with a negative outlook. Our Fitch Rating is CCC- for our senior unsecured debt and C for our short-term debt with a negative outlook. The lowering of our credit ratings to non-investment grade levels in 2016 resulted in our loss of access to the commercial paper market for our short-term liquidity needs. Furthermore, our non-investment grade status may further limit our ability to refinance our existing debt, could cause us to refinance or issue debt with less favorable and more restrictive terms and conditions, and could increase certain fees and interest rates of 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obligations under the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indebtedness could have significant negative consequences for our business, results of operations and financial condition,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on the notes.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 the Term Loan Agreement and our other indebtedness, including our indentures, as supplemented (our “indentures”), there could be a default under the terms of these agreements, which could result in an acceleration of payment of funds that we have borrowed and would affect our ability to make principal and interest payments on the notes.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default under the agreements governing our indebtedness that is not cured or waived by the required lenders, and the remedies sought by the holders of any such indebtedness, could make us unable to 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and our indentures), we could be in default under the terms of such agreements. In the event of such default:</w:t>
      </w:r>
    </w:p>
    <w:p>
      <w:pPr>
        <w:spacing w:after="0" w:line="19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 thereunder and cease making further loans;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operating performance declines, we may in the future need to obtain waivers under the Revolving Credit Agreement, the Term Loan Agreement or our indentures. If we breach our covenants under the Revolving Credit Agreement, the Term Loan Agreement or our indentures,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terms of the Revolving Credit Agreement and Term Loan Agreement restrict, and our indentures will restrict, our current and future operations, particularly our ability to respond to changes or to pursue our business strategies.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Agreement and Term Loan Agreement contain, and our indentures will contain, a number of restrictive covenants that impose significant operating and financial restrictions on us and may limit our ability to engage in acts that may be in our long-term best interest, including restrictions on our ability to:</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restrictions, we may be: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unable to raise additional debt of equity financing to operate during general economic or business downturns;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restrictive covenants in the Revolving Credit Agreement and Term Loan Agreement require us to maintain specified financial ratios. Our ability to meet those financial ratios can be affected by events beyond our control.</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breach of the covenants under the Revolving Credit Agreement, the Term Loan Agreement or our indentures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financing may not be available to us at economic rates.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Credit and equity markets have been highly volatile in recent years, the cost to obtain capital financing has increased, and some markets may not be available at certain times. Credit and equity market conditions and the potential impact on liquidity of major financial institutions may have an adverse effect on our ability to fund operational needs or other activities through borrowings under either existing or newly created instruments in the public or private markets on terms we believe to be reasonable. If we are unable to borrow further via debt offerings or our credit facility, or to obtain additional equity financing, we could experience a reduction of liquidity and may result in difficulty funding our operations, repayment of short-term borrowings, payments of interest and other obligations. This could be detrimental to our business and have a material adverse effect on our liquidity, consolidated results of operations and financial condition.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terrorist attack or other geopolitical crisis could have a material and adverse effect on our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many dangerous countries, such as Iraq, Nigeria, and Turkey in which acts of terrorism or political violence are a substantial and frequent risk. We also operate in countries not customarily considered dangerous, where terrorist acts have become more frequent. Such acts could result in kidnappings, illegal detainment, or the loss of life of our employees or contractors, a loss of equipment, which may or may not be insurable in all cases, or a cessation of business in an affected area. We cannot be certain that our security efforts will in all cases be sufficient to deter or prevent acts of political violence or terrorist strikes against us or our customers’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could be negatively affected by cybersecurity threats and other disruptions.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threats such as unauthorized access to data and systems, loss or destruction of data (including confidential customer information), computer viruses, or other malicious code, phishing and cyber attacks, and other similar events. These threats arise from numerous sources, not all of which are within our control, including fraud or malice on the part of third parties, accidental technological failure, electrical or telecommunication outages, failures of computer servers or other damage to our property or assets, or outbreaks of hostilities or terrorist acts.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Given the rapidly evolving nature of cyber threats, there can be no assurance that the systems we have designed and implemented to prevent or limit the effects of cyber incidents or attacks will be sufficient in preventing all such incidents or attacks, or avoiding a material impact to our systems when such incidents or attacks do occur. If we were to be subject to a cyber incident or attack, it could result in the disclosure of confidential or proprietary customer information, theft or loss of intellectual property, damage to our reputation with our customers and the market, failure to meet customer requirements or customer dissatisfaction, theft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exposure to litigation, damage to equipment (which could cause environmental or safety issues) and other financial costs and losses. In addition, as cybersecurity threats continue to evolve, we may be required to devote additional resources to continue to enhance our protective measures or to investigate or remediate any cybersecurity vulnerabilities.</w:t>
      </w:r>
    </w:p>
    <w:p>
      <w:pPr>
        <w:spacing w:after="0" w:line="17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Our failure to maintain effective internal controls over financial reporting has resulted in governmental investigations, shareholder lawsuits, significant fines, penalties and settlements, and could further result in material misstatements in our financial statements which, in turn, could require us to restate financial statements, may cause investors to lose confidence in our reported financial information and could have an adverse effect on our share price or our debt ratings.</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previously identified a material weakness in our internal controls over financial reporting that had resulted in a material weakness in accounting for income taxes. As of December 31, 2013, we remediated our material weakness in accounting for income taxes. We cannot assure that additional material weaknesses in our internal controls over financial reporting will not be identified in the future.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regarding the effectiveness of our internal controls over financial reporting. The existence of a material weakness could result in errors in our financial statements that could result in a restatement of financial statements, cause us to fail to meet our reporting obligations and/or cause investors to lose confidence in our reported financial information, potentially leading to a decline in our share price.</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SEC and DOJ were investigating certain accounting issues associated with the material weakness in our internal control over financial reporting for income taxes and the restatements of our historical financial statements in 2011 and 2012. In September of 2016, we settled this matter for a total civil monetary penalty of $140 million, with $50 million due within 21 days from the settlement agreement and three installments of $30 million due in 2017. We also agreed to prepare and deliver certain reports and certifications to the SEC for the next 2 years regarding our tax internal controls. 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the SEC and DOJ investigations, in the past several years, we, and certain of our directors and officers, have been defendants in several shareholder derivative and class actions. These matters have been costly to settle and have required a significant amount of time and resources. 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6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Organization of Economic Cooperation and Development (“OECD”), which represents a coalition of member countries, has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Changes in tax laws could significantly increase our tax expense and require us to take actions, at potential significant expense, to seek to preserve our current level of tax expense.</w:t>
      </w:r>
    </w:p>
    <w:p>
      <w:pPr>
        <w:spacing w:after="0" w:line="188"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 allowance may be required. We have recorded a valuation allowance on substantially all of our current and future deferred tax assets. A prolonged downturn could result in us not being able to benefit future losses, which would negatively impact our financial results.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may be prohibited from fully using our U.S. net operating loss carryforwards, which could affect our financial performance.</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result of the recent losses we have incurred in the U.S., we have a valuation allowance against all future tax benefits of our U.S. net operating loss carryforwards. As of December 31, 2016, we had gross net operating loss (“NOL”) and research tax credit carryforwards of approximately $1.7 billion and $30 million, respectively for federal income tax purposes, expiring in varying amounts through the year 2036.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2016, we have not experienced an ownership change. Therefore our utilization of NOL carryforwards was not subject to an annual limitation. However, we may experience ownership changes in the future as a result of subsequent shifts in our stock ownership. As a result, if we earn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 Furthermore, these losses could expire before we generate sufficient income to utilize them.</w:t>
      </w:r>
    </w:p>
    <w:p>
      <w:pPr>
        <w:spacing w:after="0" w:line="1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anticipated benefits of our redomestication to Ireland may not be realized. Additionally, we and our shareholders could be subject to increased taxation if we are considered to be a tax resident in both Switzerland and Ireland.</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2014, we redomesticated from Switzerland to Ireland. We may not realize the benefits we anticipate from this redomestication. Our failure to realize those benefits could have an adverse effect on our business, results of operations and financial condition. Additionally, while we moved our place of incorporation from Switzerland to Ireland in 2014, we continue to be effectively managed from Switzerland.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 intend to maintain our place of effective management in Switzerland and therefore qualify as a Swiss, but not Irish, tax resident. However, it is possible that in the future, whether as a result of a change in law or tax treaty or how we manage our business that we could become a tax resident in Ireland in addition to Switzerland. If we were to be considered to be a tax resident of Ireland, we could become liable for Irish and Swiss corporation tax and any dividends paid to its shareholders could be subject to Irish and Swiss dividend withholding tax.</w:t>
      </w:r>
    </w:p>
    <w:p>
      <w:pPr>
        <w:spacing w:after="0" w:line="16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Additionally, while we are an Irish company, we hold shareholders meetings in Switzerland, which may make attendance in person more difficult for some investors.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Our operations are conducted in approximately 90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2016:</w:t>
      </w:r>
    </w:p>
    <w:p>
      <w:pPr>
        <w:spacing w:after="0" w:line="11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317500"/>
                    </a:xfrm>
                    <a:prstGeom prst="rect">
                      <a:avLst/>
                    </a:prstGeom>
                    <a:noFill/>
                  </pic:spPr>
                </pic:pic>
              </a:graphicData>
            </a:graphic>
          </wp:anchor>
        </w:drawing>
      </w:r>
    </w:p>
    <w:p>
      <w:pPr>
        <w:spacing w:after="0" w:line="57" w:lineRule="exact"/>
        <w:rPr>
          <w:sz w:val="20"/>
          <w:szCs w:val="20"/>
          <w:color w:val="auto"/>
        </w:rPr>
      </w:pPr>
    </w:p>
    <w:p>
      <w:pPr>
        <w:ind w:left="2340" w:right="480" w:hanging="2281"/>
        <w:spacing w:after="0" w:line="277" w:lineRule="auto"/>
        <w:tabs>
          <w:tab w:leader="none" w:pos="2320" w:val="left"/>
        </w:tabs>
        <w:rPr>
          <w:sz w:val="20"/>
          <w:szCs w:val="20"/>
          <w:color w:val="auto"/>
        </w:rPr>
      </w:pPr>
      <w:r>
        <w:rPr>
          <w:rFonts w:ascii="Arial" w:cs="Arial" w:eastAsia="Arial" w:hAnsi="Arial"/>
          <w:sz w:val="18"/>
          <w:szCs w:val="18"/>
          <w:b w:val="1"/>
          <w:bCs w:val="1"/>
          <w:color w:val="auto"/>
        </w:rPr>
        <w:t>North America:</w:t>
      </w:r>
      <w:r>
        <w:rPr>
          <w:sz w:val="20"/>
          <w:szCs w:val="20"/>
          <w:color w:val="auto"/>
        </w:rPr>
        <w:tab/>
      </w:r>
      <w:r>
        <w:rPr>
          <w:rFonts w:ascii="Arial" w:cs="Arial" w:eastAsia="Arial" w:hAnsi="Arial"/>
          <w:sz w:val="18"/>
          <w:szCs w:val="18"/>
          <w:color w:val="auto"/>
        </w:rPr>
        <w:t>Greenville, Houston, Huntsville, Katy, Longview, Odessa, Pasadena, and San Antonio, Texas; Broussard and Schriever, Louisiana; Williston, North Dakota; and Calgary, Edmonton, and Nisku,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171450</wp:posOffset>
            </wp:positionV>
            <wp:extent cx="7229475"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Latin America:</w:t>
      </w:r>
      <w:r>
        <w:rPr>
          <w:sz w:val="20"/>
          <w:szCs w:val="20"/>
          <w:color w:val="auto"/>
        </w:rPr>
        <w:tab/>
      </w:r>
      <w:r>
        <w:rPr>
          <w:rFonts w:ascii="Arial" w:cs="Arial" w:eastAsia="Arial" w:hAnsi="Arial"/>
          <w:sz w:val="16"/>
          <w:szCs w:val="16"/>
          <w:color w:val="auto"/>
        </w:rPr>
        <w:t>Cutral Co, Argentina; Rio de Janeiro, Brazil; Venustiano Carranza and Villahermosa, Mexico; and Anaco,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317500</wp:posOffset>
            </wp:positionV>
            <wp:extent cx="7229475"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4203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40" w:right="60" w:hanging="2299"/>
        <w:spacing w:after="0" w:line="277" w:lineRule="auto"/>
        <w:tabs>
          <w:tab w:leader="none" w:pos="2320" w:val="left"/>
        </w:tabs>
        <w:rPr>
          <w:sz w:val="20"/>
          <w:szCs w:val="20"/>
          <w:color w:val="auto"/>
        </w:rPr>
      </w:pPr>
      <w:r>
        <w:rPr>
          <w:rFonts w:ascii="Arial" w:cs="Arial" w:eastAsia="Arial" w:hAnsi="Arial"/>
          <w:sz w:val="18"/>
          <w:szCs w:val="18"/>
          <w:b w:val="1"/>
          <w:bCs w:val="1"/>
          <w:color w:val="auto"/>
        </w:rPr>
        <w:t>Europe/SSA/Russia:</w:t>
      </w:r>
      <w:r>
        <w:rPr>
          <w:sz w:val="20"/>
          <w:szCs w:val="20"/>
          <w:color w:val="auto"/>
        </w:rPr>
        <w:tab/>
      </w:r>
      <w:r>
        <w:rPr>
          <w:rFonts w:ascii="Arial" w:cs="Arial" w:eastAsia="Arial" w:hAnsi="Arial"/>
          <w:sz w:val="18"/>
          <w:szCs w:val="18"/>
          <w:color w:val="auto"/>
        </w:rPr>
        <w:t>Langenhagen, Germany; Aberdeen, UK; Atyrau, Kazakhstan; Nizhnevartovsk, Russia; Port Harcourt, Nigeria and Stavanger,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282575</wp:posOffset>
            </wp:positionV>
            <wp:extent cx="72294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340" w:right="300" w:hanging="2281"/>
        <w:spacing w:after="0" w:line="308" w:lineRule="auto"/>
        <w:tabs>
          <w:tab w:leader="none" w:pos="2320" w:val="left"/>
        </w:tabs>
        <w:rPr>
          <w:sz w:val="20"/>
          <w:szCs w:val="20"/>
          <w:color w:val="auto"/>
        </w:rPr>
      </w:pPr>
      <w:r>
        <w:rPr>
          <w:rFonts w:ascii="Arial" w:cs="Arial" w:eastAsia="Arial" w:hAnsi="Arial"/>
          <w:sz w:val="18"/>
          <w:szCs w:val="18"/>
          <w:b w:val="1"/>
          <w:bCs w:val="1"/>
          <w:color w:val="auto"/>
        </w:rPr>
        <w:t>MENA/Asia Pacific:</w:t>
      </w:r>
      <w:r>
        <w:rPr>
          <w:sz w:val="20"/>
          <w:szCs w:val="20"/>
          <w:color w:val="auto"/>
        </w:rPr>
        <w:tab/>
      </w:r>
      <w:r>
        <w:rPr>
          <w:rFonts w:ascii="Arial" w:cs="Arial" w:eastAsia="Arial" w:hAnsi="Arial"/>
          <w:sz w:val="17"/>
          <w:szCs w:val="17"/>
          <w:color w:val="auto"/>
        </w:rPr>
        <w:t>Hassi Messaoud, Algeria; Luanda, Angola; Cairo, Egypt; Dhahran, Saudi Arabia; North Rumaila, Iraq; Abu Dhabi, Dubai and Sharjah, United Arab Emirates; Jiangsu and Shifang, China; Barmer, India; and Singapore, Singapore.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headquarters are in Switzerland, with offices in Geneva and Baar, and we have corporate offices in Houston, Texas. We own or lease numerous other facilities such as service centers, shops and sales and administrative offices throughout the geographic regions in which we operate. Certain of material U.S. properties are all mortgaged to the lenders under our Term Loan. All of our remaining owned properties are unencumbered, however the lenders could require we mortgage them as well. We believe the facilities that we currently occupy are suitable for their intended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following:</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“Item 1. – Business – Other Business Data – Federal Regulation and Environmental Matters,” which is incorporated by reference into this item.</w:t>
      </w:r>
    </w:p>
    <w:p>
      <w:pPr>
        <w:spacing w:after="0" w:line="74"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“Item 1A. – Risk Factors – 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 which is incorporated by reference into this item.</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21 – Disputes, Litigation and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items of litigation, we do not believe it is probable that any of the items of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ordinary shares are traded under the symbol “WFT” on the New York Stock Exchange (“NYSE”). As of February 6, 2017, there were 1,707 shareholders of record. The following table sets forth, for the periods indicated, the range of high and low sales prices per share for our stock as reported on the NYSE.</w:t>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 2016</w:t>
            </w: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6.38</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Year ending December 31, 2015</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February 6, 2017, the closing sales price of our shares as reported by the NYSE was $6.00 per share. We have not declared or paid cash dividends on our shares since 1984. We intend to retain any future earnings and do not expect to pay any cash dividends in the near future.</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equity compensation plans is set forth in Part III of this report under “Item 12(d). – Securities Authorized for Issuance under Equity Compensation Plans,” which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graph compares the yearly cumulative return on our shares with the cumulative return on the Dow Jones U.S. Oil Equipment &amp; Services Index and the Dow Jones U.S. Index for the last five years. The graph assumes the value of the investment in our shares and each index was $100 on December 31, 2011.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17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2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Weatherford ordinary shares, the Dow Jones U.S.</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Oil Equipment and Services Index and</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the Dow Jones U.S.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30480</wp:posOffset>
            </wp:positionV>
            <wp:extent cx="5025390" cy="457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53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table sets forth certain selected historical consolidated financial data and should be read in conjunction with “Item 7. – Management’s Discussion and Analysis of Financial Condition and Results of Operations” and “Item 8. – Financial Statements and Supplementary Data,” which contain information on the comparability of the selected financial data and are both contained in this report. Discussion of material uncertainties is included in “Item</w:t>
      </w:r>
    </w:p>
    <w:p>
      <w:pPr>
        <w:ind w:firstLine="8"/>
        <w:spacing w:after="0" w:line="261" w:lineRule="auto"/>
        <w:tabs>
          <w:tab w:leader="none" w:pos="1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Financial Statements and Supplementary Data – Notes to Consolidated Financial Statements – Note 21 – Disputes, Litigation and Contingencies.” The following information may not be indicative of our future 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5,749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9,433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14,911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15,263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15,215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(3,392)</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(1,985)</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Share Attributable To Weatherford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Diluted Loss Per Share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12,664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14,760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18,854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21,937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w w:val="93"/>
              </w:rPr>
              <w:t>Short-term Borrowings and Current Portion of Long-term Debt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1,582</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727</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1,653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5,852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6,762</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7,021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2,068</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4,365</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7,033</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8,203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8,818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72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Latin America and Land Drilling Rigs.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products, equipment and services to the oil and natural gas exploration and production industry, both on land and offshore, through our three business groups: (1) Formation Evaluation and Well Construction and (2) Completion and Production, and (3) Land Drilling Rigs, which together include 14 product lines.</w:t>
      </w:r>
    </w:p>
    <w:p>
      <w:pPr>
        <w:spacing w:after="0" w:line="181" w:lineRule="exact"/>
        <w:rPr>
          <w:sz w:val="20"/>
          <w:szCs w:val="20"/>
          <w:color w:val="auto"/>
        </w:rPr>
      </w:pPr>
    </w:p>
    <w:p>
      <w:pPr>
        <w:ind w:left="840" w:hanging="332"/>
        <w:spacing w:after="0" w:line="34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Formation Evaluation and Well Construction </w:t>
      </w:r>
      <w:r>
        <w:rPr>
          <w:rFonts w:ascii="Arial" w:cs="Arial" w:eastAsia="Arial" w:hAnsi="Arial"/>
          <w:sz w:val="16"/>
          <w:szCs w:val="16"/>
          <w:color w:val="auto"/>
        </w:rPr>
        <w:t>includes Managed-Pressure Drilling, Drilling Services, Tubular Running Services, Drilling Tools,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Wireline Services, Testing and Production Services, Re-entry and Fishing, Cementing, Liner Systems, Reservoir Solutions and Surface Logging.</w:t>
      </w:r>
    </w:p>
    <w:p>
      <w:pPr>
        <w:spacing w:after="0" w:line="123" w:lineRule="exact"/>
        <w:rPr>
          <w:rFonts w:ascii="Arial" w:cs="Arial" w:eastAsia="Arial" w:hAnsi="Arial"/>
          <w:sz w:val="16"/>
          <w:szCs w:val="16"/>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business, including the products and services ancillary thereto.</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are delivered and services are performed.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9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95"/>
              </w:rPr>
              <w:t>North</w:t>
            </w:r>
          </w:p>
        </w:tc>
        <w:tc>
          <w:tcPr>
            <w:tcW w:w="2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American</w:t>
            </w: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International Rig</w:t>
            </w:r>
          </w:p>
        </w:tc>
      </w:tr>
      <w:tr>
        <w:trPr>
          <w:trHeight w:val="261"/>
        </w:trPr>
        <w:tc>
          <w:tcPr>
            <w:tcW w:w="12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550"/>
              <w:spacing w:after="0" w:line="262" w:lineRule="exact"/>
              <w:rPr>
                <w:sz w:val="20"/>
                <w:szCs w:val="20"/>
                <w:color w:val="auto"/>
              </w:rPr>
            </w:pPr>
            <w:r>
              <w:rPr>
                <w:rFonts w:ascii="Arial" w:cs="Arial" w:eastAsia="Arial" w:hAnsi="Arial"/>
                <w:sz w:val="18"/>
                <w:szCs w:val="18"/>
                <w:b w:val="1"/>
                <w:bCs w:val="1"/>
                <w:color w:val="auto"/>
                <w:w w:val="98"/>
              </w:rPr>
              <w:t xml:space="preserve">Henry Hub Gas </w:t>
            </w:r>
            <w:r>
              <w:rPr>
                <w:rFonts w:ascii="Arial" w:cs="Arial" w:eastAsia="Arial" w:hAnsi="Arial"/>
                <w:sz w:val="25"/>
                <w:szCs w:val="25"/>
                <w:b w:val="1"/>
                <w:bCs w:val="1"/>
                <w:color w:val="auto"/>
                <w:w w:val="98"/>
                <w:vertAlign w:val="superscript"/>
              </w:rPr>
              <w:t>(b)</w:t>
            </w:r>
          </w:p>
        </w:tc>
        <w:tc>
          <w:tcPr>
            <w:tcW w:w="2200" w:type="dxa"/>
            <w:vAlign w:val="bottom"/>
            <w:tcBorders>
              <w:bottom w:val="single" w:sz="8" w:color="auto"/>
            </w:tcBorders>
          </w:tcPr>
          <w:p>
            <w:pPr>
              <w:jc w:val="center"/>
              <w:ind w:right="41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2280" w:type="dxa"/>
            <w:vAlign w:val="bottom"/>
            <w:tcBorders>
              <w:bottom w:val="single" w:sz="8" w:color="auto"/>
            </w:tcBorders>
          </w:tcPr>
          <w:p>
            <w:pPr>
              <w:jc w:val="right"/>
              <w:ind w:right="77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12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4"/>
              </w:rPr>
              <w:t>2016</w:t>
            </w:r>
          </w:p>
        </w:tc>
        <w:tc>
          <w:tcPr>
            <w:tcW w:w="10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53.72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3.68</w:t>
            </w:r>
          </w:p>
        </w:tc>
        <w:tc>
          <w:tcPr>
            <w:tcW w:w="2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770</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43"/>
        </w:trPr>
        <w:tc>
          <w:tcPr>
            <w:tcW w:w="1280" w:type="dxa"/>
            <w:vAlign w:val="bottom"/>
          </w:tcPr>
          <w:p>
            <w:pPr>
              <w:jc w:val="right"/>
              <w:ind w:right="790"/>
              <w:spacing w:after="0"/>
              <w:rPr>
                <w:sz w:val="20"/>
                <w:szCs w:val="20"/>
                <w:color w:val="auto"/>
              </w:rPr>
            </w:pPr>
            <w:r>
              <w:rPr>
                <w:rFonts w:ascii="Arial" w:cs="Arial" w:eastAsia="Arial" w:hAnsi="Arial"/>
                <w:sz w:val="18"/>
                <w:szCs w:val="18"/>
                <w:color w:val="auto"/>
                <w:w w:val="94"/>
              </w:rPr>
              <w:t>2015</w:t>
            </w:r>
          </w:p>
        </w:tc>
        <w:tc>
          <w:tcPr>
            <w:tcW w:w="1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37.04</w:t>
            </w:r>
          </w:p>
        </w:tc>
        <w:tc>
          <w:tcPr>
            <w:tcW w:w="340" w:type="dxa"/>
            <w:vAlign w:val="bottom"/>
          </w:tcPr>
          <w:p>
            <w:pPr>
              <w:spacing w:after="0"/>
              <w:rPr>
                <w:sz w:val="21"/>
                <w:szCs w:val="21"/>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2.36</w:t>
            </w:r>
          </w:p>
        </w:tc>
        <w:tc>
          <w:tcPr>
            <w:tcW w:w="2200" w:type="dxa"/>
            <w:vAlign w:val="bottom"/>
          </w:tcPr>
          <w:p>
            <w:pPr>
              <w:jc w:val="right"/>
              <w:ind w:right="350"/>
              <w:spacing w:after="0"/>
              <w:rPr>
                <w:sz w:val="20"/>
                <w:szCs w:val="20"/>
                <w:color w:val="auto"/>
              </w:rPr>
            </w:pPr>
            <w:r>
              <w:rPr>
                <w:rFonts w:ascii="Arial" w:cs="Arial" w:eastAsia="Arial" w:hAnsi="Arial"/>
                <w:sz w:val="18"/>
                <w:szCs w:val="18"/>
                <w:color w:val="auto"/>
              </w:rPr>
              <w:t>910</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1,105</w:t>
            </w: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12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4"/>
              </w:rPr>
              <w:t>2014</w:t>
            </w:r>
          </w:p>
        </w:tc>
        <w:tc>
          <w:tcPr>
            <w:tcW w:w="10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53.27</w:t>
            </w:r>
          </w:p>
        </w:tc>
        <w:tc>
          <w:tcPr>
            <w:tcW w:w="34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2.90</w:t>
            </w:r>
          </w:p>
        </w:tc>
        <w:tc>
          <w:tcPr>
            <w:tcW w:w="2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2,294</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w:t>
            </w:r>
          </w:p>
        </w:tc>
      </w:tr>
      <w:tr>
        <w:trPr>
          <w:trHeight w:val="27"/>
        </w:trPr>
        <w:tc>
          <w:tcPr>
            <w:tcW w:w="1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Price per barrel of West Texas Intermediate (“WTI”) crude oil as of the last business day of the year indicated at Cushing Oklahoma – Source: Thomson Reuters</w:t>
      </w:r>
    </w:p>
    <w:p>
      <w:pPr>
        <w:spacing w:after="0" w:line="30" w:lineRule="exact"/>
        <w:rPr>
          <w:rFonts w:ascii="Arial" w:cs="Arial" w:eastAsia="Arial" w:hAnsi="Arial"/>
          <w:sz w:val="15"/>
          <w:szCs w:val="15"/>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Price per MM/BTU as of the last business day of the year indicated at Henry Hub Louisiana – Source: Thomson Reuters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Quarterly average rig count – Source: Baker Hughes Rig Count</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West Texas Intermediate crude oil prices on the New York Mercantile Exchange fluctuated during 2016, ranging from a low of less than of $27.00 per barrel early in the first quarter to a high of $54.06 per barrel in late December. Natural gas ranged from a low of $1.64 MM/BTU in early March to a high of $3.83 MM/BTU in late December.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we continued to be challenged by the continued weakness in oil prices and severe market contraction for our product and services. We believe the bottom of the down cycle was reached during the third quarter and the industry is at the beginning of a modest recovery. The market weakness and contraction has materially reduced capital spending by our customers, which has reduced our revenue, both through lower activity levels and pricing. In response to the weakness in the price of crude oil and the decline in the anticipated level of exploration and production spending in 2016, we completed a workforce reduction of just under 10,000 during 2016, surpassing the initial 8,000 plan. We also exceeded our target to close nine manufacturing and service facilities during 2016 by closing 15. We planned to close over 70 of our operating and non-operating facilities in 2016 and ultimately closed nearly 80 locations.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expect growth in North America driven by completion systems, artificial lift, and drilling services as pricing power improves and supplies tighten. Internationally, we anticipate growth in the Middle East and North Africa regions as a result of the 2016 market share gains that began in the second half of that year are increasing to their full scope of work in 2017 while activity in Russia will increase and Europe is expected to remain stable. We believe Latin America will remain relatively subdued in 2017 while the deepwater markets in both Sub-Sahara Africa and Asia Pacific have likely reached their bottom with no expected improvements in the near term.</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recovering industry conditions, steadier oil prices and an increase in spending and activity, we believe that over the longer term the outlook for our core businesses is favorable. As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We intend to dispose of our U.S. pressure pumping business through a sale or by partnering up with another company to form a joint venture. It is also our intention to divest our remaining land drilling rigs when market conditions improve. Upon completion, the cash proceeds from any divestitures are expected to be used to for working capital or repay or repurchase debt. Any such debt reduction may include the repurchase of our outstanding senior notes prior to their maturity in the open market similar to the transactions from the second quarter 2016, or through a privately negotiated transaction or otherwise.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 and the section entitled “Item 1A. – 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78"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Significant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Transactions and Equity Issuances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2016, through a series of debt offerings we received net proceeds of $3.7 billion from the issuance of various unsecured debt instruments and a secured term loan. We used certain proceeds from our debt offerings to fund tender offers to buy back our senior notes with a principal balance of $1.9 billion and used the remaining proceeds to repay our revolving credit facility and for general corporate purposes. We recognized a cumulative loss of $78 million on the tender offers buyback transaction. See “Note 12 – Short-term Borrowings and Other Debt Obligations” and “Note 13 – Long-term Debt” for additional details of our financing activities.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2016, we received total cash proceeds of $1.1 billion from the issuance of 200 million ordinary shares of the Company. In addition, in November 2016 we issued one warrant that permits the holder to purchase 84.5 million ordinary shares on or prior to May 21, 2019 at an exercise price of $6.43 per ordinary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Operating Charges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2016 we had impairments, asset write-downs and other charges of $1.5 billion including $710 million related to long-lived asset impairments, asset write-downs, receivables write-offs and other charges and credits, $280 million of severance and restructuring charges, $220 million of litigation charges, $219 million of inventory write-downs and $114 million of pressure pumping related charges. The pressure pumping charges were related to our shutdown of the business.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year ended December 31, 2015 we had impairments, asset write-downs and other charges of $1.5 billion including $638 million of long-lived asset impairments, $232 million of severance and restructuring charges, $223 million of inventory write-downs, $130 million of pressure pumping supply contract related charges, $116 million of litigation charges, $48 million of bad debt expense charges and $83 million of other charges.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Impairments and Other Asset Charges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2016, the prolonged downturn in the oil and gas industry contributed to continued lower exploration and production spending and continued low utilization of our land drilling rigs and certain asset groups. During 2016, based on our impairment tests, we recognized long-lived asset impairment charges of $436 million of which $388 million was related to product line property, plant and equipment (“PP&amp;E”) impairments and $48 million was related to the impairment of intangible assets. The PP&amp;E impairment charges were related to our MENA/Asia Pacific Pressure Pumping and North America Well Construction, Drilling Services and Secure Drilling Service product lines. In 2016, we also recognized $114 million related to pressure pumping related charges in our North America segment. These long-lived asset impairments and other related charges are reported as “Long-Lived Asset Impairments, Write-Downs and Other Charges” on our Consolidated Statements of Operations.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2015, the weakness in crude oil prices contributed to lower exploration and production spending and a decline in the utilization of our land drilling rigs and certain U.S. asset groups. During 2015, based on our impairment tests, we recognized total long-lived impairment charges of $638 million with $383 million related to pressure pumping, drilling tools and wireline assets in the U.S. and $255 million related to Land Drilling Rigs segment assets. In 2015, we also recognized $130 million related to supply agreement charges in our North America segment. These long-lived asset impairments and other related charges are reported as “Long-Lived Asset Impairments, Write-Downs and Other Charges” on our Consolidated Statements of Operations.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our long-lived asset impairments in 2015, we prepared an analysis to determine the fair value of our equity method investments. We assessed these declines in value as other than temporary and recognized an impairment loss of $25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2014, we had total non-cash asset impairment charges of $656 million. In the fourth quarter of 2014, we recognized a long-lived asset impairment of $352 million and a $40 million goodwill impairment charge to adjust the assets of our Land Drilling Rig business to fair value. In the second and third quarters of 2014, as a result of our commitment to sell our land drilling and workover rig operations in Russia and Venezuela, we recorded a $143 million long-lived asset impairment loss and a $121 million goodwill impairment loss.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 Long-Lived Asset Impairments,” “Note 9 – Goodwill” and “Note 14 – Fair Value of Financial Instruments, Assets and Equity Investments” for additional information regarding the long-lived, other asset and goodwill impairments.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Litigation Settlements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the SEC and DOJ continued to investigate certain accounting issues associated with the material weakness in our internal control over financial reporting for income taxes and the restatements of our historical financial statements in 2011 and 2012. During the first quarter 2016, we recorded a loss contingency in the amount of $65 million. In the second quarter 2016, we increased our loss contingency to $140 million reflecting our best estimate for the potential settlement of this matter which ultimately became the final settlement. As disclosed in a Form 8-K filed on September 27, 2016, the Company agreed to pay the SEC a total civil monetary penalty of $140 million to resolve the investigation. For additional information about this resolution, see “Note 21 – Disputes, Litigation and Contingencies.”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June 30, 2015, we settled a purported securities class action for $120 million in exchange for the dismissal with prejudice of the litigation and the unconditional release of all claims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that were filed in the Southern District of New York against us and certain current and former officers in March 2012. The settlement agreement was subject to notice to the class, approval by the U.S. District Court for the Southern District of New York and other conditions. The settlement amount was paid into escrow in August 2015. We are pursuing reimbursement from our insurance carriers and recovered $19 million of the settlement amount as of December 31, 2016. See “Note 21 – Disputes, Litigation and Contingencies” for additional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Prior Divestitures</w:t>
      </w:r>
    </w:p>
    <w:p>
      <w:pPr>
        <w:spacing w:after="0" w:line="225" w:lineRule="exact"/>
        <w:rPr>
          <w:sz w:val="20"/>
          <w:szCs w:val="20"/>
          <w:color w:val="auto"/>
        </w:rPr>
      </w:pPr>
    </w:p>
    <w:p>
      <w:pPr>
        <w:jc w:val="both"/>
        <w:ind w:left="60" w:firstLine="324"/>
        <w:spacing w:after="0" w:line="297" w:lineRule="auto"/>
        <w:rPr>
          <w:sz w:val="20"/>
          <w:szCs w:val="20"/>
          <w:color w:val="auto"/>
        </w:rPr>
      </w:pPr>
      <w:r>
        <w:rPr>
          <w:rFonts w:ascii="Arial" w:cs="Arial" w:eastAsia="Arial" w:hAnsi="Arial"/>
          <w:sz w:val="16"/>
          <w:szCs w:val="16"/>
          <w:color w:val="auto"/>
        </w:rPr>
        <w:t>Throughout 2014, we successfully disposed of several of our non-core businesses and an equity investment. We received cash proceeds totaling approximately $1.7 billion from these dispositions and used approximately $1.2 billion of the proceeds to reduce debt. For the year ended December 31, 2014, we recognized a gain on these dispositions of $349 million. Dispositions in 2014 included our land drilling and workover rig operations in Russia and Venezuela, pipeline and specialty services business, engineered chemistry and Integrity drilling fluids businesses and the disposal of all our shares in Proserv. See “Note 2 – Business Combinations and Divestitures” for additional information. In 2015 and 2016, we did not complete any material dispositions.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9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2016, 2015 and 2014. See “Notes to Consolidated Financial Statements – Note 23 – Segment Information” for additional information regarding variances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50800</wp:posOffset>
            </wp:positionV>
            <wp:extent cx="3670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Percentage Change</w:t>
            </w:r>
          </w:p>
        </w:tc>
      </w:tr>
      <w:tr>
        <w:trPr>
          <w:trHeight w:val="270"/>
        </w:trPr>
        <w:tc>
          <w:tcPr>
            <w:tcW w:w="4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6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Favorable (Unfavorable)</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 except per share data)</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2016 vs 2015</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6"/>
              </w:rPr>
              <w:t>2015 vs 2014</w:t>
            </w:r>
          </w:p>
        </w:tc>
      </w:tr>
      <w:tr>
        <w:trPr>
          <w:trHeight w:val="27"/>
        </w:trPr>
        <w:tc>
          <w:tcPr>
            <w:tcW w:w="4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94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Subtotal</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13,669</w:t>
            </w:r>
          </w:p>
        </w:tc>
        <w:tc>
          <w:tcPr>
            <w:tcW w:w="100" w:type="dxa"/>
            <w:vAlign w:val="bottom"/>
            <w:tcBorders>
              <w:top w:val="single" w:sz="8" w:color="auto"/>
            </w:tcBorders>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14,911</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49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40" w:type="dxa"/>
            <w:vAlign w:val="bottom"/>
            <w:tcBorders>
              <w:bottom w:val="single" w:sz="8" w:color="CCEE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118 %</w:t>
            </w: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9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(569)%</w:t>
            </w:r>
          </w:p>
        </w:tc>
        <w:tc>
          <w:tcPr>
            <w:tcW w:w="116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49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31 %</w:t>
            </w:r>
          </w:p>
        </w:tc>
        <w:tc>
          <w:tcPr>
            <w:tcW w:w="11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Long-Lived Asset Impairments, Write-Downs and Other</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Litigation Charges, Net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Equity Investment Impairment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Gain (Loss) on Sale of Businesses and Investments, Net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100 %</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Total Operating Income (Loss)</w:t>
            </w:r>
          </w:p>
        </w:tc>
        <w:tc>
          <w:tcPr>
            <w:tcW w:w="7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Borders>
              <w:top w:val="single" w:sz="8" w:color="auto"/>
            </w:tcBorders>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16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49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Premium, Net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52 %</w:t>
            </w:r>
          </w:p>
        </w:tc>
        <w:tc>
          <w:tcPr>
            <w:tcW w:w="116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160" w:type="dxa"/>
            <w:vAlign w:val="bottom"/>
          </w:tcPr>
          <w:p>
            <w:pPr>
              <w:jc w:val="right"/>
              <w:spacing w:after="0"/>
              <w:rPr>
                <w:sz w:val="20"/>
                <w:szCs w:val="20"/>
                <w:color w:val="auto"/>
              </w:rPr>
            </w:pPr>
            <w:r>
              <w:rPr>
                <w:rFonts w:ascii="Arial" w:cs="Arial" w:eastAsia="Arial" w:hAnsi="Arial"/>
                <w:sz w:val="18"/>
                <w:szCs w:val="18"/>
                <w:color w:val="auto"/>
              </w:rPr>
              <w:t>151 %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581"/>
        </w:trPr>
        <w:tc>
          <w:tcPr>
            <w:tcW w:w="4940" w:type="dxa"/>
            <w:vAlign w:val="bottom"/>
          </w:tcPr>
          <w:p>
            <w:pPr>
              <w:spacing w:after="0"/>
              <w:rPr>
                <w:sz w:val="24"/>
                <w:szCs w:val="24"/>
                <w:color w:val="auto"/>
              </w:rPr>
            </w:pPr>
          </w:p>
        </w:tc>
        <w:tc>
          <w:tcPr>
            <w:tcW w:w="94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27</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percentage distribution of our consolidated revenues by business groups for 2016, 2015 and 2014:</w:t>
      </w:r>
    </w:p>
    <w:p>
      <w:pPr>
        <w:spacing w:after="0" w:line="16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7180"/>
              <w:spacing w:after="0"/>
              <w:rPr>
                <w:sz w:val="20"/>
                <w:szCs w:val="20"/>
                <w:color w:val="auto"/>
              </w:rPr>
            </w:pPr>
            <w:r>
              <w:rPr>
                <w:rFonts w:ascii="Arial" w:cs="Arial" w:eastAsia="Arial" w:hAnsi="Arial"/>
                <w:sz w:val="18"/>
                <w:szCs w:val="18"/>
                <w:b w:val="1"/>
                <w:bCs w:val="1"/>
                <w:color w:val="auto"/>
                <w:w w:val="99"/>
              </w:rPr>
              <w:t>2016</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Completion and Production</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40</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Consolidated Revenues Analysis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revenues decreased $3.7 billion, or 39%, in 2016 compared to 2015. Revenues decreased in 2016 compared to 2015 across all our segments as follows:</w:t>
      </w:r>
    </w:p>
    <w:p>
      <w:pPr>
        <w:spacing w:after="0" w:line="170" w:lineRule="exact"/>
        <w:rPr>
          <w:sz w:val="20"/>
          <w:szCs w:val="20"/>
          <w:color w:val="auto"/>
        </w:rPr>
      </w:pPr>
    </w:p>
    <w:p>
      <w:pPr>
        <w:ind w:left="980" w:hanging="648"/>
        <w:spacing w:after="0" w:line="259"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North America revenues declined $1.6 billion, or 46%, in 2016 compared to 2015, due to the 15% decrease in North American rig count since December 31, 2015, continued customer pricing pressures and reduced exploration activity due to lower customer spending across our product lines in the United States and Canada. The significantly lower activity particularly impacted our artificial lift, well construction, and pressure pumping product lines;</w:t>
      </w:r>
    </w:p>
    <w:p>
      <w:pPr>
        <w:spacing w:after="0" w:line="78" w:lineRule="exact"/>
        <w:rPr>
          <w:rFonts w:ascii="Arial" w:cs="Arial" w:eastAsia="Arial" w:hAnsi="Arial"/>
          <w:sz w:val="18"/>
          <w:szCs w:val="18"/>
          <w:color w:val="auto"/>
        </w:rPr>
      </w:pPr>
    </w:p>
    <w:p>
      <w:pPr>
        <w:ind w:left="980" w:hanging="648"/>
        <w:spacing w:after="0" w:line="279" w:lineRule="auto"/>
        <w:tabs>
          <w:tab w:leader="none" w:pos="6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International segment revenues declined $1.8 billion, or 34%, in 2016 compared to 2015, due to the16% decrease in international rig count since December 31, 2015, continued customer pricing pressures and reduced activity from lower customer spending across our product lines. The MENA/Asia Pacific segment revenues declines were partly offset by an improvement from the recognition of revenue as part of the settlement agreement signed in the second quarter of 2016 for the Zubair percentage-of-completion project in Iraq; and</w:t>
      </w:r>
    </w:p>
    <w:p>
      <w:pPr>
        <w:spacing w:after="0" w:line="63" w:lineRule="exact"/>
        <w:rPr>
          <w:rFonts w:ascii="Arial" w:cs="Arial" w:eastAsia="Arial" w:hAnsi="Arial"/>
          <w:sz w:val="17"/>
          <w:szCs w:val="17"/>
          <w:color w:val="auto"/>
        </w:rPr>
      </w:pPr>
    </w:p>
    <w:p>
      <w:pPr>
        <w:ind w:left="980" w:hanging="648"/>
        <w:spacing w:after="0" w:line="277" w:lineRule="auto"/>
        <w:tabs>
          <w:tab w:leader="none" w:pos="6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Land Drilling Rigs revenues declined $293 million, or 41%, in 2016 compared to 2015, the decrease was primarily attributable to the decline in rig utilization and drilling activity consistent with the rig count declines.</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Consolidated Revenues Analysis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revenues decreased $5.5 billion, or 37%, in 2015 compared to 2014. Revenues decreased in 2015 compared to 2014 across all our segments as follows:</w:t>
      </w:r>
    </w:p>
    <w:p>
      <w:pPr>
        <w:spacing w:after="0" w:line="170" w:lineRule="exact"/>
        <w:rPr>
          <w:sz w:val="20"/>
          <w:szCs w:val="20"/>
          <w:color w:val="auto"/>
        </w:rPr>
      </w:pPr>
    </w:p>
    <w:p>
      <w:pPr>
        <w:ind w:left="980" w:hanging="648"/>
        <w:spacing w:after="0" w:line="257"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North America revenues declined $3.4 billion, or 49% in 2015 compared to 2014, consistent with the 60% decrease in North American rig count since December 31, 2014 with significant declines across product lines, particularly pressure pumping, drilling tools, artificial lift, intervention services and drilling services. The decline in the North America segment was driven by a combination of lower activity and customer pricing pressures, with the largest decline primarily in the United States. The disposition of our engineered chemistry business on December 31, 2014 also negatively impacted revenues when compared to the prior year;</w:t>
      </w:r>
    </w:p>
    <w:p>
      <w:pPr>
        <w:spacing w:after="0" w:line="80" w:lineRule="exact"/>
        <w:rPr>
          <w:rFonts w:ascii="Arial" w:cs="Arial" w:eastAsia="Arial" w:hAnsi="Arial"/>
          <w:sz w:val="18"/>
          <w:szCs w:val="18"/>
          <w:color w:val="auto"/>
        </w:rPr>
      </w:pPr>
    </w:p>
    <w:p>
      <w:pPr>
        <w:ind w:left="980" w:hanging="648"/>
        <w:spacing w:after="0" w:line="259"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segment revenues declined $1.6 billion, or 23% in 2015 compared to 2014, the decline is in line with the decrease in international rig count of 16% since December 31, 2014 as well as declines in revenue from Europe/SSA/Russia and MENA/Asia Pacific due to pricing pressures and reduced activity across all our product lines. Lastly, our Latin America segment experienced lower activity particularly in the Well Construction and Formation Evaluation product lines; and</w:t>
      </w:r>
    </w:p>
    <w:p>
      <w:pPr>
        <w:spacing w:after="0" w:line="78" w:lineRule="exact"/>
        <w:rPr>
          <w:rFonts w:ascii="Arial" w:cs="Arial" w:eastAsia="Arial" w:hAnsi="Arial"/>
          <w:sz w:val="18"/>
          <w:szCs w:val="18"/>
          <w:color w:val="auto"/>
        </w:rPr>
      </w:pPr>
    </w:p>
    <w:p>
      <w:pPr>
        <w:ind w:left="980" w:right="20" w:hanging="648"/>
        <w:spacing w:after="0" w:line="264" w:lineRule="auto"/>
        <w:tabs>
          <w:tab w:leader="none" w:pos="65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 Drilling Rigs revenues declined $529 million, or 43% in 2015 compared to 2014, and is primarily attributable to the decline in drilling activity consistent with the rig count declines, decreases in new drilling activity and the 2014 disposal of our land drilling and workover rig operations in Russia and Venezuela.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Operating Loss Drivers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operating loss increased $705 million, or 46%, in 2016 compared to 2015. The higher operating loss was due to low customer activity levels and pricing pressures from the low price of crude oil. The decline was partly offset by income recognized from the settlement of our Zubair percentage-of-completion project, reduced corporate and research and development expenses, and other cost reduction measures.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operating loss for 2016 includes $1.5 billion of charges as follows:</w:t>
      </w:r>
    </w:p>
    <w:p>
      <w:pPr>
        <w:spacing w:after="0" w:line="22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$710 million related to long-lived asset impairments, asset write-downs, receivables write-offs and other charges and credits;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$280 million of severance and other restructuring charges;</w:t>
      </w:r>
    </w:p>
    <w:p>
      <w:pPr>
        <w:spacing w:after="0" w:line="117"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$220 million primarily for the increase in litigation reserves in the settlement of a restatement related litigation pertaining to prior periods with the SEC/DOJ;</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$219 million in inventory write-downs;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$114 million of U.S. pressure pumping related charges.</w:t>
      </w:r>
    </w:p>
    <w:p>
      <w:pPr>
        <w:spacing w:after="0" w:line="32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Operating Loss Drivers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operating income decreased $2.1 billion, or 406%, in 2015 compared to 2014. The decrease in operating income is consistent with the reduction in activity resulting from the significant decline in both the price of oil and rig counts, which has put pressure on our pricing and has resulted in a lower volume of work.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operating loss for 2015 includes $1.5 billion of charges as follows:</w:t>
      </w:r>
    </w:p>
    <w:p>
      <w:pPr>
        <w:spacing w:after="0" w:line="225"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$768 million of long-lived asset impairment charges and supply contract related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$232 million of severance and other restructuring charges;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$223 million in inventory write-downs and $48 million of bad debt expense charges;</w:t>
      </w:r>
    </w:p>
    <w:p>
      <w:pPr>
        <w:spacing w:after="0" w:line="117"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$116 million of litigation charges primarily for the settlement of a lawsuit related to the restatement of our historical financial statements in previous years;</w:t>
      </w:r>
    </w:p>
    <w:p>
      <w:pPr>
        <w:spacing w:after="0" w:line="6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$58 million in professional and other fees, divestiture related charges and facility closures, loss on sale of businesses and investments, and other charges;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 million of equity investment impairment charges.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Comparatively, in 2014, we had net charges of $750 million which include $495 million of long-lived asset charges, $161 million of goodwill impairment charges, $331 million of severance and restructuring charges and $112 million of non-core business and other charges. These charges we partially offset by a $349 million net gain on the sale of businesses and investments, which includes gains on the disposition of our engineered chemistry and Integrity drilling fluids businesses, Proserv investment and pipeline and specialty services business, offset by a loss on the sale of our land drilling and workover rigs operations.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regarding charges by segment, see the subsection entitled “Segment Revenues and Operating Income (Loss)” and “Restructuring Charges.”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(Loss) on Sale of Businesses and Investments,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2016 and 2015, we did not recognize any material net gain or loss on sale of businesses and investments. During 2014, we recognized a $349 million net gain on sale of businesses and investments, which includes a $250 million gain on the disposition of our engineered chemistry and Integrity drilling fluids businesses, a $65 million gain on the disposition of our Proserv investment and a $49 million gain on the disposition of our pipeline and specialty services business. These gains were partially offset by a $15 million loss on the sale of our land drilling and workover rig operations in Russia and Venezuela.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In 2016, currency devaluation charges reflect the impact of the devaluation of the Angolan kwanza of $31 million and Egyptian pound of $10 million. In 2015, currency devaluations charges were $85 million. These charges reflect the impacts of the devaluation of the Angolan kwanza of $39 million, $26 million related to the depreciated Venezuelan bolivar, $11 million related to the devaluation of the Argentina peso and $9 million related to the depreciated Kazakhstani tenge.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devaluation of the Argentine peso was due to the modifying of currency control restrictions on purchasing foreign currencies by the Argentine Central Bank. The depreciation of the Kazakhstani tenge during 2015 occurred after the National Bank of Kazakhstan abandoned its peg of the tenge to the U.S. dollar. The Venezuelan bolivar charge reflects remeasurement charges when we began using the exchange rate published by the Venezuelan currency exchange system known as the “Marginal Currency System” or SIMADI. The SIMADI opened for trading in February 2015, replacing the Venezuela’s Supplementary Foreign Currency Administration System auction rate (“SICAD II”) mechanism. The SIMADI is intended to provide limited access to a free market rate of exchange.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we recognized charges of $245 million on the devaluation of the Venezuelan bolivar. The charges were related to our adoption of the SICAD II exchange rate provided by Venezuela’s Supplementary Foreign Currency Administration System approximately of 50 Venezuelan bolivars per U.S. dollar. This rate was used at December 31, 2014 for the purposes of remeasuring Venezuelan bolivar denominated assets and liabilities (primarily cash, accounts receivables, trade payables and other current liabilities).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Segment Revenues and Operating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Results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North America segment decreased $1.6 billion, or 46%, in 2016 compared to 2015 primarily due to the 15% decline in the North America rig count since December 31, 2015, continued customer pricing pressures and reduced exploration activity due to lower customer spending across our product lines in the United States and Canada. The significantly lower activity particularly impacted our artificial lift, well construction, and pressure pumping product lines. Total revenues in the U.S. were $1.5 billion in 2016, $2.9 billion in 2015 and $5.6 billion in 2014. The remaining revenues of our North America segment of $355 million in 2016, $630 million in 2015 and $1.3 billion in 2014, were derived from our operations in Canada.</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loss in our North America segment worsened $74 million, or 24%, in 2016 compared to 2015 due to lower activity related to decreased customer spending and pricing pressure impacting artificial lift, completion and well construction, partly offset by cost savings from cost reduction efforts, minimizing operating losses despite large revenue declines. Operating margins were negative 20% in 2016 compared to negative 9% in 2015.</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Results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North America segment decreased $3.4 billion, or 49%, in 2015 compared to 2014 primarily due to the 60% decline in the North America rig count since December 31, 2014. The decline in revenue in 2015 was driven by lower activity and pricing pressure that broadly impacted all product lines, particularly pressure pumping, drilling tools, artificial lift, intervention services and drilling services. The disposition of our engineered chemistry business on December 31, 2014 also negatively impacted revenues when compared to the prior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in our North America segment decreased $1.3 billion, or 131%, in 2015 compared to 2014. Operating margins were negative 9% in 2015 compared to 15% in 2014. The same factors contributing to the decline in revenues directly contributed to the decline in operating income. During 2015, we recognized inventory write-down charges of $73 million and bad debt expense charges of $20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9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 Segment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Results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MENA/Asia Pacific segment decreased $494 million, or 25%, in 2016 compared to 2015. The revenue decline affected most countries, particularly in Australia, China and Malaysia of the Asia Pacific due to activity decline. Lower revenues in the Middle East were concentrated in Saudi Arabia and Iraq. Although all product lines were negatively impacted, the largest declines were in well construction, tubular running services, and completion.</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Operating income improved $33 million, or 118%, in 2016 compared to 2015. The improvement was primarily attributable to the profit recognition from the Zubair contract settlement. Excluding charges to inventory, operating income was $6 million lower in 2016 compared to 2015.</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Results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MENA/Asia Pacific segment decreased $459 million, or 19%, in 2015 compared to 2014. The revenue decline affected most product lines although primarily intervention services, wireline, testing and production services, and well construction. The decline was attributable to lower revenues from our legacy Zubair contract in Iraq, lower activity in Yemen from the political disruption and lower activity levels in the Asia Pacific region, primarily in China, Indonesia and Malaysia. Pricing pressure also had an impact on the revenue decline. In addition, our lower revenues reflect the sale of the pipeline and specialty services business in September 2014.</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decreased $143 million, or 124%, in 2015 compared to 2014. The decrease in operating income is primarily attributable to legacy contract project losses in Iraq, lower activity across most product lines and a gain on a step acquisition of a joint venture investment in China in 2014 that did not recur in 2015. The decline was also partially offset by improved profitability for the tubular running services line in 2015 and higher profitability resulting from the closure of unprofitable locations in 2014. During 2015, we recognized inventory write-down charges of $38 million and bad debt expense charges of $7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 Segment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Results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Europe/SSA/Russia segment decreased $594 million, or 39%, in 2016 compared to 2015. The decline in customer activity and overall lower demand broadly impacted all product lines, particularly in tubular running services, well construction, and completion and were concentrated in Russia, United Kingdom and Angola.</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income decreased $184 million, or 106%, in 2016 compared to 2015. The factors contributing to the revenue decline directly impacted the operating income decline.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Results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Europe/SSA/Russia segment decreased $596 million, or 28%, in 2015 compared to 2014. The decline in activity directly impacted the decline in revenues in all product lines due to lower demand and pricing pressure. The overall decline was led by Europe, primarily in Norway and Romania. The lower activity from continued project delays and cancellations in Angola and Gabon in Sub-Sahara Africa contributed to the revenue decline while the sale of the pipeline and specialty services and engineered chemistry product lines in the third and fourth quarters of 2014 also resulted in lower segment revenues.</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Operating income decreased $194 million, or 53%, in 2015 compared to 2014. The decline was the direct impact of lower revenue activity and pricing pressure as mentioned above. During 2015, we recognized inventory write-down charges of $32 million and bad debt expense charges of $12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 Segment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Results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Latin America segment decreased $687 million, or 39%, in 2016 compared to 2015. The decline in revenue was concentrated in Brazil, Argentina, and Colombia due to customer pricing adjustments and budget spending reductions by our customers. All product lines were negatively impacted by the reduced demand, and managed-pressure drilling, well construction, and drilling services were most impacted. Operating income decreased $189 million, or 74%, in 2016 compared to 2015. The decline in operating income is primarily due to customer pricing adjustments as well as reduced demand broadly impacting all product lines.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Results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Latin America segment decreased $536 million, or 23%, in 2015 compared to 2014. The decline in revenue is primarily due to reduced demand across our core product lines, primarily artificial lift, drilling services, intervention and pressure pumping in Mexico, Colombia, Venezuela and Ecuador, partially offset by an increase in sales in our managed-pressure drilling product line in Brazil.</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decreased $85 million, or 25%, in 2015 compared to 2014. The same factors contributing to the decline in revenues directly contributed to the decline in operating income, which were partially offset by cost reduction initiatives in Mexico and a continued focus on higher margin activity in Brazil. During 2015, we recognized inventory write-down charges of $54 million and bad debt expense charges of $9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 Segment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Results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Revenues in our Land Drilling Rigs segment decreased $293 million, or 41%, in 2016 compared to 2015 and were concentrated in the Middle East and North Africa. The operating loss degradation of $74 million, or 569%, in 2016 compared to 2015 and was also concentrated in the Middle East and North Africa. The decrease was primarily from lower rig utilization and from project delays due to rig maintenance along with overall reduced drilling activity.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 Results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Drilling Rigs segment decreased $529 million, or 43%, in 2015 compared to 2014. The decrease was due to the sale of the Russian Land Drilling Rigs business in July 2014, in addition to the overall decrease in the international rig count and drilling activity, partially offset by improved activity in Oman and Kuwait. Operating loss decreased $90 million, or 87%, in 2015 compared to 2014. The decrease is primarily the result of improved drilling efficiencies in Iraq and Oman and contract termination fees in Chad and India while 2014 included facility closure costs that did not reoccur in 2015. During 2015, we recognized inventory write-down charges of $26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$499 million in 2016 compared to $468 million in 2015. This increase of $31 million, or 7%, in 2016 compared to 2015 is primarily due to higher interest rates on the senior notes and exchangeable notes issued in 2016, partially offset by repayments and the repurchases of debt during 2016.</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$468 million in 2015 compared to $498 million in 2014. This decrease of $30 million, or 6%, in 2015 compared to 2014 was primarily due to a reduction in our debt balance as a result of lower net debt from divestiture proceeds received in 2014 and the repurchase of certain senior notes in 2014 and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had other expense of $8 million in 2016, other income of $3 million in 2015 and other expense of $17 million in 2014. In 2016, other expense was primarily driven by losses on the repurchase of certain senior notes and by foreign currency exchange losses due to the strengthening U.S. dollar compared to our foreign denominated operations. This loss was partially offset by other income of $16 million related to the fair value adjustment to our warrant liability.</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other income of $3 million were primarily driven by gains on the repurchase of certain senior notes offset by foreign currency exchange losses due to the strengthening U.S. dollar compared to our foreign denominated operations. In 2014, other expense represented foreign currency exchange losses due to the weakening of foreign currencies of our foreign denominated operations compared to the U.S. dollar, partially offset by gains on the repurchase of certain senior notes.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provide for income taxes based on the laws and rates in effect in the countries in which operations are conducted, or in which we or our subsidiaries are considered resident for income tax purposes. We are exempt from Swiss cantonal and communal tax on income derived outside Switzerland, and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income derived in Switzerland is taxed at a rate of 7.83%; however, our effective rate is substantially above the Swiss statutory tax rate as the majority of our operations are taxed in jurisdictions with much higher tax rates.</w:t>
      </w:r>
    </w:p>
    <w:p>
      <w:pPr>
        <w:spacing w:after="0" w:line="154" w:lineRule="exact"/>
        <w:rPr>
          <w:sz w:val="20"/>
          <w:szCs w:val="20"/>
          <w:color w:val="auto"/>
        </w:rPr>
      </w:pPr>
    </w:p>
    <w:p>
      <w:pPr>
        <w:jc w:val="both"/>
        <w:ind w:firstLine="388"/>
        <w:spacing w:after="0" w:line="312" w:lineRule="auto"/>
        <w:rPr>
          <w:sz w:val="20"/>
          <w:szCs w:val="20"/>
          <w:color w:val="auto"/>
        </w:rPr>
      </w:pPr>
      <w:r>
        <w:rPr>
          <w:rFonts w:ascii="Arial" w:cs="Arial" w:eastAsia="Arial" w:hAnsi="Arial"/>
          <w:sz w:val="16"/>
          <w:szCs w:val="16"/>
          <w:color w:val="auto"/>
        </w:rPr>
        <w:t>For the year ended December 31, 2016, we had a tax expense of $496 million on a loss before income taxes of $2.9 billion. The primary component of the income tax expense for 2016 relates to the Company’s conclusion that certain deferred tax assets that had previously been benefited are not more likely than not to be realized. As a result, additional valuation allowances have been established for the United States and other jurisdictions.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Operations in the United States and other jurisdictions continue to experience losses due to the prolonged downturn in the demand for oil field services. Our expectations regarding the recovery were and are more measured due to the difficulties in obtaining pricing increases from our customers and a slower recovery in the U.S. land market. Also, the Company recorded significant long-lived asset impairments and established allowances for inventory and other assets in the third quarter of 2016. As a result of the historical and projected future losses, and limited objective positive evidence to overcome negative evidence, the Company concluded that it needed to record a valuation allowance of $526 million in the third quarter of 2016 against certain previously benefited deferred tax assets since it cannot support that it is more likely than not that the deferred tax assets will be realized. The valuation allowance primarily relates to operations in the United States.</w:t>
      </w:r>
    </w:p>
    <w:p>
      <w:pPr>
        <w:spacing w:after="0" w:line="18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9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income tax provision in 2016 was $496 million compared to an income tax benefit of $145 million in 2015 and $284 million in 2014, respectively, which resulted in an effective tax rate of (17)%, 7% and (111)%, respectively. Our 2016 effective tax rate was driven by the tax valuation allowance, tax provision on loss before income taxes and charges without a significant tax benefit. Results for the year ended December 31, 2016 also include charges with no significant tax benefit principally related to $436 million of long-lived asset impairments, $219 million of excess and obsolete inventory charges, $140 million of settlement agreement charges, $114 million of pressure pumping related charges, $78 million of bond tender premium, $76 million of PDVSA note receivable net adjustment, $62 million in accounts receivable reserves and write-offs, and $41 million of currency devaluation related to the Angolan kwanza and Egyptian pound. In addition, we recorded $137 million for a non-cash tax expense related to an internal restructuring of subsidiaries.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2015, we had an income tax benefit of $145 million on a loss before income taxes of $2.1 billion. The income tax benefit was favorably impacted by a U.S. loss, which included restructuring impairment charges and a worthless stock deduction. Our results for 2015, includes $255 million of Land Drilling Rig impairment charges, $232 million of restructuring charges, $116 million of litigation settlements, $153 million of legacy project losses, $85 million of currency devaluation and related losses and $25 million of equity investment impairment, all with no significant tax benefit. In addition, we recorded a tax charge of $265 million for a non cash tax expense on distribution of subsidiary earnings.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2014, we had an income tax provision of $284 million on a loss before income taxes of $255 million. Our results for 2014 included a $161 million goodwill impairment charge, a $245 million loss due to the devaluation of Venezuela bolivar and $72 million of project losses related to our early production facility contracts in Iraq, all of which provided no tax benefit. In addition, we incurred a $495 million long-lived assets impairment charge, with limited tax benefit. During 2014, we also sold our land drilling and workover rig operations in Russia and Venezuela, pipeline and specialty services business, engineered chemistry, Integrity drilling fluids business and our equity investment in Proserv for a total gain of approximately $349 million. Our results in 2014 include significant tax losses in Mexico, Venezuela, and Iraq upon which we recorded valuation allowances of $172 million.</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effective tax rate for these periods was also negatively impacted by the taxing regimes in certain countries and our operating structure. Several of the countries in which we operate, primarily in our MENA and SSA regions, tax us based on "deemed", rather than actual, profits. We are not currently profitable in certain of those countries, which results in us accruing and paying taxes based on a "deemed profit" instead of recognizing no tax expense or potentially recognizing a tax benefit. Our operating structure results in us paying withholding taxes on intercompany charges for items such as rentals, management fees, royalties, and interest as well as on applicable third party transactions. Such net withholding taxes were $88 million in 2016, $101 million in 2015 and $140 million in 2014 prior to possibly receiving a tax benefit in the jurisdiction of the payee. We also incur pre-tax losses in certain jurisdictions that do not have a corporate income tax and thus we are not able to recognize an income tax benefit on those losses.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effective tax rate improved in 2015 compared to 2014 primarily due to utilization of tax benefits on loss from operations, tax restructuring benefits and decrease in our reserve for uncertain tax positions due to audit settlements and statute expirations, offset by additional valuation allowances booked on non U.S. deferred tax assets and a tax charge for a non cash tax expense on distribution of subsidiary earnings. Our effective tax rate decreased from 2014 to 2015 primarily due to the sale of our non-core businesses during the year, non-tax deductible losses, such as the Venezuela bolivar devaluation, Iraq project losses and goodwill impairment, which are partially offset by the decrease of our reserve for uncertain tax benefits due to settlements and statute expirations.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anticipate that it is reasonably possible that the amount of uncertain tax positions may decrease by up to $40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response to continuing fluctuation of crude oil prices and lower levels of exploration and production spending in 2016, we initiated an additional plan to reduce our overall costs and workforce to better align with anticipated activity levels. This 2016 cost reduction plan (the “2016 Plan”) included a workforce reduction and other cost reduction measures initiated across our geographic regions. In 2015, we began and completed a cost reduction plan (the “2015 Plan”) targeting approximately 14,000 employee positions and other cost reduction measures to better align with lower anticipated business activity levels. In the first quarter of 2014, we announced a cost reduction plan (“the 2014 Plan”), which included a worldwide workforce reduction of more than 6,000 employee positions and other cost reduction measures in response to the significant decline in the price of crude oil and our anticipation of a lower level of exploration and production spending.</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 Plan, we recognized restructuring charges of $280 million in 2016, which include severance benefits of $196 million, restructuring related asset charges of $44 million and other restructuring charges of $40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fourth quarter of 2014, we announced the 2015 Plan to reduce costs, which included a worldwide workforce reduction and other cost reduction measures. In connection with the 2015 Plan, we recognized restructuring charges of $232 million in 2015 and $58 million in 2014. Our restructuring charges during 2015 in connection with the 2015 Plan include severance benefits of $149 million, restructuring related asset charges of $64 million and other restructuring charges of $19 million. Restructuring related asset charges include asset write-offs of $26 million related to Yemen due to the political disruption and $38 million in other regions. Other restructuring charges include exit costs, contract termination costs, relocation costs and other associated costs. Our restructuring charges during 2014 in connection with the 2015 Plan include severance benefits of $58 million.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2014, we announced the 2014 Plan to reduce costs, which included a worldwide workforce reduction and other cost reduction measures. In connection with the 2014 Plan, we recognized restructuring charges of $273 million in 2014. The restructuring charges in connection with the 2014 Plan include restructuring related asset charges of $135 million, severance benefits of $114 million and other restructuring charges of $24 million. Other restructuring charges include contract termination costs, relocation and other associated costs.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connection with the 2014 Plan primarily pertain to operations in our Middle East/North Africa (“MENA”) region, where geopolitical issues and recent disruptions in North Africa, primarily Libya, resulted in the decisions in the third quarter of 2014 to exit product lines in selected markets. The 2014 Plan activities resulted in $106 million of cash payments in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the restructuring charges by segment and plan for the years ended December 31, 2016, 2015 and 2014.</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0"/>
              </w:rPr>
              <w:t>Year Ended December 31, 2016</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80" w:type="dxa"/>
            <w:vAlign w:val="bottom"/>
          </w:tcPr>
          <w:p>
            <w:pPr>
              <w:spacing w:after="0"/>
              <w:rPr>
                <w:sz w:val="23"/>
                <w:szCs w:val="23"/>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35</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Year Ended December 31, 2015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4"/>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Year Ended December 31, 2014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2014 Plan Total</w:t>
            </w:r>
          </w:p>
        </w:tc>
        <w:tc>
          <w:tcPr>
            <w:tcW w:w="1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6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3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2015 Plan Total</w:t>
            </w:r>
          </w:p>
        </w:tc>
        <w:tc>
          <w:tcPr>
            <w:tcW w:w="1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378" w:right="4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2016, we had cash and cash equivalents of $1.0 billion compared to $467 million at December 31, 2015 and $474 million at December 31, 2014. For the years ended December 31, 2016, 2015 and 2014, cash balances were impacted negatively by the effect of exchange rate changes by $50 million, $66 million and $74 million, respectively. The 2016 impact was primarily driven by the devaluation of foreign currencies in Angola and Egypt. The 2015 impact was primarily due to devaluations of foreign currencies in Venezuela, Angola, Argentina and Kazakhstan. The 2014 impact was due to the devaluation of the Venezuelan bolivar. The following table summarizes cash provided by (used in) each type of business activity, for the years ended December 31, 2016, 2015 and 2014: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r>
      <w:tr>
        <w:trPr>
          <w:trHeight w:val="33"/>
        </w:trPr>
        <w:tc>
          <w:tcPr>
            <w:tcW w:w="6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330</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6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flows used in operating activities were $314 million in 2016 compared to cash flows provided by operating activities of $706 million during 2015. The decline in operating cash flow in 2016 compared to 2015 was attributable to a decline in operating income due to the significant decline in oil prices and drilling activity, partially offset by cash flow from working capital.</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Cash flows provided by operating activities were $706 million in 2015 compared to $963 million in 2014. The decrease in operating cash flow is primarily due to the reduction in income associated with the significant decline in drilling activity resulting from the significant decline in commodity prices and the net payment of $105 million related to the </w:t>
      </w:r>
      <w:r>
        <w:rPr>
          <w:rFonts w:ascii="Arial" w:cs="Arial" w:eastAsia="Arial" w:hAnsi="Arial"/>
          <w:sz w:val="18"/>
          <w:szCs w:val="18"/>
          <w:i w:val="1"/>
          <w:iCs w:val="1"/>
          <w:color w:val="auto"/>
        </w:rPr>
        <w:t>Freedman</w:t>
      </w:r>
      <w:r>
        <w:rPr>
          <w:rFonts w:ascii="Arial" w:cs="Arial" w:eastAsia="Arial" w:hAnsi="Arial"/>
          <w:sz w:val="18"/>
          <w:szCs w:val="18"/>
          <w:color w:val="auto"/>
        </w:rPr>
        <w:t xml:space="preserve"> litigation.</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Cash flows provided by operating activities were $963 million in 2014. The cash provided by our operating activities in 2014 is a result of our positive operating results excluding the non-cash impact of $656 million in long-lived assets and goodwill impairment, the $245 million Venezuelan bolivar devaluation charge and $112 million of Land Drilling Rig business related write-down and reserve charges. The significant uses of operating cash in 2014 included over $340 million of completion and end of contract payments associated with our legacy percentage-of-completion contracts in Iraq and the payment of $253 million to settle the United Nations oil-for-food program governing sales of goods into Iraq and FCPA matters.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investing activities used cash of $137 million and $659 million during 2016 and 2015, respectively, versus providing cash of $330 million in 2014. The primary driver of our investing cash flow activities is capital expenditures for PP&amp;E. Capital expenditures were $204 million, $682 million and $1.5 billion for 2016, 2015 and 2014, respectively. The amount we spend for capital expenditures varies each year based on the type of contracts into which we enter, our asset availability and our expectations with respect to industry activity levels in the following year. The significant decline in capital expenditures is due to the continued price fluctuation of crude oil, continued weakness in demand and lower than expected exploration and production spending.</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during 2016, cash proceeds received from investing activities included $39 million of insurance proceeds from the casualty loss of a rig in Kuwait, cash proceeds of $49 million from the disposition of assets and $30 million on the promissory note from the 2013 sale of our equity interest in Borets International Limited. These proceeds were partially offset by cash payments of $36 million for working capital adjustment payments related to the sale of our businesses and $15 million in payments related to acquisition of businesses and intangibles. See “Note 2 – Business Combinations and Divestitures” for additional information.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Investing activities in 2015 also included cash proceeds of $37 million from the disposition of assets, partially offset by cash paid of $22 million to acquire businesses and intellectual property.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Investing activities in 2014 provided cash of $330 million primarily due to $1.7 billion in cash proceeds from the sale of businesses in 2014. Dispositions in 2014 included our land drilling and workover rig operations in Russia and Venezuela, pipeline and specialty services business, engineered chemistry and Integrity drilling fluids businesses and the disposal of all our shares in Proserv. In 2014, we also received net cash of $18 million from consolidation following the purchase of additional ownership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 a joint venture in China. These proceeds from dispositions contributed to the early repayment or repurchase of portions of our short-term and long-term debt in 2014 and 2015. See details of the repayment in financing activities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2016, we received total cash proceeds of $1.1 billion from the issuance of 200 million ordinary shares of the Company. Our financing activities also consisted of the borrowing and repayment of short-term and long-term debt. During 2016, through a series of offerings and transactions, we received proceeds, net of underwriting fees, of $3.7 billion from the issuance of our $1.265 billion 5.875% exchangeable senior notes, $750 million 7.75% senior notes, $750 million 8.25% senior notes, $540 million 9.875% senior notes, and $500 million secured term loan.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used the proceeds of certain debt offerings to fund tender offers to buy back our 6.35% senior notes, 6.00% senior notes, 9.625% senior notes and 5.125% senior notes with a principal balance of $1.9 billion and used the remaining proceeds to repay our revolving credit facility, term loan and for general corporate purposes. We recognized a cumulative loss of $78 million on the tender offers buyback transaction. Financing activities during 2016 also included the payment of $87 million related to the purchase of previously leased rig equipment. See “Note 12 – Short-term Borrowings and Other Debt Obligations” and “Note 13 – Long-term Debt” for additional details of our financing activities.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2015 financing activities primarily consisted of the borrowing and repayment of short-term and long-term debt. Our short-term borrowings, net of repayments, were $505 million and total net long-term repayments were $470 million. In 2015, through a series of open market transactions, we repurchased certain of our senior notes with a total book value of $527 million. We recognized a cumulative gain of $84 million on these transactions in “Other Income (Expense), Net” on the accompanying Consolidated Statements of Operations. Our other financing activities in 2015 included dividends paid to noncontrolling partners in consolidated joint ventures of $49 million and proceeds from the exercise of stock options issued to our employees and directors of $26 million.</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2014 financing activities primarily consisted of repayment and repurchase of approximately $924 million of short-term debt and $259 million of long-term debt, including the repurchase of senior notes. In December 2014, through a series of open market transactions, we repurchased certain of our senior notes with a total book value of $138 million and recognized a gain of approximately $11 million.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conjunction with our 2014 redomestication, we amended our Executive Deferred Compensation Stock Ownership Plan to provide that benefits thereunder may be payable in cash in lieu of our shares. The trustee for our executive deferred compensation plan, a consolidated subsidiary, sold 973,611 shares of our common stock realizing $22 million in cash proceeds for the benefit of the plan participants. Our other financing activities in 2014 included dividends paid to noncontrolling partners in consolidated joint ventures of $39 million and proceeds from the exercise of stock options issued to our employees and directors of $11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disposed of businesses or capital assets that are no longer core to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2016, we have a revolving credit facility (the “Revolving Credit Agreement”) and a secured term loan agreement (the “Term Loan Agreement” and collectively with the Revolving Credit Agreement, the “Credit Agreements”) and we had $1.3 billion available under the Credit Agreements and $63 million in outstanding letters of credit in addition to borrowings under the Credit Agreements.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require that we maintain the following financial covenants:</w:t>
      </w:r>
    </w:p>
    <w:p>
      <w:pPr>
        <w:spacing w:after="0" w:line="225" w:lineRule="exact"/>
        <w:rPr>
          <w:sz w:val="20"/>
          <w:szCs w:val="20"/>
          <w:color w:val="auto"/>
        </w:rPr>
      </w:pPr>
    </w:p>
    <w:p>
      <w:pPr>
        <w:jc w:val="both"/>
        <w:ind w:left="1060" w:hanging="323"/>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Leverage ratio of no greater than 3.0 to 1 through December 31, 2016 and 2.5 to 1 thereafter until maturity. This ratio measures our indebtedness guaranteed by subsidiaries under the Credit Agreements and other guaranteed facilities to the trailing four quarters consolidated adjusted earnings before interest, taxes, depreciation, amortization and other specified charges (“EBITDA”);</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060" w:hanging="323"/>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4.0 to 1 on or before December 31, 2016 and 3.5 to 1 thereafter calculated as our indebtedness guaranteed by subsidiaries under the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coverage ratio of at least 4.0 to 1, which is calculated as our asset value to indebtedness guaranteed by subsidiaries under the Credit Agreements and other guaranteed facilities.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19, 2016, we amended these facilities to make minor changes and amendments to certain collateral provisions, negative covenants and related definitions, and added an accordion feature to permit new and existing lenders to add up to a maximum of $250 million in additional commitments. Our Credit Agreements contain customary events of default, including our failure to comply with the financial covenants. As of December 31, 2016, we were in compliance with our financial covenants as defined in the Credit Agreements and in the covenants under our indentures. We also expect to remain in compliance with all of our covenants throughout 2017. Should circumstances arise where we are not in compliance with our covenants during any quarterly reporting period, we may have to seek a waiver from our lenders or take measures to reduce indebtedness under the Credit Agreements to a level that would comply with the covenants.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The following summarizes our availability under the Credit Agreements at December 31, 2016 (dollars in millions):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35"/>
        </w:trPr>
        <w:tc>
          <w:tcPr>
            <w:tcW w:w="76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250"/>
        </w:trPr>
        <w:tc>
          <w:tcPr>
            <w:tcW w:w="76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1,805</w:t>
            </w:r>
          </w:p>
        </w:tc>
      </w:tr>
      <w:tr>
        <w:trPr>
          <w:trHeight w:val="243"/>
        </w:trPr>
        <w:tc>
          <w:tcPr>
            <w:tcW w:w="76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6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 w:type="dxa"/>
            <w:vAlign w:val="bottom"/>
          </w:tcPr>
          <w:p>
            <w:pPr>
              <w:spacing w:after="0"/>
              <w:rPr>
                <w:sz w:val="21"/>
                <w:szCs w:val="21"/>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Secured term loan before debt issuance cost</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760" w:type="dxa"/>
            <w:vAlign w:val="bottom"/>
          </w:tcPr>
          <w:p>
            <w:pPr>
              <w:spacing w:after="0"/>
              <w:rPr>
                <w:sz w:val="2"/>
                <w:szCs w:val="2"/>
                <w:color w:val="auto"/>
              </w:rPr>
            </w:pPr>
          </w:p>
        </w:tc>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60" w:type="dxa"/>
            <w:vAlign w:val="bottom"/>
          </w:tcPr>
          <w:p>
            <w:pPr>
              <w:spacing w:after="0"/>
              <w:rPr>
                <w:sz w:val="23"/>
                <w:szCs w:val="23"/>
                <w:color w:val="auto"/>
              </w:rPr>
            </w:pPr>
          </w:p>
        </w:tc>
        <w:tc>
          <w:tcPr>
            <w:tcW w:w="8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7"/>
        </w:trPr>
        <w:tc>
          <w:tcPr>
            <w:tcW w:w="760" w:type="dxa"/>
            <w:vAlign w:val="bottom"/>
          </w:tcPr>
          <w:p>
            <w:pPr>
              <w:spacing w:after="0"/>
              <w:rPr>
                <w:sz w:val="22"/>
                <w:szCs w:val="22"/>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Borrowing Availability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1,317</w:t>
            </w:r>
          </w:p>
        </w:tc>
      </w:tr>
      <w:tr>
        <w:trPr>
          <w:trHeight w:val="20"/>
        </w:trPr>
        <w:tc>
          <w:tcPr>
            <w:tcW w:w="76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December 31, 2016, we had $2 million in short-term borrowings under these arrangements, primarily from overdraft facility borrowings, with a weighted average interest rate of 0.7%. In 2016, we repaid $180 million borrowed under a credit agreement that matured in the first half of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Standard &amp; Poor’s (“S&amp;P”) Global Ratings on our senior unsecured debt and short-term debt are currently B with a negative outlook. The current rating on our senior unsecured debt was lowered from its’ initial level at the beginning of 2016, which was BB+. Both S&amp;P ratings carry a negative outlook. Our Moody’s Investors Services (“Moody’s”) credit rating on our senior unsecured debt is currently Caa1 and our short-term rating is SGL-3, both with a negative outlook. Our current Moody’s ratings were lowered from their initial levels at the beginning of 2016, which were Ba1 for our senior unsecured debt and SGL-2 for our short-term rating. Our Fitch Rating is CCC- for our senior unsecured debt with a negative outlook, which was lowered from BB during 2016. Our Fitch rating for our short-term debt of C was lowered from a rating of B during 2016. The lowering of our credit ratings to non-investment grade levels in 2016 resulted in our loss of access to the commercial paper market for our short-term liquidity needs. We continue to have access and expect we will continue to have access to most credit markets.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During 2017, we anticipate our cash requirements will include payments for capital expenditures, repayment of debt, interest payments on our outstanding debt, SEC settlement payments, severance payments and payments for short-term working capital needs. Our cash requirements may also include opportunistic debt repurchases, business acquisitions and other amounts to settle litigation related matters described in “Item 1A. – Risk Factors” and “Item 8.</w:t>
      </w:r>
    </w:p>
    <w:p>
      <w:pPr>
        <w:jc w:val="both"/>
        <w:spacing w:after="0" w:line="270" w:lineRule="auto"/>
        <w:rPr>
          <w:sz w:val="20"/>
          <w:szCs w:val="20"/>
          <w:color w:val="auto"/>
        </w:rPr>
      </w:pPr>
      <w:r>
        <w:rPr>
          <w:rFonts w:ascii="Arial" w:cs="Arial" w:eastAsia="Arial" w:hAnsi="Arial"/>
          <w:sz w:val="17"/>
          <w:szCs w:val="17"/>
          <w:color w:val="auto"/>
        </w:rPr>
        <w:t>– Financial Statements and Supplementary Data – Notes to Consolidated Financial Statements – Note 21 – Disputes, Litigation and Contingencies.” We anticipate funding these requirements from cash and cash equivalent balances, cash generated from operations, availability under our credit facilities, accounts receivable factoring, and if completed, proceeds from disposals of businesses or capital assets. We anticipate that cash generated from operations will be augmented by working capital improvements, increased activity and improved margins. We also historically have accessed banks for short-term loans from uncommitted borrowing arrangements and have accessed the capital markets with debt and equity offerings. From time to time we may and have entered into transactions to dispose of businesses or capital assets that are no longer core to our long-term strategy.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for 2017 are projected to be approximately $250 million (excluding the purchase of certain leased equipment utilized in our North America pressure pumping business for a total amount of $240 million in January 2017) compared to capital expenditures of $204 million in 2016 due to higher anticipated activity in the oil and gas business related to higher volume of work and increased rig count. The amounts we ultimately spend will depend on a number of factors including the type of contracts we enter into, asset availability and our expectations with respect to industry activity levels in 2017. Expenditures are expected to be used primarily to supporting ongoing activities of our core businesses and our sources of liquidity are anticipated to be sufficient to meet our needs.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Cash and cash equivalent of $1.0 billion at December 31, 2016, are held by subsidiaries outside of Switzerland, the taxing jurisdiction in which the Company is taxed. Based on the nature of our structure, we are generally able to redeploy cash with no incremental tax. However, in 2016 we recorded $137 million for a non-cash tax expense related to an internal restructuring of subsidiaries. As of December 31, 2016, $120 million of our cash and cash equivalent balance was denominated in Angolan kwanza. The National Bank of Angola supervises all kwanza exchange operations and has limited U.S. Dollar conversions. These prolonged Angolan limitations have and may further limit our ability to repatriate earnings and expose us to additional exchange rate risk.</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participate in factoring arrangements to sell accounts receivable to third party financial institutions. In 2016, we sold accounts receivables of $156 million, received cash totaling $154 million and recognized a loss of $0.7 million. In 2015, we sold accounts receivables of $78 million, received cash totaling $77 million and recognized a loss of $0.2 million. Our factoring transactions were recognized as sales, and the proceeds are included as operating cash flows in our Consolidated Statements of Cash Flows. We did not sell any accounts receivable during 2014.</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net trade receivables. The note had a three year term at a 6.5% stated interest rate. We carried the note at lower of cost or fair value and recognized a loss in the second quarter of 2016 of $84 million to adjust the note to fair value. In the fourth quarter of 2016, we sold the economic rights in the note receivable for $44 million and recognized a gain of $8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our contractual obligations and contingent commitments by period. The obligations we pay in future periods may vary due to certain assumptions including the duration of our obligations and anticipated actions by third parties.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Payments Due by Period</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2018 and 2019</w:t>
            </w:r>
          </w:p>
        </w:tc>
        <w:tc>
          <w:tcPr>
            <w:tcW w:w="2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2020 and 2021</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Thereafter</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2,562</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4,182</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7,595</w:t>
            </w: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2,865</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w:t>
            </w: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Noncancellable Operating Leases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37"/>
        </w:trPr>
        <w:tc>
          <w:tcPr>
            <w:tcW w:w="35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3,486</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7,248</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13,745</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represent the expected cash payments of principal associated with our long-term debt. These amounts do not include the unamortized discounts or deferred gains on terminated interest rate swap agreements.</w:t>
      </w:r>
    </w:p>
    <w:p>
      <w:pPr>
        <w:spacing w:after="0" w:line="10" w:lineRule="exact"/>
        <w:rPr>
          <w:rFonts w:ascii="Arial" w:cs="Arial" w:eastAsia="Arial" w:hAnsi="Arial"/>
          <w:sz w:val="16"/>
          <w:szCs w:val="16"/>
          <w:color w:val="auto"/>
        </w:rPr>
      </w:pPr>
    </w:p>
    <w:p>
      <w:pPr>
        <w:ind w:left="500" w:right="20" w:hanging="330"/>
        <w:spacing w:after="0" w:line="27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November 2016, we shut down our U.S. pressure pumping operations and idled our assets. In January 2017, we purchased certain leased equipment utilized in our North America pressure pumping business for a total amount of $240 million.</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we are unable to make reasonably reliable estimates of the period of cash settlement, if any, to the respective taxing authorities. Therefore, $259 million in uncertain tax positions, including interest and penalties, have been excluded from the contractual obligations table above.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defined benefit pension and other post-retirement benefit plans covering certain of our U.S. and international employees. During 2016, we made contributions and paid direct benefits of approximately $6 million in connection with those plans and we anticipate funding approximately $3 million with cash and $22 million with shares during 2017. Our projected benefit obligations for our defined benefit pension and other post-retirement benefit plans were $205 million as of December 31,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fourth quarter of 2016, in conjunction with the issuance of 84.5 million shares of common stock, we also issued a warrant that gives the holder the option to acquire an additional 84.5 million shares. The exercise price on the warrant is $6.43 per share and is exercisable any time prior to May 21, 2019. The warrant is classified as a liability at fair value with changes in its fair value reported as “Other Income (Expense), Net” on our Consolidated Statements of Operations. The warrant had a fair value of $172 million at November 16, 2016 (date of issuance) and $156 million at December 31, 2016. This change in value of $16 million was primarily driven by the decrease in our stock price from the inception date to December 31, 2016. If exercised, we expect to receive an additional $543 million in cash proceeds. See “Note 15 – Derivative Instruments” for information related to the warrant.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As of December 31, 2016 and 2015, we had net unamortized premiums of $7 million and $23 million, respectively, associated with fair value hedge swap terminations. These premiums are being amortized over the remaining term of the originally hedged debt as a reduction to interest expense. See “Note 15 – Derivative Instruments” to our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December 31, 2016 and 2015, we had net unamortized losses of $9 million and $10 million, respectively, associated with our cash flow hedge terminations.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Derivative Instruments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As of December 31, 2016 and 2015, we had outstanding foreign currency forward contracts with total notional amounts totaling $1.6 billion and $1.7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See “Note 15 – Derivative Instruments” for additional information.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forward contracts and cross-currency swaps are not designated as hedges, and the changes in fair value of the contracts are recorded in current earnings each period in the line captioned “Other Income (Expense), Net” on the accompanying Consolidated Statements of Operations. See “Note 15 – Derivative Instruments” for additional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International Ltd. (“Weatherford Bermuda”) and Weatherford International, LLC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December 31, 2016 and 2015: (1) 6.35% senior notes and (2) 6.80% senior notes.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obligations of Weatherford Bermuda were guaranteed by Weatherford Delaware at December 31, 2016 and 2015: (1) 6.50% senior notes,</w:t>
      </w:r>
    </w:p>
    <w:p>
      <w:pPr>
        <w:spacing w:after="0" w:line="46"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6.00% senior notes, (3) 7.00% senior notes, (4) 9.625% senior notes, (5) 9.875% senior notes due 2039, (6) 5.125% senior notes, (7) 6.75% senior notes,</w:t>
      </w:r>
    </w:p>
    <w:p>
      <w:pPr>
        <w:spacing w:after="0" w:line="32" w:lineRule="exact"/>
        <w:rPr>
          <w:rFonts w:ascii="Arial" w:cs="Arial" w:eastAsia="Arial" w:hAnsi="Arial"/>
          <w:sz w:val="16"/>
          <w:szCs w:val="16"/>
          <w:color w:val="auto"/>
        </w:rPr>
      </w:pPr>
    </w:p>
    <w:p>
      <w:pPr>
        <w:ind w:firstLine="8"/>
        <w:spacing w:after="0" w:line="261" w:lineRule="auto"/>
        <w:tabs>
          <w:tab w:leader="none" w:pos="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4.50% senior notes and (9) 5.95% senior notes. At December 31, 2015, Weatherford Delaware also guaranteed the revolving credit facility and the 5.50% senior notes of Weatherford Bermuda.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following obligations of Weatherford Bermuda were guaranteed by Weatherford Delaware at December 31, 2016: (1) Revolving Credit Agreement, (2) Term Loan Agreement, (3) 5.875% exchangeable senior notes, (4) 7.75% senior notes and (5) 8.25% senior notes and (6) 9.875% senior notes due 2024.</w:t>
      </w:r>
    </w:p>
    <w:p>
      <w:pPr>
        <w:spacing w:after="0" w:line="124" w:lineRule="exact"/>
        <w:rPr>
          <w:sz w:val="20"/>
          <w:szCs w:val="20"/>
          <w:color w:val="auto"/>
        </w:rPr>
      </w:pPr>
    </w:p>
    <w:p>
      <w:pPr>
        <w:jc w:val="both"/>
        <w:ind w:right="20" w:firstLine="403"/>
        <w:spacing w:after="0" w:line="277" w:lineRule="auto"/>
        <w:rPr>
          <w:sz w:val="20"/>
          <w:szCs w:val="20"/>
          <w:color w:val="auto"/>
        </w:rPr>
      </w:pPr>
      <w:r>
        <w:rPr>
          <w:rFonts w:ascii="Arial" w:cs="Arial" w:eastAsia="Arial" w:hAnsi="Arial"/>
          <w:sz w:val="18"/>
          <w:szCs w:val="18"/>
          <w:color w:val="auto"/>
        </w:rPr>
        <w:t>Certain of these guarantee arrangements require us to present condensed consolidating financial information. See guarantor financial information presented in “Note 24 – Consolidating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use letters of credit and performance and bid bonds in the normal course of our business. As of December 31, 2016, we had $513 million of letters of credit consisting of $450 million outstanding under various uncommitted credit facilities and $63 million of letters of credit outstanding under our Credit Agreement. In addition, we had $54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facility, our available liquidity would be reduced by the amount called.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Our reporting units are based on our regions and include the United States, Canada, Latin America, Europe, SSA, Russia, MENA, Asia Pacific and Land Drilling Rigs. Land Drilling Rigs was separated into its own reportable segment and reporting unit in the first quarter of 2015 in order to align our business structure with management’s current view and future growth objectives.</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further goodwill impairment tests. If it is more-likely-than-not that the fair value of a reporting unit is less than its carrying value, we must perform the first step of the goodwill impairment test. We also have the option to bypass the qualitative assessment at any time and perform the first step. Goodwill impairment is evaluated using a two-step process. The first step of the goodwill impairment test involves a comparison of the fair value of each of our reporting units with their carrying values.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perform the first step, the fair value of our reporting units is determined using a combination of the income approach and the market approach. The income approach estimates fair value by discounting each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our annual financial forecast. Our annual planning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rates for our reporting units ranged from 11.0% to 17.75% as of our October 1, 2016 annual impairment test. The market approach estimates fair value using as a multiple of each reporting unit’s actual and forecasted earnings using earnings multiples of comparable publicly traded companies.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an independent valuation specialist in each of our annual impairment tests to assist us in our valuations under both methods. The final estimate of each reporting unit’s fair value is determined by using an appropriate weighting of the values from each method, where the income method was weighted heavier than the market method as we believe that the income method and assumptions therein are more reflective of a market participant’s view of fair value given current market conditions.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values estimated using the income approach and the market approach cannot be directly compared to our market capitalization due to several factors, most importantly the premium that would be paid by a market participant to acquire a controlling interest in Weatherford, which is not reflected in the price of our publicly traded stock. The sum of the fair values of Weatherford’s reporting units’ implied a control premium of approximately 12% as of our October 1, 2016 testing date which is within the range of observable control premiums in market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values of our reporting units that have goodwill were in excess of their carrying value as of our October 1, 2016 annual impairment test.</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estimates of fair value are sensitive to the aforementioned inputs to the valuation approaches. If any one of the above inputs changes, it could reduce the estimated fair value of the affected reporting unit and result in an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 In the event that discount rates increased by more than 100 basis points for each of our reporting units with goodwill as of October 1, 2016, all else being equal, the resulting fair value would still exceed the reporting unit’s carrying value.</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If the carrying value of a reporting unit’s goodwill were to exceed its fair value, the second step of the goodwill impairment test shall be performed. The second step compares the implied fair value of the reporting unit’s goodwill to the carrying value of its goodwill. The implied fair value of goodwill is determined by performing a hypothetical purchase price allocation of the reporting unit’s assets and liabilities using the fair value of the reporting unit as the purchase price in the calculation. If the amount of goodwill resulting from this hypothetical purchase price allocation is less than the carrying value of a reporting unit’s goodwill, the recorded carrying value of goodwill is written down to the implied fair value.</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recognize a goodwill impairment charge in 2016 or 2015. Based on the results of our impairment tests, we recognized goodwill impairments of $161 million in 2014.</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our annual goodwill impairment test indicated that the goodwill of the Land Drilling Rigs reporting units in Latin America, Europe and Asia Pacific was impaired. The results of our “step-one” analysis were accompanied by other indicators in the form of a decline in the anticipated utilization rates for our drilling rig fleet. The “step two” analysis indicated that the goodwill for these reporting units was fully impaired and we recognized an impairment loss of $40 million related to Land Drilling Rigs segment in Latin America, Europe and Asia Pacific.</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during the second quarter of 2014, we engaged in negotiation to sell our land drilling and workover operations in Russia and Venezuela and we subsequently entered into an agreement to sell the businesses in July 2014. During this time frame we expected the sale would significantly impact the revenues and results of operations of our Russia reporting unit.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recognized the required impairment loss. The analysis indicated that the goodwill for the Russia reporting unit was impaired, and we recognized a goodwill impairment loss of $121 million, $95 million of which pertained to goodwill classified in current assets held for sale.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analysis and discussion of goodwill refer to “Item 8. – Financial Statements and Supplementary Data – Notes to Consolidated Financial Statements – Note 9 – Goodwill” of this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Long-lived assets, which include PP&amp;E and definite-lived intangibles, comprise a significant amount of our assets. We must make estimates about the expected useful lives of the assets. The value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14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Estimated Useful Lives</w:t>
            </w:r>
          </w:p>
        </w:tc>
      </w:tr>
      <w:tr>
        <w:trPr>
          <w:trHeight w:val="27"/>
        </w:trPr>
        <w:tc>
          <w:tcPr>
            <w:tcW w:w="6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r>
        <w:trPr>
          <w:trHeight w:val="27"/>
        </w:trPr>
        <w:tc>
          <w:tcPr>
            <w:tcW w:w="62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 12 years</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Long-lived assets to be held and used by us are reviewed to determine whether any events or changes in circumstances indicate that we may not be able to recover the carrying amount of the asset. Factors that might indicate a long-lived asset may not be recoverable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driven by pricing pressure as a result of oversupply associated with the use of the long-lived asset. If these or other factors exist that indicate the carrying amount of the asset may not be recoverable, we determine whether an impairment has occurred through the use of an undiscounted cash flow analysis. The undiscounted cash flow analysis consists of estimating the future cash flows that are directly associated with, and are expected to arise from, the use and eventual disposition of the asset over its remaining useful life. These cash flows are inherently subjective and require estimates based upon historical experience and future expectations. If the undiscounted cash flows do not exceed the carrying value of the long-lived asset, the asset is not recoverable and impairment is recognized to the extent the carrying amount exceeds the estimated fair value of the asset. The fair value of the asset is measured using market prices, or in the absence of market prices, is based on an estimate of discounted cash flows. Cash flows are discounted at an interest rate commensurate with our weighted average cost of capital for a similar asset.</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are grouped at the lowest level at which cash flows are identifiable and independent. 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2016, we recognized long-lived asset impairment charges of $436 million, of which $388 million was related to product line PP&amp;E impairments and $48 million was related to the impairment of intangible assets. The PP&amp;E impairment charges were related to our MENA/Asia Pacific Pressure Pumping and North America Well Construction, Drilling Services and Secure Drilling Service product lines. We recognized total long-lived asset impairment charges of $638 million in 2015 with $383 million related to U.S. Pressure Pumping, Drilling Tools and Wireline product lines $255 million related to Land Drilling Rigs product line assets. In 2014 we recognized total long-lived and other asset impairments of $495 million, of which $352 million related to the Land Drilling Rig product line and $143 million related to the sale of our land drilling and workover operations in Russia and Venezuela.</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long-lived assets impairment charges were due to the prolonged downturn in the oil and gas industry, whose recovery in the third quarter was not as strong as expected and whose recovery in the fourth quarter of 2016 and in 2017 was and is expected to be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significant decline in crude oil prices contributed and a prolonged downturn in the oil and gas industry led to lower anticipated exploration and production spending and a decline in the anticipated utilization rates for our assets. The recovery in the oil and gas industry was not as strong as expected and is expected to be slower than had previously been anticipated. The decline and its impact on demand represent a significant adverse change in the business climate and an indication that some of our long-lived assets may not be recoverable. Based on the impairment indicators noted we performed an analysis of our long-lived assets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2016, 2015 and 2014 and recorded long-lived and other asset impairment charges to adjust to fair value. See “Note 8 – Long-Lived Asset Impairments” for additional information regarding the long-lived assets impairment.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Percentage-of-Completion Revenue Recognition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long-term contracts, primarily for our integrated project management services, is reported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62" w:lineRule="exact"/>
        <w:rPr>
          <w:sz w:val="20"/>
          <w:szCs w:val="20"/>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of any change orders or claims included in revenue.</w:t>
      </w:r>
    </w:p>
    <w:p>
      <w:pPr>
        <w:spacing w:after="0" w:line="2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Measurements of progress are generally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Our personnel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client activity levels and budgeting constraints, labor and community disruptions, timely availability of materials, productivity and other factors as outlined in our “Item 1A. – Risk Factors.”</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2016, we were break-even for our Zubair contract and cumulative estimated loss from the Iraq contracts was $532 million as of December 31, 2016. On May 26, 2016, we entered into an agreement with our customer containing the terms and conditions of the settlement on the Zubair contract. The settlement to be paid to us is a gross amount of $150 million, of which $62 million and $72 million was received in the second and third quarters of 2016, respectively. The settlement includes variation order requests, claims for extension of time, payments of remaining contract milestones and new project completion timelines that resulted in relief from the liquidated damages provisions. Of the remaining gross settlement, we collected $16 million during January 2017.</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we have no claims revenue, and our percentage-of-completion project estimate includes a cumulative $25 million in approved change orders and $16 million of back charges. Our net billings in excess of costs as of December 31, 2016 were $45 million and are shown in the “Other Current Liabilities” on the Consolidated Balance Sheet. The amounts associated with contract change orders or claims are included in revenue only when they can be reliably estimated and their realization is reasonably assured.</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2015, we recognized estimated project losses of $153 million related to our long-term early production facility construction contracts in Iraq accounted for under the percentage-of-completion method. Total estimated losses on these loss projects were $532 million at December 31, 2015. As of December 31, 2015, our percentage-of-completion project estimates include $116 million of claims revenue and $28 million of back charges. During 2015, an additional $32 million of claims revenue was included in our project estimates. Our costs in excess of billings as of December 31, 2015 were $6 million and are shown in the “Other Current Assets” on our Consolidated Balance Sheets. We also had a variety of unapproved contract change orders or claims that are not included in our revenues as of December 31, 2015. The amounts associated with these contract change orders or claims are included in revenue only when they can be reliably estimated and their realization is reasonably assured.</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2014, we recognized estimated project losses of $72 million related to our long-term early production facility construction contracts in Iraq accounted for under the percentage-of-completion method. Total estimated losses on these projects were $379 million at December 31, 2014. As of December 31, 2014, our percentage-of-completion project estimates include $90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of claims revenue and $24 million of back charges. Our costs in excess of billings as of December 31, 2014 were $128 million and are shown in the “Other Current Assets” on the balance sheet. We had a variety of unapproved contract change orders or claims that were not included in our revenues as of December 31, 2014. During 2014, an additional $80 million of claims revenue was included in our project estimates and $26 million of our prior claims were approved.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Our income tax provision in 2016 was $496 million compared to an income tax benefit of $145 million in 2015 and an income tax provision of $284 million in 2014, respectively, which resulted in an effective tax rate of (17)%, 7% and (111)%, respectively.</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approximately 90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As of December 31, 2016, we had recorded reserves for uncertain tax positions of $208 million, excluding accrued interest and penalties of $51 million.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historical and projected future losses, and limited objective positive evidence to overcome negative evidence, the Company concluded that it needed to record a valuation allowance of $526 million in the third quarter of 2016 against certain previously benefited deferred tax assets since it cannot support that it is more likely than not that the deferred tax assets will be realized. The valuation allowance primarily relates to operations in the United States.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9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2016, our gross deferred tax assets were $1.9 billion before a related valuation allowance of $1.7 billion. As of December 31, 2015, our gross deferred tax assets were $1.6 billion before a related valuation allowance of $868 million. The gross deferred tax assets were also offset by gross deferred tax liabilities of $259 million and $474 million as of December 31, 2016 and 2015,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maintain an allowance for doubtful accounts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to determine that collectability is reasonably assured, as well as consideration of the overall business and political climate in which our customers operate. Provisions for doubtful accounts are recorded when it becomes evident that customer accounts are uncollectible. At December 31, 2016 and 2015, the allowance for doubtful accounts totaled $129 million, or 9%, and $113 million, or 6%, of total gross accounts receivable, respectively. In 2016 and 2015, we recognized a charge for bad debt expense of $69 million and $48 million, respectively. We believe that our allowance for doubtful accounts is adequate to cover bad debt losses under current conditions. However, uncertainties regarding changes in the financial condition of our customers, either adverse or positive, could impact the amount and timing of any additional provisions for doubtful accounts that may be required. A 5% change in the allowance for doubtful accounts would have had an impact on loss before income taxes of approximately $6 million in 2016.</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Inventory represents a significant component of current assets and is stated at the lower of cost or market using either a first-in, first-out (“FIFO”) or average cost method. To maintain a book value that is the lower of cost or market, we maintain reserves for excess, slow moving and obsolete inventory. To determine these reserve amounts, we review inventory quantities on hand, future product demand, market conditions, production requirements and technological obsolesce. This review requires us to make judgments regarding potential future outcomes. At December 31, 2016 and 2015, inventory reserves totaled $265 million, or 13%, and $288 million, or 11%, of gross inventory, respectively. During 2016 and 2015, we recognized inventory charges, including excess and obsolete inventory charges totaling $252 million and $186 million, respectively. These charges were largely attributable to the downturn in the oil and gas industry, where certain inventory has been deemed commercially unviable or technologically obsolete considering current and future demand. We believe that our reserves are adequate to properly value excess, slow-moving and obsolete inventory under current conditions.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Disputes, Litigation and Contingencies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2016, we have accrued an estimate of the probable and estimable cost to resolve certain legal and investigation matters. For matters not deemed probable and reasonably estimable, we have not accrued any amounts in accordance with U.S. GAAP. Our legal department manages all pending or threatened claims and investigations on our behalf. The estimate of the probable costs related to these matters is developed in consultation with internal and outside legal counsel. Our contingent loss estimates are based upon an analysis of potential results, assuming a combination of probable litigation and settlement strategies. The accuracy of these estimates is impacted by the complexity of the issues. Whenever possible, we attempt to resolve these matters through settlements, mediation and arbitration proceedings if advantageous to us. If the actual settlement costs, final judgments or fines differ from our estimates, our future financial results may be adversely affected. For a more comprehensive discussion of our Disputes, Litigation and Contingencies, see “Item 8. – Financial Statements and Supplementary Data – Notes to Consolidated Financial Statements – Note 21 – Disputes, Litigation and Contingencies.”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 Summary of Significant Accounting Policies” to our Consolidated Financial Statements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9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operate in virtually every oil and natural gas exploration and production region in the world. In some parts of the world, such as Latin America, the Middle East and Southeast Asia, the currency of our primary economic environment is the U.S. dollar, and we use the U.S. dollar as our functional currency. In other parts of the world, we conduct our business in currencies other than the U.S. dollar, and the functional currency is the applicable local currency.</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In 2016, currency devaluation charges reflect the impact of the devaluation of the Angolan kwanza and Egyptian pound of $41 million. In 2015, currency devaluations charges were $85 million. These charges reflect the impacts of the devaluation of the Angolan kwanza of $39 million, the remeasurement charges of $26 million related to the Venezuelan bolivar, $11 million related to the devaluation of the Argentina peso and $9 million related to the depreciated Kazakhstani tenge.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devaluation of the Argentine peso in 2015 was due to the modification of currency control restrictions on the purchase of foreign currencies by the Argentine Central Bank. The depreciation of the Kazakhstani tenge during 2015 occurred after the National Bank of Kazakhstan abandoned its peg of the tenge to the U.S. dollar. The Venezuelan bolivar charge in 2015 reflects remeasurement charges when we began using the exchange rate published by the Venezuelan currency exchange system known as the “Marginal Currency System” or SIMADI. The SIMADI opened for trading in February 2015, replacing the Venezuela’s Supplementary Foreign Currency Administration System auction rate (“SICAD II”) mechanism. The SIMADI is intended to provide limited access to a free market rate of exchange.</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we recognized charges of $245 million on the devaluation of the Venezuelan bolivar, the charges were related to our adoption of the SICAD II exchange rate provided by Venezuela’s Supplementary Foreign Currency Administration System approximately of 50 Venezuelan bolivars per U.S. dollar. This rate was used at December 31, 2015 for the purposes of remeasuring Venezuelan bolivar denominated assets and liabilities (primarily cash, accounts receivables, trade payables and other current liabilities).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Foreign Currency Forward Contracts and Cross-Currency Swaps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Assets and liabilities of entities for which the functional currency other than the U.S. dollar are translated into U.S. dollars using the exchange rates in effect at the balance sheet date result in translation adjustments that are reflected in Accumulated Other Comprehensive Loss in the Shareholders’ Equity section on our Consolidated Balance Sheets. We recorded a $12 million and $789 million adjustment to decrease shareholders’ equity for 2016 and 2015, respectively, to reflect the change in the U.S. dollar against various foreign currencies.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2016 and 2015, we had outstanding foreign currency forward contracts with total notional amounts aggregating $1.6 billion and $1.7 billion, respectively. These contracts were entered into in order to hedge our net monetary exposure to currency fluctuations in various foreign currencies. The total estimated fair value of these contracts and amounts owed associated with closed contracts at December 31, 2016 and 2015, resulted in a net liability of approximately $163 million and $9 million, respectively. These derivative instruments were not designated as hedges, and the changes in fair value of the contracts are recorded each period in current earnings.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interest rate risk on our long-term fixed-interest rate debt and variable-interest rate borrowings. Variable rate debt exposes us to short-term changes in market interest rates. Fixed rate debt exposes us to changes in market interest rates reflected in the fair value of the debt and to the risk that we may need to refinance maturing debt with new debt at a higher rate. All other things being equal, the fair value of our fixed rate debt will increase or decrease inversely to changes in interest rates.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9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senior notes that were outstanding at December 31, 2016 and 2015, and that were subject to interest rate risk consist of the following:</w:t>
      </w:r>
    </w:p>
    <w:p>
      <w:pPr>
        <w:spacing w:after="0" w:line="16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34290</wp:posOffset>
            </wp:positionV>
            <wp:extent cx="3773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2016</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2015</w:t>
            </w:r>
          </w:p>
        </w:tc>
        <w:tc>
          <w:tcPr>
            <w:tcW w:w="1040" w:type="dxa"/>
            <w:vAlign w:val="bottom"/>
          </w:tcPr>
          <w:p>
            <w:pPr>
              <w:spacing w:after="0"/>
              <w:rPr>
                <w:sz w:val="18"/>
                <w:szCs w:val="18"/>
                <w:color w:val="auto"/>
              </w:rPr>
            </w:pPr>
          </w:p>
        </w:tc>
      </w:tr>
      <w:tr>
        <w:trPr>
          <w:trHeight w:val="47"/>
        </w:trPr>
        <w:tc>
          <w:tcPr>
            <w:tcW w:w="50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6.35% Senior Notes due 2017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585</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965</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5.875% Exchangeable Senior Notes due 2021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w:t>
            </w:r>
          </w:p>
        </w:tc>
        <w:tc>
          <w:tcPr>
            <w:tcW w:w="5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7.75% Senior Notes due 2021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484</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8.250% Senior Notes due 2023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9.875% Senior Notes due 2024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Senior Notes due 2036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6.80% Senior Notes due 2037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 Senior Notes due 2038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9.875% Senior Notes due 2039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2040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5.95% Senior Notes due 2042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263</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6,739</w:t>
            </w:r>
          </w:p>
        </w:tc>
        <w:tc>
          <w:tcPr>
            <w:tcW w:w="2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5,095</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326"/>
        <w:spacing w:after="0" w:line="286" w:lineRule="auto"/>
        <w:tabs>
          <w:tab w:leader="none" w:pos="73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Exchangeable Senior Notes due 2021 have been separated into the exchange feature, which is reported in Capital in Excess of Par Value, and the debt component, which is reflected in the table above and is reported in long-term debt. The estimated fair value reflected above is for the debt component only. The estimated fair value as of December 31, 2016 for the entire Exchangeable Senior Notes, which have a principal value of $1.265 billion, is $1.373 billion.</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2016, through a series offering, we received proceeds net of underwriting fees of $3.7 billion from the issuance various unsecured debt instruments and a secured term loan. We used certain proceeds from our initial debt offering to fund tender offers to buy back our senior notes with a principal balance of $1.87 billion and used the remaining proceeds to repay our revolving credit facility and for general corporate purposes. We recognized a cumulative loss of $78 million on the tender offers buyback transaction. During 2015, through a series of open market transactions, we repurchased certain of our senior notes with a total book value of $527 million. We recognized a cumulative gain of approximately $84 million on these transactions. In December 2014, through a series of open market transactions, we repurchased certain of our senior notes with an aggregate book value of $138 million and recognized a gain of approximately $11 million. See “Note 12 – Short-term Borrowings and Other Debt Obligations” and “Note 13 – Long-term Debt” for additional details of our financing activities.</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various capital lease and other long-term debt instruments of $552 million at December 31, 2016, but believe the impact of changes in interest rates in the near term will not be material to these instruments. The carrying value of our short-term borrowings of $2 million at December 31, 2016 approximates their fair value.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it relates to our variable rate debt, if market interest rates increase by an average of 1% from the rates as of December 31, 2016, interest expense for 2016 would increase by less than $1 million. This amount was determined by calculating the effect of the hypothetical interest rate on our variable rate debt. For purposes of this sensitivity analysis, we assumed no changes in our capital structure.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9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Swaps and Derivatives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manage our debt portfolio to limit our exposure to interest rate volatility and may employ interest rate derivatives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The counterparties to our interest rate swaps are multinational commercial banks. We continually re-evaluate counterparty creditworthiness and modify our requirements accordingly.</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paid or received upon termination of the interest rate swaps represent the fair value of the agreements at the time of termination. Derivative gains and losses are recognized each period in current earnings or other comprehensive income (loss), depending on whether the derivative is designated as part of a hedge relationship, and if so, the type of hedge.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gridSpan w:val="5"/>
          </w:tcPr>
          <w:p>
            <w:pPr>
              <w:ind w:left="780"/>
              <w:spacing w:after="0"/>
              <w:rPr>
                <w:sz w:val="20"/>
                <w:szCs w:val="20"/>
                <w:color w:val="auto"/>
              </w:rPr>
            </w:pPr>
            <w:r>
              <w:rPr>
                <w:rFonts w:ascii="Arial" w:cs="Arial" w:eastAsia="Arial" w:hAnsi="Arial"/>
                <w:sz w:val="18"/>
                <w:szCs w:val="18"/>
                <w:b w:val="1"/>
                <w:bCs w:val="1"/>
                <w:color w:val="auto"/>
              </w:rPr>
              <w:t>PAGE</w:t>
            </w:r>
          </w:p>
        </w:tc>
      </w:tr>
      <w:tr>
        <w:trPr>
          <w:trHeight w:val="297"/>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Reports of Independent Registered Public Accounting Firms</w:t>
              </w:r>
            </w:hyperlink>
          </w:p>
        </w:tc>
        <w:tc>
          <w:tcPr>
            <w:tcW w:w="1160" w:type="dxa"/>
            <w:vAlign w:val="bottom"/>
            <w:gridSpan w:val="4"/>
            <w:shd w:val="clear" w:color="auto" w:fill="CCEEFF"/>
          </w:tcPr>
          <w:p>
            <w:pPr>
              <w:jc w:val="center"/>
              <w:ind w:left="8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Operations for each of the three years in the period ended December 31, 2016</w:t>
              </w:r>
            </w:hyperlink>
          </w:p>
        </w:tc>
        <w:tc>
          <w:tcPr>
            <w:tcW w:w="1160" w:type="dxa"/>
            <w:vAlign w:val="bottom"/>
            <w:gridSpan w:val="4"/>
          </w:tcPr>
          <w:p>
            <w:pPr>
              <w:jc w:val="center"/>
              <w:ind w:left="81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w w:val="97"/>
              </w:rPr>
            </w:pPr>
            <w:hyperlink w:anchor="page55">
              <w:r>
                <w:rPr>
                  <w:rFonts w:ascii="Arial" w:cs="Arial" w:eastAsia="Arial" w:hAnsi="Arial"/>
                  <w:sz w:val="18"/>
                  <w:szCs w:val="18"/>
                  <w:color w:val="0000EE"/>
                  <w:w w:val="97"/>
                </w:rPr>
                <w:t>Consolidated Statements of Comprehensive Income (Loss) for each of the three years in the period ended December 31, 2016</w:t>
              </w:r>
            </w:hyperlink>
          </w:p>
        </w:tc>
        <w:tc>
          <w:tcPr>
            <w:tcW w:w="1160" w:type="dxa"/>
            <w:vAlign w:val="bottom"/>
            <w:gridSpan w:val="4"/>
            <w:shd w:val="clear" w:color="auto" w:fill="CCEEFF"/>
          </w:tcPr>
          <w:p>
            <w:pPr>
              <w:jc w:val="center"/>
              <w:ind w:left="8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December 31, 2016 and 2015</w:t>
              </w:r>
            </w:hyperlink>
          </w:p>
        </w:tc>
        <w:tc>
          <w:tcPr>
            <w:tcW w:w="1160" w:type="dxa"/>
            <w:vAlign w:val="bottom"/>
            <w:gridSpan w:val="4"/>
          </w:tcPr>
          <w:p>
            <w:pPr>
              <w:jc w:val="center"/>
              <w:ind w:left="81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Shareholders’ Equity for each of the three years in the period ended December 31, 2016</w:t>
              </w:r>
            </w:hyperlink>
          </w:p>
        </w:tc>
        <w:tc>
          <w:tcPr>
            <w:tcW w:w="1160" w:type="dxa"/>
            <w:vAlign w:val="bottom"/>
            <w:gridSpan w:val="4"/>
            <w:shd w:val="clear" w:color="auto" w:fill="CCEEFF"/>
          </w:tcPr>
          <w:p>
            <w:pPr>
              <w:jc w:val="center"/>
              <w:ind w:left="81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each of the three years in the period ended December 31, 2016</w:t>
              </w:r>
            </w:hyperlink>
          </w:p>
        </w:tc>
        <w:tc>
          <w:tcPr>
            <w:tcW w:w="1160" w:type="dxa"/>
            <w:vAlign w:val="bottom"/>
            <w:gridSpan w:val="4"/>
          </w:tcPr>
          <w:p>
            <w:pPr>
              <w:jc w:val="center"/>
              <w:ind w:left="810"/>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1160" w:type="dxa"/>
            <w:vAlign w:val="bottom"/>
            <w:gridSpan w:val="4"/>
            <w:shd w:val="clear" w:color="auto" w:fill="CCEEFF"/>
          </w:tcPr>
          <w:p>
            <w:pPr>
              <w:jc w:val="center"/>
              <w:ind w:left="810"/>
              <w:spacing w:after="0" w:line="20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43"/>
        </w:trPr>
        <w:tc>
          <w:tcPr>
            <w:tcW w:w="9880" w:type="dxa"/>
            <w:vAlign w:val="bottom"/>
            <w:gridSpan w:val="10"/>
          </w:tcPr>
          <w:p>
            <w:pPr>
              <w:ind w:left="40"/>
              <w:spacing w:after="0"/>
              <w:rPr>
                <w:sz w:val="20"/>
                <w:szCs w:val="20"/>
                <w:color w:val="auto"/>
              </w:rPr>
            </w:pPr>
            <w:r>
              <w:rPr>
                <w:rFonts w:ascii="Arial" w:cs="Arial" w:eastAsia="Arial" w:hAnsi="Arial"/>
                <w:sz w:val="18"/>
                <w:szCs w:val="18"/>
                <w:color w:val="auto"/>
              </w:rPr>
              <w:t>Financial Statement Schedule II:</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Valuation and Qualifying Accounts and Allowances</w:t>
              </w:r>
            </w:hyperlink>
          </w:p>
        </w:tc>
        <w:tc>
          <w:tcPr>
            <w:tcW w:w="1480" w:type="dxa"/>
            <w:vAlign w:val="bottom"/>
            <w:gridSpan w:val="5"/>
            <w:shd w:val="clear" w:color="auto" w:fill="CCEEFF"/>
          </w:tcPr>
          <w:p>
            <w:pPr>
              <w:jc w:val="center"/>
              <w:ind w:left="470"/>
              <w:spacing w:after="0" w:line="202"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113</w:t>
              </w:r>
            </w:hyperlink>
          </w:p>
        </w:tc>
      </w:tr>
      <w:tr>
        <w:trPr>
          <w:trHeight w:val="783"/>
        </w:trPr>
        <w:tc>
          <w:tcPr>
            <w:tcW w:w="40" w:type="dxa"/>
            <w:vAlign w:val="bottom"/>
            <w:tcBorders>
              <w:top w:val="single" w:sz="8" w:color="CCEEFF"/>
            </w:tcBorders>
          </w:tcPr>
          <w:p>
            <w:pPr>
              <w:spacing w:after="0"/>
              <w:rPr>
                <w:sz w:val="24"/>
                <w:szCs w:val="24"/>
                <w:color w:val="auto"/>
              </w:rPr>
            </w:pPr>
          </w:p>
        </w:tc>
        <w:tc>
          <w:tcPr>
            <w:tcW w:w="3740" w:type="dxa"/>
            <w:vAlign w:val="bottom"/>
            <w:tcBorders>
              <w:top w:val="single" w:sz="8" w:color="0000EE"/>
            </w:tcBorders>
            <w:gridSpan w:val="2"/>
          </w:tcPr>
          <w:p>
            <w:pPr>
              <w:spacing w:after="0"/>
              <w:rPr>
                <w:sz w:val="24"/>
                <w:szCs w:val="24"/>
                <w:color w:val="auto"/>
              </w:rPr>
            </w:pPr>
          </w:p>
        </w:tc>
        <w:tc>
          <w:tcPr>
            <w:tcW w:w="3880" w:type="dxa"/>
            <w:vAlign w:val="bottom"/>
            <w:tcBorders>
              <w:top w:val="single" w:sz="8" w:color="CCEEFF"/>
            </w:tcBorders>
            <w:gridSpan w:val="3"/>
          </w:tcPr>
          <w:p>
            <w:pPr>
              <w:jc w:val="right"/>
              <w:ind w:right="1860"/>
              <w:spacing w:after="0"/>
              <w:rPr>
                <w:sz w:val="20"/>
                <w:szCs w:val="20"/>
                <w:color w:val="auto"/>
              </w:rPr>
            </w:pPr>
            <w:r>
              <w:rPr>
                <w:rFonts w:ascii="Arial" w:cs="Arial" w:eastAsia="Arial" w:hAnsi="Arial"/>
                <w:sz w:val="18"/>
                <w:szCs w:val="18"/>
                <w:color w:val="auto"/>
              </w:rPr>
              <w:t>50</w:t>
            </w: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Weatherford International plc and subsidiaries as of December 31, 2016 and 2015, and the related consolidated statements of operations, comprehensive loss, shareholders’ equity, and cash flows for each of the years in the three-year period ended December 31, 2016. In connection with our audits of the consolidated financial statements, we also have audited financial statement schedule II for each of the years in the three-year period ended December 31, 2016.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Weatherford International plc and subsidiaries as of December 31, 2016 and 2015, and the results of their operations and their cash flows for each of the years in the three-year period ended December 31, 2016,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deferred income taxes effective January 1, 2016 due to the adoption of FASB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Additionally, as discussed in Note 1 to the consolidated financial statements, the Company changed its accounting method for debt issuance costs effective January 1, 2015 due to the adoption of FASB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Weatherford International plc’s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14, 2017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9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Weatherford International plc’s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Weatherford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plc’s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Weatherford International plc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Weatherford International plc and subsidiaries as of December 31, 2016 and 2015, and the related consolidated statements of operations, comprehensive loss, shareholders’ equity, and cash flows for each of the years in the three-year period ended December 31, 2016, and our report dated February 14, 2017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9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2,059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3,573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6,059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3,690</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5,860</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8,852</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5,749</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9,433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14,911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3,046</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4,588</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6,519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970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1,353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Long-Lived Asset Impairments, Write-Downs and Other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Equity Investment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(Gain) on Sale of Businesses and Investments, Net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8,000</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10,979</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14,406</w:t>
            </w:r>
          </w:p>
        </w:tc>
      </w:tr>
      <w:tr>
        <w:trPr>
          <w:trHeight w:val="291"/>
        </w:trPr>
        <w:tc>
          <w:tcPr>
            <w:tcW w:w="7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Premium,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1"/>
        </w:trPr>
        <w:tc>
          <w:tcPr>
            <w:tcW w:w="7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4"/>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Attributable to Weatherford: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887</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779</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r>
      <w:tr>
        <w:trPr>
          <w:trHeight w:val="27"/>
        </w:trPr>
        <w:tc>
          <w:tcPr>
            <w:tcW w:w="7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395" w:right="2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9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par value)</w:t>
            </w: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 of Allowance for Uncollectible Accounts of $129 in 2016 and $113 in 2015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Buildings and 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and Service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8,702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11,842</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12,914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7,235</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4,480</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12,664</w:t>
            </w: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14,760</w:t>
            </w:r>
          </w:p>
        </w:tc>
      </w:tr>
      <w:tr>
        <w:trPr>
          <w:trHeight w:val="271"/>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948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5,852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10,596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10,395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Shares - Par Value $0.001; Authorized 1,356 shares, Issued and Outstanding 983 shares and 779 shares at December 31, 2016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5,502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(Deficit)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12,664</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14,760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95" w:right="239" w:bottom="622"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95" w:right="239" w:bottom="622"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Capital In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2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Par Value of</w:t>
            </w:r>
          </w:p>
        </w:tc>
        <w:tc>
          <w:tcPr>
            <w:tcW w:w="20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Excess of Par</w:t>
            </w:r>
          </w:p>
        </w:tc>
        <w:tc>
          <w:tcPr>
            <w:tcW w:w="2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Retained</w:t>
            </w: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Comprehensive</w:t>
            </w:r>
          </w:p>
        </w:tc>
        <w:tc>
          <w:tcPr>
            <w:tcW w:w="20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controlling</w:t>
            </w: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6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0"/>
              </w:rPr>
              <w:t>Issued Shares</w:t>
            </w:r>
          </w:p>
        </w:tc>
        <w:tc>
          <w:tcPr>
            <w:tcW w:w="200" w:type="dxa"/>
            <w:vAlign w:val="bottom"/>
          </w:tcPr>
          <w:p>
            <w:pPr>
              <w:spacing w:after="0"/>
              <w:rPr>
                <w:sz w:val="18"/>
                <w:szCs w:val="18"/>
                <w:color w:val="auto"/>
              </w:rPr>
            </w:pPr>
          </w:p>
        </w:tc>
        <w:tc>
          <w:tcPr>
            <w:tcW w:w="10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Value</w:t>
            </w:r>
          </w:p>
        </w:tc>
        <w:tc>
          <w:tcPr>
            <w:tcW w:w="2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Earnings</w:t>
            </w:r>
          </w:p>
        </w:tc>
        <w:tc>
          <w:tcPr>
            <w:tcW w:w="220" w:type="dxa"/>
            <w:vAlign w:val="bottom"/>
          </w:tcPr>
          <w:p>
            <w:pPr>
              <w:spacing w:after="0"/>
              <w:rPr>
                <w:sz w:val="18"/>
                <w:szCs w:val="18"/>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r>
      <w:tr>
        <w:trPr>
          <w:trHeight w:val="33"/>
        </w:trPr>
        <w:tc>
          <w:tcPr>
            <w:tcW w:w="2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8,203</w:t>
            </w:r>
          </w:p>
        </w:tc>
      </w:tr>
      <w:tr>
        <w:trPr>
          <w:trHeight w:val="284"/>
        </w:trPr>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(694)</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Consolidation of Joint Venture</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Change in Common Shares, Treasury</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Shares and Paid in Capital Associated</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 Redomestication</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750</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 of Share-Based</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Plans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7,033</w:t>
            </w:r>
          </w:p>
        </w:tc>
      </w:tr>
      <w:tr>
        <w:trPr>
          <w:trHeight w:val="291"/>
        </w:trPr>
        <w:tc>
          <w:tcPr>
            <w:tcW w:w="2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(760)</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w:t>
            </w:r>
          </w:p>
        </w:tc>
      </w:tr>
      <w:tr>
        <w:trPr>
          <w:trHeight w:val="33"/>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4,365</w:t>
            </w:r>
          </w:p>
        </w:tc>
      </w:tr>
      <w:tr>
        <w:trPr>
          <w:trHeight w:val="291"/>
        </w:trPr>
        <w:tc>
          <w:tcPr>
            <w:tcW w:w="2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3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894</w:t>
            </w:r>
          </w:p>
        </w:tc>
        <w:tc>
          <w:tcPr>
            <w:tcW w:w="2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894</w:t>
            </w:r>
          </w:p>
        </w:tc>
      </w:tr>
      <w:tr>
        <w:trPr>
          <w:trHeight w:val="33"/>
        </w:trPr>
        <w:tc>
          <w:tcPr>
            <w:tcW w:w="2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Exchangeable Notes</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w:t>
            </w:r>
          </w:p>
        </w:tc>
      </w:tr>
      <w:tr>
        <w:trPr>
          <w:trHeight w:val="33"/>
        </w:trPr>
        <w:tc>
          <w:tcPr>
            <w:tcW w:w="2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2,068</w:t>
            </w:r>
          </w:p>
        </w:tc>
      </w:tr>
      <w:tr>
        <w:trPr>
          <w:trHeight w:val="20"/>
        </w:trPr>
        <w:tc>
          <w:tcPr>
            <w:tcW w:w="2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95"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5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5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78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5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206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1"/>
              </w:rPr>
              <w:t>Cash Flows From Operating Activities:</w:t>
            </w:r>
          </w:p>
        </w:tc>
        <w:tc>
          <w:tcPr>
            <w:tcW w:w="46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00"/>
          </w:cols>
          <w:pgMar w:left="240" w:top="378" w:right="259" w:bottom="0" w:gutter="0" w:footer="0" w:header="0"/>
        </w:sectPr>
      </w:pPr>
    </w:p>
    <w:p>
      <w:pPr>
        <w:ind w:left="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Long-Lived Asset Impairments and Other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 and Equity Investment Impairment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and Other Asset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Divestiture Related and Other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Devaluation and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Litigation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Bond Tender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Share-Based Compensation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(Gain) on Sale of Businesses,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Excess Tax Benefits from Share-Based Compensation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Billings in Excess of Costs and Estimated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67" w:lineRule="exact"/>
        <w:rPr>
          <w:sz w:val="20"/>
          <w:szCs w:val="20"/>
          <w:color w:val="auto"/>
        </w:rPr>
      </w:pPr>
    </w:p>
    <w:p>
      <w:pPr>
        <w:ind w:left="40" w:right="2980"/>
        <w:spacing w:after="0" w:line="313" w:lineRule="auto"/>
        <w:rPr>
          <w:sz w:val="20"/>
          <w:szCs w:val="20"/>
          <w:color w:val="auto"/>
        </w:rPr>
      </w:pPr>
      <w:r>
        <w:rPr>
          <w:rFonts w:ascii="Arial" w:cs="Arial" w:eastAsia="Arial" w:hAnsi="Arial"/>
          <w:sz w:val="18"/>
          <w:szCs w:val="18"/>
          <w:color w:val="auto"/>
        </w:rPr>
        <w:t>Capital Expenditures for Property, Plant and Equipment Acquisitions of Businesses, Net of Cash Acquired Acquisition of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2377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377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40" w:right="2440"/>
        <w:spacing w:after="0" w:line="352" w:lineRule="auto"/>
        <w:rPr>
          <w:sz w:val="20"/>
          <w:szCs w:val="20"/>
          <w:color w:val="auto"/>
        </w:rPr>
      </w:pPr>
      <w:r>
        <w:rPr>
          <w:rFonts w:ascii="Arial" w:cs="Arial" w:eastAsia="Arial" w:hAnsi="Arial"/>
          <w:sz w:val="16"/>
          <w:szCs w:val="16"/>
          <w:color w:val="auto"/>
        </w:rPr>
        <w:t>Acquisition of Equity Investments in Unconsolidated Affiliates Insurance Proceeds Related to Asset Casualty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377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40" w:right="1380"/>
        <w:spacing w:after="0" w:line="318" w:lineRule="auto"/>
        <w:rPr>
          <w:sz w:val="20"/>
          <w:szCs w:val="20"/>
          <w:color w:val="auto"/>
        </w:rPr>
      </w:pPr>
      <w:r>
        <w:rPr>
          <w:rFonts w:ascii="Arial" w:cs="Arial" w:eastAsia="Arial" w:hAnsi="Arial"/>
          <w:sz w:val="18"/>
          <w:szCs w:val="18"/>
          <w:color w:val="auto"/>
        </w:rPr>
        <w:t>Proceeds (Payment) Related to Sale of Businesses and Equity Investment, Net 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3773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377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Borrowings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Borrowings (Repayments) of Short-term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right="2240"/>
        <w:spacing w:after="0" w:line="313" w:lineRule="auto"/>
        <w:rPr>
          <w:sz w:val="20"/>
          <w:szCs w:val="20"/>
          <w:color w:val="auto"/>
        </w:rPr>
      </w:pPr>
      <w:r>
        <w:rPr>
          <w:rFonts w:ascii="Arial" w:cs="Arial" w:eastAsia="Arial" w:hAnsi="Arial"/>
          <w:sz w:val="18"/>
          <w:szCs w:val="18"/>
          <w:color w:val="auto"/>
        </w:rPr>
        <w:t>Proceeds from Issuance of Ordinary Common Shares and Warrant Bond Tender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377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Payment for Leased Asset Purchase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Excess Tax Benefits from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right="1660"/>
        <w:spacing w:after="0" w:line="318" w:lineRule="auto"/>
        <w:rPr>
          <w:sz w:val="20"/>
          <w:szCs w:val="20"/>
          <w:color w:val="auto"/>
        </w:rPr>
      </w:pPr>
      <w:r>
        <w:rPr>
          <w:rFonts w:ascii="Arial" w:cs="Arial" w:eastAsia="Arial" w:hAnsi="Arial"/>
          <w:sz w:val="18"/>
          <w:szCs w:val="18"/>
          <w:color w:val="auto"/>
        </w:rPr>
        <w:t>Proceeds from Sale of Executive Deferred Compensation Ordinary Shares 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3773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111760"/>
                    </a:xfrm>
                    <a:prstGeom prst="rect">
                      <a:avLst/>
                    </a:prstGeom>
                    <a:noFill/>
                  </pic:spPr>
                </pic:pic>
              </a:graphicData>
            </a:graphic>
          </wp:anchor>
        </w:drawing>
      </w:r>
    </w:p>
    <w:p>
      <w:pPr>
        <w:spacing w:after="0" w:line="215" w:lineRule="exact"/>
        <w:rPr>
          <w:sz w:val="20"/>
          <w:szCs w:val="20"/>
          <w:color w:val="auto"/>
        </w:rPr>
      </w:pPr>
    </w:p>
    <w:p>
      <w:pPr>
        <w:ind w:left="40" w:right="2840"/>
        <w:spacing w:after="0" w:line="372" w:lineRule="auto"/>
        <w:rPr>
          <w:sz w:val="20"/>
          <w:szCs w:val="20"/>
          <w:color w:val="auto"/>
        </w:rPr>
      </w:pPr>
      <w:r>
        <w:rPr>
          <w:rFonts w:ascii="Arial" w:cs="Arial" w:eastAsia="Arial" w:hAnsi="Arial"/>
          <w:sz w:val="16"/>
          <w:szCs w:val="16"/>
          <w:b w:val="1"/>
          <w:bCs w:val="1"/>
          <w:color w:val="auto"/>
        </w:rPr>
        <w:t xml:space="preserve">Net Increase (Decrease) in Cash and Cash Equivalents </w:t>
      </w:r>
      <w:r>
        <w:rPr>
          <w:rFonts w:ascii="Arial" w:cs="Arial" w:eastAsia="Arial" w:hAnsi="Arial"/>
          <w:sz w:val="16"/>
          <w:szCs w:val="16"/>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3773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(3,373)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540"/>
        </w:trPr>
        <w:tc>
          <w:tcPr>
            <w:tcW w:w="3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956</w:t>
            </w:r>
          </w:p>
        </w:tc>
        <w:tc>
          <w:tcPr>
            <w:tcW w:w="40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1,200</w:t>
            </w:r>
          </w:p>
        </w:tc>
        <w:tc>
          <w:tcPr>
            <w:tcW w:w="4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1,371</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436</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638</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540"/>
        </w:trPr>
        <w:tc>
          <w:tcPr>
            <w:tcW w:w="3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(813)</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w:t>
            </w:r>
          </w:p>
        </w:tc>
        <w:tc>
          <w:tcPr>
            <w:tcW w:w="4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682"/>
        </w:trPr>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1,711</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4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682"/>
        </w:trPr>
        <w:tc>
          <w:tcPr>
            <w:tcW w:w="3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3,681</w:t>
            </w:r>
          </w:p>
        </w:tc>
        <w:tc>
          <w:tcPr>
            <w:tcW w:w="40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(1,963)</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(1,512)</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505</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1,071</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1,071</w:t>
            </w:r>
          </w:p>
        </w:tc>
        <w:tc>
          <w:tcPr>
            <w:tcW w:w="4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46"/>
        </w:trPr>
        <w:tc>
          <w:tcPr>
            <w:tcW w:w="36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570</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36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474</w:t>
            </w:r>
          </w:p>
        </w:tc>
        <w:tc>
          <w:tcPr>
            <w:tcW w:w="4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1,037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040" w:space="720"/>
            <w:col w:w="3640"/>
          </w:cols>
          <w:pgMar w:left="240" w:top="378" w:right="259" w:bottom="0" w:gutter="0" w:footer="0" w:header="0"/>
          <w:type w:val="continuous"/>
        </w:sectPr>
      </w:pPr>
    </w:p>
    <w:bookmarkStart w:id="58" w:name="page59"/>
    <w:bookmarkEnd w:id="58"/>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638" w:right="1440" w:bottom="1440" w:gutter="0" w:footer="0" w:header="0"/>
        </w:sectPr>
      </w:pP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019"/>
          </w:cols>
          <w:pgMar w:left="1440" w:top="638"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7800" w:hanging="332"/>
        <w:spacing w:after="0" w:line="566" w:lineRule="auto"/>
        <w:tabs>
          <w:tab w:leader="none" w:pos="241"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Organization and Nature of Operations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an Irish public limited company and Swiss tax resident,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We operate in approximately 90 countries, which are located in nearly all of the oil and natural gas producing regions in the world. Many of our businesses, including those of our predecessor companies, have been operating for more than 50 years.</w:t>
      </w:r>
    </w:p>
    <w:p>
      <w:pPr>
        <w:spacing w:after="0" w:line="188"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On June 17, 2014, we completed the change in our place of incorporation from Switzerland to Ireland, whereby Weatherford Ireland became the new public holding company and the parent of the Weatherford group of companies (the “Merger”). The Merger was effected through an agreement between Weatherford International Ltd. (“Weatherford Switzerland”) and Weatherford Ireland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New York Stock Exchange (the “NYSE”) under the symbol “WFT,” the same symbol under which Weatherford Switzerland registered shares were previously listed.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2009, we completed a share exchange transaction in which Weatherford International Ltd., a Bermuda exempted company (“Weatherford Bermuda”), and our then parent company, became a wholly owned subsidiary of Weatherford Switzerland, for purposes of changing the Company’s place of incorporation from Bermuda to Switzerland. Prior to 2002, our parent company was Weatherford International, Inc., a Delaware corporation (“Weatherford Delaware”), until we moved our incorporation to Bermuda in 2002. Weatherford Bermuda and Weatherford Delaware continue to be wholly owned subsidiaries of Weatherford Ireland. In 2013, Weatherford Delaware converted its corporate form and now exists as Weatherford International, LLC, a Delaware limited liability company.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 owned subsidiaries, controlled joint ventures and variable interest entities where the Company has determined it is the primary beneficiary. All material intercompany accounts and transactions have been eliminated in consolidation.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amounts have been reclassified to conform to the current year presentation related to the adoption of new accounting standards. Net income and shareholders’ equity were not affected by these reclassifications. See subsection entitled “New Accounting Pronouncements” for additional details.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Investments in affiliates in which we exercise significant influence over operating and financial policies are accounted for using the equity method. We recognize equity in earnings of unconsolidated affiliates in Selling, General and Administration attributable to segments in our Consolidated Statements of Operations (see “Note 11 – Equity Investments”).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derivative financial instruments, intangible assets and goodwill, property, plant and equipment (“PP&amp;E”),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75"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the probable and estimable cost to resolve certain legal and investigation matters. For matters not deemed probable and reasonably estimable, we have not accrued any amounts in accordance with U.S. GAAP. Our contingent loss estimates are based upon an analysis of potential results, assuming a combination of probable litigation and settlement strategies. The accuracy of these estimates is impacted by the complexity of the associated issues.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 allowance for doubtful accounts based on various factors including historical experience, the current aging status of our customer accounts, the financial condition of our customers and the business and political environment in which our customers operate. Provisions for doubtful accounts are recorded when it becomes probable that customer accounts are uncollectible.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on-going credit evaluations of our customers and do not generally require collateral in support of our trade receivables. We maintain allowances for potential credit losses, and actual losses have historically been within our expectations.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 to large international or national oil companies and these sales have resulted in a concentration of receivables from certain national oil companies in Latin America. As of December 31, 2016, Latin America accounted for 38% of our net outstanding accounts receivables. Venezuela, Ecuador and Mexico represent 43%, 16% and 10%, respectively, of the Latin America balance. In 2016, we accepted a note with a face value of $120 million from Petroleos de Venezuela, S.A. (“PDVSA”) in exchange for $120 million in net trade receivables. The note had a three year term at a 6.5% stated interest rate. We carried the note at fair value and recognized a loss in the second quarter of 2016 of $84 million to adjust the note to fair value. In the fourth quarter of 2016, we sold the economic rights in the note receivable for $44 million and recognized a gain of $8 million. During 2016, 2015 and 2014, no individual customer accounted for more than 10% of our consolidated revenues.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value our inventories at lower of cost or market using either the first-in, first-out (“FIFO”) or average cost method. Cost represents third-party invoice or production cost. Production cost includes material, labor and manufacturing overhead. Work in process and finished goods inventories include the cost of materials, labor and manufacturing overhead. To maintain a book value that is the lower of cost or market, we maintain reserves for excess, slow moving and obsolete inventory. We regularly review inventory quantities on hand and record provisions for excess, slow moving and obsolete inventory.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carry our property, plant and equipment, both owned and under capital lease, at cost less accumulated depreciation. The carrying values are based on our estimates and judgments relative to capitalized costs, useful lives and salvage value, where applicable. 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depreciation expense was $896 million, $1.1 billion and $1.3 billion for the years ended December 31, 2016, 2015 and 2014, respectively. We classify our rig assets as “Rental and Service Equipment” on the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1" w:name="page62"/>
    <w:bookmarkEnd w:id="61"/>
    <w:tbl>
      <w:tblPr>
        <w:tblLayout w:type="fixed"/>
        <w:tblInd w:w="34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The estimated useful lives of our major classes of PP&amp;E are as follows:</w:t>
            </w:r>
          </w:p>
        </w:tc>
        <w:tc>
          <w:tcPr>
            <w:tcW w:w="422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220" w:type="dxa"/>
            <w:vAlign w:val="bottom"/>
          </w:tcPr>
          <w:p>
            <w:pPr>
              <w:ind w:left="12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1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Major Classes of Property, Plant and Equipment</w:t>
            </w:r>
          </w:p>
        </w:tc>
        <w:tc>
          <w:tcPr>
            <w:tcW w:w="4220" w:type="dxa"/>
            <w:vAlign w:val="bottom"/>
          </w:tcPr>
          <w:p>
            <w:pPr>
              <w:ind w:left="1220"/>
              <w:spacing w:after="0"/>
              <w:rPr>
                <w:sz w:val="20"/>
                <w:szCs w:val="20"/>
                <w:color w:val="auto"/>
              </w:rPr>
            </w:pPr>
            <w:r>
              <w:rPr>
                <w:rFonts w:ascii="Arial" w:cs="Arial" w:eastAsia="Arial" w:hAnsi="Arial"/>
                <w:sz w:val="18"/>
                <w:szCs w:val="18"/>
                <w:b w:val="1"/>
                <w:bCs w:val="1"/>
                <w:color w:val="auto"/>
              </w:rPr>
              <w:t>Useful Lives</w:t>
            </w:r>
          </w:p>
        </w:tc>
      </w:tr>
      <w:tr>
        <w:trPr>
          <w:trHeight w:val="27"/>
        </w:trPr>
        <w:tc>
          <w:tcPr>
            <w:tcW w:w="14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2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1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4220" w:type="dxa"/>
            <w:vAlign w:val="bottom"/>
          </w:tcPr>
          <w:p>
            <w:pPr>
              <w:ind w:left="1220"/>
              <w:spacing w:after="0"/>
              <w:rPr>
                <w:sz w:val="20"/>
                <w:szCs w:val="20"/>
                <w:color w:val="auto"/>
              </w:rPr>
            </w:pPr>
            <w:r>
              <w:rPr>
                <w:rFonts w:ascii="Arial" w:cs="Arial" w:eastAsia="Arial" w:hAnsi="Arial"/>
                <w:sz w:val="18"/>
                <w:szCs w:val="18"/>
                <w:color w:val="auto"/>
              </w:rPr>
              <w:t>2 – 20 years</w:t>
            </w:r>
          </w:p>
        </w:tc>
      </w:tr>
      <w:tr>
        <w:trPr>
          <w:trHeight w:val="27"/>
        </w:trPr>
        <w:tc>
          <w:tcPr>
            <w:tcW w:w="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4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 – 12 years</w:t>
            </w:r>
          </w:p>
        </w:tc>
      </w:tr>
      <w:tr>
        <w:trPr>
          <w:trHeight w:val="27"/>
        </w:trPr>
        <w:tc>
          <w:tcPr>
            <w:tcW w:w="140" w:type="dxa"/>
            <w:vAlign w:val="bottom"/>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in a business combination. 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Goodwill impairment is evaluated using a two-step process. The first step of the goodwill impairment test involves a comparison of the fair value of each of our reporting units with their carrying values. We have the option to assess qualitative factors to determine if it is necessary to perform the first step of the impairment test. If it is not more-likely-than-not that the fair value of a reporting unit is less than its carrying value, further testing is not required.</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fair value of a reporting unit is less than the recorded book value of the reporting unit’s net assets (including goodwill), then a hypothetical purchase price allocation is performed on the reporting unit’s assets and liabilities using the fair value of the reporting unit as the purchase price in the calculation. If the implied fair value of goodwill is less than the recorded amount of goodwill, the recorded goodwill is written down to the new amount.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intangible assets, excluding goodwill, are acquired technology, licenses, patents, customer relationships and other identifiable intangible assets. Intangible assets are amortized on a straight-line basis over their estimated economic lives generally ranging from two to 20 years, except for intangible assets with indefinite lives, which are not amortized.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initially record our long-lived assets at cost, and review on a regular basis to determine whether any events or changes in circumstances indicate the carrying amount of the assets may not be recoverable. Factors that might indicate a potential impairment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associated with the use of the long-lived asset. If these or other factors indicate the carrying amount of the asset may not be recoverable, we determine whether an impairment has occurred through analysis of undiscounted cash flow of the asset at the lowest level that has an identifiable cash flow. If an impairment has occurred, we recognize a loss for the difference between the carrying amount and the fair value of the asset. We estimate the fair value of the asset using market prices when available or, in the absence of market prices, based on an estimate of discounted cash flows or replacement cost. Cash flows are generally discounted using an interest rate commensurate with a weighted average cost of capital for a similar asset.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Environmental expenditures that relate to the remediation of an existing condition caused by past operations and that do not contribute to future revenues are expensed. Liabilities for these expenditures are recorded when it is probable that obligations have been incurred and costs can be reasonably estimated. Estimates are based on available facts and technology, enacted laws and regulations and our prior experience in remediation of contaminated sites.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record derivative instruments on the balance sheet at their fair value as either assets or liabilities. Changes in the fair value of derivatives are recorded each period in current earnings or other comprehensive income (loss), depending on whether the derivative is designated as part of a hedge relationship, and if so, the type of hedge.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in Accumulated Other Comprehensive Loss, a component of shareholders’ equity.</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For our subsidiaries that have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All revenues and expenses are translated into the functional currency at average exchange rates. Remeasurement gains and losses for these subsidiaries are recognized in our results of operations during the period incurred. We had net foreign currency losses, net of gains and losses on foreign currency derivatives (See “Note 15 – Derivative Instruments”), but excluding charges relating to the Venezuelan </w:t>
      </w:r>
      <w:r>
        <w:rPr>
          <w:rFonts w:ascii="Arial" w:cs="Arial" w:eastAsia="Arial" w:hAnsi="Arial"/>
          <w:sz w:val="16"/>
          <w:szCs w:val="16"/>
          <w:i w:val="1"/>
          <w:iCs w:val="1"/>
          <w:color w:val="auto"/>
        </w:rPr>
        <w:t>bolivar fuertes</w:t>
      </w:r>
      <w:r>
        <w:rPr>
          <w:rFonts w:ascii="Arial" w:cs="Arial" w:eastAsia="Arial" w:hAnsi="Arial"/>
          <w:sz w:val="16"/>
          <w:szCs w:val="16"/>
          <w:color w:val="auto"/>
        </w:rPr>
        <w:t xml:space="preserve"> (“bolivar”), the Angolan kwanza, Argentinian peso, Egyptian pound and Kazakhstani tenge as described under the caption </w:t>
      </w:r>
      <w:r>
        <w:rPr>
          <w:rFonts w:ascii="Arial" w:cs="Arial" w:eastAsia="Arial" w:hAnsi="Arial"/>
          <w:sz w:val="16"/>
          <w:szCs w:val="16"/>
          <w:i w:val="1"/>
          <w:iCs w:val="1"/>
          <w:color w:val="auto"/>
        </w:rPr>
        <w:t>“Currency Devaluation and Related Charges,”</w:t>
      </w:r>
      <w:r>
        <w:rPr>
          <w:rFonts w:ascii="Arial" w:cs="Arial" w:eastAsia="Arial" w:hAnsi="Arial"/>
          <w:sz w:val="16"/>
          <w:szCs w:val="16"/>
          <w:color w:val="auto"/>
        </w:rPr>
        <w:t xml:space="preserve"> of $9 million, $53 million and $18 million in 2016, 2015 and 2014, respectively, which are included in “Other Income (Expense), Net” on the accompanying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and Related Charges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In 2016, currency devaluation charges include charges related to the Angolan kwanza of $31 million and the Egyptian pound of $10 million. In 2015, currency devaluations charges of $85 million include charges related to the Angolan kwanza of $39 million, the Venezuelan bolivar of $26 million, the Argentina peso of $11 million and Kazakhstani tenge of $9 million. In 2014, currency charges include $245 million related to the Venezuelan bolivar. The charges were related to our adoption of the SICAD II exchange rate provided by Venezuela’s Supplementary Foreign Currency Administration System approximately of 50 Venezuelan bolivars per U.S. dollar. See “Note 4 – Supplementary Information” for additional information related to currency devaluation charges.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2016 our net monetary asset position denominated in Angolan kwanza was approximately $116 million. The net monetary positions denominated in Venezuelan bolivar, Argentine peso and Kazakhstani tenge were not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all share-based payment awards, including shares issued under employee stock purchase plans, stock options,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when all of the following criteria have been met: (1) evidence of an arrangement exists; (2) delivery to and acceptance by the customer has occurred; (3) the price to the customer is fixed or determinable; and (4) collectability is reasonably assured.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services and products are generally sold based upon purchase orders, contracts or other persuasive evidence of an arrangement with our customers that include fixed or determinable prices but do not generally include right of return provisions or other significant post-delivery obligations. Our products are produced in a standard manufacturing operation, even if produced to our customer’s specifications. Revenue is recognized for products upon delivery and when the customers assume the risks and rewards of ownership. Revenue is recognized for services when they are rendered. Both contract drilling and pipeline service revenue is contractual by nature and generally governed by day-rate based contracts. We recognize revenue for day-rate contracts as the services are rendered.</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Up-front payments for preparation and mobilization of equipment and personnel in connection with new drilling contracts are deferred along with any related incremental costs incurred directly related to preparation and mobilization. The deferred revenue and costs are recognized over the primary contract term using the straight-line method. Costs of relocating equipment without contracts are expensed as incurred. Demobilization fees received are recognized, along with any related expenses, upon completion of contracts.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Percentage-of-Completion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certain long-term construction type contracts is reported based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08" w:lineRule="exact"/>
        <w:rPr>
          <w:sz w:val="20"/>
          <w:szCs w:val="20"/>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order amounts or claims included in revenue.</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Measurements of progress are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We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customer activity levels and budgeting constraints, labor and community disruptions, timely availability of materials, productivity and other factors.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Unvested share-based payment awards and other instruments issued by the Company that contain non-forfeitable rights to dividends or dividend equivalents, whether paid or unpaid, are participating securities and are included in the computation of earnings per share following the two-class method. Accordingly, we include our restricted share awards (“RSA”) and the outstanding warrant, which contain the right to receive dividends, in the computation of both basic and diluted earnings per share when diluted.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8"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2015, the Financial Accounting Standards Board (“FASB”) issued ASU 2015-03, </w:t>
      </w:r>
      <w:r>
        <w:rPr>
          <w:rFonts w:ascii="Arial" w:cs="Arial" w:eastAsia="Arial" w:hAnsi="Arial"/>
          <w:sz w:val="18"/>
          <w:szCs w:val="18"/>
          <w:i w:val="1"/>
          <w:iCs w:val="1"/>
          <w:color w:val="auto"/>
        </w:rPr>
        <w:t>Interest - Imputation of Interest (Subtopic 835-30): 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Debt Issuance Costs</w:t>
      </w:r>
      <w:r>
        <w:rPr>
          <w:rFonts w:ascii="Arial" w:cs="Arial" w:eastAsia="Arial" w:hAnsi="Arial"/>
          <w:sz w:val="18"/>
          <w:szCs w:val="18"/>
          <w:color w:val="auto"/>
        </w:rPr>
        <w:t>, which requires that debt issuance costs related to a recognized debt liability be presented in the balance sheet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 deduction from the carrying amount of that debt liability. We adopted ASU 2015-03 in the first quarter of 2016 retrospectively, which reduced Long-term debt and Other non-current assets by $27 million as of December 31, 2015.</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2015, the FASB issued ASU 2015-17</w:t>
      </w:r>
      <w:r>
        <w:rPr>
          <w:rFonts w:ascii="Arial" w:cs="Arial" w:eastAsia="Arial" w:hAnsi="Arial"/>
          <w:sz w:val="18"/>
          <w:szCs w:val="18"/>
          <w:i w:val="1"/>
          <w:iCs w:val="1"/>
          <w:color w:val="auto"/>
        </w:rPr>
        <w:t>, Income Taxes (Topic 740): Balance Sheet Classification of Deferred Taxes,</w:t>
      </w:r>
      <w:r>
        <w:rPr>
          <w:rFonts w:ascii="Arial" w:cs="Arial" w:eastAsia="Arial" w:hAnsi="Arial"/>
          <w:sz w:val="18"/>
          <w:szCs w:val="18"/>
          <w:color w:val="auto"/>
        </w:rPr>
        <w:t xml:space="preserve"> which eliminates the current requirement to present deferred tax liabilities and assets as current and noncurrent in a classified balance sheet. We adopted ASU 2015-17 in the fourth quarter of 2016 and have reclassified net current deferred tax assets of $257 million and net current deferred tax liabilities of $33 million into non-current deferred tax asset and liabilities. We adopted ASC 2015-17 prospectively and no prior periods have been restated to conform to the new presentation. The adoption has no effect on net income or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The intra-entity exception is being eliminated under the ASU. The standard is required to be applied on a modified retrospective basis and will be effective beginning with the first quarter of 2018. Early adoption is permitted, and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ASU 2016-15 provides guidance on the cash flow reporting of certain issues that were either unclear or not addressed under existing U.S. GAAP. The standard requires the retrospective transition method to each period presented and will be effective beginning with the first quarter of 2018, although early adoption is permitted. We are evaluating the impact that ASC 2016-15 will have on our Consolidated Statements of Cash Flows.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the FASB issued ASU 2016-13</w:t>
      </w:r>
      <w:r>
        <w:rPr>
          <w:rFonts w:ascii="Arial" w:cs="Arial" w:eastAsia="Arial" w:hAnsi="Arial"/>
          <w:sz w:val="17"/>
          <w:szCs w:val="17"/>
          <w:i w:val="1"/>
          <w:iCs w:val="1"/>
          <w:color w:val="auto"/>
        </w:rPr>
        <w:t>, 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financial assets measured at amortized cost basis to be presented at the net amount expected to be collected. The new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applies to trade receivables and requires expected credit losses to be based on past events, current conditions and reasonable and supportable forecasts that affect the instrument’s collectability. The new standard will be effective for us beginning with the first quarter of 2020. Early adoption is permitted in 2019. We are evaluating the impact that this new standard will have on our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impacts certain aspects of the accounting for share-based payment transactions. This update provides various transition requirements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both prospective, modified retrospective and retrospective application guidance. The new standard will be effective for us beginning with the first quarter of 2017. Early adoption is permitted, but it must include all amendments in the same period.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2016, the FASB issued ASU No. 2016-02, Leases (Topic 842), which requires a lessee to recognize a lease asset and lease liability for most leases, including those classified as operating leases under existing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ASU 2016-02,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5" w:name="page66"/>
    <w:bookmarkEnd w:id="65"/>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with the first quarter of 2019. We do not anticipate adopting ASU 2016-02 early, which is permitted under the standard. ASU 2016-02 requires lessees and lessors to recognize and measure leases at the beginning of the earlies period presented using a modified retrospective transition method but permits certain practical expedients to be applied, which may exclude certain leases that commenced before the effective date.</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requires inventory not measured using either the last in, first out (LIFO) or the retail inventory method to be measured at the lower of cost and net realizable value. Net realizable value is the estimated selling price in the ordinary course of business, less reasonably predictable cost of completion, disposal, and transportation. The new standard will be effective for us beginning with the first quarter of 2017, and will be applied prospectively. Early adoption is permitted. We do not expect the impact of our adoption to have a material effect on our Consolidated Financial Statements.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will replace most existing revenue recognition guidance in GAAP. ASU 2014-09 will require an entity to recognize revenue to depict the transfer of promised goods or services to customers in an amount that reflects the consideration to which the entity expects to be entitled in exchange for those goods or services. ASU 2014-09 requires a five-step approach to recognizing revenue: 1) identify the contract, 2) identify performance obligations, 3) determine the transaction price, 4) allocate the transaction price, and 5) recognize revenue. Subsequent to ASU 2014-09’s issuance, Topic 606 has been affected by other FASB updates that address certain aspects or Topic 606 or revised the effective date of the accounting changes.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Under ASU 2014-09, we will revise our revenue recognition policy to require revenue recognition when control passes. This is a change from current policies, which generally require revenue recognition when delivery has occurred and risk and rewards of ownership have passed. Further, we will also begin estimating variable revenues and recognizing them sooner, whereas under current policies such variable revenues were generally not recognized until their collection was determinable. The impact of these and other changes will be to either slow the recognition of revenue in certain situations and to accelerate it in others. The expected impact is not yet determinable. The changes are not expected to have any direct impact to our cash flows.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intend to adopt ASU 2014-09 as of its effective date in the first quarter 2018. ASU 2014-09 permits two transition methods: the retrospective or the modified retrospective. The retrospective method is applied by restating all prior years whereas the modified retrospective method requires the recognition of a cumulative effect as an adjustment to opening retained earnings. Weatherford is currently evaluating the transition method it will select, but will likely utilize the modified retrospective method.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planned and commenced our implementation of ASU 2014-09. We are in the process of assessing differences from current accounting practices (gap analysis). Remaining implementation matters include completing the gap analysis, implementing appropriate technology enhancements, establishing new policies, procedures, and controls, and quantifying any adoption date adjustments.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00" w:hanging="332"/>
        <w:spacing w:after="0" w:line="503" w:lineRule="auto"/>
        <w:tabs>
          <w:tab w:leader="none" w:pos="24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acquire businesses we believe are important to our long-term strategy. Results of operations for acquisitions are included in the accompanying Consolidated Statements of Operations from the date of acquisition. The balances included in the Consolidated Balance Sheets related to current year acquisitions are based on preliminary information and are subject to change when final asset valuations are obtained and the potential for liabilities has been evaluated. The purchase price for the acquisitions is allocated to the net assets acquired based upon their estimated fair values at the date of acquisition. We did not complete any material acquisitions or divestitures during the year ended December 31, 2016 or 2015.</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2014, we acquired an additional 30% ownership interest in a joint venture in China. We paid $13 million for the incremental interest, thereby increasing our ownership interest from 45% to 75% and gaining control of the joint venture. As a result of this transaction, we adjusted our previously held equity investment to fair value, recognizing a $16 million gain, and we applied the consolidation method of accounting, recognizing $6 million of goodwill and $30 million of cash.</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2012, we acquired a company that designs and produces well completion tools. Our purchase consideration included a contingent consideration valued at approximately $17 million that we paid at settlement during the fourth quarter of 2016. This contingent consideration arrangement is dependent on the acquired company’s revenue and is marked to market through current earnings in each reporting period prior to settlement. The liability is valued using Level 3 inputs.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2014, we completed the sale of our engineered chemistry and Integrity drilling fluids businesses for proceeds totaling $750 million less estimated working capital adjustments of $16 million and transaction fees of $12 million and recognized a gain of $250 million. In addition, we disposed of all of our shares in Proserv Group Inc. (“Proserv”) and recognized a gain of $65 million resulting from this transaction.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before income taxes related to our engineered chemistry and Integrity drilling fluids businesses of $57 million in 2014 were segregated from our Consolidated Financial Statements. The major classes of assets sold in this transaction included $48 million of accounts receivable, $99 million of inventory and $369 million of other assets primarily comprised of PP&amp;E and other intangible assets. Liabilities of $44 million were also transferred in the sale, of which $32 million were current liabilities.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completed the sale of our pipeline and specialty services business. We received cash consideration of $246 million ($245 million, net of cash disposed) and recognized a gain of approximately $49 million resulting from this transaction.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2014, we completed the sale of our land drilling and workover rig operations in Russia and Venezuela. We received cash consideration upon closing of $499 million ($486 million, net of cash disposed). As a result of our commitment to sell, we recorded a $143 million long-lived assets impairment loss and a $121 million goodwill impairment loss in the second quarter of 2014. Of the $121 million goodwill impairment loss, $95 million pertained to goodwill attributable to our divested land drilling and workover rig operations in Russia. See “Note 9 – Goodwill” for additional information regarding the goodwill impairment.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7, 2013, we completed the sale of our 38.5% equity interest in Borets International Limited (“Borets”) for $400 million, net of settlement items. We recorded a gain on sale of $18 million. The consideration consisted of $359 million in cash and a three-year $30 million promissory note. In the fourth quarter of 2016, we received the principal and interest due on the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response to continuing fluctuation of crude oil prices and lower levels of exploration and production spending in 2016, we initiated an additional plan to reduce our overall costs and workforce to better align with anticipated activity levels. This cost reduction plan (the “2016 Plan”) included a workforce reduction and other cost reduction measures initiated across our geographic regions.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 Plan, we recognized restructuring charges of $280 million in 2016, which include severance benefits of $196 million, restructuring related asset charges of $40 million and other restructuring charges of $44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fourth quarter of 2014, we announced a cost reduction plan (the “2015 Plan”), which included a worldwide workforce reduction and other cost reduction measures. In connection with the 2015 Plan, we recognized restructuring charges of $232 million in 2015 and $58 million in 2014. Our restructuring charges during 2015 in connection with the 2015 Plan include severance benefits of $149 million, restructuring related asset charges of $64 million and other restructuring charges of $19 million. Restructuring related asset charges include asset write-offs of $26 million related to Yemen due to the political disruption and $38 million in other regions. Other restructuring charges include exit costs, contract termination costs, relocation costs and other associated costs. Our restructuring charges during 2014 in connection with the 2015 Plan include severance benefits of $58 million.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2014, we announced a cost reduction plan (the “2014 Plan”), which included a worldwide workforce reduction and other cost reduction measures. In connection with the 2014 Plan, we recognized restructuring charges of $273 million in 2014. The restructuring charges in connection with the 2014 Plan include restructuring related asset charges of $135 million, severance benefits of $114 million and other restructuring charges of $24 million. Other restructuring charges include contract termination costs, relocation and other associated costs.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connection with the 2014 Plan primarily pertain to operations in our Middle East/North Africa (“MENA”) region, where geopolitical issues and recent disruptions in North Africa, primarily Libya, resulted in the decisions in the third quarter of 2014 to exit product lines in selected markets. The 2014 Plan activities resulted in $106 million of cash payments in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the restructuring charges by segment and plan for the years ended December 31, 2016, 2015 and 2014.</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0"/>
              </w:rPr>
              <w:t>Year Ended December 31, 2016</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80" w:type="dxa"/>
            <w:vAlign w:val="bottom"/>
          </w:tcPr>
          <w:p>
            <w:pPr>
              <w:spacing w:after="0"/>
              <w:rPr>
                <w:sz w:val="23"/>
                <w:szCs w:val="23"/>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66</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Year Ended December 31, 2015</w:t>
            </w:r>
          </w:p>
        </w:tc>
        <w:tc>
          <w:tcPr>
            <w:tcW w:w="156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Year Ended December 31, 2014</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1420" w:type="dxa"/>
            <w:vAlign w:val="bottom"/>
          </w:tcPr>
          <w:p>
            <w:pPr>
              <w:ind w:left="560"/>
              <w:spacing w:after="0"/>
              <w:rPr>
                <w:sz w:val="20"/>
                <w:szCs w:val="20"/>
                <w:color w:val="auto"/>
              </w:rPr>
            </w:pPr>
            <w:r>
              <w:rPr>
                <w:rFonts w:ascii="Arial" w:cs="Arial" w:eastAsia="Arial" w:hAnsi="Arial"/>
                <w:sz w:val="18"/>
                <w:szCs w:val="18"/>
                <w:b w:val="1"/>
                <w:bCs w:val="1"/>
                <w:color w:val="auto"/>
                <w:w w:val="93"/>
              </w:rPr>
              <w:t>Severance</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ind w:left="62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2014 Plan Total</w:t>
            </w:r>
          </w:p>
        </w:tc>
        <w:tc>
          <w:tcPr>
            <w:tcW w:w="1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360" w:type="dxa"/>
            <w:vAlign w:val="bottom"/>
          </w:tcPr>
          <w:p>
            <w:pPr>
              <w:ind w:left="160"/>
              <w:spacing w:after="0"/>
              <w:rPr>
                <w:sz w:val="20"/>
                <w:szCs w:val="20"/>
                <w:color w:val="auto"/>
              </w:rPr>
            </w:pPr>
            <w:r>
              <w:rPr>
                <w:rFonts w:ascii="Arial" w:cs="Arial" w:eastAsia="Arial" w:hAnsi="Arial"/>
                <w:sz w:val="18"/>
                <w:szCs w:val="18"/>
                <w:color w:val="auto"/>
              </w:rPr>
              <w:t>2015 Plan Total</w:t>
            </w:r>
          </w:p>
        </w:tc>
        <w:tc>
          <w:tcPr>
            <w:tcW w:w="1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378" w:right="4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the severance accrued as part of the 2014 Plan and 2015 Plan that will be paid pursuant to the respective arrangements and statutory requirements.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At December 31, 2016</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2016 Plan</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2015 and 2014 Plans</w:t>
            </w:r>
          </w:p>
        </w:tc>
        <w:tc>
          <w:tcPr>
            <w:tcW w:w="320" w:type="dxa"/>
            <w:vAlign w:val="bottom"/>
          </w:tcPr>
          <w:p>
            <w:pPr>
              <w:spacing w:after="0"/>
              <w:rPr>
                <w:sz w:val="20"/>
                <w:szCs w:val="20"/>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40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23"/>
                <w:szCs w:val="23"/>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Liability</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40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Liability</w:t>
            </w:r>
          </w:p>
        </w:tc>
        <w:tc>
          <w:tcPr>
            <w:tcW w:w="3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3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Corporate and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30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accrual activity for the year ended December 31, 2016.</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 2016</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3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2015 and 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ind w:left="1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interest and income taxes was as follows:</w:t>
      </w:r>
    </w:p>
    <w:p>
      <w:pPr>
        <w:spacing w:after="0" w:line="16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4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4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capitalized interest</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taxes paid, net of refunds</w:t>
            </w:r>
          </w:p>
        </w:tc>
        <w:tc>
          <w:tcPr>
            <w:tcW w:w="2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w:t>
            </w: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2016, currency devaluation charges reflect the impact of the devaluation of $41 million related to the Angolan kwanza and Egyptian pound. Currency devaluation charges are included in “Currency Devaluation Charges” on the accompanying Consolidated Statements of Operations.</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2015, currency devaluation charges reflect the impacts of the devaluation of the Angolan kwanza and Argentine peso and the recognized remeasurement charges related to the Venezuelan bolivar and the Kazakhstani tenge resulting in a $85 million pre-tax charge of which $43 million negatively impacted cash. The Angolan kwanza charges reflect currency devaluations in 2015 and the Kazakhstan tenge depreciated as a result of the National Bank of Kazakhstan abandoning its peg of the tenge to the U.S. dollar. The devaluation of the Argentine peso was due to the modifying of currency control restrictions on purchasing foreign currencies by the Argentine Central Bank. The Venezuelan bolivar charge reflects remeasurement charges when we began using the latest Venezuelan currency exchange system known as the “Marginal Currency System” or SIMADI. The SIMADI opened for trading February 12, 2015, replacing the Venezuela Supplementary Foreign Currency Administration System auction rate (“SICAD II”) mechanism. The SIMADI is intended to provide limited access to a free market rate of exchange.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2014, we remeasured our Venezuelan bolivar denominated monetary assets and liabilities (primarily cash, accounts receivables, trade payables and other current liabilities) to the SICAD II exchange rate of 50 Venezuelan bolivars per U.S. dollar resulting in a $245 million pre-tax charge of which $92 million was related to the remeasurement of cash held in Venezuelan bolivar.</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2016, 2015 and 2014 we received proceeds from the asset disposition totaling $49 million, $37 million and $59 million, respectively. In 2016, we had non-cash investing and financing activities related to capital lease of equipment of $25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Percentage-of-Completion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2016, we were break-even for our Zubair contract and cumulative estimated loss from the Iraq contracts was $532 million as of December 31, 2016. On May 26, 2016, we entered into an agreement with our customer containing the terms and conditions of the settlement on the Zubair contract. The settlement to be paid to us is a gross amount of $150 million, of which $62 million and $72 million was received in the second and third quarters of 2016, respectively. The settlement includes variation order requests, claims for extension of time, payments of remaining contract milestones and new project completion timelines that resulted in relief from the liquidated damages provisions. Of the remaining gross settlement, we collected $16 million during January 2017.</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we have no claims revenue, and our percentage-of-completion project estimate includes a cumulative $25 million in approved change orders and $16 million of back charges. Our net billings in excess of costs as of December 31, 2016 were $45 million and are shown in the “Other Current Liabilities” on the Consolidated Balance Sheet. The amounts associated with contract change orders or claims are included in revenue only when they can be reliably estimated and their realization is reasonably assured.</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2015, we recognized estimated project losses of $153 million related to our long-term early production facility construction contracts in Iraq accounted for under the percentage-of-completion method. Total estimated losses on these loss projects were $532 million at December 31, 2015. As of December 31, 2015, our percentage-of-completion project estimates include $116 million of claims revenue and $28 million of back charges. During 2015, an additional $32 million of claims revenue was included in our project estimates. Our costs in excess of billings as of December 31, 2015 were $6 million and are shown in the “Other Current Assets” on our Consolidated Balance Sheets. We also had a variety of unapproved contract change orders or claims that are not included in our revenues as of December 31, 2015. The amounts associated with these contract change orders or claims are included in revenue only when they can be reliably estimated and their realization is reasonably assured.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9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2014, we recognized estimated project losses of $72 million related to our long-term early production facility construction contracts in Iraq accounted for under the percentage-of-completion method. Total estimated losses on these projects were $379 million at December 31, 2014. As of December 31, 2014, our percentage-of-completion project estimates include $90 million of claims revenue and $24 million of back charges. Our costs in excess of billings as of December 31, 2014 were $128 million and are shown in the “Other Current Assets” on the balance sheet. We had a variety of unapproved contract change orders or claims that were not included in our revenues as of December 31, 2014. During 2014, an additional $80 million of claims revenue was included in our project estimates and $26 million of our prior claims were approved.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Factoring and Other Receivables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In 2016, we sold accounts receivables of $156 million, received cash totaling $154 million and recognized a loss of $0.7 million. In 2015, we sold accounts receivables of $78 million, received cash totaling $77 million and recognized a loss of $0.2 million. Our factoring transactions were recognized as sales, and the proceeds are included as operating cash flows in our Consolidated Statements of Cash Flows. We did not sell any accounts receivable during 2014.</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net trade receivables. The note had a three year term at a 6.5% stated interest rate. We carried the note at lower of cost or fair value and recognized a loss in the second quarter of 2016 of $84 million to adjust the note to fair value. In the fourth quarter of 2016, we sold the economic rights in the note receivable for $44 million and recognized a gain of $8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c>
          <w:tcPr>
            <w:tcW w:w="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1,585</w:t>
            </w: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r>
      <w:tr>
        <w:trPr>
          <w:trHeight w:val="237"/>
        </w:trPr>
        <w:tc>
          <w:tcPr>
            <w:tcW w:w="7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1,802</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Work in process and finished goods inventories include cost of materials, labor and manufacturing overhead. During 2016, 2015 and 2014, we recognized inventory charges, including excess and obsolete inventory charges totaling $252 million, $186 million and $113 million, respectively. These charges were largely attributable to downturn in the oil and gas industry, where certain inventory has been deemed commercially unviable or technologically obsolete considering current and future demand.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9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Long-Lived Asset Impairments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third quarter of 2016, we recognized long-lived asset impairment charges of $436 million, of which $388 million was related to product line PP&amp;E impairments and $48 million was related to the impairment of intangible assets. The PP&amp;E impairment charges were related to our MENA/Asia Pacific Pressure Pumping and North America Well Construction, Drilling Services and Secure Drilling Service product lines. These impairment charges were attributed to the following segments: $235 million in North America, $109 million in MENA/Asia Pacific, $12 million in Europe/SSA/Russia, $16 million in Latin America and $16 million in Land Drilling Rigs. The intangible asset charge is related to the Well Construction and Completions businesses with $35 million attributable to the North America segment and $13 million related the Europe/SSA/Russia segment.</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impairments were due to the prolonged downturn in the oil and gas industry, whose recovery in the third quarter was not as strong as expected and whose recovery in the fourth quarter of 2016 and in 2017 was and is expected to be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See “Note 14 – Fair Value of Financial Instruments, Assets and Equity Investments” for additional information regarding the fair value determination used in the impairment calculation.</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recognized total long-lived impairment charges of $638 million in 2015 due to the continued weakness in crude oil prices contributing to lower exploration and production spending and a decline in the utilization of our assets. The decline in oil prices and its impact on demand represented a significant adverse change in the business climate and an indication that these long-lived assets may not be recoverable. Based on the presence of impairment indicators, we performed an analysis of these asset groups and recorded long-lived asset impairment charges to adjust the assets to fair value.</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2015, we recognized long-lived asset impairment charges of $124 million for pressure pumping assets in our North America segment, $259 million for equipment in our drilling tools, pressure pumping and wireline assets in our North America segment and $255 million related to assets for our Land Drilling Rigs segment. The fair value of our drilling tools, pressure pumping, and wireline assets were estimated using a combination of the income approach, the cost approach, and the market approach. See “Note 14 – Fair Value of Financial Instruments, Assets and Equity Investments” for additional information regarding the fair value determination.</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fourth quarter of 2014, a significant decline in crude oil prices contributed to lower anticipated exploration and production spending and a decline in the anticipated utilization of our drilling rig fleet. Based on the impairment indicators noted we performed an analysis of our drilling rig fleet and recorded long-lived asset impairment charges of $352 million to adjust the assets of our Land Drilling Rig business to fair value. The impairment charges included the impairment of our drilling rigs and certain related intangible assets. To determine the fair value of these assets we utilized an income approach.</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2014, we completed the sale of our rig operations in Russia and Venezuela. We expected the sale would significantly impact the revenues and results of operations of our Russia reporting unit. As a result of our commitment to sell, we recorded a $143 million long-lived assets impairment charge during the second quarter of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and 2015, our annual goodwill impairment test indicated that goodwill was not impaired. In 2014, our annual goodwill impairment test indicated that the goodwill of the Land Drilling Rigs reporting units in Latin America, Europe and Asia Pacific was impaired. The results of our “step-one” analysis were accompanied by other indicators in the form of a decline in the anticipated utilization rates for our drilling rig fleet. Responsive to the impairment indicators noted, we performed a “step two” analysis, comparing the implied fair value of reporting unit goodwill with the carrying amount of that goodwill. The “step two” analysis indicated that the goodwill for these reporting units was fully impaired and we recognized an impairment loss of $40 million related to Land Drilling Rigs segment in Latin America, Europe and Asia Pacific.</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during the second quarter of 2014, we engaged in negotiations to sell our land drilling and workover operations in Russia and Venezuela, and we subsequently entered into an agreement to sell the business in July 2014. During this time frame we expected the sale would significantly impact the revenues and results of operations of our Russia reporting unit, and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 any necessary impairment loss. The analysis indicated that the goodwill for the Russia reporting unit was impaired, and we recognized a goodwill impairment loss of $121 million, $95 million of which pertained to goodwill that had been reclassified during 2014 into current assets held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9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sale. See “Note 2 – Business Combinations and Divestitures” for additional information regarding the non-cash impairment charges to our assets held for sale.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the carrying amount of goodwill by reportable segment for the two years ended December 31, 2016 and 2015,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Europe/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North</w:t>
            </w:r>
          </w:p>
        </w:tc>
        <w:tc>
          <w:tcPr>
            <w:tcW w:w="28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MENA/</w:t>
            </w:r>
          </w:p>
        </w:tc>
        <w:tc>
          <w:tcPr>
            <w:tcW w:w="3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SSA/</w:t>
            </w:r>
          </w:p>
        </w:tc>
        <w:tc>
          <w:tcPr>
            <w:tcW w:w="32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Latin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America</w:t>
            </w:r>
          </w:p>
        </w:tc>
        <w:tc>
          <w:tcPr>
            <w:tcW w:w="2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Asia Pacific</w:t>
            </w:r>
          </w:p>
        </w:tc>
        <w:tc>
          <w:tcPr>
            <w:tcW w:w="340" w:type="dxa"/>
            <w:vAlign w:val="bottom"/>
          </w:tcPr>
          <w:p>
            <w:pPr>
              <w:spacing w:after="0"/>
              <w:rPr>
                <w:sz w:val="20"/>
                <w:szCs w:val="20"/>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Russia</w:t>
            </w:r>
          </w:p>
        </w:tc>
        <w:tc>
          <w:tcPr>
            <w:tcW w:w="32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America</w:t>
            </w:r>
          </w:p>
        </w:tc>
        <w:tc>
          <w:tcPr>
            <w:tcW w:w="4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price and other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1,777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31, 2016</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3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w:t>
            </w:r>
          </w:p>
        </w:tc>
      </w:tr>
      <w:tr>
        <w:trPr>
          <w:trHeight w:val="270"/>
        </w:trPr>
        <w:tc>
          <w:tcPr>
            <w:tcW w:w="3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23"/>
                <w:szCs w:val="23"/>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Intangible</w:t>
            </w: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23"/>
                <w:szCs w:val="23"/>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23"/>
                <w:szCs w:val="23"/>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Intangible</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3"/>
                <w:szCs w:val="23"/>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3"/>
                <w:szCs w:val="23"/>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c>
          <w:tcPr>
            <w:tcW w:w="20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3"/>
                <w:szCs w:val="23"/>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23"/>
                <w:szCs w:val="23"/>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Assets</w:t>
            </w:r>
          </w:p>
        </w:tc>
      </w:tr>
      <w:tr>
        <w:trPr>
          <w:trHeight w:val="27"/>
        </w:trPr>
        <w:tc>
          <w:tcPr>
            <w:tcW w:w="3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Licenses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Customer relationships and contracts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34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Additions to intangible assets were $11 million and $26 million for the years ended December 31, 2016 and 2015, respectively. During 2016, we recognized $48 million of license and patent impairment charges related to the Well Construction and Completions businesses.</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Amortization expense was $60 million, $88 million and $108 million for the years ended December 31, 2016, 2015 and 2014, respectively. Future estimated amortization expense for the carrying amount of intangible assets as of December 31, 2016 is expected to be as follows (dollars in millions):</w:t>
      </w:r>
    </w:p>
    <w:p>
      <w:pPr>
        <w:spacing w:after="0" w:line="89"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2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2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5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2018</w:t>
            </w:r>
          </w:p>
        </w:tc>
        <w:tc>
          <w:tcPr>
            <w:tcW w:w="2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4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Investments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equity investments in unconsolidated affiliates were $66 million and $76 million for the years ended December 31, 2016 and 2015, respectively. Equity in earnings of unconsolidated affiliates for the years ended December 31, 2016, 2015 and 2014 totaled $2 million, $3 million and $9 million, respectively.</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9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2015, we determined that the fair values of certain equity investments were significantly below their carrying values. We assessed these declines in value to be other than temporary and recognized an impairment loss of $25 million. See “Note 14 – Fair Value of Financial Instruments, Assets and Equity Investments” for additional information regarding the fair value determination. During 2014, we sold our interests in Proserv, resulting in a gain on the sale of $65 million.</w:t>
      </w:r>
    </w:p>
    <w:p>
      <w:pPr>
        <w:spacing w:after="0" w:line="18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and Other Debt Obligations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short-term borrowings and current portion of long-term debt consists of the followings:</w:t>
      </w:r>
    </w:p>
    <w:p>
      <w:pPr>
        <w:spacing w:after="0" w:line="16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34290</wp:posOffset>
            </wp:positionV>
            <wp:extent cx="17665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8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214</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1,181</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177</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401</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1,582</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640" w:type="dxa"/>
            <w:vAlign w:val="bottom"/>
          </w:tcPr>
          <w:p>
            <w:pPr>
              <w:ind w:left="40"/>
              <w:spacing w:after="0"/>
              <w:rPr>
                <w:sz w:val="20"/>
                <w:szCs w:val="20"/>
                <w:color w:val="auto"/>
              </w:rPr>
            </w:pPr>
            <w:r>
              <w:rPr>
                <w:rFonts w:ascii="Arial" w:cs="Arial" w:eastAsia="Arial" w:hAnsi="Arial"/>
                <w:sz w:val="18"/>
                <w:szCs w:val="18"/>
                <w:color w:val="auto"/>
              </w:rPr>
              <w:t>Weighted average interest rate on short-term borrowings outstanding at end of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 revolving credit facility (the “Revolving Credit Agreement”) in the amount of $1.38 billion and a $425 million secured term loan agreement (the “Term Loan Agreement” and collectively with the Revolving Credit Agreement, the “Credit Agreements”). For lenders that extended their commitments (“extending lenders”), the Revolving Credit Agreement matures in July of 2019. For lenders that did not extend their commitments (such lenders, representing $229 million, the “non-extending lenders”), the Revolving Credit Agreement matures in July of 2017. The Term Loan Agreement matures on July of 2020, and beginning September 30, 2016, a principal repayment of $12.5 million is required on the last day of each quarter. At December 31, 2016, we had $1.3 billion available for borrowing under our Revolving Credit Agreement and there were $63 million in outstanding letters of credit.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 We also incur a quarterly facility fee on the amount of the Revolving Credit Agreement. See “Note 13 – Long-term Debt”, for information related to interest rate applicable for the Term Loan Agreement.</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Eurodollar Loans. </w:t>
      </w:r>
      <w:r>
        <w:rPr>
          <w:rFonts w:ascii="Arial" w:cs="Arial" w:eastAsia="Arial" w:hAnsi="Arial"/>
          <w:sz w:val="17"/>
          <w:szCs w:val="17"/>
          <w:color w:val="auto"/>
        </w:rPr>
        <w:t>Eurodollar loans bear interest at the Eurodollar rate, which is LIBOR,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Eurodollar loans under the Revolving Credit Agreement depends on whether the lender is an extending lender or a non-extending lender. For non-extending lenders, the applicable margin under the Revolving Credit Agreement ranges from 0.75% to 1.925% depending on our credit rating, and for extending lenders under the Revolving Credit Agreement the applicable margin ranges from 1.925% to 3.7% depending on our leverage ratio.</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Alternate Base Rate Loans. </w:t>
      </w:r>
      <w:r>
        <w:rPr>
          <w:rFonts w:ascii="Arial" w:cs="Arial" w:eastAsia="Arial" w:hAnsi="Arial"/>
          <w:sz w:val="17"/>
          <w:szCs w:val="17"/>
          <w:color w:val="auto"/>
        </w:rPr>
        <w:t>Alternate base rate loans bear interest at the alternate base rate plus the applicable margin. The applicable margin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alternate base rate loans under the Revolving Credit Agreement depends on whether the lender is an extending lender or a non-extending lender. For non-extending lenders, the applicable margin under the Revolving Credit Agreement ranges from 0% to 0.925% depending on our credit rating, and for extending lenders the applicable margin under the Revolving Credit Agreement ranges from 0.925% to 2.7% depending on our leverage ratio.</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2016, the interest rate for the Revolving Credit Agreement was LIBOR plus a margin rate of 1.925%. See “Note 13 – Long-term Debt” for the interest rate details for the Term Loan Agreement. Borrowings under our Revolving Credit Agreement may be repaid from time to time without penalty. Obligations under the Term Loan Agreement are secured by substantially all of our assets. In addition, obligations under the Credit Agreements are guaranteed by a material portion of our subsidiaries.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contain covenants including, among others, the following:</w:t>
      </w:r>
    </w:p>
    <w:p>
      <w:pPr>
        <w:spacing w:after="0" w:line="63" w:lineRule="exact"/>
        <w:rPr>
          <w:sz w:val="20"/>
          <w:szCs w:val="20"/>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restriction on creating liens on our assets and the assets of our operating subsidiaries,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mergers or asset dispositions;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9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 and</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of the following financial covenants:</w:t>
      </w:r>
    </w:p>
    <w:p>
      <w:pPr>
        <w:spacing w:after="0" w:line="63"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Leverage ratio of no greater than 3.0 to 1 through December 31, 2016 and 2.5 to 1 thereafter until maturity. This ratio measures our indebtedness guaranteed by subsidiaries under the Credit Agreements and other guaranteed facilities to the trailing four quarters consolidated adjusted earnings before interest, taxes, depreciation, amortization and other specified charges (“EBITDA”);</w:t>
      </w:r>
    </w:p>
    <w:p>
      <w:pPr>
        <w:spacing w:after="0" w:line="19"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Leverage and letters of credit ratio of no greater than 4.0 to 1 on or before December 31, 2016 and 3.5 to 1 thereafter calculated as our indebtedness guaranteed by subsidiaries under the Credit Agreements and other guaranteed facilities and all letters of credit to the trailing four quarters consolidated adjusted EBITDA; and</w:t>
      </w:r>
    </w:p>
    <w:p>
      <w:pPr>
        <w:spacing w:after="0" w:line="19" w:lineRule="exact"/>
        <w:rPr>
          <w:rFonts w:ascii="Arial" w:cs="Arial" w:eastAsia="Arial" w:hAnsi="Arial"/>
          <w:sz w:val="18"/>
          <w:szCs w:val="18"/>
          <w:color w:val="auto"/>
        </w:rPr>
      </w:pPr>
    </w:p>
    <w:p>
      <w:pPr>
        <w:ind w:left="1060" w:hanging="323"/>
        <w:spacing w:after="0" w:line="277"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Asset coverage ratio of at least 4.0 to 1, which is calculated as our asset value to indebtedness guaranteed by subsidiaries under the Credit Agreements and other guaranteed facilities.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described above. As of December 31, 2016, we were in compliance with these financial covenants.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July 19, 2016, we amended these facilities to make minor changes and amendments to certain collateral provisions, negative covenants and related definitions, and to add an accordion feature to permit new and existing lenders to add up to a maximum of $250 million in additional commitments.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December 31, 2016, we had $2 million in short-term borrowings under these arrangements. In 2016, we repaid $180 million, with a LIBOR-based weighted average interest rate of 1.95%, borrowed under a credit agreement that matured in the first half of 2016. In addition, we had $450 million of letters of credit under various uncommitted facilities and $54 million of surety bonds, primarily performance bonds, issued by financial sureties against an indemnification from us at December 31, 2016.</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December 31, 2016, the current portion of long-term debt was primarily related to our 6.35% Senior Notes due 2017 and the current portion of our secured term loan and capital leases. Our 5.50% senior notes with a principal balance of $350 million were repaid in February 2016.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9, 2015, we repaid the $175 million balance of our $400 million, 364-day term loan facility with a syndicate of banks. Previously in 2014, proceeds from this 364-day term loan facility were used to refinance our prior 364-day term loan facility and had substantially similar terms and conditions to our prior 364-day term loan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9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 Our Long-term Debt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7"/>
        </w:trPr>
        <w:tc>
          <w:tcPr>
            <w:tcW w:w="7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5.50% Senior Notes due 2016</w:t>
            </w:r>
          </w:p>
        </w:tc>
        <w:tc>
          <w:tcPr>
            <w:tcW w:w="480" w:type="dxa"/>
            <w:vAlign w:val="bottom"/>
            <w:tcBorders>
              <w:bottom w:val="single" w:sz="8" w:color="BFE4FF"/>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BFE4FF"/>
            </w:tcBorders>
            <w:shd w:val="clear" w:color="auto" w:fill="BFE4FF"/>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6.35% Senior Notes due 2017</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6.00% Senior Notes due 2018</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66</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5.125% Senior Notes due 2020</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363</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768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5.875% Exchangeable Senior Notes due 2021</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1,147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7.75% Senior Notes due 2021</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739</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642</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8.25% Senior Notes due 2023</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738</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9.875% Senior Notes due 2024</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6.50% Senior Notes due 2036</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447</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6.80% Senior Notes due 2037</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7.00% Senior Notes due 2038</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456</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9.875% Senior Notes due 2039</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6.75% Senior Notes due 2040</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456</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5.95% Senior Notes due 2042</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368</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Secured Term Loan due 2020</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420</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4.82% secured borrowing</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Capital and other lease obligations</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120</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2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Senior Notes and other debt</w:t>
            </w:r>
          </w:p>
        </w:tc>
        <w:tc>
          <w:tcPr>
            <w:tcW w:w="48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7,580</w:t>
            </w:r>
          </w:p>
        </w:tc>
        <w:tc>
          <w:tcPr>
            <w:tcW w:w="76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6,253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amounts due in one year</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72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Long-term debt</w:t>
            </w:r>
          </w:p>
        </w:tc>
        <w:tc>
          <w:tcPr>
            <w:tcW w:w="480" w:type="dxa"/>
            <w:vAlign w:val="bottom"/>
            <w:tcBorders>
              <w:bottom w:val="single" w:sz="8" w:color="auto"/>
            </w:tcBorders>
            <w:shd w:val="clear" w:color="auto" w:fill="BFE4FF"/>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7,403</w:t>
            </w:r>
          </w:p>
        </w:tc>
        <w:tc>
          <w:tcPr>
            <w:tcW w:w="760" w:type="dxa"/>
            <w:vAlign w:val="bottom"/>
            <w:tcBorders>
              <w:bottom w:val="single" w:sz="8" w:color="auto"/>
            </w:tcBorders>
            <w:shd w:val="clear" w:color="auto" w:fill="BFE4FF"/>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5,852</w:t>
            </w: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accrued interest on our borrowings was $127 million and $115 million at December 31, 2016 and 2015, respectively. The following is a summary of scheduled Long-term Debt maturities by year (dollars in millions):</w:t>
      </w:r>
    </w:p>
    <w:p>
      <w:pPr>
        <w:spacing w:after="0" w:line="158"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7"/>
        </w:trPr>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4,161</w:t>
            </w:r>
          </w:p>
        </w:tc>
      </w:tr>
      <w:tr>
        <w:trPr>
          <w:trHeight w:val="27"/>
        </w:trPr>
        <w:tc>
          <w:tcPr>
            <w:tcW w:w="5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fourth quarter of 2016, our borrowings, net of repayments, under the Term Loan Agreement were $425 million. The interest rate under the Term Loan Agreement is variable and is determined by our leverage ratio as of the most recent fiscal quarter, as either (1) the one-month London Interbank Offered Rate (“LIBOR”) plus a variable margin rate ranging from 1.425% to 3.2% or (2) the alternate base rate plus the applicable margin ranging from 0.425% to 2.2%. For the year ended December 31, 2016, the interest rate for the Term Loan Agreement was LIBOR plus a margin rate of 2.3%. The Term Loan Agreement requires a principal</w:t>
      </w:r>
    </w:p>
    <w:p>
      <w:pPr>
        <w:sectPr>
          <w:pgSz w:w="11900" w:h="16838" w:orient="portrait"/>
          <w:cols w:equalWidth="0" w:num="1">
            <w:col w:w="11420"/>
          </w:cols>
          <w:pgMar w:left="240" w:top="39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39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repayment of $12.5 million on the last day of each quarter. In the third and fourth quarters of 2016, we paid down $75 million on our Term Loan Agreement.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Exchangeable Senior Notes, Senior Notes and Tender Offers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Exchangeable 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2016, we issued exchangeable notes with a par value of $1.265 billion and an interest rate of 5.875%. The notes have a conversion price of $7.74 per share and are exchangeable into a total of 163.4 million shares of the Company upon the occurrence of certain events on or after January 1, 2021. The notes mature on July 1, 2021. We have the choice to settle an exchange of the notes in any combination of cash or shares. As of December 31, 2016, the if-converted value did not exceed the principal amount of the notes.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exchange feature is reported with a carrying amount of $97 million in “Capital in Excess of Par Value” on the accompanying Consolidated Balance Sheets. The debt component of the exchangeable notes has been reported separately in “Long-term Debt” on the accompanying Consolidated Balance Sheets with a carrying value of $1.147 billion at December 31, 2016, net of remaining unamortized discount and debt issuance costs of $118 million. The discount on the debt component is being amortized over the remaining maturity of the exchangeable notes at an effective interest rate of 8.4%. During 2016, interest expense on the notes was $54 million, of which $42 million related to accrued interest and $12 million related to amortization of the discount.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18, 2016, we issued $540 million in aggregate principal amount of 9.875% notes due 2024. On June 17, 2016, we issued $750 million in aggregate principal amount of 7.75% senior notes due 2021 and $750 million in aggregate principal amount of 8.25% senior notes due 2023.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Tender Offers and Early Retirement of Senior Notes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commenced a cash tender offer on June 1, 2016 (and amended the offer on June 8, 2016 and June 10, 2016), which included an early tender option with an early settlement date of June 17, 2016 and an expiration date of June 30, 2016 with a final settlement date of July 1, 2016 to repurchase a portion of our 6.35% senior notes due 2017, 6.00% senior notes due 2018, 9.625% senior notes due 2019, and 5.125% senior notes due 2020. On June 17, 2016, we settled the early tender offers in cash in the amount of $1.972 billion, retiring an aggregate face value of senior notes tendered of $1.87 billion and accrued interest of $27 million. We recognized a cumulative loss of $78 million on these transactions in “Bond Tender Premium, Net” on the accompanying Consolidated Statements of Operations. On June 30, 2016, we accepted additional tenders of $2 million of debt, which we settled in cash on July 1, 2016.</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through a series of open market transactions, we repurchased certain of our 4.50% senior notes, 5.125% senior notes, 5.95% senior notes, 6.50% senior notes, 6.75% senior notes, 6.80% senior notes and 7.00% senior notes with a total book value of $527 million. We recognized a cumulative gain of approximately $84 million on these transactions in the line captioned “Other Income (Expense), Net” on the accompanying Consolidated Statements of Operations.</w:t>
      </w:r>
    </w:p>
    <w:p>
      <w:pPr>
        <w:spacing w:after="0" w:line="183" w:lineRule="exact"/>
        <w:rPr>
          <w:sz w:val="20"/>
          <w:szCs w:val="20"/>
          <w:color w:val="auto"/>
        </w:rPr>
      </w:pPr>
    </w:p>
    <w:p>
      <w:pPr>
        <w:ind w:left="340" w:right="5900" w:hanging="332"/>
        <w:spacing w:after="0" w:line="566" w:lineRule="auto"/>
        <w:tabs>
          <w:tab w:leader="none" w:pos="331"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Assets and Equity Investments </w:t>
      </w:r>
      <w:r>
        <w:rPr>
          <w:rFonts w:ascii="Arial" w:cs="Arial" w:eastAsia="Arial" w:hAnsi="Arial"/>
          <w:sz w:val="16"/>
          <w:szCs w:val="16"/>
          <w:b w:val="1"/>
          <w:bCs w:val="1"/>
          <w:i w:val="1"/>
          <w:iCs w:val="1"/>
          <w:color w:val="auto"/>
        </w:rPr>
        <w:t>Financial Instruments Measured and Recognized at Fair Value</w:t>
      </w:r>
    </w:p>
    <w:p>
      <w:pPr>
        <w:spacing w:after="0" w:line="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contingent consideration discussed in “Note 2 – Business Combinations and Divestitures” and our derivative instruments discussed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“Note 15 – Derivative Instruments,” we had no assets or liabilities measured and recognized at fair value on a recurring basis at December 31, 2016 and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47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6,739</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5,095</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7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7,028</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6,099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 - Impairments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of 2016, long-lived assets were impaired and written down to their estimated fair values. The Level 3 fair values of the long-lived assets were determined using either an income approach or a market approach. The unobservable inputs to the income approach included the assets’ estimated future cash flows and estimates of discount rates commensurate with the assets’ risks. The market approach considered unobservable estimates of market sales values, which in most cases was a scrap of salvage value estimate.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2016, we adjusted the note from PDVSA to its estimated fair value. The Level 3 fair value was estimated based on unobservable pricing indications.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2015, long-lived assets related to pressure pumping, drilling tools, wireline, and land drilling rigs were impaired and written down to their estimated fair values. The level 3 fair values of the long-lived assets were determined using a combination of the income approach, the cost approach and the market approach, which used inputs that included replacement costs (unobservable), physical deterioration estimates (unobservable), projections of estimated future operating cash flows (unobservable), discount rates for the applicable assets and market sales data for comparable assets. Also during 2015, an equity method investment was impaired and written down to its fair value. The equity investment level 3 fair value was determined using an income based approach utilizing estimates of future cash flow, discount rate, long-term growth rate, and marketability discount, all of which were unobservable.</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2014, long-lived assets in the rig operations in Russia and Venezuela and goodwill for the Russia reporting unit were impaired and written down to their estimated fair values. The level 3 fair value of the long-lived assets in the rig operations was determined using the market approach that considered the estimated sales price of those businesses. The goodwill level 3 fair value was determined using a combination of the income and market approaches with observable inputs that consisted of earnings multiples and unobservable inputs that included estimates of future cash flows, discount rate, long-term growth rate, and control premiums. During the fourth quarter of 2015, we impaired to the fair values of certain land drilling rigs and related intangible assets. The level 3 fair values were determined using an income approach that considered the remaining estimated cash flows of the associated assets, which were unobservable.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2016, in conjunction with the issuance of 84.5 million shares of common stock, we also issued a warrant that gives the holder the option to acquire an additional 84.5 million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change in control.</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warrant fair value is considered a Level 3 valuation and is estimated using a combination of the Black Scholes option valuation model and Monte-Carlo simulation. Inputs to these models include Weatherford’s stock price, volatility and the risk free interest rate. The valuation also considers the probabilities of future stock issuances and anticipated issuance discounts, which are considered Level 3 inputs. The fair value of the warrant was $172 million on its issuance date of November 16, 2016 and $156 million on December 31, 2016, generating an unrealized gain of $16 million. The warrant valuation would be negatively affected due to an increase in the likelihood of a future stock issuance.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w:t>
      </w:r>
    </w:p>
    <w:p>
      <w:pPr>
        <w:spacing w:after="0" w:line="187" w:lineRule="exact"/>
        <w:rPr>
          <w:sz w:val="20"/>
          <w:szCs w:val="20"/>
          <w:color w:val="auto"/>
        </w:rPr>
      </w:pPr>
    </w:p>
    <w:p>
      <w:pPr>
        <w:jc w:val="both"/>
        <w:ind w:firstLine="368"/>
        <w:spacing w:after="0" w:line="286" w:lineRule="auto"/>
        <w:rPr>
          <w:sz w:val="20"/>
          <w:szCs w:val="20"/>
          <w:color w:val="auto"/>
        </w:rPr>
      </w:pPr>
      <w:r>
        <w:rPr>
          <w:rFonts w:ascii="Arial" w:cs="Arial" w:eastAsia="Arial" w:hAnsi="Arial"/>
          <w:sz w:val="17"/>
          <w:szCs w:val="17"/>
          <w:color w:val="auto"/>
        </w:rPr>
        <w:t>As of December 31, 2016 and 2015, we had net unamortized premiums on fixed-rate debt of $7 million and $23 million, respectively, associated with fair value hedge swap terminations. These premiums are being amortized over the remaining term of the originally hedged debt as a reduction of interest expense which are included in the line captioned “Interest Expense, Net” on the accompanying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December 31, 2016 and 2015, we had net unamortized losses of $9 million and $10 million, respectively, associated with our cash flow hedge terminations.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2016 and 2015, we had outstanding foreign currency forward contracts with total notional amounts aggregating $1.6 billion and $1.7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9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foreign currency forward contracts and cross-currency swaps are not designated as hedges, and the changes in fair value of the contracts are recorded in current earnings each period in the line captioned “Other Income (Expense), Net” on the accompanying Consolidated Statements of Operations.</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3060" w:type="dxa"/>
            <w:vAlign w:val="bottom"/>
          </w:tcPr>
          <w:p>
            <w:pPr>
              <w:ind w:left="1020"/>
              <w:spacing w:after="0"/>
              <w:rPr>
                <w:sz w:val="20"/>
                <w:szCs w:val="20"/>
                <w:color w:val="auto"/>
              </w:rPr>
            </w:pPr>
            <w:r>
              <w:rPr>
                <w:rFonts w:ascii="Arial" w:cs="Arial" w:eastAsia="Arial" w:hAnsi="Arial"/>
                <w:sz w:val="18"/>
                <w:szCs w:val="18"/>
                <w:b w:val="1"/>
                <w:bCs w:val="1"/>
                <w:color w:val="auto"/>
              </w:rPr>
              <w:t>Classifications</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Other Current Liabilities</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Warrant on Weatherford Shares</w:t>
            </w:r>
          </w:p>
        </w:tc>
        <w:tc>
          <w:tcPr>
            <w:tcW w:w="82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(156)</w:t>
            </w:r>
          </w:p>
        </w:tc>
        <w:tc>
          <w:tcPr>
            <w:tcW w:w="9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Non-current Liabilities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349250</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3640" w:type="dxa"/>
            <w:vAlign w:val="bottom"/>
          </w:tcPr>
          <w:p>
            <w:pPr>
              <w:jc w:val="right"/>
              <w:ind w:right="115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040" w:type="dxa"/>
            <w:vAlign w:val="bottom"/>
            <w:tcBorders>
              <w:bottom w:val="single" w:sz="8" w:color="CCEEFF"/>
            </w:tcBorders>
            <w:gridSpan w:val="2"/>
            <w:shd w:val="clear" w:color="auto" w:fill="CCEEFF"/>
          </w:tcPr>
          <w:p>
            <w:pPr>
              <w:jc w:val="right"/>
              <w:ind w:right="1310"/>
              <w:spacing w:after="0"/>
              <w:rPr>
                <w:sz w:val="20"/>
                <w:szCs w:val="20"/>
                <w:color w:val="auto"/>
              </w:rPr>
            </w:pPr>
            <w:r>
              <w:rPr>
                <w:rFonts w:ascii="Arial" w:cs="Arial" w:eastAsia="Arial" w:hAnsi="Arial"/>
                <w:sz w:val="18"/>
                <w:szCs w:val="18"/>
                <w:color w:val="auto"/>
                <w:w w:val="94"/>
              </w:rPr>
              <w:t xml:space="preserve">(22)  </w:t>
            </w:r>
            <w:r>
              <w:rPr>
                <w:rFonts w:ascii="Arial" w:cs="Arial" w:eastAsia="Arial" w:hAnsi="Arial"/>
                <w:sz w:val="18"/>
                <w:szCs w:val="18"/>
                <w:i w:val="1"/>
                <w:iCs w:val="1"/>
                <w:color w:val="auto"/>
                <w:w w:val="94"/>
              </w:rPr>
              <w:t>Other Income (Expense), Net</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1"/>
                <w:szCs w:val="21"/>
                <w:color w:val="auto"/>
              </w:rPr>
            </w:pPr>
          </w:p>
        </w:tc>
        <w:tc>
          <w:tcPr>
            <w:tcW w:w="4040" w:type="dxa"/>
            <w:vAlign w:val="bottom"/>
            <w:gridSpan w:val="2"/>
          </w:tcPr>
          <w:p>
            <w:pPr>
              <w:jc w:val="right"/>
              <w:ind w:right="1310"/>
              <w:spacing w:after="0"/>
              <w:rPr>
                <w:sz w:val="20"/>
                <w:szCs w:val="20"/>
                <w:color w:val="auto"/>
              </w:rPr>
            </w:pPr>
            <w:r>
              <w:rPr>
                <w:rFonts w:ascii="Arial" w:cs="Arial" w:eastAsia="Arial" w:hAnsi="Arial"/>
                <w:sz w:val="18"/>
                <w:szCs w:val="18"/>
                <w:color w:val="auto"/>
                <w:w w:val="97"/>
              </w:rPr>
              <w:t xml:space="preserve">16   </w:t>
            </w:r>
            <w:r>
              <w:rPr>
                <w:rFonts w:ascii="Arial" w:cs="Arial" w:eastAsia="Arial" w:hAnsi="Arial"/>
                <w:sz w:val="18"/>
                <w:szCs w:val="18"/>
                <w:i w:val="1"/>
                <w:iCs w:val="1"/>
                <w:color w:val="auto"/>
                <w:w w:val="97"/>
              </w:rPr>
              <w:t>Other Income (Expense), Net</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on Weatherford Shares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jc w:val="right"/>
              <w:ind w:right="1310"/>
              <w:spacing w:after="0"/>
              <w:rPr>
                <w:sz w:val="20"/>
                <w:szCs w:val="20"/>
                <w:color w:val="auto"/>
              </w:rPr>
            </w:pPr>
            <w:r>
              <w:rPr>
                <w:rFonts w:ascii="Arial" w:cs="Arial" w:eastAsia="Arial" w:hAnsi="Arial"/>
                <w:sz w:val="18"/>
                <w:szCs w:val="18"/>
                <w:color w:val="auto"/>
                <w:w w:val="98"/>
              </w:rPr>
              <w:t xml:space="preserve">—   </w:t>
            </w:r>
            <w:r>
              <w:rPr>
                <w:rFonts w:ascii="Arial" w:cs="Arial" w:eastAsia="Arial" w:hAnsi="Arial"/>
                <w:sz w:val="18"/>
                <w:szCs w:val="18"/>
                <w:i w:val="1"/>
                <w:iCs w:val="1"/>
                <w:color w:val="auto"/>
                <w:w w:val="98"/>
              </w:rPr>
              <w:t>Other Income (Expense), Net</w:t>
            </w:r>
          </w:p>
        </w:tc>
      </w:tr>
      <w:tr>
        <w:trPr>
          <w:trHeight w:val="675"/>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79</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Issued and Treasury shares during the years ended December 31, 2016, 2015 and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(Shares in millions)</w:t>
            </w:r>
          </w:p>
        </w:tc>
        <w:tc>
          <w:tcPr>
            <w:tcW w:w="1600" w:type="dxa"/>
            <w:vAlign w:val="bottom"/>
            <w:gridSpan w:val="2"/>
          </w:tcPr>
          <w:p>
            <w:pPr>
              <w:ind w:left="500"/>
              <w:spacing w:after="0"/>
              <w:rPr>
                <w:sz w:val="20"/>
                <w:szCs w:val="20"/>
                <w:color w:val="auto"/>
              </w:rPr>
            </w:pPr>
            <w:r>
              <w:rPr>
                <w:rFonts w:ascii="Arial" w:cs="Arial" w:eastAsia="Arial" w:hAnsi="Arial"/>
                <w:sz w:val="18"/>
                <w:szCs w:val="18"/>
                <w:b w:val="1"/>
                <w:bCs w:val="1"/>
                <w:color w:val="auto"/>
              </w:rPr>
              <w:t>Issued</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Treasury</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Shares Associated with Redomestication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Weatherford Ireland Shares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 Issuance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we issued 115 million ordinary shares, and the amount in excess of par value of $623 million is reported in “Capital in Excess of Par Value” on the accompanying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“Capital in Excess of Par Value” on the accompanying Consolidated Balance Sheets.</w:t>
      </w:r>
    </w:p>
    <w:p>
      <w:pPr>
        <w:spacing w:after="0" w:line="170"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On November 21, 2016, we issued 84.5 million ordinary shares at a price of $5.40 per ordinary share, and a warrant to purchase 84.5 million ordinary shares on or prior to May 21, 2019 at an exercise price of $6.43 per ordinary share to a selected institutional investor. The amount in excess of par value for the ordinary shares net of warrant was $271 million and is reported in “Capital in Excess of Par Value.” At December 31, 2016, the fair value of the warrant of $156 million is classified as “Other Non-current Liabilities” on the accompanying Consolidated Balance Sheets.</w:t>
      </w:r>
    </w:p>
    <w:p>
      <w:pPr>
        <w:spacing w:after="0" w:line="17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Ireland became the new public holding company and the parent of the Weatherford group of companies, pursuant to which each registered share of Weatherford Switzerland was exchanged as consideration for the allotment of one ordinary share of Weatherford Ireland (excluding shares held by, or for the benefit of, Weatherford Switzerland or any of its subsidiaries). The Weatherford Switzerland shares were then cancelled. Weatherford Ireland issued ordinary shares with a par value of $0.001 per share. In conjunction with the redomestication, the shares held by our executive deferred compensation plan were sold and the remaining treasury shares were cancelled.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accumulated other comprehensive loss by component for the year ended December 31, 2016 and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Translation</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Defined Benefit</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Pension</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on Derivatives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39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year ended December 31, 2016, the defined benefit pension component of other comprehensive income before reclassifications relates primarily to a net actuarial gain resulting from the revaluation of the pension obligation associated with our supplemental executive retirement plan. For the year ended December 31, 2015, the defined benefit pension component of other comprehensive income before reclassifications relates primarily to a net actuarial gain resulting from the conversion of one of our international pension plans from a defined benefit plan to a defined contribution plan. In addition, other comprehensive income reflects the reclassification of our deferred loss on derivatives related to the early redemption of our senior notes.</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reclassification from the currency translation adjustment component of other comprehensive income includes $90 million from the sale of our land drilling and workover rig operations in Russia and Venezuela and pipeline and specialty service businesses. This amount was recognized in the “Gain on Sale of Businesses and Investments, Net” line in our Consolidated Statements of Operations for the year ended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6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887</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51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basic and diluted weighted average shares outstanding for the years ended December 31, 2016, 2015 and 2014, are equivalent due to the net loss attributable to shareholders. Diluted weighted average shares outstanding for the years ended December 31, 2016, 2015 and 2014, exclude potential shares for stock options, restricted shares, performance units, exchangeable notes, warrants outstanding and the Employee Stock Purchase Plan (“ESPP”) as we have net losses for those periods and their inclusion would be anti-dilutive. The following table discloses the number of anti-dilutive shares excluded:</w:t>
      </w:r>
    </w:p>
    <w:p>
      <w:pPr>
        <w:spacing w:after="0" w:line="9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42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2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2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Plans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incentive plans permit the grant of options, stock appreciation rights, RSAs, restricted share units (“RSUs”), performance share awards, performance unit awards (“PUs”), other share-based awards and cash-based awards to any employee, non-employee directors and other individual service providers or any affiliate. Compensation expense is recognized on a straight-line basis over the requisite service period for the separately vesting portion of each award.</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provisions of each award vary based on the type of award granted and are determined by the Compensation Committee of our Board of Directors. Those awards, such as stock options that are based on a specific contractual term, will be granted with a term not to exceed 10 years. Upon grant of an RSA, the recipient has the rights of a shareholder, including but not limited to the right to vote such shares and the right to receive any dividends paid on such shares, but not the right to disposition prior to vesting. Recipients of RSU awards do not have the rights of a shareholder until such date as the shares are issued or transferred to the recipient. As of December 31, 2016, approximately 25 million shares were available for grant under our incentive plans.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9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share-based compensation expense during each of the years ended December 31, 2016, 2015 and 2014:</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8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Related tax (provision) benefit</w:t>
            </w:r>
          </w:p>
        </w:tc>
        <w:tc>
          <w:tcPr>
            <w:tcW w:w="28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Stock options were granted with an exercise price equal to or greater than the fair market value of our shares as of the date of grant. We used the Black-Scholes option pricing model to determine the fair value of stock options awarded. The estimated fair value of our stock options was expensed over their vesting period, which was generally one to four years. There were no stock options granted during 2016, 2015 or 2014. The intrinsic value of stock options exercised during 2015 and 2014 was $15 million and $13 million, respectively. No stock options were exercised during 2016. All options were fully vested.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year ended December 31, 2016,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Exercise</w:t>
            </w: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Remaining</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040" w:type="dxa"/>
            <w:vAlign w:val="bottom"/>
          </w:tcPr>
          <w:p>
            <w:pPr>
              <w:spacing w:after="0"/>
              <w:rPr>
                <w:sz w:val="20"/>
                <w:szCs w:val="20"/>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20"/>
                <w:szCs w:val="20"/>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Term</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88"/>
              </w:rPr>
              <w:t>(In thousands)</w:t>
            </w: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2,503</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14.67</w:t>
            </w:r>
          </w:p>
        </w:tc>
        <w:tc>
          <w:tcPr>
            <w:tcW w:w="1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7"/>
              </w:rPr>
              <w:t>0.93 years  $</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15.32</w:t>
            </w:r>
          </w:p>
        </w:tc>
        <w:tc>
          <w:tcPr>
            <w:tcW w:w="16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and Vested at December 31, 2016</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3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12.59</w:t>
            </w:r>
          </w:p>
        </w:tc>
        <w:tc>
          <w:tcPr>
            <w:tcW w:w="162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0.91 years</w:t>
            </w:r>
          </w:p>
        </w:tc>
        <w:tc>
          <w:tcPr>
            <w:tcW w:w="14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50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ind w:left="580"/>
              <w:spacing w:after="0"/>
              <w:rPr>
                <w:sz w:val="20"/>
                <w:szCs w:val="20"/>
                <w:color w:val="auto"/>
              </w:rPr>
            </w:pPr>
            <w:r>
              <w:rPr>
                <w:rFonts w:ascii="Arial" w:cs="Arial" w:eastAsia="Arial" w:hAnsi="Arial"/>
                <w:sz w:val="18"/>
                <w:szCs w:val="18"/>
                <w:color w:val="auto"/>
              </w:rPr>
              <w:t>0.00 years</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50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Restricted Share Awards and Restricted Share Units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RSAs and RSUs vest based on continued employment, generally over a two to five-year period. The fair value of RSAs and RSUs is determined based on the closing price of our shares on the date of grant. The total fair value, less assumed forfeitures, is expensed over the vesting period. The weighted-average grant date fair value of RSAs and RSUs granted during the years ended December 31, 2016, 2015 and 2014 was $6.20, $11.94 and $18.98, respectively. The total fair value of RSAs and RSUs vested during the years ended December 31, 2016, 2015 and 2014 was $38 million, $37 million and $52 million, respectively. As of December 31, 2016, there was $83 million of unrecognized compensation expense related to unvested RSAs and RSUs, which is expected to be recognized over a weighted average period of two years. A summary of RSA and RSU activity for the year ended December 31, 2016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Date</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49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RSA</w:t>
            </w:r>
          </w:p>
        </w:tc>
        <w:tc>
          <w:tcPr>
            <w:tcW w:w="300" w:type="dxa"/>
            <w:vAlign w:val="bottom"/>
          </w:tcPr>
          <w:p>
            <w:pPr>
              <w:spacing w:after="0"/>
              <w:rPr>
                <w:sz w:val="20"/>
                <w:szCs w:val="20"/>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RSU</w:t>
            </w:r>
          </w:p>
        </w:tc>
        <w:tc>
          <w:tcPr>
            <w:tcW w:w="420" w:type="dxa"/>
            <w:vAlign w:val="bottom"/>
          </w:tcPr>
          <w:p>
            <w:pPr>
              <w:spacing w:after="0"/>
              <w:rPr>
                <w:sz w:val="20"/>
                <w:szCs w:val="20"/>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14.85</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8,142</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14.26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14.95</w:t>
            </w:r>
          </w:p>
        </w:tc>
        <w:tc>
          <w:tcPr>
            <w:tcW w:w="1580" w:type="dxa"/>
            <w:vAlign w:val="bottom"/>
          </w:tcPr>
          <w:p>
            <w:pPr>
              <w:jc w:val="right"/>
              <w:spacing w:after="0"/>
              <w:rPr>
                <w:sz w:val="20"/>
                <w:szCs w:val="20"/>
                <w:color w:val="auto"/>
              </w:rPr>
            </w:pPr>
            <w:r>
              <w:rPr>
                <w:rFonts w:ascii="Arial" w:cs="Arial" w:eastAsia="Arial" w:hAnsi="Arial"/>
                <w:sz w:val="18"/>
                <w:szCs w:val="18"/>
                <w:color w:val="auto"/>
              </w:rPr>
              <w:t>(1,479)</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4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17.42</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w:t>
            </w:r>
          </w:p>
        </w:tc>
        <w:tc>
          <w:tcPr>
            <w:tcW w:w="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performance units we granted in 2016 and 2015 vest over three years and the performance units we granted prior to 2014 vest at the end of a three-year period assuming continued employment and the Company’s achievement of certain market-based performance goals. Depending on the performance levels achieved in relation to the predefined targets, shares may be issued for up to 200% of the units awarded. If the established performance goals are not met, the performance units will expire unvested and no shares will be issued. The grant date fair value of the performance units we have granted was determined through use of the Monte Carlo simulation method. The assumptions used in the Monte Carlo simulation during the year ended December 31, 2016, included a risk-free rate of 0.80%, volatility of 68.0% and a zero dividend yield. The weighted-average grant date fair value of the performance units we granted during the years ended December 31, 2016, 2015 and 2014 was $5.11, $10.45 and $14.31, respectively. For the years ended December 31, 2016 and 2015, we did not issue any shares. The total fair value of shares issued in connection with performance units during the years ended December 31, 2014 was $11 million. For the year ended December 31, 2014, 541 thousand shares of stock were issued for the performance units related to the departure of certain former executive officers. As of December 31, 2016, there was $7 million of unrecognized compensation expense related to performance units, which is expected to be recognized over a weighted average period of two years.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unit activity for the year ended December 31, 2016,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 Average Grant</w:t>
            </w:r>
          </w:p>
        </w:tc>
      </w:tr>
      <w:tr>
        <w:trPr>
          <w:trHeight w:val="234"/>
        </w:trPr>
        <w:tc>
          <w:tcPr>
            <w:tcW w:w="7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Performance Units</w:t>
            </w:r>
          </w:p>
        </w:tc>
        <w:tc>
          <w:tcPr>
            <w:tcW w:w="480" w:type="dxa"/>
            <w:vAlign w:val="bottom"/>
          </w:tcPr>
          <w:p>
            <w:pPr>
              <w:spacing w:after="0"/>
              <w:rPr>
                <w:sz w:val="20"/>
                <w:szCs w:val="20"/>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Date Fair Value</w:t>
            </w: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i w:val="1"/>
                <w:iCs w:val="1"/>
                <w:color w:val="auto"/>
              </w:rPr>
              <w:t>(In thousands)</w:t>
            </w: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2,112</w:t>
            </w:r>
          </w:p>
        </w:tc>
        <w:tc>
          <w:tcPr>
            <w:tcW w:w="4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(3,037)</w:t>
            </w:r>
          </w:p>
        </w:tc>
        <w:tc>
          <w:tcPr>
            <w:tcW w:w="4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9.56</w:t>
            </w: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2016, our shareholders adopted our ESPP and approved 12 million shares to be reserved for issuance under the plan. The ESPP permits eligible employees to make payroll deductions to purchase Weatherford stock. Each offering period has a six-month duration beginning on either March 1 or September 1. Shares are purchased at 90% of the lower of the closing price for our common stock on the first or last day of the offering period. As the inaugural offering period is still in progress, no shares have been issued under the ESPP as of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Retirement and Employee Benefit Plans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defined contribution plans covering certain employees. Contribution expenses related to these plans totaled $30 million, $66 million and $79 million in 2016, 2015 and 2014, respectively. The decrease in employer contributions in 2016 compared to 2015 relates primarily to the suspension of employer matching contributions to our U.S. 401(k) savings plan and other contribution plans sponsored by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9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defined benefit pension and other post-retirement benefit plans covering certain U.S. and international employees. Plan benefits are generally based on factors such as age, compensation levels and years of service. Early in 2015, we converted one of our larger defined benefit plans to a defined contribution plan. As a result, amounts shown for 2015 are significantly lower than previous years. Net periodic benefit cost related to these plans totaled $9 million, $9 million and $18 million in 2016, 2015 and 2014, respectively. The projected benefit obligations on a consolidated basis were $205 million and $245 million as of December 31, 2016 and 2015, respectively. The decrease year over year is due primarily to a net actuarial gain associated with our supplemental executive retirement plan. The fair values of plan assets on a consolidated basis (determined primarily using Level 2 inputs) were $118 million and $121 million as of December 31, 2016 and 2015, respectively. As of December 31, 2016, the net underfunded obligation was primarily recorded within Other Non-current Liabilities with approximately $22 million recorded in Accrued Salaries and Benefits. As of December 31, 2015, the net underfunded obligation was substantially all recorded within Other Non-current Liabilities. Additionally, consolidated pre-tax amounts in accumulated other comprehensive income that have not yet been recognized as components of net periodic benefit cost were income of $3 million and loss of $38 million as of December 31, 2016 and 2015, respectively. The increase in other comprehensive income (loss) year over year is due primarily to the net actuarial gain mentioned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The weighted average assumption rates used for benefit obligations were as follows:</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42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2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4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2016</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27"/>
        </w:trPr>
        <w:tc>
          <w:tcPr>
            <w:tcW w:w="72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1.00% - 4.00%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 - 4.25%</w:t>
            </w: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1.90% - 7.50%</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 - 8.00%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2.00% - 3.50%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2.00% - 3.20%</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2016 and 2015, we made contributions and paid direct benefits of $6 million and $6 million, respectively, in connection with our defined benefit pension and other post-retirement benefit plans. In 2017, we expect to fund approximately $3 million with cash and $22 million with shares related to those plans. In addition, we expect to recognize net gains of approximately $40 million in net periodic benefit cost in conjunction with amortization associated primarily with our supplemental executive retirement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exempt from Swiss cantonal and communal tax on income derived outside Switzerland, and we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benefit from continuing operations consisted of the following:</w:t>
      </w:r>
    </w:p>
    <w:p>
      <w:pPr>
        <w:spacing w:after="0" w:line="2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(Provision) Benefit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records deferred tax assets for net operating losses and temporary differences between the book and tax basis of assets and liabilities that are expected to produce tax deductions in future periods. The ultimate realization of the deferred tax</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9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67"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Operations in the United States and other jurisdictions continue to experience losses due to the prolonged downturn in the demand for oil field services. Our expectations regarding the recovery were and are more measured due to the difficulties in obtaining pricing increases from our customers and a slower recovery in the U.S. land market. Also, the Company recorded significant long-lived asset impairments and established allowances for inventory and other assets in the third quarter of 2016. As a result of the historical and projected future losses, and limited objective positive evidence to overcome negative evidence, the Company concluded that it needed to record a valuation allowance of $526 million in the third quarter of 2016 against certain previously benefited deferred tax assets since it cannot support that it is more likely than not that the deferred tax assets will be realized. The valuation allowance primarily relates to operations in the United States.</w:t>
      </w:r>
    </w:p>
    <w:p>
      <w:pPr>
        <w:spacing w:after="0" w:line="18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difference between the income tax (provision) benefit at the Swiss federal income tax rate and the income tax (provision) benefit attributable to “Loss Before Income Taxes” for each of the three years ended December 31, 2016, 2015 and 2014 is analyzed below:</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34290</wp:posOffset>
            </wp:positionV>
            <wp:extent cx="25044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federal income tax rate at 7.83%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Tax on operating earnings subject to rates different than the Swiss federal income tax rate</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on divestitures gains subject to different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Non-cash tax expense on distribution of subsidiary earnings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93" w:lineRule="auto"/>
        <w:rPr>
          <w:sz w:val="20"/>
          <w:szCs w:val="20"/>
          <w:color w:val="auto"/>
        </w:rPr>
      </w:pPr>
      <w:r>
        <w:rPr>
          <w:rFonts w:ascii="Arial" w:cs="Arial" w:eastAsia="Arial" w:hAnsi="Arial"/>
          <w:sz w:val="16"/>
          <w:szCs w:val="16"/>
          <w:color w:val="auto"/>
        </w:rPr>
        <w:t>Our income tax provision in 2016 was $496 million on a loss before income taxes of $2.9 billion. The primary component of the tax expense relates to the Company’s conclusion that certain deferred tax assets that had previously been benefited are not more likely than not to be realized. Our results for 2016 also include charges with no significant tax benefit principally related to $436 million of long-lived asset impairments, $219 million of excess and obsolete inventory charges, $140 million of settlement agreement charges, $41 million of currency devaluation related to the Angolan kwanza, $78 million of bond tender premium, and $76 million of PDVSA note receivable net adjustment, $62 million in accounts receivable reserves and write-offs, and $114 million in pressure pumping related charges. In addition, we recorded $137 million for a non-cash tax expense related to an internal restructuring of subsidiaries.</w:t>
      </w:r>
    </w:p>
    <w:p>
      <w:pPr>
        <w:spacing w:after="0" w:line="165"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In 2015, we had a tax benefit of $145 million on a loss before income taxes of $2.1 billion. The tax benefit was favorably impacted by a U.S. loss, which included restructuring, impairment charges and a worthless stock deduction. Our results for 2015 include $255 million of Land Drilling Rig impairment charges, $232 million of restructuring charges, $116 million of litigation settlements, $153 million of legacy project losses, $85 million of currency devaluation and related losses and $25 million of equity investment impairment, all with no significant tax benefit. In addition, we recorded a tax charge of $265 million for a non-cash tax expense on distribution of subsidiary earnings.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9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7"/>
          <w:szCs w:val="17"/>
          <w:color w:val="auto"/>
        </w:rPr>
        <w:t>In 2014, we had a tax provision of $284 million on a loss before income taxes of $255 million. Our results for 2014 include a $161 million goodwill impairment charge, a $245 million loss due to the devaluation of Venezuela bolivar and $72 million of project losses related to our early production facility contracts in Iraq, all of which provided no tax benefit. In addition, we incurred a $495 million long-lived assets impairments charge, with limited tax benefit. During 2014, we also sold our land drilling and workover rig operations in Russia and Venezuela, pipeline and specialty services business, engineered chemistry, Integrity drilling fluids business and our equity investment in Proserv for a total gain of approximately $349 million.</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 For 2015, deferred tax assets and liabilities are classified as current or non-current according to the classification of the related asset or liability for financial reporting. For 2016, we adopted ASU 2015-17 and classify net deferred tax assets and liabilities as non-current.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 (liability) attributable to continuing operations were as follows:</w:t>
      </w:r>
    </w:p>
    <w:p>
      <w:pPr>
        <w:spacing w:after="0" w:line="221"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liabilities and reserves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37"/>
        </w:trPr>
        <w:tc>
          <w:tcPr>
            <w:tcW w:w="8800" w:type="dxa"/>
            <w:vAlign w:val="bottom"/>
          </w:tcPr>
          <w:p>
            <w:pPr>
              <w:ind w:left="8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Subsidiary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deferred tax asset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overall increase in the valuation allowance in 2016 is primarily attributable to the establishment of a valuation allowance against current year net operating losses (“NOLs”) and beginning-of-year deferred tax assets in the United States, Brazil, and Colombia. The valuation allowance increase for 2015 is primarily attributable to the establishment of a valuation allowance against current year NOLs and tax credits in Mexico, Venezuela, and Iraq.</w:t>
      </w:r>
    </w:p>
    <w:p>
      <w:pPr>
        <w:spacing w:after="0" w:line="3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Deferred income taxes generally have not been recognized on the cumulative undistributed earnings of our non-Swiss subsidiaries because they are considered to be indefinitely reinvested or they can be distributed on a tax free basis. Distribution of these earnings in the form of dividends or otherwise may result in a combination of income and withholding taxes payable in various countries. In 2015 the company reversed its indefinitely reinvested assertion on a portion of those earnings and recorded a non-cash tax charge of $265 million. In addition, during the third quarter of 2016 we recorded a tax charge of $137 million for a non-cash tax expense related to an internal restructuring of subsidiaries. These charges covered the tax expense on distributions of earnings made during the fourth quarter of 2016 from subsidiaries to the U.S. As of December 31, 2016, the pool of positive undistributed earnings of our non-Swiss subsidiaries that are considered indefinitely reinvested and may be subject to tax if distributed amounts to approximately $3.6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9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2016, we had approximately $4.5 billion of NOLs in various jurisdictions, $1.7 billion of which were generated by certain U.S. subsidiaries. Loss carryforwards, if not utilized, will mostly expire for U.S. subsidiaries from 2033 through 2036 and at various dates from 2017 through 2036 for non-U.S. subsidiaries. At December 31, 2016, we had $102 million of tax credit carryovers, of which $82 million is for U.S. subsidiaries. The U.S. credits primarily consists of $30 million of research and development tax credit carryforwards which expire from 2018 through 2036, and $52 million of foreign tax credit carryforwards which expire from 2017 through 2023.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100330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a prior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as a result of tax positions taken during a prior period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the current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relating to 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208</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an expense of $2 million, and a benefit of $4 million and $53 million of interest and penalty for the years ended December 31, 2016, 2015 and 2014, respectively. The amounts in the table above exclude cumulative accrued interest and penalties of $51 million, $50 million, and $58 million at December 31, 2016, 2015 and 2014, respectively, which are included in other liabilities.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approximately 90 countries where we operate. As of December 31, 2016, the following table summarizes the tax years that remain subject to examination for the major jurisdictions in which we operate: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2008 - 2016</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Mexico</w:t>
            </w:r>
          </w:p>
        </w:tc>
        <w:tc>
          <w:tcPr>
            <w:tcW w:w="5660" w:type="dxa"/>
            <w:vAlign w:val="bottom"/>
          </w:tcPr>
          <w:p>
            <w:pPr>
              <w:jc w:val="right"/>
              <w:spacing w:after="0"/>
              <w:rPr>
                <w:sz w:val="20"/>
                <w:szCs w:val="20"/>
                <w:color w:val="auto"/>
              </w:rPr>
            </w:pPr>
            <w:r>
              <w:rPr>
                <w:rFonts w:ascii="Arial" w:cs="Arial" w:eastAsia="Arial" w:hAnsi="Arial"/>
                <w:sz w:val="18"/>
                <w:szCs w:val="18"/>
                <w:color w:val="auto"/>
              </w:rPr>
              <w:t>2007 - 2016</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2013 - 2016</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5660" w:type="dxa"/>
            <w:vAlign w:val="bottom"/>
          </w:tcPr>
          <w:p>
            <w:pPr>
              <w:jc w:val="right"/>
              <w:spacing w:after="0"/>
              <w:rPr>
                <w:sz w:val="20"/>
                <w:szCs w:val="20"/>
                <w:color w:val="auto"/>
              </w:rPr>
            </w:pPr>
            <w:r>
              <w:rPr>
                <w:rFonts w:ascii="Arial" w:cs="Arial" w:eastAsia="Arial" w:hAnsi="Arial"/>
                <w:sz w:val="18"/>
                <w:szCs w:val="18"/>
                <w:color w:val="auto"/>
              </w:rPr>
              <w:t>2010 - 2016</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2010 - 2016</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Venezuela</w:t>
            </w:r>
          </w:p>
        </w:tc>
        <w:tc>
          <w:tcPr>
            <w:tcW w:w="5660" w:type="dxa"/>
            <w:vAlign w:val="bottom"/>
          </w:tcPr>
          <w:p>
            <w:pPr>
              <w:jc w:val="right"/>
              <w:spacing w:after="0"/>
              <w:rPr>
                <w:sz w:val="20"/>
                <w:szCs w:val="20"/>
                <w:color w:val="auto"/>
              </w:rPr>
            </w:pPr>
            <w:r>
              <w:rPr>
                <w:rFonts w:ascii="Arial" w:cs="Arial" w:eastAsia="Arial" w:hAnsi="Arial"/>
                <w:sz w:val="18"/>
                <w:szCs w:val="18"/>
                <w:color w:val="auto"/>
              </w:rPr>
              <w:t>2010 - 2016</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anticipate that it is reasonably possible that the amount of uncertain tax positions may decrease by up to $40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9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20" w:hanging="332"/>
        <w:spacing w:after="0" w:line="566" w:lineRule="auto"/>
        <w:tabs>
          <w:tab w:leader="none" w:pos="331"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Shareholder Litigation</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in our U.S. Securities and Exchange Commission (the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w:t>
      </w:r>
      <w:r>
        <w:rPr>
          <w:rFonts w:ascii="Arial" w:cs="Arial" w:eastAsia="Arial" w:hAnsi="Arial"/>
          <w:sz w:val="17"/>
          <w:szCs w:val="17"/>
          <w:i w:val="1"/>
          <w:iCs w:val="1"/>
          <w:color w:val="auto"/>
        </w:rPr>
        <w:t>Erste-Sparinvest KAG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Duroc-Danner, et al., </w:t>
      </w:r>
      <w:r>
        <w:rPr>
          <w:rFonts w:ascii="Arial" w:cs="Arial" w:eastAsia="Arial" w:hAnsi="Arial"/>
          <w:sz w:val="17"/>
          <w:szCs w:val="17"/>
          <w:color w:val="auto"/>
        </w:rPr>
        <w:t>No. 201420933 (Harris County, Texas) was consolidated into the Neff Case in September 2014. A motion to dismiss was granted May</w:t>
      </w:r>
      <w:r>
        <w:rPr>
          <w:rFonts w:ascii="Arial" w:cs="Arial" w:eastAsia="Arial" w:hAnsi="Arial"/>
          <w:sz w:val="17"/>
          <w:szCs w:val="17"/>
          <w:i w:val="1"/>
          <w:iCs w:val="1"/>
          <w:color w:val="auto"/>
        </w:rPr>
        <w:t xml:space="preserve"> </w:t>
      </w:r>
      <w:r>
        <w:rPr>
          <w:rFonts w:ascii="Arial" w:cs="Arial" w:eastAsia="Arial" w:hAnsi="Arial"/>
          <w:sz w:val="17"/>
          <w:szCs w:val="17"/>
          <w:color w:val="auto"/>
        </w:rPr>
        <w:t>15, 2015 and an appeal, which remains pending, was filed on June 15, 2015.</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cannot reliably predict the outcome of the appeal including the amount of any possible loss. If one or more negative outcomes were to occur relative to the </w:t>
      </w:r>
      <w:r>
        <w:rPr>
          <w:rFonts w:ascii="Arial" w:cs="Arial" w:eastAsia="Arial" w:hAnsi="Arial"/>
          <w:sz w:val="18"/>
          <w:szCs w:val="18"/>
          <w:i w:val="1"/>
          <w:iCs w:val="1"/>
          <w:color w:val="auto"/>
        </w:rPr>
        <w:t>Neff</w:t>
      </w:r>
      <w:r>
        <w:rPr>
          <w:rFonts w:ascii="Arial" w:cs="Arial" w:eastAsia="Arial" w:hAnsi="Arial"/>
          <w:sz w:val="18"/>
          <w:szCs w:val="18"/>
          <w:color w:val="auto"/>
        </w:rPr>
        <w:t xml:space="preserve"> Case, the aggregate impact to our financial condition could be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Class Action Settlement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 the U.S. District Court for the Southern District of New York entered a final judgment and an order approving the settlement.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we were required to pay $120 million, which was partially funded by insurance proceeds. There was no admission of liability or fault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the settlement. We are pursuing reimbursement from our insurance carriers and recovered $19 million of the settlement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$4 million was recovered in 2016.</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January 30, 2015, the U.S. District Court for the Southern District of New York approved the settlement of a purported shareholder securities class action captioned </w:t>
      </w:r>
      <w:r>
        <w:rPr>
          <w:rFonts w:ascii="Arial" w:cs="Arial" w:eastAsia="Arial" w:hAnsi="Arial"/>
          <w:sz w:val="17"/>
          <w:szCs w:val="17"/>
          <w:i w:val="1"/>
          <w:iCs w:val="1"/>
          <w:color w:val="auto"/>
        </w:rPr>
        <w:t>Dobina v. Weatherford International Ltd.</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1:11-cv-01646-LAK (S.D.N.Y.) for $53 million. The action named Weatherford and certain current and former officers as defendants. It alleged violation of the federal securities laws in connection with the material weakness in our internal controls over financial reporting for income taxes, and restatement of our historical financial statements announced in March 2011. The settlement was entirely funded by our insurers. There was no admission of liability or fault by any party in connection with the settlement.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Shareholder Derivative Actions Settlement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signed an amended stipulation of settlement in November 2014 to resolve two shareholder derivative actions related to the Company’s restatement of its financial statements and material weakness in internal controls over financial reporting for income taxes. On June 24, 2015, the U.S. District Court for the Southern District of New York approved the settlement and entered final judgment in one of the two cases, </w:t>
      </w:r>
      <w:r>
        <w:rPr>
          <w:rFonts w:ascii="Arial" w:cs="Arial" w:eastAsia="Arial" w:hAnsi="Arial"/>
          <w:sz w:val="17"/>
          <w:szCs w:val="17"/>
          <w:i w:val="1"/>
          <w:iCs w:val="1"/>
          <w:color w:val="auto"/>
        </w:rPr>
        <w:t>Wandel v. Duroc-Danner, et al.</w:t>
      </w:r>
      <w:r>
        <w:rPr>
          <w:rFonts w:ascii="Arial" w:cs="Arial" w:eastAsia="Arial" w:hAnsi="Arial"/>
          <w:sz w:val="17"/>
          <w:szCs w:val="17"/>
          <w:color w:val="auto"/>
        </w:rPr>
        <w:t xml:space="preserve">, No. 1:12-cv-01305-LAK. By agreement with the plaintiffs, a substantially identical shareholder derivative case, </w:t>
      </w:r>
      <w:r>
        <w:rPr>
          <w:rFonts w:ascii="Arial" w:cs="Arial" w:eastAsia="Arial" w:hAnsi="Arial"/>
          <w:sz w:val="17"/>
          <w:szCs w:val="17"/>
          <w:i w:val="1"/>
          <w:iCs w:val="1"/>
          <w:color w:val="auto"/>
        </w:rPr>
        <w:t>Iron Workers Mid-South Pension Fund v. Duroc-Danner,</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201119822, pending in Harris County, Texas, state court was voluntarily dismissed with prejudice. The two cases, purportedly brought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against certain current and former officers and directors, alleged breaches of duty related to our material weakness and restatements. The settlement included an agreed upon set of revised corporate procedures, no monetary payment by the defendants and an award of attorney’s fees and reimbursement of expenses for a total amount of $0.6 million for the plaintiff’s counsel, which we paid in July 2015. There was no admission of liability or fault by any party in connection with the settlement.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9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Internal Investigations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SEC and the U.S. Department of Justice (“DOJ”) were investigating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During the first quarter 2016, we recorded a loss contingency in the amount of $65 million, and increased it to $140 million in the second quarter to reflect our best estimate of the potential settlement. As disclosed on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and the anti-fraud, reporting, books and records, and internal controls provisions of the Securities Exchange Act of 1934, and the rules promulgated thereunder. As part of the terms of the SEC settlement, the Company agreed to pay a total civil monetary penalty of $140 million, with 50 million due within 21 days from the settlement agreement and three installments of $30 million due within 120, 240 and 360 days. In addition, certain reports and certifications must be delivered to the SEC in the following two years regarding our tax internal controls. The first installment of $50 million was paid during the fourth quarter of 2016. The second installment of $30 million was paid in January of 2017.</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2016, after a bench trial in Harris County, Texas, the court entered a judgment in favor of Spitzer Industries, Inc. (“Spitzer”) in connection with Spitzer’s fabrication work on a two mobile capture vessels used in the cleanup of marine oil spills. The Company has taken a reserve in the full amount of the judgment and has initiated an appeal of the judgment to the First Court of Appeals in Houston, Texas.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and settled during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Accrued litigation and settlements recorded in “Other Current Liabilities” on the accompanying Consolidated Balance Sheets as of December 31, 2016 and 2015 were $181 million and $53 million, respectively. The accrued litigation balance as of December 31, 2016 included the remaining SEC settlement obligation of $90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Other Contingencies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noncancellable operating leases are as follows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2018</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rent expense incurred under operating leases was approximately $324 million, $426 million and $536 million for the years ended December 31, 2016, 2015 and 2014, respectively. The future rental commitment table above does not include leases that are short-term in nature or can be cancelled with notice of less than three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9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have a contractual residual value guarantee at December 31, 2016 of $28 million in “Other Non-Current Liabilities” on the accompanying Consolidated Balance Sheets related to certain leased equipment in our North America pressure pumping business.</w:t>
      </w:r>
    </w:p>
    <w:p>
      <w:pPr>
        <w:spacing w:after="0" w:line="170"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We have supply contract related minimum purchase commitments and maintain a liability at December 31, 2016 of $155 million for expected penalties to be paid, of which $34 million is recorded in “Other Current Liabilities” and $121 million is recorded in “Other Non-Current Liabilities” on our Consolidated Balance Sheets.</w:t>
      </w:r>
    </w:p>
    <w:p>
      <w:pPr>
        <w:spacing w:after="0" w:line="177" w:lineRule="exact"/>
        <w:rPr>
          <w:sz w:val="20"/>
          <w:szCs w:val="20"/>
          <w:color w:val="auto"/>
        </w:rPr>
      </w:pPr>
    </w:p>
    <w:p>
      <w:pPr>
        <w:ind w:left="340" w:right="9500" w:hanging="332"/>
        <w:spacing w:after="0" w:line="566" w:lineRule="auto"/>
        <w:tabs>
          <w:tab w:leader="none" w:pos="286"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spacing w:after="0" w:line="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a total of five reportable segments which are North America, MENA/Asia Pacific, Europe/SSA/Russia, Latin America and Land Drilling Rigs. The operational performance of our segments is reviewed and managed primarily on a geographic basis, and we report the regional segments as separate, distinct reporting segments. In addition, our Land Drilling Rigs business, which we intend to divest, is reviewed and managed apart from our regional segments. Our corporate and other expenses that do not individually meet the criteria for segment reporting continue to be reported separately as Corporate and Research and Development. Each business reflects a reportable segment led by separate business segment management that reports directly or indirectly to our chief operating decision maker (“CODM”). Our CODM assesses performance and allocates resources on the basis of the five reportable segments.</w:t>
      </w:r>
    </w:p>
    <w:p>
      <w:pPr>
        <w:spacing w:after="0" w:line="1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information by segment is summarized below. Revenues are attributable to countries based on the ultimate destination of the sale of products or performance of services. The accounting policies of the segments are the same as those described in “Note 1 – Summary of Significant Accounting Policies”. Included in the income (loss) from operations in MENA/Asia Pacific are losses related to our long-term early production facility construction contracts in Iraq accounted for under the percentage-of-completion method as described in “Note 5 – Percentage of Completion Contracts”.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December 31, 2016</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Depreciation</w:t>
            </w:r>
          </w:p>
        </w:tc>
        <w:tc>
          <w:tcPr>
            <w:tcW w:w="180" w:type="dxa"/>
            <w:vAlign w:val="bottom"/>
          </w:tcPr>
          <w:p>
            <w:pPr>
              <w:spacing w:after="0"/>
              <w:rPr>
                <w:sz w:val="18"/>
                <w:szCs w:val="18"/>
                <w:color w:val="auto"/>
              </w:rPr>
            </w:pPr>
          </w:p>
        </w:tc>
        <w:tc>
          <w:tcPr>
            <w:tcW w:w="13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Capital</w:t>
            </w: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Operating</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from</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Operations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8"/>
              </w:rPr>
              <w:t xml:space="preserve">Long-Lived Asset Impairments, Write-Downs and Other Charges </w:t>
            </w:r>
            <w:r>
              <w:rPr>
                <w:rFonts w:ascii="Arial" w:cs="Arial" w:eastAsia="Arial" w:hAnsi="Arial"/>
                <w:sz w:val="25"/>
                <w:szCs w:val="25"/>
                <w:color w:val="auto"/>
                <w:w w:val="98"/>
                <w:vertAlign w:val="superscript"/>
              </w:rPr>
              <w:t>(a)</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$710 million related to long-lived asset impairments, asset write-downs, receivable write-offs and other charges and credits, $219 million in inventory write-downs and $114 million of pressure pumping related charges.</w:t>
      </w:r>
    </w:p>
    <w:p>
      <w:pPr>
        <w:spacing w:after="0" w:line="10"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restructuring charges of $280 million: $96 million in North America, $56 million in Latin America, $36 million in Europe/SSA/Russia, $33 million in MENA/Asia Pacific, $52 million in Corporate and Research and Development and $7 million in Land Drilling Rigs.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95"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December 31, 2015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Operating</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61"/>
        </w:trPr>
        <w:tc>
          <w:tcPr>
            <w:tcW w:w="5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6"/>
              </w:rPr>
              <w:t>Revenues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60"/>
              <w:spacing w:after="0" w:line="262" w:lineRule="exact"/>
              <w:rPr>
                <w:sz w:val="20"/>
                <w:szCs w:val="20"/>
                <w:color w:val="auto"/>
              </w:rPr>
            </w:pPr>
            <w:r>
              <w:rPr>
                <w:rFonts w:ascii="Arial" w:cs="Arial" w:eastAsia="Arial" w:hAnsi="Arial"/>
                <w:sz w:val="18"/>
                <w:szCs w:val="18"/>
                <w:b w:val="1"/>
                <w:bCs w:val="1"/>
                <w:color w:val="auto"/>
                <w:w w:val="86"/>
              </w:rPr>
              <w:t xml:space="preserve">Operations </w:t>
            </w:r>
            <w:r>
              <w:rPr>
                <w:rFonts w:ascii="Arial" w:cs="Arial" w:eastAsia="Arial" w:hAnsi="Arial"/>
                <w:sz w:val="25"/>
                <w:szCs w:val="25"/>
                <w:b w:val="1"/>
                <w:bCs w:val="1"/>
                <w:color w:val="auto"/>
                <w:w w:val="86"/>
                <w:vertAlign w:val="superscript"/>
              </w:rPr>
              <w:t>(c)</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Land Drilling Rigs</w:t>
            </w:r>
          </w:p>
        </w:tc>
        <w:tc>
          <w:tcPr>
            <w:tcW w:w="1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 Impairment and Other Related Charges </w:t>
            </w:r>
            <w:r>
              <w:rPr>
                <w:rFonts w:ascii="Arial" w:cs="Arial" w:eastAsia="Arial" w:hAnsi="Arial"/>
                <w:sz w:val="25"/>
                <w:szCs w:val="25"/>
                <w:color w:val="auto"/>
                <w:vertAlign w:val="superscript"/>
              </w:rPr>
              <w:t>(d)</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Equity Investment Impairment</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(e)</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Litigation Charges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Sale of Businesses and Investments,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53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(f)</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0"/>
        </w:trPr>
        <w:tc>
          <w:tcPr>
            <w:tcW w:w="1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hanging="330"/>
        <w:spacing w:after="0" w:line="25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inventory write-downs of $223 million attributable to the reporting segments as follows: $73 million in North America, $54 million in Latin America, $38 million in MENA/Asia Pacific, $32 million in Europe/SSA/Russia, and $26 million for Land Drilling Rigs. Also includes bad debt expense of $48 million of which $31 million was taken in the fourth quarter attributable to our reporting segments as follows: $20 million in North America, $12 million for Europe/SSA/Russia, $9 million in Latin America, and $7 million in MENA/Asia Pacific.</w:t>
      </w:r>
    </w:p>
    <w:p>
      <w:pPr>
        <w:spacing w:after="0" w:line="25"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$638 million of long-lived asset impairment charges, supply agreement charges related to a non-core business divestiture of $67 million, and pressure pumping related charges of $63 million.</w:t>
      </w:r>
    </w:p>
    <w:p>
      <w:pPr>
        <w:spacing w:after="0" w:line="10"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restructuring charges of $232 million: $52 million in North America, $56 million in MENA/Asia Pacific, $56 million in Europe/SSA/Russia, $40 million in Latin America, $12 million in Land Drilling Rigs and $16 million in Corporate and Research and Development.</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$17 million in professional and other fees, $11 million in divestiture related charges and facility closures and $24 million in other charges.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78"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31"/>
        </w:trPr>
        <w:tc>
          <w:tcPr>
            <w:tcW w:w="128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7"/>
        </w:trPr>
        <w:tc>
          <w:tcPr>
            <w:tcW w:w="12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128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128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Long-Lived Asset Impairments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(g)</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Gain on Sale of Businesses and Investments, Net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(h)</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14,911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1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restructuring charges of $331 million: $76 million in North America, $133 million in MENA/Asia Pacific, $35 million in Europe/SSA/Russia, $48 million in Latin America, $9 million in Land Drilling Rigs and $30 million in Corporate and Research and Development.</w:t>
      </w:r>
    </w:p>
    <w:p>
      <w:pPr>
        <w:spacing w:after="0" w:line="10"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professional fees of $107 million related to the divestiture of our non-core businesses, restatement related litigation, the settlement of the U.S. government investigations, and our 2014 redomestication from Switzerland to Ireland and other charges of $5 million.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by segment at December 31:</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3"/>
          </w:tcPr>
          <w:p>
            <w:pPr>
              <w:jc w:val="right"/>
              <w:ind w:right="711"/>
              <w:spacing w:after="0"/>
              <w:rPr>
                <w:sz w:val="20"/>
                <w:szCs w:val="20"/>
                <w:color w:val="auto"/>
              </w:rPr>
            </w:pPr>
            <w:r>
              <w:rPr>
                <w:rFonts w:ascii="Arial" w:cs="Arial" w:eastAsia="Arial" w:hAnsi="Arial"/>
                <w:sz w:val="18"/>
                <w:szCs w:val="18"/>
                <w:b w:val="1"/>
                <w:bCs w:val="1"/>
                <w:color w:val="auto"/>
              </w:rPr>
              <w:t>Total Assets at</w:t>
            </w:r>
          </w:p>
        </w:tc>
      </w:tr>
      <w:tr>
        <w:trPr>
          <w:trHeight w:val="234"/>
        </w:trPr>
        <w:tc>
          <w:tcPr>
            <w:tcW w:w="8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8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5,100</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2,131</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2,536</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2,151</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2,684</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444</w:t>
            </w:r>
          </w:p>
        </w:tc>
      </w:tr>
      <w:tr>
        <w:trPr>
          <w:trHeight w:val="27"/>
        </w:trPr>
        <w:tc>
          <w:tcPr>
            <w:tcW w:w="8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14,760</w:t>
            </w: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Total assets in the United States, which is part of our North America segment, were $3.3 billion and $4.4 billion as of December 31, 2016 and 2015, respectively. The remaining North America total assets balance of $608 million and $731 million, respectively as of December 31, 2016 and 2015, is related to our operations in Canada.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The composition of our consolidated revenues by product service line group is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78"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37465</wp:posOffset>
            </wp:positionV>
            <wp:extent cx="26327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gridSpan w:val="2"/>
          </w:tcPr>
          <w:p>
            <w:pPr>
              <w:ind w:left="7760"/>
              <w:spacing w:after="0"/>
              <w:rPr>
                <w:sz w:val="20"/>
                <w:szCs w:val="20"/>
                <w:color w:val="auto"/>
              </w:rPr>
            </w:pPr>
            <w:r>
              <w:rPr>
                <w:rFonts w:ascii="Arial" w:cs="Arial" w:eastAsia="Arial" w:hAnsi="Arial"/>
                <w:sz w:val="16"/>
                <w:szCs w:val="16"/>
                <w:b w:val="1"/>
                <w:bCs w:val="1"/>
                <w:color w:val="auto"/>
                <w:w w:val="89"/>
              </w:rPr>
              <w:t>2016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6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2014</w:t>
            </w:r>
          </w:p>
        </w:tc>
      </w:tr>
      <w:tr>
        <w:trPr>
          <w:trHeight w:val="33"/>
        </w:trPr>
        <w:tc>
          <w:tcPr>
            <w:tcW w:w="7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14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57%</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Completion and Production</w:t>
            </w:r>
          </w:p>
        </w:tc>
        <w:tc>
          <w:tcPr>
            <w:tcW w:w="1420" w:type="dxa"/>
            <w:vAlign w:val="bottom"/>
          </w:tcPr>
          <w:p>
            <w:pPr>
              <w:jc w:val="right"/>
              <w:ind w:right="1032"/>
              <w:spacing w:after="0"/>
              <w:rPr>
                <w:sz w:val="20"/>
                <w:szCs w:val="20"/>
                <w:color w:val="auto"/>
              </w:rPr>
            </w:pPr>
            <w:r>
              <w:rPr>
                <w:rFonts w:ascii="Arial" w:cs="Arial" w:eastAsia="Arial" w:hAnsi="Arial"/>
                <w:sz w:val="18"/>
                <w:szCs w:val="18"/>
                <w:color w:val="auto"/>
              </w:rPr>
              <w:t>36</w:t>
            </w:r>
          </w:p>
        </w:tc>
        <w:tc>
          <w:tcPr>
            <w:tcW w:w="76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8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rPr>
              <w:t>7</w:t>
            </w:r>
          </w:p>
        </w:tc>
        <w:tc>
          <w:tcPr>
            <w:tcW w:w="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color w:val="auto"/>
                <w:w w:val="91"/>
              </w:rPr>
              <w:t>100%</w:t>
            </w: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1"/>
              </w:rPr>
              <w:t>100%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Areas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geographic area is summarized below. Revenues from customers and long-lived assets in Ireland were insignificant in each of the years presented. Long-lived assets exclude goodwill and intangible assets as well as deferred tax assets of $81 million and $207 million at December 31, 2016 and 2015,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Revenues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Long-lived Assets</w:t>
            </w: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4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Middle East and North Africa</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1,513</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1,595</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1,613</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862</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93</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Consolidating Financial Statements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Weatherford Ireland, a public limited company organized under the laws of Ireland, a Swiss tax resident, and the ultimate parent of the Weatherford group, guarantees the obligations of our subsidiaries – Weatherford Bermuda and Weatherford Delaware, including the notes and credit facilities listed below.</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December 31, 2016 and 2015: (1) 6.35% senior notes and (2) 6.80% senior notes.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obligations of Weatherford Bermuda were guaranteed by Weatherford Delaware at December 31, 2016 and 2015: (1) 6.50% senior notes,</w:t>
      </w:r>
    </w:p>
    <w:p>
      <w:pPr>
        <w:spacing w:after="0" w:line="46"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6.00% senior notes, (3) 7.00% senior notes, (4) 9.625% senior notes, (5) 9.875% senior notes due 2039, (6) 5.125% senior notes, (7) 6.75% senior notes,</w:t>
      </w:r>
    </w:p>
    <w:p>
      <w:pPr>
        <w:spacing w:after="0" w:line="32" w:lineRule="exact"/>
        <w:rPr>
          <w:rFonts w:ascii="Arial" w:cs="Arial" w:eastAsia="Arial" w:hAnsi="Arial"/>
          <w:sz w:val="16"/>
          <w:szCs w:val="16"/>
          <w:color w:val="auto"/>
        </w:rPr>
      </w:pPr>
    </w:p>
    <w:p>
      <w:pPr>
        <w:ind w:firstLine="8"/>
        <w:spacing w:after="0" w:line="261" w:lineRule="auto"/>
        <w:tabs>
          <w:tab w:leader="none" w:pos="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4.50% senior notes and (9) 5.95% senior notes. At December 31, 2015, Weatherford Delaware also guaranteed the revolving credit facility and the 5.50% senior notes of Weatherford Bermuda.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obligations of Weatherford Bermuda were guaranteed by Weatherford Delaware at December 31, 2016: (1) Revolving Credit Agreement,</w:t>
      </w:r>
    </w:p>
    <w:p>
      <w:pPr>
        <w:spacing w:after="0" w:line="46" w:lineRule="exact"/>
        <w:rPr>
          <w:sz w:val="20"/>
          <w:szCs w:val="20"/>
          <w:color w:val="auto"/>
        </w:rPr>
      </w:pPr>
    </w:p>
    <w:p>
      <w:pPr>
        <w:ind w:firstLine="8"/>
        <w:spacing w:after="0" w:line="290" w:lineRule="auto"/>
        <w:tabs>
          <w:tab w:leader="none" w:pos="27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Term Loan Agreement, (3) 5.875% exchangeable senior notes, (4) 7.75% senior notes, (5) 8.25% senior notes and (6) 9.875% senior notes due 2024. Additionally, the 364-day term loan facility held by Weatherford Bermuda and guaranteed by Weatherford Delaware was repaid during 2015.</w:t>
      </w:r>
    </w:p>
    <w:p>
      <w:pPr>
        <w:spacing w:after="0" w:line="1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(7,851)</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(2,102)</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(2,403)</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(944)</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6,528</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(1,141)</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(2,450)</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(3,361)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(3,081)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(2,780)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7,286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9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(10,873)</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4,161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(1,969)</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(2,745)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(2,610)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6,126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(14,332)</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579</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(8,523)</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(8,936)</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5,811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(9,674)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3,991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9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395" w:right="25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Ireland</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Bermuda</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3,891</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4,338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2,415</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8,669</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8,301</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1,037</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(20,422)</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3,762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7,751</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16,888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2,488</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2,520</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(4,343)</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(20,384)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2,418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16,888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(24,727)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9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Ireland</w:t>
            </w:r>
          </w:p>
        </w:tc>
        <w:tc>
          <w:tcPr>
            <w:tcW w:w="28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5,146</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5,589</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5,693</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8,709</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9,187</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3,483</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(27,072)</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10,423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9,175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9,196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28,670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2,922</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1,715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2,995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4,885</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862</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5,852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410</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1,396</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12,824</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3,792</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4,304</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25,099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5,700</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8,713</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9,876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28,670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(38,199)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395"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Weatherford</w:t>
            </w:r>
          </w:p>
        </w:tc>
        <w:tc>
          <w:tcPr>
            <w:tcW w:w="26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Weatherford</w:t>
            </w:r>
          </w:p>
        </w:tc>
        <w:tc>
          <w:tcPr>
            <w:tcW w:w="240" w:type="dxa"/>
            <w:vAlign w:val="bottom"/>
          </w:tcPr>
          <w:p>
            <w:pPr>
              <w:spacing w:after="0"/>
              <w:rPr>
                <w:sz w:val="14"/>
                <w:szCs w:val="14"/>
                <w:color w:val="auto"/>
              </w:rPr>
            </w:pPr>
          </w:p>
        </w:tc>
        <w:tc>
          <w:tcPr>
            <w:tcW w:w="1100" w:type="dxa"/>
            <w:vAlign w:val="bottom"/>
          </w:tcPr>
          <w:p>
            <w:pPr>
              <w:jc w:val="right"/>
              <w:ind w:right="180"/>
              <w:spacing w:after="0"/>
              <w:rPr>
                <w:sz w:val="20"/>
                <w:szCs w:val="20"/>
                <w:color w:val="auto"/>
              </w:rPr>
            </w:pPr>
            <w:r>
              <w:rPr>
                <w:rFonts w:ascii="Arial" w:cs="Arial" w:eastAsia="Arial" w:hAnsi="Arial"/>
                <w:sz w:val="14"/>
                <w:szCs w:val="14"/>
                <w:b w:val="1"/>
                <w:bCs w:val="1"/>
                <w:color w:val="auto"/>
                <w:w w:val="99"/>
              </w:rPr>
              <w:t>Weatherford</w:t>
            </w:r>
          </w:p>
        </w:tc>
        <w:tc>
          <w:tcPr>
            <w:tcW w:w="260" w:type="dxa"/>
            <w:vAlign w:val="bottom"/>
          </w:tcPr>
          <w:p>
            <w:pPr>
              <w:spacing w:after="0"/>
              <w:rPr>
                <w:sz w:val="14"/>
                <w:szCs w:val="14"/>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Ireland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Bermuda</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Delaware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6"/>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7,011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Adjustments to Reconcile Net Income(Loss) to</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2,403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355</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1,230</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1,057</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1,095</w:t>
            </w:r>
          </w:p>
        </w:tc>
        <w:tc>
          <w:tcPr>
            <w:tcW w:w="2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(431)</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(1,106)</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Insurance Proceeds Related to Asset Casualty</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0"/>
              </w:rPr>
              <w:t>Proceeds (Payment) Related to Sale of Businesses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and Equity Investment, Net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Investing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(1,497)</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(1,095)</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370</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512</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 Common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and Warrant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1,071</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(206)</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(1,095)</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1,015</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1,297</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6"/>
              </w:rPr>
              <w:t>Effect of Exchange Rate Changes On Cash and</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584</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Beginning of Year</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9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Weatherford</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Weatherford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Weatherford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Ireland</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Bermuda</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Delaware</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Adjustments to Reconcile Net Income(Loss) to</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Proceeds (Payment) Related to Sale of Businesses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Equity Investment, Net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6"/>
              </w:rPr>
              <w:t>Effect of Exchange Rate Changes On Cash and</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Beginning of Year</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9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Weatherford</w:t>
            </w:r>
          </w:p>
        </w:tc>
        <w:tc>
          <w:tcPr>
            <w:tcW w:w="26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Weatherford</w:t>
            </w:r>
          </w:p>
        </w:tc>
        <w:tc>
          <w:tcPr>
            <w:tcW w:w="240" w:type="dxa"/>
            <w:vAlign w:val="bottom"/>
          </w:tcPr>
          <w:p>
            <w:pPr>
              <w:spacing w:after="0"/>
              <w:rPr>
                <w:sz w:val="14"/>
                <w:szCs w:val="14"/>
                <w:color w:val="auto"/>
              </w:rPr>
            </w:pPr>
          </w:p>
        </w:tc>
        <w:tc>
          <w:tcPr>
            <w:tcW w:w="1100" w:type="dxa"/>
            <w:vAlign w:val="bottom"/>
          </w:tcPr>
          <w:p>
            <w:pPr>
              <w:jc w:val="right"/>
              <w:ind w:right="180"/>
              <w:spacing w:after="0"/>
              <w:rPr>
                <w:sz w:val="20"/>
                <w:szCs w:val="20"/>
                <w:color w:val="auto"/>
              </w:rPr>
            </w:pPr>
            <w:r>
              <w:rPr>
                <w:rFonts w:ascii="Arial" w:cs="Arial" w:eastAsia="Arial" w:hAnsi="Arial"/>
                <w:sz w:val="14"/>
                <w:szCs w:val="14"/>
                <w:b w:val="1"/>
                <w:bCs w:val="1"/>
                <w:color w:val="auto"/>
                <w:w w:val="99"/>
              </w:rPr>
              <w:t>Weatherford</w:t>
            </w:r>
          </w:p>
        </w:tc>
        <w:tc>
          <w:tcPr>
            <w:tcW w:w="260" w:type="dxa"/>
            <w:vAlign w:val="bottom"/>
          </w:tcPr>
          <w:p>
            <w:pPr>
              <w:spacing w:after="0"/>
              <w:rPr>
                <w:sz w:val="14"/>
                <w:szCs w:val="14"/>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Ireland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Bermuda</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Delaware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6"/>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6,441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(8,936)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2,325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Adjustments to Reconcile Net Income (Loss) to</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266</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8,802</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(1,876)</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424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430</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1,767</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(600)</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1,594</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(1,450)</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Equity Investments in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0"/>
              </w:rPr>
              <w:t>Proceeds (Payment) Related to Sale of Businesses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and Equity Investment, Net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1,711</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Investing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330</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(827)</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1,580</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(1,726)</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Executive Deferred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Ordinary Shares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600</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(1,834)</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7"/>
              </w:rPr>
              <w:t>Effect of Exchange Rate Changes on Cash and</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435</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9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2016, we shut down our U.S. pressure pumping operations and idled our assets. In January 2017, we purchased certain leased equipment utilized in our North America pressure pumping business for a total amount of $240 million. We intend to dispose of our U.S. pressure pumping business through a sale or by partnering up with another company to form a joint venture.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Quarterly Financial Data (Unaudited)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quarterly financial data for the years ended December 31, 2016 and 2015 are presented in the following tables. In the following tables, the sum of basic and diluted “Loss Per Share” for the four quarters may differ from the annual amounts due to the required method of computing weighted average number of shares in the respective periods. Additionally, due to the effect of rounding, the sum of the individual quarterly earnings per share amounts may not equal the calculated year earnings per share amount.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rPr>
              <w:t>2016 Quarters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First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w w:val="93"/>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Third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Fourth</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1,585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1,402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1,356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1"/>
                <w:szCs w:val="21"/>
                <w:color w:val="auto"/>
              </w:rPr>
            </w:pP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1"/>
                <w:szCs w:val="21"/>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560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(498)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line="270" w:lineRule="exact"/>
              <w:rPr>
                <w:sz w:val="20"/>
                <w:szCs w:val="20"/>
                <w:color w:val="auto"/>
              </w:rPr>
            </w:pPr>
            <w:r>
              <w:rPr>
                <w:rFonts w:ascii="Arial" w:cs="Arial" w:eastAsia="Arial" w:hAnsi="Arial"/>
                <w:sz w:val="18"/>
                <w:szCs w:val="18"/>
                <w:color w:val="auto"/>
              </w:rPr>
              <w:t xml:space="preserve">(565)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line="270" w:lineRule="exact"/>
              <w:rPr>
                <w:sz w:val="20"/>
                <w:szCs w:val="20"/>
                <w:color w:val="auto"/>
              </w:rPr>
            </w:pPr>
            <w:r>
              <w:rPr>
                <w:rFonts w:ascii="Arial" w:cs="Arial" w:eastAsia="Arial" w:hAnsi="Arial"/>
                <w:sz w:val="18"/>
                <w:szCs w:val="18"/>
                <w:color w:val="auto"/>
              </w:rPr>
              <w:t xml:space="preserve">(1,780)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400"/>
              <w:spacing w:after="0" w:line="270" w:lineRule="exact"/>
              <w:rPr>
                <w:sz w:val="20"/>
                <w:szCs w:val="20"/>
                <w:color w:val="auto"/>
              </w:rPr>
            </w:pPr>
            <w:r>
              <w:rPr>
                <w:rFonts w:ascii="Arial" w:cs="Arial" w:eastAsia="Arial" w:hAnsi="Arial"/>
                <w:sz w:val="18"/>
                <w:szCs w:val="18"/>
                <w:color w:val="auto"/>
              </w:rPr>
              <w:t xml:space="preserve">(549) </w:t>
            </w:r>
            <w:r>
              <w:rPr>
                <w:rFonts w:ascii="Arial" w:cs="Arial" w:eastAsia="Arial" w:hAnsi="Arial"/>
                <w:sz w:val="25"/>
                <w:szCs w:val="25"/>
                <w:color w:val="auto"/>
                <w:vertAlign w:val="superscript"/>
              </w:rPr>
              <w:t>(d)</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&amp; Diluted Loss Per Share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(0.63)</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hanging="330"/>
        <w:spacing w:after="0" w:line="255"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charges of $285 million primarily related to severance and restructuring, litigation charges, pressure pumping related charges and an estimated project loss on our long-term early production facility construction contract.</w:t>
      </w:r>
    </w:p>
    <w:p>
      <w:pPr>
        <w:spacing w:after="0" w:line="1" w:lineRule="exact"/>
        <w:rPr>
          <w:rFonts w:ascii="Arial" w:cs="Arial" w:eastAsia="Arial" w:hAnsi="Arial"/>
          <w:sz w:val="16"/>
          <w:szCs w:val="16"/>
          <w:color w:val="auto"/>
        </w:rPr>
      </w:pPr>
    </w:p>
    <w:p>
      <w:pPr>
        <w:ind w:left="500" w:hanging="330"/>
        <w:spacing w:after="0" w:line="263" w:lineRule="auto"/>
        <w:tabs>
          <w:tab w:leader="none" w:pos="5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charges of $347 million primarily related to litigation charges, an adjustment to a note from PDVSA to fair value, a bond tender premium incurred from a tender offer and severance and restructuring charges partially offset by an estimated project income on our long-term early production facility construction contract.</w:t>
      </w:r>
    </w:p>
    <w:p>
      <w:pPr>
        <w:ind w:left="500" w:hanging="330"/>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charges of $771 million primarily related to long-lived asset impairments, inventory write-downs and severance and restructuring.</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charges of $245 million primarily related to severance and restructuring, litigation charges and pressure pumping related charges.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rPr>
              <w:t>2015 Quarters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First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93"/>
              </w:rPr>
              <w:t>Second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Third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Fourth</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2,794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2,390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2,237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9,433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592</w:t>
            </w:r>
          </w:p>
        </w:tc>
        <w:tc>
          <w:tcPr>
            <w:tcW w:w="280" w:type="dxa"/>
            <w:vAlign w:val="bottom"/>
          </w:tcPr>
          <w:p>
            <w:pPr>
              <w:spacing w:after="0"/>
              <w:rPr>
                <w:sz w:val="21"/>
                <w:szCs w:val="21"/>
                <w:color w:val="auto"/>
              </w:rPr>
            </w:pP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21"/>
                <w:szCs w:val="21"/>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1,412</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Loss Attributable to Weatherford </w:t>
            </w:r>
            <w:r>
              <w:rPr>
                <w:rFonts w:ascii="Arial" w:cs="Arial" w:eastAsia="Arial" w:hAnsi="Arial"/>
                <w:sz w:val="25"/>
                <w:szCs w:val="25"/>
                <w:color w:val="auto"/>
                <w:vertAlign w:val="superscript"/>
              </w:rPr>
              <w:t>(i)</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(118) </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line="270" w:lineRule="exact"/>
              <w:rPr>
                <w:sz w:val="20"/>
                <w:szCs w:val="20"/>
                <w:color w:val="auto"/>
              </w:rPr>
            </w:pPr>
            <w:r>
              <w:rPr>
                <w:rFonts w:ascii="Arial" w:cs="Arial" w:eastAsia="Arial" w:hAnsi="Arial"/>
                <w:sz w:val="18"/>
                <w:szCs w:val="18"/>
                <w:color w:val="auto"/>
              </w:rPr>
              <w:t xml:space="preserve">(489) </w:t>
            </w:r>
            <w:r>
              <w:rPr>
                <w:rFonts w:ascii="Arial" w:cs="Arial" w:eastAsia="Arial" w:hAnsi="Arial"/>
                <w:sz w:val="25"/>
                <w:szCs w:val="25"/>
                <w:color w:val="auto"/>
                <w:vertAlign w:val="superscript"/>
              </w:rPr>
              <w:t>(f)</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line="270" w:lineRule="exact"/>
              <w:rPr>
                <w:sz w:val="20"/>
                <w:szCs w:val="20"/>
                <w:color w:val="auto"/>
              </w:rPr>
            </w:pPr>
            <w:r>
              <w:rPr>
                <w:rFonts w:ascii="Arial" w:cs="Arial" w:eastAsia="Arial" w:hAnsi="Arial"/>
                <w:sz w:val="18"/>
                <w:szCs w:val="18"/>
                <w:color w:val="auto"/>
              </w:rPr>
              <w:t xml:space="preserve">(170)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260"/>
              <w:spacing w:after="0" w:line="270" w:lineRule="exact"/>
              <w:rPr>
                <w:sz w:val="20"/>
                <w:szCs w:val="20"/>
                <w:color w:val="auto"/>
              </w:rPr>
            </w:pPr>
            <w:r>
              <w:rPr>
                <w:rFonts w:ascii="Arial" w:cs="Arial" w:eastAsia="Arial" w:hAnsi="Arial"/>
                <w:sz w:val="18"/>
                <w:szCs w:val="18"/>
                <w:color w:val="auto"/>
                <w:w w:val="99"/>
              </w:rPr>
              <w:t xml:space="preserve">(1,208) </w:t>
            </w:r>
            <w:r>
              <w:rPr>
                <w:rFonts w:ascii="Arial" w:cs="Arial" w:eastAsia="Arial" w:hAnsi="Arial"/>
                <w:sz w:val="25"/>
                <w:szCs w:val="25"/>
                <w:color w:val="auto"/>
                <w:w w:val="99"/>
                <w:vertAlign w:val="superscript"/>
              </w:rPr>
              <w:t>(h)</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&amp; Diluted Loss Per Share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charges of $59 million primarily related to severance and restructuring.</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charges of $395 million primarily related to long-lived asset impairments, litigation and severance and restructuring.</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charges of $77 million primarily related to severance and restructuring and supply contracts.</w:t>
      </w:r>
    </w:p>
    <w:p>
      <w:pPr>
        <w:spacing w:after="0" w:line="5" w:lineRule="exact"/>
        <w:rPr>
          <w:rFonts w:ascii="Arial" w:cs="Arial" w:eastAsia="Arial" w:hAnsi="Arial"/>
          <w:sz w:val="16"/>
          <w:szCs w:val="16"/>
          <w:color w:val="auto"/>
        </w:rPr>
      </w:pPr>
    </w:p>
    <w:p>
      <w:pPr>
        <w:ind w:left="500" w:right="20" w:hanging="330"/>
        <w:spacing w:after="0" w:line="248"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$668 million primarily related to long-lived asset impairments, severance and restructuring and supply contracts, a $265 million charge for a non-cash tax expense on distribution of subsidiary earnings and $217 million of inventory write-downs and adjustments.</w:t>
      </w:r>
    </w:p>
    <w:p>
      <w:pPr>
        <w:spacing w:after="0" w:line="1" w:lineRule="exact"/>
        <w:rPr>
          <w:rFonts w:ascii="Arial" w:cs="Arial" w:eastAsia="Arial" w:hAnsi="Arial"/>
          <w:sz w:val="16"/>
          <w:szCs w:val="16"/>
          <w:color w:val="auto"/>
        </w:rPr>
      </w:pPr>
    </w:p>
    <w:p>
      <w:pPr>
        <w:ind w:left="500" w:hanging="330"/>
        <w:spacing w:after="0" w:line="276"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6"/>
          <w:szCs w:val="16"/>
          <w:color w:val="auto"/>
        </w:rPr>
        <w:t>Includes estimated project income of $42 million, for the first quarter of 2015, estimated project loss of $69 million, $44 million and $82 million for the second, third and fourth quarter of 2015, respectively, from our long-term early production facility construction contracts.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9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2016. Based on that evaluation, our CEO and CFO concluded that our disclosure controls and procedures were effective as of December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Controls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controls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2016 using the criteria set forth by the Committee of Sponsoring Organizations of the Treadway Commission in Internal Control – An Integrated Framework (2013). As a result of this assessment management concluded that as of December 31, 2016, our internal control over financial reporting was effective based on these criteria.</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February 14, 2017, on our internal control over financial reporting, which is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the end of the period covered by this Annual Report on Form 10-K, we carried out an evaluation, under the supervision of and with the participation of management, including the CEO and the CFO, of the effectiveness of our disclosure controls and procedures (as defined in Rules 13a-15(e) and 15d-15(e) under the Exchange Act). Based upon that evaluation, our CEO and CFO have concluded our disclosure controls and procedures were effective, as of December 31, 2016, to provide reasonable assurance that information required to be disclosed in the reports we file and submit under the Exchange Act is recorded, processed, summarized and reported within the time period specified in the SEC’s rules and forms.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fourth quarter ended December 31, 2016,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9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directors and executive officers of the Registrant and corporate governance matters is incorporated by reference from our Proxy Statement for the 2017 Annual General Meeting of Shareholders to be held on June 15, 2017.</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is incorporated by reference from our Proxy Statement for the 2017 Annual General Meeting of Shareholders to be held on June 15,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certain beneficial owners is incorporated by reference from our Proxy Statement for the 2017 Annual General Meeting of Shareholders to be held on June 15,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12(b). </w:t>
      </w:r>
      <w:r>
        <w:rPr>
          <w:rFonts w:ascii="Arial" w:cs="Arial" w:eastAsia="Arial" w:hAnsi="Arial"/>
          <w:sz w:val="18"/>
          <w:szCs w:val="18"/>
          <w:b w:val="1"/>
          <w:bCs w:val="1"/>
          <w:i w:val="1"/>
          <w:iCs w:val="1"/>
          <w:color w:val="auto"/>
        </w:rPr>
        <w:t>Security Ownership of Management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management is incorporated by reference from our Proxy Statement for the 2017 Annual General Meeting of Shareholders to be held on June 15,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12(c). </w:t>
      </w:r>
      <w:r>
        <w:rPr>
          <w:rFonts w:ascii="Arial" w:cs="Arial" w:eastAsia="Arial" w:hAnsi="Arial"/>
          <w:sz w:val="18"/>
          <w:szCs w:val="18"/>
          <w:b w:val="1"/>
          <w:bCs w:val="1"/>
          <w:i w:val="1"/>
          <w:iCs w:val="1"/>
          <w:color w:val="auto"/>
        </w:rPr>
        <w:t>Changes in Control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9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w:t>
      </w:r>
      <w:r>
        <w:rPr>
          <w:rFonts w:ascii="Arial" w:cs="Arial" w:eastAsia="Arial" w:hAnsi="Arial"/>
          <w:sz w:val="18"/>
          <w:szCs w:val="18"/>
          <w:b w:val="1"/>
          <w:bCs w:val="1"/>
          <w:color w:val="auto"/>
        </w:rPr>
        <w: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2016, about the number of shares to be issued upon vesting or exercise of equity awards as well as the number of shares remaining available for issuance under our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Numbers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Securities to be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Issued Upon Exercise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Exercise Price of</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of Outstanding</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Options, Warrants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(Shares in thousands, except share prices)</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5"/>
                <w:szCs w:val="5"/>
                <w:color w:val="auto"/>
              </w:rPr>
            </w:pPr>
          </w:p>
        </w:tc>
        <w:tc>
          <w:tcPr>
            <w:tcW w:w="1560" w:type="dxa"/>
            <w:vAlign w:val="bottom"/>
            <w:vMerge w:val="restart"/>
          </w:tcPr>
          <w:p>
            <w:pPr>
              <w:jc w:val="center"/>
              <w:ind w:right="10"/>
              <w:spacing w:after="0" w:line="262" w:lineRule="exact"/>
              <w:rPr>
                <w:sz w:val="20"/>
                <w:szCs w:val="20"/>
                <w:color w:val="auto"/>
              </w:rPr>
            </w:pPr>
            <w:r>
              <w:rPr>
                <w:rFonts w:ascii="Arial" w:cs="Arial" w:eastAsia="Arial" w:hAnsi="Arial"/>
                <w:sz w:val="18"/>
                <w:szCs w:val="18"/>
                <w:b w:val="1"/>
                <w:bCs w:val="1"/>
                <w:color w:val="auto"/>
                <w:w w:val="86"/>
              </w:rPr>
              <w:t xml:space="preserve">and Rights </w:t>
            </w:r>
            <w:r>
              <w:rPr>
                <w:rFonts w:ascii="Arial" w:cs="Arial" w:eastAsia="Arial" w:hAnsi="Arial"/>
                <w:sz w:val="25"/>
                <w:szCs w:val="25"/>
                <w:b w:val="1"/>
                <w:bCs w:val="1"/>
                <w:color w:val="auto"/>
                <w:w w:val="86"/>
                <w:vertAlign w:val="superscript"/>
              </w:rPr>
              <w:t>(a)</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0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6"/>
              </w:rPr>
              <w:t>(b)</w:t>
            </w: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(c) (d)</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25,328</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(e)</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12.59</w:t>
            </w: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15,430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25,328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hanging="33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weighted average price does not take into account the shares issuable upon vesting of outstanding PUs or RSUs, which have no exercise price.</w:t>
      </w:r>
    </w:p>
    <w:p>
      <w:pPr>
        <w:spacing w:after="0" w:line="49" w:lineRule="exact"/>
        <w:rPr>
          <w:rFonts w:ascii="Arial" w:cs="Arial" w:eastAsia="Arial" w:hAnsi="Arial"/>
          <w:sz w:val="16"/>
          <w:szCs w:val="16"/>
          <w:color w:val="auto"/>
        </w:rPr>
      </w:pPr>
    </w:p>
    <w:p>
      <w:pPr>
        <w:ind w:left="500" w:hanging="33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59"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our Omnibus Plan, which was approved by our shareholders in May 2006, our 2010 Omnibus Plan, as amended, which was approved by our shareholders in June 2010, and our Employee Stock Purchase Plan, which was approved by our shareholders in June 2016.</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PUs calculated at target.</w:t>
      </w:r>
    </w:p>
    <w:p>
      <w:pPr>
        <w:spacing w:after="0" w:line="59" w:lineRule="exact"/>
        <w:rPr>
          <w:rFonts w:ascii="Arial" w:cs="Arial" w:eastAsia="Arial" w:hAnsi="Arial"/>
          <w:sz w:val="16"/>
          <w:szCs w:val="16"/>
          <w:color w:val="auto"/>
        </w:rPr>
      </w:pPr>
    </w:p>
    <w:p>
      <w:pPr>
        <w:jc w:val="both"/>
        <w:ind w:left="500" w:hanging="330"/>
        <w:spacing w:after="0" w:line="286" w:lineRule="auto"/>
        <w:tabs>
          <w:tab w:leader="none" w:pos="5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the following compensation plans that were not approved by our shareholders: our 1998 Employee Stock Option Plan and our Non-Employee Director Deferred Compensation Plan. No awards have been issued under these plans since May 2006 when our Omnibus Plan was approved. The unapproved plans and other individual compensation arrangements that were not approved by our shareholders with significant shares to be issued are described below:</w:t>
      </w:r>
    </w:p>
    <w:p>
      <w:pPr>
        <w:spacing w:after="0" w:line="1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1998 Employee Stock Option Plan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Plan in May 2006, awards are no longer granted under the 1998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is incorporated by reference from our Proxy Statement for the 2017 Annual General Meeting of Shareholders to be held on June 15,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is incorporated by reference from our Proxy Statement for the 2017 Annual General Meeting of Shareholders to be held on June 15,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9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51">
        <w:r>
          <w:rPr>
            <w:rFonts w:ascii="Arial" w:cs="Arial" w:eastAsia="Arial" w:hAnsi="Arial"/>
            <w:sz w:val="18"/>
            <w:szCs w:val="18"/>
            <w:u w:val="single" w:color="auto"/>
            <w:color w:val="0000EE"/>
          </w:rPr>
          <w:t>50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15">
        <w:r>
          <w:rPr>
            <w:rFonts w:ascii="Arial" w:cs="Arial" w:eastAsia="Arial" w:hAnsi="Arial"/>
            <w:sz w:val="18"/>
            <w:szCs w:val="18"/>
            <w:u w:val="single" w:color="auto"/>
            <w:color w:val="0000EE"/>
          </w:rPr>
          <w:t>113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5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00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9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Merger Agreement, dated April 2, 2014, between Weatherford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2.1 of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 and Weatherford Ireland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6"/>
              </w:rPr>
              <w:t>filed April 2, 2014</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5000" w:type="dxa"/>
            <w:vAlign w:val="bottom"/>
          </w:tcPr>
          <w:p>
            <w:pPr>
              <w:ind w:left="180"/>
              <w:spacing w:after="0"/>
              <w:rPr>
                <w:sz w:val="20"/>
                <w:szCs w:val="20"/>
                <w:color w:val="auto"/>
              </w:rPr>
            </w:pPr>
            <w:r>
              <w:rPr>
                <w:rFonts w:ascii="Arial" w:cs="Arial" w:eastAsia="Arial" w:hAnsi="Arial"/>
                <w:sz w:val="18"/>
                <w:szCs w:val="18"/>
                <w:color w:val="auto"/>
              </w:rPr>
              <w:t>Memorandum and Articles of Association of Weatherford</w:t>
            </w: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3"/>
              </w:rPr>
              <w:t>Exhibit 3.1 of the</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9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International public limited company</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Report on Form 8-K12B</w:t>
            </w:r>
          </w:p>
        </w:tc>
        <w:tc>
          <w:tcPr>
            <w:tcW w:w="21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0"/>
              </w:rPr>
              <w:t>filed June 17, 2014</w:t>
            </w:r>
          </w:p>
        </w:tc>
        <w:tc>
          <w:tcPr>
            <w:tcW w:w="216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Indenture, dated October 1, 2003, among Weatherford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Bermuda, Weatherford Delaware, and Deutsche Bank Trust</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Americas</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filed October 2, 2003</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5000" w:type="dxa"/>
            <w:vAlign w:val="bottom"/>
          </w:tcPr>
          <w:p>
            <w:pPr>
              <w:ind w:left="180"/>
              <w:spacing w:after="0"/>
              <w:rPr>
                <w:sz w:val="20"/>
                <w:szCs w:val="20"/>
                <w:color w:val="auto"/>
              </w:rPr>
            </w:pPr>
            <w:r>
              <w:rPr>
                <w:rFonts w:ascii="Arial" w:cs="Arial" w:eastAsia="Arial" w:hAnsi="Arial"/>
                <w:sz w:val="18"/>
                <w:szCs w:val="18"/>
                <w:color w:val="auto"/>
                <w:w w:val="99"/>
              </w:rPr>
              <w:t>First Supplemental Indenture, dated March 25, 2008, among</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9"/>
              </w:rPr>
              <w:t>Weatherford Bermuda, Weatherford Delaware and Deutsche</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Bank Trust Company Americas</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20" w:type="dxa"/>
            <w:vAlign w:val="bottom"/>
          </w:tcPr>
          <w:p>
            <w:pPr>
              <w:jc w:val="center"/>
              <w:ind w:right="10"/>
              <w:spacing w:after="0"/>
              <w:rPr>
                <w:sz w:val="20"/>
                <w:szCs w:val="20"/>
                <w:color w:val="auto"/>
              </w:rPr>
            </w:pPr>
            <w:r>
              <w:rPr>
                <w:rFonts w:ascii="Arial" w:cs="Arial" w:eastAsia="Arial" w:hAnsi="Arial"/>
                <w:sz w:val="18"/>
                <w:szCs w:val="18"/>
                <w:color w:val="auto"/>
                <w:w w:val="93"/>
              </w:rPr>
              <w:t>filed March 25, 2008</w:t>
            </w:r>
          </w:p>
        </w:tc>
        <w:tc>
          <w:tcPr>
            <w:tcW w:w="216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Second Supplemental Indenture, dated as of January 8, 2009,</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among Weatherford Bermuda Weatherford Delaware, and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Deutsche Bank Trust Company Americas</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January 8, 2009</w:t>
            </w:r>
          </w:p>
        </w:tc>
        <w:tc>
          <w:tcPr>
            <w:tcW w:w="2160" w:type="dxa"/>
            <w:vAlign w:val="bottom"/>
            <w:shd w:val="clear" w:color="auto" w:fill="CCEEFF"/>
          </w:tcPr>
          <w:p>
            <w:pPr>
              <w:spacing w:after="0"/>
              <w:rPr>
                <w:sz w:val="20"/>
                <w:szCs w:val="20"/>
                <w:color w:val="auto"/>
              </w:rPr>
            </w:pPr>
          </w:p>
        </w:tc>
      </w:tr>
      <w:tr>
        <w:trPr>
          <w:trHeight w:val="27"/>
        </w:trPr>
        <w:tc>
          <w:tcPr>
            <w:tcW w:w="9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rFonts w:ascii="Arial" w:cs="Arial" w:eastAsia="Arial" w:hAnsi="Arial"/>
          <w:sz w:val="18"/>
          <w:szCs w:val="18"/>
          <w:color w:val="auto"/>
        </w:rPr>
      </w:pPr>
    </w:p>
    <w:p>
      <w:pPr>
        <w:sectPr>
          <w:pgSz w:w="11900" w:h="16838" w:orient="portrait"/>
          <w:cols w:equalWidth="0" w:num="1">
            <w:col w:w="11240"/>
          </w:cols>
          <w:pgMar w:left="240" w:top="395" w:right="419" w:bottom="1440" w:gutter="0" w:footer="0" w:header="0"/>
        </w:sectPr>
      </w:pPr>
    </w:p>
    <w:p>
      <w:pPr>
        <w:ind w:left="1640" w:right="60" w:hanging="787"/>
        <w:spacing w:after="0" w:line="259" w:lineRule="auto"/>
        <w:tabs>
          <w:tab w:leader="none" w:pos="1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Third Supplemental Indenture, dated as of February 26, 2009, among Weatherford Bermuda, Weatherford Delaware, Weatherford Switzerland and Deutsche Bank Trust Company Americas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left="200"/>
        <w:spacing w:after="0"/>
        <w:tabs>
          <w:tab w:leader="none" w:pos="2720" w:val="left"/>
        </w:tabs>
        <w:rPr>
          <w:sz w:val="20"/>
          <w:szCs w:val="20"/>
          <w:color w:val="auto"/>
        </w:rPr>
      </w:pPr>
      <w:r>
        <w:rPr>
          <w:rFonts w:ascii="Arial" w:cs="Arial" w:eastAsia="Arial" w:hAnsi="Arial"/>
          <w:sz w:val="18"/>
          <w:szCs w:val="18"/>
          <w:color w:val="auto"/>
        </w:rPr>
        <w:t>Exhibit 4.2 to the</w:t>
      </w:r>
      <w:r>
        <w:rPr>
          <w:sz w:val="20"/>
          <w:szCs w:val="20"/>
          <w:color w:val="auto"/>
        </w:rPr>
        <w:tab/>
      </w:r>
      <w:r>
        <w:rPr>
          <w:rFonts w:ascii="Arial" w:cs="Arial" w:eastAsia="Arial" w:hAnsi="Arial"/>
          <w:sz w:val="16"/>
          <w:szCs w:val="16"/>
          <w:color w:val="auto"/>
        </w:rPr>
        <w:t>File No. 1-34258</w:t>
      </w:r>
    </w:p>
    <w:p>
      <w:pPr>
        <w:spacing w:after="0" w:line="23"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February 26, 2009</w:t>
      </w:r>
    </w:p>
    <w:p>
      <w:pPr>
        <w:spacing w:after="0" w:line="35" w:lineRule="exact"/>
        <w:rPr>
          <w:rFonts w:ascii="Arial" w:cs="Arial" w:eastAsia="Arial" w:hAnsi="Arial"/>
          <w:sz w:val="18"/>
          <w:szCs w:val="18"/>
          <w:color w:val="auto"/>
        </w:rPr>
      </w:pPr>
    </w:p>
    <w:p>
      <w:pPr>
        <w:sectPr>
          <w:pgSz w:w="11900" w:h="16838" w:orient="portrait"/>
          <w:cols w:equalWidth="0" w:num="2">
            <w:col w:w="6140" w:space="720"/>
            <w:col w:w="4380"/>
          </w:cols>
          <w:pgMar w:left="240" w:top="395"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Fourth Supplemental Indenture, dated as of September 23,</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2010, among Weatherford Delaware, Weatherford Bermuda,</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Report on Form 10-Q</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September 30, 2010 filed</w:t>
            </w:r>
          </w:p>
        </w:tc>
        <w:tc>
          <w:tcPr>
            <w:tcW w:w="2140" w:type="dxa"/>
            <w:vAlign w:val="bottom"/>
            <w:shd w:val="clear" w:color="auto" w:fill="CCEEFF"/>
          </w:tcPr>
          <w:p>
            <w:pPr>
              <w:spacing w:after="0"/>
              <w:rPr>
                <w:sz w:val="18"/>
                <w:szCs w:val="18"/>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November 2, 2010</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4.6</w:t>
            </w:r>
          </w:p>
        </w:tc>
        <w:tc>
          <w:tcPr>
            <w:tcW w:w="5080" w:type="dxa"/>
            <w:vAlign w:val="bottom"/>
          </w:tcPr>
          <w:p>
            <w:pPr>
              <w:ind w:left="280"/>
              <w:spacing w:after="0"/>
              <w:rPr>
                <w:sz w:val="20"/>
                <w:szCs w:val="20"/>
                <w:color w:val="auto"/>
              </w:rPr>
            </w:pPr>
            <w:r>
              <w:rPr>
                <w:rFonts w:ascii="Arial" w:cs="Arial" w:eastAsia="Arial" w:hAnsi="Arial"/>
                <w:sz w:val="18"/>
                <w:szCs w:val="18"/>
                <w:color w:val="auto"/>
              </w:rPr>
              <w:t>Fifth Supplemental Indenture, dated as of April 4, 2012,</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among Weatherford Delaware, Weatherford Bermuda,</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tcPr>
          <w:p>
            <w:pPr>
              <w:jc w:val="center"/>
              <w:ind w:right="30"/>
              <w:spacing w:after="0"/>
              <w:rPr>
                <w:sz w:val="20"/>
                <w:szCs w:val="20"/>
                <w:color w:val="auto"/>
              </w:rPr>
            </w:pPr>
            <w:r>
              <w:rPr>
                <w:rFonts w:ascii="Arial" w:cs="Arial" w:eastAsia="Arial" w:hAnsi="Arial"/>
                <w:sz w:val="18"/>
                <w:szCs w:val="18"/>
                <w:color w:val="auto"/>
                <w:w w:val="96"/>
              </w:rPr>
              <w:t>filed April 4, 2012</w:t>
            </w:r>
          </w:p>
        </w:tc>
        <w:tc>
          <w:tcPr>
            <w:tcW w:w="214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Sixth Supplemental Indenture, dated as of August 14, 2012,</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among Weatherford Delaware, Weatherford Bermuda,</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filed August 14, 2012</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5080" w:type="dxa"/>
            <w:vAlign w:val="bottom"/>
          </w:tcPr>
          <w:p>
            <w:pPr>
              <w:ind w:left="280"/>
              <w:spacing w:after="0"/>
              <w:rPr>
                <w:sz w:val="20"/>
                <w:szCs w:val="20"/>
                <w:color w:val="auto"/>
              </w:rPr>
            </w:pPr>
            <w:r>
              <w:rPr>
                <w:rFonts w:ascii="Arial" w:cs="Arial" w:eastAsia="Arial" w:hAnsi="Arial"/>
                <w:sz w:val="18"/>
                <w:szCs w:val="18"/>
                <w:color w:val="auto"/>
                <w:w w:val="96"/>
              </w:rPr>
              <w:t>Seventh Supplemental Indenture, dated as of March 31, 2013,</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among Weatherford Delaware, Weatherford Bermuda,</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2"/>
              </w:rPr>
              <w:t>Report on Form 10-Q</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3"/>
              </w:rPr>
              <w:t>March 31, 2013 filed</w:t>
            </w:r>
          </w:p>
        </w:tc>
        <w:tc>
          <w:tcPr>
            <w:tcW w:w="21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60" w:type="dxa"/>
            <w:vAlign w:val="bottom"/>
          </w:tcPr>
          <w:p>
            <w:pPr>
              <w:jc w:val="center"/>
              <w:ind w:right="10"/>
              <w:spacing w:after="0"/>
              <w:rPr>
                <w:sz w:val="20"/>
                <w:szCs w:val="20"/>
                <w:color w:val="auto"/>
              </w:rPr>
            </w:pPr>
            <w:r>
              <w:rPr>
                <w:rFonts w:ascii="Arial" w:cs="Arial" w:eastAsia="Arial" w:hAnsi="Arial"/>
                <w:sz w:val="18"/>
                <w:szCs w:val="18"/>
                <w:color w:val="auto"/>
                <w:w w:val="92"/>
              </w:rPr>
              <w:t>May 3, 2013</w:t>
            </w:r>
          </w:p>
        </w:tc>
        <w:tc>
          <w:tcPr>
            <w:tcW w:w="2140" w:type="dxa"/>
            <w:vAlign w:val="bottom"/>
          </w:tcPr>
          <w:p>
            <w:pPr>
              <w:spacing w:after="0"/>
              <w:rPr>
                <w:sz w:val="20"/>
                <w:szCs w:val="20"/>
                <w:color w:val="auto"/>
              </w:rPr>
            </w:pPr>
          </w:p>
        </w:tc>
      </w:tr>
    </w:tbl>
    <w:p>
      <w:pPr>
        <w:spacing w:after="0" w:line="200" w:lineRule="exact"/>
        <w:rPr>
          <w:rFonts w:ascii="Arial" w:cs="Arial" w:eastAsia="Arial" w:hAnsi="Arial"/>
          <w:sz w:val="18"/>
          <w:szCs w:val="18"/>
          <w:color w:val="auto"/>
        </w:rPr>
      </w:pPr>
    </w:p>
    <w:p>
      <w:pPr>
        <w:sectPr>
          <w:pgSz w:w="11900" w:h="16838" w:orient="portrait"/>
          <w:cols w:equalWidth="0" w:num="1">
            <w:col w:w="11240"/>
          </w:cols>
          <w:pgMar w:left="240" w:top="395" w:right="419" w:bottom="1440" w:gutter="0" w:footer="0" w:header="0"/>
          <w:type w:val="continuous"/>
        </w:sectPr>
      </w:pPr>
    </w:p>
    <w:p>
      <w:pPr>
        <w:spacing w:after="0" w:line="56"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40"/>
          </w:cols>
          <w:pgMar w:left="240" w:top="395" w:right="41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9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494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4.9</w:t>
            </w:r>
          </w:p>
        </w:tc>
        <w:tc>
          <w:tcPr>
            <w:tcW w:w="180" w:type="dxa"/>
            <w:vAlign w:val="bottom"/>
            <w:tcBorders>
              <w:top w:val="single" w:sz="8" w:color="auto"/>
            </w:tcBorders>
            <w:shd w:val="clear" w:color="auto" w:fill="CCEEFF"/>
          </w:tcPr>
          <w:p>
            <w:pPr>
              <w:spacing w:after="0"/>
              <w:rPr>
                <w:sz w:val="19"/>
                <w:szCs w:val="19"/>
                <w:color w:val="auto"/>
              </w:rPr>
            </w:pPr>
          </w:p>
        </w:tc>
        <w:tc>
          <w:tcPr>
            <w:tcW w:w="4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7"/>
              </w:rPr>
              <w:t>Eighth Supplemental Indenture, dated June 17, 2014, among</w:t>
            </w:r>
          </w:p>
        </w:tc>
        <w:tc>
          <w:tcPr>
            <w:tcW w:w="26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Exhibit 4.1 of the</w:t>
            </w:r>
          </w:p>
        </w:tc>
        <w:tc>
          <w:tcPr>
            <w:tcW w:w="2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Weatherford Bermuda, Weatherford</w:t>
            </w: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Delaware and Deutsche Bank Trust Company Americas, as</w:t>
            </w: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Report on Form 8-K12B</w:t>
            </w:r>
          </w:p>
        </w:tc>
        <w:tc>
          <w:tcPr>
            <w:tcW w:w="216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trustee, to the indenture dated as of October 1, 2003</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filed June 17, 2014</w:t>
            </w:r>
          </w:p>
        </w:tc>
        <w:tc>
          <w:tcPr>
            <w:tcW w:w="216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120" w:hanging="832"/>
        <w:spacing w:after="0" w:line="292" w:lineRule="auto"/>
        <w:tabs>
          <w:tab w:leader="none" w:pos="16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Ninth Supplemental Indenture dated June 7, 2016 among Weatherford International Ltd. (Bermuda), Weatherford International plc (Ireland), and Weatherford International LLC (Delaware) and Deutsche Bank Trust Company Americas, as trustee, to the indenture dated as of October 1, 2003</w:t>
      </w:r>
    </w:p>
    <w:p>
      <w:pPr>
        <w:spacing w:after="0" w:line="20" w:lineRule="exact"/>
        <w:rPr>
          <w:sz w:val="20"/>
          <w:szCs w:val="20"/>
          <w:color w:val="auto"/>
        </w:rPr>
      </w:pPr>
      <w:r>
        <w:rPr>
          <w:sz w:val="20"/>
          <w:szCs w:val="20"/>
          <w:color w:val="auto"/>
        </w:rPr>
        <w:br w:type="column"/>
      </w:r>
    </w:p>
    <w:p>
      <w:pPr>
        <w:ind w:left="100"/>
        <w:spacing w:after="0"/>
        <w:tabs>
          <w:tab w:leader="none" w:pos="2600" w:val="left"/>
        </w:tabs>
        <w:rPr>
          <w:sz w:val="20"/>
          <w:szCs w:val="20"/>
          <w:color w:val="auto"/>
        </w:rPr>
      </w:pPr>
      <w:r>
        <w:rPr>
          <w:rFonts w:ascii="Arial" w:cs="Arial" w:eastAsia="Arial" w:hAnsi="Arial"/>
          <w:sz w:val="18"/>
          <w:szCs w:val="18"/>
          <w:color w:val="auto"/>
        </w:rPr>
        <w:t>Exhibit 4.1 of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jc w:val="center"/>
        <w:ind w:right="284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center"/>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filed June 7, 2016</w:t>
      </w:r>
    </w:p>
    <w:p>
      <w:pPr>
        <w:spacing w:after="0" w:line="252" w:lineRule="exact"/>
        <w:rPr>
          <w:sz w:val="20"/>
          <w:szCs w:val="20"/>
          <w:color w:val="auto"/>
        </w:rPr>
      </w:pPr>
    </w:p>
    <w:p>
      <w:pPr>
        <w:sectPr>
          <w:pgSz w:w="11900" w:h="16838" w:orient="portrait"/>
          <w:cols w:equalWidth="0" w:num="2">
            <w:col w:w="6260" w:space="720"/>
            <w:col w:w="426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4.11</w:t>
            </w: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Tenth Supplemental Indenture, dated June 17, 2016, among</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4.3 of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1-36504</w:t>
            </w: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Weatherford International Ltd. (Bermuda), Weatherford</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 plc (Ireland), Weatherford International, LLC,</w:t>
            </w:r>
          </w:p>
        </w:tc>
        <w:tc>
          <w:tcPr>
            <w:tcW w:w="26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Report on Form 8-K</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(Delaware) and Deutsche Bank Trust Company Americas, as</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filed June 7, 2016</w:t>
            </w:r>
          </w:p>
        </w:tc>
        <w:tc>
          <w:tcPr>
            <w:tcW w:w="214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trustee</w:t>
            </w:r>
          </w:p>
        </w:tc>
        <w:tc>
          <w:tcPr>
            <w:tcW w:w="262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4.12</w:t>
            </w:r>
          </w:p>
        </w:tc>
        <w:tc>
          <w:tcPr>
            <w:tcW w:w="5100" w:type="dxa"/>
            <w:vAlign w:val="bottom"/>
          </w:tcPr>
          <w:p>
            <w:pPr>
              <w:ind w:left="260"/>
              <w:spacing w:after="0"/>
              <w:rPr>
                <w:sz w:val="20"/>
                <w:szCs w:val="20"/>
                <w:color w:val="auto"/>
              </w:rPr>
            </w:pPr>
            <w:r>
              <w:rPr>
                <w:rFonts w:ascii="Arial" w:cs="Arial" w:eastAsia="Arial" w:hAnsi="Arial"/>
                <w:sz w:val="18"/>
                <w:szCs w:val="18"/>
                <w:color w:val="auto"/>
                <w:w w:val="98"/>
              </w:rPr>
              <w:t>Eleventh Supplemental Indenture, dated November 18, 2016,</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Exhibit 4.1 of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1-36504</w:t>
            </w: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by and among Weatherford International Ltd., as issuer,</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Weatherford International plc, as guarantor, Weatherford</w:t>
            </w:r>
          </w:p>
        </w:tc>
        <w:tc>
          <w:tcPr>
            <w:tcW w:w="2620" w:type="dxa"/>
            <w:vAlign w:val="bottom"/>
          </w:tcPr>
          <w:p>
            <w:pPr>
              <w:jc w:val="center"/>
              <w:ind w:right="50"/>
              <w:spacing w:after="0"/>
              <w:rPr>
                <w:sz w:val="20"/>
                <w:szCs w:val="20"/>
                <w:color w:val="auto"/>
              </w:rPr>
            </w:pPr>
            <w:r>
              <w:rPr>
                <w:rFonts w:ascii="Arial" w:cs="Arial" w:eastAsia="Arial" w:hAnsi="Arial"/>
                <w:sz w:val="18"/>
                <w:szCs w:val="18"/>
                <w:color w:val="auto"/>
                <w:w w:val="93"/>
              </w:rPr>
              <w:t>Report on Form 8-K</w:t>
            </w:r>
          </w:p>
        </w:tc>
        <w:tc>
          <w:tcPr>
            <w:tcW w:w="2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w w:val="99"/>
              </w:rPr>
              <w:t>International, LLC, as guarantor, and Deutsche Bank Trustee</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2"/>
              </w:rPr>
              <w:t>filed November 21, 2016</w:t>
            </w:r>
          </w:p>
        </w:tc>
        <w:tc>
          <w:tcPr>
            <w:tcW w:w="21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Company Americas, as trustee.</w:t>
            </w:r>
          </w:p>
        </w:tc>
        <w:tc>
          <w:tcPr>
            <w:tcW w:w="26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4.13</w:t>
            </w: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Registration Rights Agreement, dated November 18, 2016, by</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4.2 of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1-36504</w:t>
            </w: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among Weatherford International plc, Weatherford</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 Ltd., Weatherford International, LLC and</w:t>
            </w:r>
          </w:p>
        </w:tc>
        <w:tc>
          <w:tcPr>
            <w:tcW w:w="26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Report on Form 8-K</w:t>
            </w:r>
          </w:p>
        </w:tc>
        <w:tc>
          <w:tcPr>
            <w:tcW w:w="214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Morgan Stanley &amp; Co. LLC</w:t>
            </w:r>
          </w:p>
        </w:tc>
        <w:tc>
          <w:tcPr>
            <w:tcW w:w="2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filed November 21, 2016</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4.14</w:t>
            </w:r>
          </w:p>
        </w:tc>
        <w:tc>
          <w:tcPr>
            <w:tcW w:w="5100" w:type="dxa"/>
            <w:vAlign w:val="bottom"/>
          </w:tcPr>
          <w:p>
            <w:pPr>
              <w:ind w:left="260"/>
              <w:spacing w:after="0"/>
              <w:rPr>
                <w:sz w:val="20"/>
                <w:szCs w:val="20"/>
                <w:color w:val="auto"/>
              </w:rPr>
            </w:pPr>
            <w:r>
              <w:rPr>
                <w:rFonts w:ascii="Arial" w:cs="Arial" w:eastAsia="Arial" w:hAnsi="Arial"/>
                <w:sz w:val="18"/>
                <w:szCs w:val="18"/>
                <w:color w:val="auto"/>
              </w:rPr>
              <w:t>Form of Warrant</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Exhibit 4.3 of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1-36504</w:t>
            </w:r>
          </w:p>
        </w:tc>
      </w:tr>
      <w:tr>
        <w:trPr>
          <w:trHeight w:val="216"/>
        </w:trPr>
        <w:tc>
          <w:tcPr>
            <w:tcW w:w="8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620" w:type="dxa"/>
            <w:vAlign w:val="bottom"/>
          </w:tcPr>
          <w:p>
            <w:pPr>
              <w:jc w:val="center"/>
              <w:ind w:right="50"/>
              <w:spacing w:after="0"/>
              <w:rPr>
                <w:sz w:val="20"/>
                <w:szCs w:val="20"/>
                <w:color w:val="auto"/>
              </w:rPr>
            </w:pPr>
            <w:r>
              <w:rPr>
                <w:rFonts w:ascii="Arial" w:cs="Arial" w:eastAsia="Arial" w:hAnsi="Arial"/>
                <w:sz w:val="18"/>
                <w:szCs w:val="18"/>
                <w:color w:val="auto"/>
                <w:w w:val="93"/>
              </w:rPr>
              <w:t>Report on Form 8-K</w:t>
            </w:r>
          </w:p>
        </w:tc>
        <w:tc>
          <w:tcPr>
            <w:tcW w:w="21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2"/>
              </w:rPr>
              <w:t>filed November 21, 2016</w:t>
            </w:r>
          </w:p>
        </w:tc>
        <w:tc>
          <w:tcPr>
            <w:tcW w:w="214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4.15</w:t>
            </w: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Indenture, dated June 18, 2007, among Weatherford Delaware,</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1-31339</w:t>
            </w: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Weatherford Bermuda and Deutsche Bank Trust Company</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Americas</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filed on June 18, 2007</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4.16</w:t>
            </w:r>
          </w:p>
        </w:tc>
        <w:tc>
          <w:tcPr>
            <w:tcW w:w="5100" w:type="dxa"/>
            <w:vAlign w:val="bottom"/>
          </w:tcPr>
          <w:p>
            <w:pPr>
              <w:ind w:left="260"/>
              <w:spacing w:after="0"/>
              <w:rPr>
                <w:sz w:val="20"/>
                <w:szCs w:val="20"/>
                <w:color w:val="auto"/>
              </w:rPr>
            </w:pPr>
            <w:r>
              <w:rPr>
                <w:rFonts w:ascii="Arial" w:cs="Arial" w:eastAsia="Arial" w:hAnsi="Arial"/>
                <w:sz w:val="18"/>
                <w:szCs w:val="18"/>
                <w:color w:val="auto"/>
              </w:rPr>
              <w:t>First Supplemental Indenture, dated June 18, 2007, among</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3"/>
              </w:rPr>
              <w:t>Exhibit 4.2 to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1-31339</w:t>
            </w: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w w:val="98"/>
              </w:rPr>
              <w:t>Weatherford Delaware, Weatherford Bermuda, and Deutsche</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Bank Trust Company Americas (including forms of notes)</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620" w:type="dxa"/>
            <w:vAlign w:val="bottom"/>
          </w:tcPr>
          <w:p>
            <w:pPr>
              <w:jc w:val="center"/>
              <w:ind w:right="50"/>
              <w:spacing w:after="0"/>
              <w:rPr>
                <w:sz w:val="20"/>
                <w:szCs w:val="20"/>
                <w:color w:val="auto"/>
              </w:rPr>
            </w:pPr>
            <w:r>
              <w:rPr>
                <w:rFonts w:ascii="Arial" w:cs="Arial" w:eastAsia="Arial" w:hAnsi="Arial"/>
                <w:sz w:val="18"/>
                <w:szCs w:val="18"/>
                <w:color w:val="auto"/>
                <w:w w:val="90"/>
              </w:rPr>
              <w:t>filed on June 18, 2007</w:t>
            </w:r>
          </w:p>
        </w:tc>
        <w:tc>
          <w:tcPr>
            <w:tcW w:w="214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4.17</w:t>
            </w: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Second Supplemental Indenture, dated as of February 26,</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4.3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1-31339</w:t>
            </w: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2009, among Weatherford Delaware, Weatherford Bermuda,</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Americas</w:t>
            </w:r>
          </w:p>
        </w:tc>
        <w:tc>
          <w:tcPr>
            <w:tcW w:w="2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filed February 26, 2009</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4.18</w:t>
            </w:r>
          </w:p>
        </w:tc>
        <w:tc>
          <w:tcPr>
            <w:tcW w:w="5100" w:type="dxa"/>
            <w:vAlign w:val="bottom"/>
          </w:tcPr>
          <w:p>
            <w:pPr>
              <w:ind w:left="260"/>
              <w:spacing w:after="0"/>
              <w:rPr>
                <w:sz w:val="20"/>
                <w:szCs w:val="20"/>
                <w:color w:val="auto"/>
              </w:rPr>
            </w:pPr>
            <w:r>
              <w:rPr>
                <w:rFonts w:ascii="Arial" w:cs="Arial" w:eastAsia="Arial" w:hAnsi="Arial"/>
                <w:sz w:val="18"/>
                <w:szCs w:val="18"/>
                <w:color w:val="auto"/>
              </w:rPr>
              <w:t>Third Supplemental Indenture, dated as of August 14, 2012,</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3"/>
              </w:rPr>
              <w:t>Exhibit 4.2 to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among Weatherford Delaware, Weatherford Bermuda,</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w w:val="98"/>
              </w:rPr>
              <w:t>Weatherford Switzerland and Deutsche Bank Trust Company</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5100" w:type="dxa"/>
            <w:vAlign w:val="bottom"/>
          </w:tcPr>
          <w:p>
            <w:pPr>
              <w:ind w:left="260"/>
              <w:spacing w:after="0"/>
              <w:rPr>
                <w:sz w:val="20"/>
                <w:szCs w:val="20"/>
                <w:color w:val="auto"/>
              </w:rPr>
            </w:pPr>
            <w:r>
              <w:rPr>
                <w:rFonts w:ascii="Arial" w:cs="Arial" w:eastAsia="Arial" w:hAnsi="Arial"/>
                <w:sz w:val="18"/>
                <w:szCs w:val="18"/>
                <w:color w:val="auto"/>
              </w:rPr>
              <w:t>Americas</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filed August 14, 2012</w:t>
            </w:r>
          </w:p>
        </w:tc>
        <w:tc>
          <w:tcPr>
            <w:tcW w:w="214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4.19</w:t>
            </w: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Fourth Supplemental Indenture, dated as of March 31, 2013,</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4.2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among Weatherford Delaware, Weatherford Bermuda,</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Company's Quarterly</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Report on Form 10-Q</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Americas</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March 31, 2013 filed</w:t>
            </w:r>
          </w:p>
        </w:tc>
        <w:tc>
          <w:tcPr>
            <w:tcW w:w="214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2"/>
              </w:rPr>
              <w:t>May 3, 2013</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459"/>
        </w:trPr>
        <w:tc>
          <w:tcPr>
            <w:tcW w:w="840" w:type="dxa"/>
            <w:vAlign w:val="bottom"/>
          </w:tcPr>
          <w:p>
            <w:pPr>
              <w:spacing w:after="0"/>
              <w:rPr>
                <w:sz w:val="24"/>
                <w:szCs w:val="24"/>
                <w:color w:val="auto"/>
              </w:rPr>
            </w:pPr>
          </w:p>
        </w:tc>
        <w:tc>
          <w:tcPr>
            <w:tcW w:w="5100" w:type="dxa"/>
            <w:vAlign w:val="bottom"/>
          </w:tcPr>
          <w:p>
            <w:pPr>
              <w:ind w:left="4200"/>
              <w:spacing w:after="0"/>
              <w:rPr>
                <w:sz w:val="20"/>
                <w:szCs w:val="20"/>
                <w:color w:val="auto"/>
              </w:rPr>
            </w:pPr>
            <w:r>
              <w:rPr>
                <w:rFonts w:ascii="Arial" w:cs="Arial" w:eastAsia="Arial" w:hAnsi="Arial"/>
                <w:sz w:val="18"/>
                <w:szCs w:val="18"/>
                <w:color w:val="auto"/>
              </w:rPr>
              <w:t>106</w:t>
            </w:r>
          </w:p>
        </w:tc>
        <w:tc>
          <w:tcPr>
            <w:tcW w:w="26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4.20</w:t>
            </w:r>
          </w:p>
        </w:tc>
        <w:tc>
          <w:tcPr>
            <w:tcW w:w="180" w:type="dxa"/>
            <w:vAlign w:val="bottom"/>
            <w:tcBorders>
              <w:top w:val="single" w:sz="8" w:color="auto"/>
            </w:tcBorders>
            <w:shd w:val="clear" w:color="auto" w:fill="CCEEFF"/>
          </w:tcPr>
          <w:p>
            <w:pPr>
              <w:spacing w:after="0"/>
              <w:rPr>
                <w:sz w:val="19"/>
                <w:szCs w:val="19"/>
                <w:color w:val="auto"/>
              </w:rPr>
            </w:pPr>
          </w:p>
        </w:tc>
        <w:tc>
          <w:tcPr>
            <w:tcW w:w="50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Fifth Supplemental Indenture, dated June 17, 2014, among</w:t>
            </w:r>
          </w:p>
        </w:tc>
        <w:tc>
          <w:tcPr>
            <w:tcW w:w="254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of the</w:t>
            </w:r>
          </w:p>
        </w:tc>
        <w:tc>
          <w:tcPr>
            <w:tcW w:w="222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Weatherford Bermuda, Weatherford</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Delaware and Deutsche Bank Trust Company Americas</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Report on Form 8-K12B</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June 17, 2014</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4.21</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Officer’s Certificate, dated August 7, 2006, establishing the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series of 6.50% Senior Notes due 2036</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filed August 7, 2006</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4.22</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Form of $500,000,000 global note for 6.50% Senior Notes due</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2036</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August 7, 2006</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4.23</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w w:val="97"/>
              </w:rPr>
              <w:t>Form of $100,000,000 global note for 6.50% Senior Notes due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2036</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filed August 7, 2006</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4.24</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6.35% Senior Notes due 2017</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4.16 to the</w:t>
            </w:r>
          </w:p>
        </w:tc>
        <w:tc>
          <w:tcPr>
            <w:tcW w:w="222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Reg. No. 333-146695</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Registration</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Statement on Form S-4</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November 8, 2007</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4.25</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6.80% Senior Notes due 2037</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2"/>
              </w:rPr>
              <w:t>Exhibit 4.17 to the</w:t>
            </w:r>
          </w:p>
        </w:tc>
        <w:tc>
          <w:tcPr>
            <w:tcW w:w="2220" w:type="dxa"/>
            <w:vAlign w:val="bottom"/>
          </w:tcPr>
          <w:p>
            <w:pPr>
              <w:jc w:val="center"/>
              <w:ind w:left="90"/>
              <w:spacing w:after="0"/>
              <w:rPr>
                <w:sz w:val="20"/>
                <w:szCs w:val="20"/>
                <w:color w:val="auto"/>
              </w:rPr>
            </w:pPr>
            <w:r>
              <w:rPr>
                <w:rFonts w:ascii="Arial" w:cs="Arial" w:eastAsia="Arial" w:hAnsi="Arial"/>
                <w:sz w:val="18"/>
                <w:szCs w:val="18"/>
                <w:color w:val="auto"/>
                <w:w w:val="90"/>
              </w:rPr>
              <w:t>Reg. No. 333-146695</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Company's Registration</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8"/>
              </w:rPr>
              <w:t>Statement on Form S-4</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filed November 8, 2007</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4.26</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6.00% Senior Notes due 2018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filed March 25, 2008</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4.27</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7.00% Senior Notes due 2038</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4.4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filed March 25, 2008</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4.28</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9.625% Senior Notes due 2019</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January 8, 2009</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4.29</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9.875% Senior Notes due 2039</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filed January 8, 2009</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4.30</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5.125% Senior Notes due 2020</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September 22, 2010</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4.31</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6.750% Senior Notes due 2040</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4.4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filed September 22, 2010</w:t>
            </w:r>
          </w:p>
        </w:tc>
        <w:tc>
          <w:tcPr>
            <w:tcW w:w="2220" w:type="dxa"/>
            <w:vAlign w:val="bottom"/>
          </w:tcPr>
          <w:p>
            <w:pPr>
              <w:spacing w:after="0"/>
              <w:rPr>
                <w:sz w:val="20"/>
                <w:szCs w:val="20"/>
                <w:color w:val="auto"/>
              </w:rPr>
            </w:pPr>
          </w:p>
        </w:tc>
      </w:tr>
      <w:tr>
        <w:trPr>
          <w:trHeight w:val="256"/>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4.32</w:t>
            </w:r>
          </w:p>
        </w:tc>
        <w:tc>
          <w:tcPr>
            <w:tcW w:w="180" w:type="dxa"/>
            <w:vAlign w:val="bottom"/>
          </w:tcPr>
          <w:p>
            <w:pPr>
              <w:spacing w:after="0"/>
              <w:rPr>
                <w:sz w:val="22"/>
                <w:szCs w:val="22"/>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4.50% Senior Notes due 2022</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6"/>
              </w:rPr>
              <w:t>filed April 4, 2012</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4.33</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5.95% Senior Notes due 2042</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filed April 4, 2012</w:t>
            </w:r>
          </w:p>
        </w:tc>
        <w:tc>
          <w:tcPr>
            <w:tcW w:w="222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40"/>
          </w:cols>
          <w:pgMar w:left="240" w:top="378" w:right="41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50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4.34</w:t>
            </w:r>
          </w:p>
        </w:tc>
        <w:tc>
          <w:tcPr>
            <w:tcW w:w="180" w:type="dxa"/>
            <w:vAlign w:val="bottom"/>
            <w:tcBorders>
              <w:top w:val="single" w:sz="8" w:color="auto"/>
            </w:tcBorders>
            <w:shd w:val="clear" w:color="auto" w:fill="CCEEFF"/>
          </w:tcPr>
          <w:p>
            <w:pPr>
              <w:spacing w:after="0"/>
              <w:rPr>
                <w:sz w:val="19"/>
                <w:szCs w:val="19"/>
                <w:color w:val="auto"/>
              </w:rPr>
            </w:pPr>
          </w:p>
        </w:tc>
        <w:tc>
          <w:tcPr>
            <w:tcW w:w="50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global note for 5.875% Exchangeable Senior Notes</w:t>
            </w:r>
          </w:p>
        </w:tc>
        <w:tc>
          <w:tcPr>
            <w:tcW w:w="262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8"/>
              </w:rPr>
              <w:t>Exhibit A of</w:t>
            </w: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2021</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filed June 7, 2016</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4.35</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7.75% Senior Notes due 2021</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7"/>
              </w:rPr>
              <w:t>Annex A of</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3"/>
              </w:rPr>
              <w:t>Exhibit 4.1 to the</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1"/>
              </w:rPr>
              <w:t>filed June 7, 2016</w:t>
            </w: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4.36</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8.25% Senior Notes due 2023</w:t>
            </w:r>
          </w:p>
        </w:tc>
        <w:tc>
          <w:tcPr>
            <w:tcW w:w="26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5"/>
              </w:rPr>
              <w:t>Annex B of</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filed June 7, 2016</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4.37</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guarantee notation</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3"/>
              </w:rPr>
              <w:t>Exhibit 4.5 to the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0"/>
              </w:rPr>
              <w:t>filed September 22, 2010</w:t>
            </w: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4.38</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guarantee notation</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4.4 to the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6"/>
              </w:rPr>
              <w:t>filed April 4, 2012</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Weatherford International Ltd. Nonqualified Executive</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2"/>
              </w:rPr>
              <w:t>Exhibit 10.8 to the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w w:val="94"/>
              </w:rPr>
              <w:t>Retirement Plan, amended and restated effective December 31,</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2008</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0"/>
              </w:rPr>
              <w:t>filed December 31, 2008</w:t>
            </w: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*10.2</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Non-Employee Director</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10.6 to the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Retirement Plan, as amended and restated effective December</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31, 2008</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filed December 31, 2008</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*10.3</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Weatherford International Ltd. Supplemental Executive</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2"/>
              </w:rPr>
              <w:t>Exhibit 10.2 to the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Retirement Plan, effective January 1, 2010</w:t>
            </w: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2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0"/>
              </w:rPr>
              <w:t>filed December 31, 2009</w:t>
            </w: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*10.4</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Amendment to the Weatherford International Ltd.</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Supplemental Executive Retirement Plan, effective March 31,</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2010</w:t>
            </w:r>
          </w:p>
        </w:tc>
        <w:tc>
          <w:tcPr>
            <w:tcW w:w="26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filed March 23, 2010</w:t>
            </w:r>
          </w:p>
        </w:tc>
        <w:tc>
          <w:tcPr>
            <w:tcW w:w="214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320" w:hanging="877"/>
        <w:spacing w:after="0" w:line="264" w:lineRule="auto"/>
        <w:tabs>
          <w:tab w:leader="none" w:pos="1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Amendment to the Weatherford International Ltd. Supplemental Executive Retirement Plan, effective April 8, 2010</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jc w:val="right"/>
        <w:ind w:right="286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282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filed April 9, 2010</w:t>
      </w:r>
    </w:p>
    <w:p>
      <w:pPr>
        <w:spacing w:after="0" w:line="36"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Third Amendment to the Weatherford International Ltd.</w:t>
            </w:r>
          </w:p>
        </w:tc>
        <w:tc>
          <w:tcPr>
            <w:tcW w:w="26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10.10 of the</w:t>
            </w: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1-36504</w:t>
            </w:r>
          </w:p>
        </w:tc>
      </w:tr>
      <w:tr>
        <w:trPr>
          <w:trHeight w:val="216"/>
        </w:trPr>
        <w:tc>
          <w:tcPr>
            <w:tcW w:w="860" w:type="dxa"/>
            <w:vAlign w:val="bottom"/>
            <w:shd w:val="clear" w:color="auto" w:fill="CCEEFF"/>
          </w:tcPr>
          <w:p>
            <w:pPr>
              <w:spacing w:after="0"/>
              <w:rPr>
                <w:sz w:val="18"/>
                <w:szCs w:val="18"/>
                <w:color w:val="auto"/>
              </w:rPr>
            </w:pPr>
          </w:p>
        </w:tc>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Supplemental Executive Retirement Plan (as amended on June</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16, 2014)</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20" w:type="dxa"/>
            <w:vAlign w:val="bottom"/>
            <w:shd w:val="clear" w:color="auto" w:fill="CCEEFF"/>
          </w:tcPr>
          <w:p>
            <w:pPr>
              <w:spacing w:after="0"/>
              <w:rPr>
                <w:sz w:val="18"/>
                <w:szCs w:val="18"/>
                <w:color w:val="auto"/>
              </w:rPr>
            </w:pP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86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5040" w:type="dxa"/>
            <w:vAlign w:val="bottom"/>
          </w:tcPr>
          <w:p>
            <w:pPr>
              <w:ind w:left="240"/>
              <w:spacing w:after="0"/>
              <w:rPr>
                <w:sz w:val="20"/>
                <w:szCs w:val="20"/>
                <w:color w:val="auto"/>
              </w:rPr>
            </w:pPr>
            <w:r>
              <w:rPr>
                <w:rFonts w:ascii="Arial" w:cs="Arial" w:eastAsia="Arial" w:hAnsi="Arial"/>
                <w:sz w:val="18"/>
                <w:szCs w:val="18"/>
                <w:color w:val="auto"/>
                <w:w w:val="99"/>
              </w:rPr>
              <w:t>Weatherford International, Inc. 1998 Employee Stock Option</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Exhibit 10.18 to the</w:t>
            </w:r>
          </w:p>
        </w:tc>
        <w:tc>
          <w:tcPr>
            <w:tcW w:w="2120" w:type="dxa"/>
            <w:vAlign w:val="bottom"/>
          </w:tcPr>
          <w:p>
            <w:pPr>
              <w:ind w:left="480"/>
              <w:spacing w:after="0"/>
              <w:rPr>
                <w:sz w:val="20"/>
                <w:szCs w:val="20"/>
                <w:color w:val="auto"/>
              </w:rPr>
            </w:pPr>
            <w:r>
              <w:rPr>
                <w:rFonts w:ascii="Arial" w:cs="Arial" w:eastAsia="Arial" w:hAnsi="Arial"/>
                <w:sz w:val="18"/>
                <w:szCs w:val="18"/>
                <w:color w:val="auto"/>
              </w:rPr>
              <w:t>File No. 1-13086</w:t>
            </w:r>
          </w:p>
        </w:tc>
      </w:tr>
      <w:tr>
        <w:trPr>
          <w:trHeight w:val="216"/>
        </w:trPr>
        <w:tc>
          <w:tcPr>
            <w:tcW w:w="860" w:type="dxa"/>
            <w:vAlign w:val="bottom"/>
          </w:tcPr>
          <w:p>
            <w:pPr>
              <w:spacing w:after="0"/>
              <w:rPr>
                <w:sz w:val="18"/>
                <w:szCs w:val="18"/>
                <w:color w:val="auto"/>
              </w:rPr>
            </w:pPr>
          </w:p>
        </w:tc>
        <w:tc>
          <w:tcPr>
            <w:tcW w:w="5040" w:type="dxa"/>
            <w:vAlign w:val="bottom"/>
          </w:tcPr>
          <w:p>
            <w:pPr>
              <w:ind w:left="240"/>
              <w:spacing w:after="0"/>
              <w:rPr>
                <w:sz w:val="20"/>
                <w:szCs w:val="20"/>
                <w:color w:val="auto"/>
              </w:rPr>
            </w:pPr>
            <w:r>
              <w:rPr>
                <w:rFonts w:ascii="Arial" w:cs="Arial" w:eastAsia="Arial" w:hAnsi="Arial"/>
                <w:sz w:val="18"/>
                <w:szCs w:val="18"/>
                <w:color w:val="auto"/>
              </w:rPr>
              <w:t>Plan, as amended, including form of agreement for officers</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0"/>
              </w:rPr>
              <w:t>Company's Annual Report</w:t>
            </w:r>
          </w:p>
        </w:tc>
        <w:tc>
          <w:tcPr>
            <w:tcW w:w="2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on Form 10-K for the year</w:t>
            </w:r>
          </w:p>
        </w:tc>
        <w:tc>
          <w:tcPr>
            <w:tcW w:w="21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89"/>
              </w:rPr>
              <w:t>ended December 31, 2003</w:t>
            </w:r>
          </w:p>
        </w:tc>
        <w:tc>
          <w:tcPr>
            <w:tcW w:w="21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680" w:type="dxa"/>
            <w:vAlign w:val="bottom"/>
          </w:tcPr>
          <w:p>
            <w:pPr>
              <w:jc w:val="center"/>
              <w:ind w:right="30"/>
              <w:spacing w:after="0"/>
              <w:rPr>
                <w:sz w:val="20"/>
                <w:szCs w:val="20"/>
                <w:color w:val="auto"/>
              </w:rPr>
            </w:pPr>
            <w:r>
              <w:rPr>
                <w:rFonts w:ascii="Arial" w:cs="Arial" w:eastAsia="Arial" w:hAnsi="Arial"/>
                <w:sz w:val="18"/>
                <w:szCs w:val="18"/>
                <w:color w:val="auto"/>
                <w:w w:val="93"/>
              </w:rPr>
              <w:t>filed March 10, 2004</w:t>
            </w:r>
          </w:p>
        </w:tc>
        <w:tc>
          <w:tcPr>
            <w:tcW w:w="212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Deed Poll of Assumption, dated June 16, 2014, executed by</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10.3 of the</w:t>
            </w: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1-36504</w:t>
            </w:r>
          </w:p>
        </w:tc>
      </w:tr>
      <w:tr>
        <w:trPr>
          <w:trHeight w:val="216"/>
        </w:trPr>
        <w:tc>
          <w:tcPr>
            <w:tcW w:w="860" w:type="dxa"/>
            <w:vAlign w:val="bottom"/>
            <w:shd w:val="clear" w:color="auto" w:fill="CCEEFF"/>
          </w:tcPr>
          <w:p>
            <w:pPr>
              <w:spacing w:after="0"/>
              <w:rPr>
                <w:sz w:val="18"/>
                <w:szCs w:val="18"/>
                <w:color w:val="auto"/>
              </w:rPr>
            </w:pPr>
          </w:p>
        </w:tc>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Ireland</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20" w:type="dxa"/>
            <w:vAlign w:val="bottom"/>
            <w:shd w:val="clear" w:color="auto" w:fill="CCEEFF"/>
          </w:tcPr>
          <w:p>
            <w:pPr>
              <w:spacing w:after="0"/>
              <w:rPr>
                <w:sz w:val="18"/>
                <w:szCs w:val="18"/>
                <w:color w:val="auto"/>
              </w:rPr>
            </w:pPr>
          </w:p>
        </w:tc>
      </w:tr>
      <w:tr>
        <w:trPr>
          <w:trHeight w:val="230"/>
        </w:trPr>
        <w:tc>
          <w:tcPr>
            <w:tcW w:w="86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6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20" w:type="dxa"/>
            <w:vAlign w:val="bottom"/>
            <w:shd w:val="clear" w:color="auto" w:fill="CCEEFF"/>
          </w:tcPr>
          <w:p>
            <w:pPr>
              <w:spacing w:after="0"/>
              <w:rPr>
                <w:sz w:val="20"/>
                <w:szCs w:val="20"/>
                <w:color w:val="auto"/>
              </w:rPr>
            </w:pPr>
          </w:p>
        </w:tc>
      </w:tr>
      <w:tr>
        <w:trPr>
          <w:trHeight w:val="27"/>
        </w:trPr>
        <w:tc>
          <w:tcPr>
            <w:tcW w:w="86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40"/>
          </w:cols>
          <w:pgMar w:left="240" w:top="378" w:right="41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9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9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*10.9</w:t>
            </w:r>
          </w:p>
        </w:tc>
        <w:tc>
          <w:tcPr>
            <w:tcW w:w="180" w:type="dxa"/>
            <w:vAlign w:val="bottom"/>
            <w:tcBorders>
              <w:top w:val="single" w:sz="8" w:color="auto"/>
            </w:tcBorders>
            <w:shd w:val="clear" w:color="auto" w:fill="CCEEFF"/>
          </w:tcPr>
          <w:p>
            <w:pPr>
              <w:spacing w:after="0"/>
              <w:rPr>
                <w:sz w:val="19"/>
                <w:szCs w:val="19"/>
                <w:color w:val="auto"/>
              </w:rPr>
            </w:pPr>
          </w:p>
        </w:tc>
        <w:tc>
          <w:tcPr>
            <w:tcW w:w="49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Weatherford International plc 2006 Omnibus Incentive Plan</w:t>
            </w:r>
          </w:p>
        </w:tc>
        <w:tc>
          <w:tcPr>
            <w:tcW w:w="274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10.2 of the</w:t>
            </w: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(as amended and restated, conformed as of June 16, 2015)</w:t>
            </w: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Quarterly</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Report on Form 10-Q</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June 30, 2015 filed</w:t>
            </w:r>
          </w:p>
        </w:tc>
        <w:tc>
          <w:tcPr>
            <w:tcW w:w="21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24, 2015</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*10.10</w:t>
            </w:r>
          </w:p>
        </w:tc>
        <w:tc>
          <w:tcPr>
            <w:tcW w:w="18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w w:val="97"/>
              </w:rPr>
              <w:t>Form of Restricted Share Unit Award Agreement pursuant to</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92"/>
              </w:rPr>
              <w:t>Exhibit 10.5 of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Weatherford International plc 2006 Omnibus Incentive Plan</w:t>
            </w: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740" w:type="dxa"/>
            <w:vAlign w:val="bottom"/>
          </w:tcPr>
          <w:p>
            <w:pPr>
              <w:jc w:val="center"/>
              <w:ind w:right="30"/>
              <w:spacing w:after="0"/>
              <w:rPr>
                <w:sz w:val="20"/>
                <w:szCs w:val="20"/>
                <w:color w:val="auto"/>
              </w:rPr>
            </w:pPr>
            <w:r>
              <w:rPr>
                <w:rFonts w:ascii="Arial" w:cs="Arial" w:eastAsia="Arial" w:hAnsi="Arial"/>
                <w:sz w:val="18"/>
                <w:szCs w:val="18"/>
                <w:color w:val="auto"/>
                <w:w w:val="93"/>
              </w:rPr>
              <w:t>Report on Form 8-K12B</w:t>
            </w:r>
          </w:p>
        </w:tc>
        <w:tc>
          <w:tcPr>
            <w:tcW w:w="21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filed June 17, 2014</w:t>
            </w:r>
          </w:p>
        </w:tc>
        <w:tc>
          <w:tcPr>
            <w:tcW w:w="21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*10.11</w:t>
            </w:r>
          </w:p>
        </w:tc>
        <w:tc>
          <w:tcPr>
            <w:tcW w:w="180" w:type="dxa"/>
            <w:vAlign w:val="bottom"/>
            <w:shd w:val="clear" w:color="auto" w:fill="CCEEFF"/>
          </w:tcPr>
          <w:p>
            <w:pPr>
              <w:spacing w:after="0"/>
              <w:rPr>
                <w:sz w:val="19"/>
                <w:szCs w:val="19"/>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Stock Option Agreement for Officers pursuant to</w:t>
            </w: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10.46 to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plc 2006 Omnibus Incentive Plan</w:t>
            </w: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Company's Annual Report</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on Form 10-K for the year</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ended December 31, 2006</w:t>
            </w:r>
          </w:p>
        </w:tc>
        <w:tc>
          <w:tcPr>
            <w:tcW w:w="212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February 23, 2007</w:t>
            </w:r>
          </w:p>
        </w:tc>
        <w:tc>
          <w:tcPr>
            <w:tcW w:w="212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hanging="922"/>
        <w:spacing w:after="0" w:line="264" w:lineRule="auto"/>
        <w:tabs>
          <w:tab w:leader="none" w:pos="16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Weatherford International, Inc. Executive Deferred Compensation Stock Ownership Plan, as amended and restated effective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141605</wp:posOffset>
            </wp:positionV>
            <wp:extent cx="6791960" cy="582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15" w:lineRule="exact"/>
        <w:rPr>
          <w:sz w:val="20"/>
          <w:szCs w:val="20"/>
          <w:color w:val="auto"/>
        </w:rPr>
      </w:pPr>
    </w:p>
    <w:p>
      <w:pPr>
        <w:ind w:left="1640" w:right="400" w:hanging="922"/>
        <w:spacing w:after="0" w:line="342" w:lineRule="auto"/>
        <w:tabs>
          <w:tab w:leader="none" w:pos="16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First Amendment to the Weatherford International, Inc. Executive Deferred Compensation Stock Ownership Plan</w:t>
      </w:r>
    </w:p>
    <w:p>
      <w:pPr>
        <w:spacing w:after="0" w:line="394" w:lineRule="exact"/>
        <w:rPr>
          <w:sz w:val="20"/>
          <w:szCs w:val="20"/>
          <w:color w:val="auto"/>
        </w:rPr>
      </w:pPr>
    </w:p>
    <w:p>
      <w:pPr>
        <w:ind w:left="1640" w:right="220" w:hanging="922"/>
        <w:spacing w:after="0" w:line="264" w:lineRule="auto"/>
        <w:tabs>
          <w:tab w:leader="none" w:pos="16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Weatherford International Ltd. Deferred Compensation Plan for Non-Employee Directors, as amended and restated effective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141605</wp:posOffset>
            </wp:positionV>
            <wp:extent cx="6791960" cy="582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15" w:lineRule="exact"/>
        <w:rPr>
          <w:sz w:val="20"/>
          <w:szCs w:val="20"/>
          <w:color w:val="auto"/>
        </w:rPr>
      </w:pPr>
    </w:p>
    <w:p>
      <w:pPr>
        <w:ind w:left="1640" w:right="240" w:hanging="922"/>
        <w:spacing w:after="0" w:line="277" w:lineRule="auto"/>
        <w:tabs>
          <w:tab w:leader="none" w:pos="16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Weatherford International plc 2010 Omnibus Incentive Plan (as amended and restated)</w:t>
      </w:r>
    </w:p>
    <w:p>
      <w:pPr>
        <w:spacing w:after="0" w:line="200" w:lineRule="exact"/>
        <w:rPr>
          <w:sz w:val="20"/>
          <w:szCs w:val="20"/>
          <w:color w:val="auto"/>
        </w:rPr>
      </w:pPr>
    </w:p>
    <w:p>
      <w:pPr>
        <w:spacing w:after="0" w:line="241" w:lineRule="exact"/>
        <w:rPr>
          <w:sz w:val="20"/>
          <w:szCs w:val="20"/>
          <w:color w:val="auto"/>
        </w:rPr>
      </w:pPr>
    </w:p>
    <w:p>
      <w:pPr>
        <w:ind w:left="1640" w:right="520" w:hanging="922"/>
        <w:spacing w:after="0" w:line="277" w:lineRule="auto"/>
        <w:tabs>
          <w:tab w:leader="none" w:pos="16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First Amendment to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271780</wp:posOffset>
            </wp:positionV>
            <wp:extent cx="6791960" cy="582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40" w:right="160" w:hanging="922"/>
        <w:spacing w:after="0" w:line="342" w:lineRule="auto"/>
        <w:tabs>
          <w:tab w:leader="none" w:pos="16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Restricted Share Unit Award Agreement pursuant to Weatherford International plc 2010 Omnibus Incentive Plan</w:t>
      </w:r>
    </w:p>
    <w:p>
      <w:pPr>
        <w:spacing w:after="0" w:line="394" w:lineRule="exact"/>
        <w:rPr>
          <w:sz w:val="20"/>
          <w:szCs w:val="20"/>
          <w:color w:val="auto"/>
        </w:rPr>
      </w:pPr>
    </w:p>
    <w:p>
      <w:pPr>
        <w:ind w:left="1640" w:right="240" w:hanging="922"/>
        <w:spacing w:after="0" w:line="342" w:lineRule="auto"/>
        <w:tabs>
          <w:tab w:leader="none" w:pos="16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Performance Unit Award Agreement pursuant to Weatherford International plc 2010 Omnibus Incentive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ind w:left="320"/>
              <w:spacing w:after="0"/>
              <w:rPr>
                <w:sz w:val="20"/>
                <w:szCs w:val="20"/>
                <w:color w:val="auto"/>
              </w:rPr>
            </w:pPr>
            <w:r>
              <w:rPr>
                <w:rFonts w:ascii="Arial" w:cs="Arial" w:eastAsia="Arial" w:hAnsi="Arial"/>
                <w:sz w:val="18"/>
                <w:szCs w:val="18"/>
                <w:color w:val="auto"/>
              </w:rPr>
              <w:t>Exhibit 10.3 to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1-31339</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89"/>
              </w:rPr>
              <w:t>Company's Current</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0"/>
              </w:rPr>
              <w:t>filed December 31, 2008</w:t>
            </w:r>
          </w:p>
        </w:tc>
        <w:tc>
          <w:tcPr>
            <w:tcW w:w="1680" w:type="dxa"/>
            <w:vAlign w:val="bottom"/>
          </w:tcPr>
          <w:p>
            <w:pPr>
              <w:spacing w:after="0"/>
              <w:rPr>
                <w:sz w:val="20"/>
                <w:szCs w:val="20"/>
                <w:color w:val="auto"/>
              </w:rPr>
            </w:pPr>
          </w:p>
        </w:tc>
      </w:tr>
      <w:tr>
        <w:trPr>
          <w:trHeight w:val="25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2"/>
              </w:rPr>
              <w:t>Exhibit 10.1 of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1-34258</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89"/>
              </w:rPr>
              <w:t>Company's Current</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6"/>
              </w:rPr>
              <w:t>filed April 2, 2014</w:t>
            </w:r>
          </w:p>
        </w:tc>
        <w:tc>
          <w:tcPr>
            <w:tcW w:w="1680" w:type="dxa"/>
            <w:vAlign w:val="bottom"/>
          </w:tcPr>
          <w:p>
            <w:pPr>
              <w:spacing w:after="0"/>
              <w:rPr>
                <w:sz w:val="20"/>
                <w:szCs w:val="20"/>
                <w:color w:val="auto"/>
              </w:rPr>
            </w:pPr>
          </w:p>
        </w:tc>
      </w:tr>
      <w:tr>
        <w:trPr>
          <w:trHeight w:val="25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2"/>
              </w:rPr>
              <w:t>Exhibit 10.5 to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1-31339</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89"/>
              </w:rPr>
              <w:t>Company's Current</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1"/>
              </w:rPr>
              <w:t>Report on Form 8-K</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0"/>
              </w:rPr>
              <w:t>filed December 31, 2008</w:t>
            </w:r>
          </w:p>
        </w:tc>
        <w:tc>
          <w:tcPr>
            <w:tcW w:w="1680" w:type="dxa"/>
            <w:vAlign w:val="bottom"/>
          </w:tcPr>
          <w:p>
            <w:pPr>
              <w:spacing w:after="0"/>
              <w:rPr>
                <w:sz w:val="20"/>
                <w:szCs w:val="20"/>
                <w:color w:val="auto"/>
              </w:rPr>
            </w:pPr>
          </w:p>
        </w:tc>
      </w:tr>
      <w:tr>
        <w:trPr>
          <w:trHeight w:val="25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2"/>
              </w:rPr>
              <w:t>Exhibit 10.6 of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1-36504</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89"/>
              </w:rPr>
              <w:t>Company's Current</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3"/>
              </w:rPr>
              <w:t>Report on Form 8-K12B</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0"/>
              </w:rPr>
              <w:t>filed June 17, 2014</w:t>
            </w:r>
          </w:p>
        </w:tc>
        <w:tc>
          <w:tcPr>
            <w:tcW w:w="1680" w:type="dxa"/>
            <w:vAlign w:val="bottom"/>
          </w:tcPr>
          <w:p>
            <w:pPr>
              <w:spacing w:after="0"/>
              <w:rPr>
                <w:sz w:val="20"/>
                <w:szCs w:val="20"/>
                <w:color w:val="auto"/>
              </w:rPr>
            </w:pPr>
          </w:p>
        </w:tc>
      </w:tr>
      <w:tr>
        <w:trPr>
          <w:trHeight w:val="25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3"/>
              </w:rPr>
              <w:t>Annex A of the Company's</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1-36504</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3"/>
              </w:rPr>
              <w:t>Definitive Proxy Statement</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10"/>
              <w:spacing w:after="0"/>
              <w:rPr>
                <w:sz w:val="20"/>
                <w:szCs w:val="20"/>
                <w:color w:val="auto"/>
              </w:rPr>
            </w:pPr>
            <w:r>
              <w:rPr>
                <w:rFonts w:ascii="Arial" w:cs="Arial" w:eastAsia="Arial" w:hAnsi="Arial"/>
                <w:sz w:val="18"/>
                <w:szCs w:val="18"/>
                <w:color w:val="auto"/>
                <w:w w:val="90"/>
              </w:rPr>
              <w:t>on Schedule 14A</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5"/>
              </w:rPr>
              <w:t>filed April 29, 2015</w:t>
            </w:r>
          </w:p>
        </w:tc>
        <w:tc>
          <w:tcPr>
            <w:tcW w:w="1680" w:type="dxa"/>
            <w:vAlign w:val="bottom"/>
          </w:tcPr>
          <w:p>
            <w:pPr>
              <w:spacing w:after="0"/>
              <w:rPr>
                <w:sz w:val="20"/>
                <w:szCs w:val="20"/>
                <w:color w:val="auto"/>
              </w:rPr>
            </w:pPr>
          </w:p>
        </w:tc>
      </w:tr>
      <w:tr>
        <w:trPr>
          <w:trHeight w:val="25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2"/>
              </w:rPr>
              <w:t>Exhibit 10.7 of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1-36504</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89"/>
              </w:rPr>
              <w:t>Company's Current</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3"/>
              </w:rPr>
              <w:t>Report on Form 8-K12B</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0"/>
              </w:rPr>
              <w:t>filed June 17, 2014</w:t>
            </w:r>
          </w:p>
        </w:tc>
        <w:tc>
          <w:tcPr>
            <w:tcW w:w="1680" w:type="dxa"/>
            <w:vAlign w:val="bottom"/>
          </w:tcPr>
          <w:p>
            <w:pPr>
              <w:spacing w:after="0"/>
              <w:rPr>
                <w:sz w:val="20"/>
                <w:szCs w:val="20"/>
                <w:color w:val="auto"/>
              </w:rPr>
            </w:pPr>
          </w:p>
        </w:tc>
      </w:tr>
      <w:tr>
        <w:trPr>
          <w:trHeight w:val="25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2"/>
              </w:rPr>
              <w:t>Exhibit 10.1 of the</w:t>
            </w:r>
          </w:p>
        </w:tc>
        <w:tc>
          <w:tcPr>
            <w:tcW w:w="1680" w:type="dxa"/>
            <w:vAlign w:val="bottom"/>
          </w:tcPr>
          <w:p>
            <w:pPr>
              <w:ind w:left="460"/>
              <w:spacing w:after="0"/>
              <w:rPr>
                <w:sz w:val="20"/>
                <w:szCs w:val="20"/>
                <w:color w:val="auto"/>
              </w:rPr>
            </w:pPr>
            <w:r>
              <w:rPr>
                <w:rFonts w:ascii="Arial" w:cs="Arial" w:eastAsia="Arial" w:hAnsi="Arial"/>
                <w:sz w:val="18"/>
                <w:szCs w:val="18"/>
                <w:color w:val="auto"/>
                <w:w w:val="90"/>
              </w:rPr>
              <w:t>File No. 1-36504</w:t>
            </w: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1"/>
              </w:rPr>
              <w:t>Company's Quarterly</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70"/>
              <w:spacing w:after="0"/>
              <w:rPr>
                <w:sz w:val="20"/>
                <w:szCs w:val="20"/>
                <w:color w:val="auto"/>
              </w:rPr>
            </w:pPr>
            <w:r>
              <w:rPr>
                <w:rFonts w:ascii="Arial" w:cs="Arial" w:eastAsia="Arial" w:hAnsi="Arial"/>
                <w:sz w:val="18"/>
                <w:szCs w:val="18"/>
                <w:color w:val="auto"/>
                <w:w w:val="92"/>
              </w:rPr>
              <w:t>Report on Form 10-Q</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89"/>
              </w:rPr>
              <w:t>for the quarter ended</w:t>
            </w:r>
          </w:p>
        </w:tc>
        <w:tc>
          <w:tcPr>
            <w:tcW w:w="1680" w:type="dxa"/>
            <w:vAlign w:val="bottom"/>
          </w:tcPr>
          <w:p>
            <w:pPr>
              <w:spacing w:after="0"/>
              <w:rPr>
                <w:sz w:val="18"/>
                <w:szCs w:val="18"/>
                <w:color w:val="auto"/>
              </w:rPr>
            </w:pPr>
          </w:p>
        </w:tc>
      </w:tr>
      <w:tr>
        <w:trPr>
          <w:trHeight w:val="216"/>
        </w:trPr>
        <w:tc>
          <w:tcPr>
            <w:tcW w:w="2440" w:type="dxa"/>
            <w:vAlign w:val="bottom"/>
          </w:tcPr>
          <w:p>
            <w:pPr>
              <w:jc w:val="center"/>
              <w:ind w:right="350"/>
              <w:spacing w:after="0"/>
              <w:rPr>
                <w:sz w:val="20"/>
                <w:szCs w:val="20"/>
                <w:color w:val="auto"/>
              </w:rPr>
            </w:pPr>
            <w:r>
              <w:rPr>
                <w:rFonts w:ascii="Arial" w:cs="Arial" w:eastAsia="Arial" w:hAnsi="Arial"/>
                <w:sz w:val="18"/>
                <w:szCs w:val="18"/>
                <w:color w:val="auto"/>
                <w:w w:val="93"/>
              </w:rPr>
              <w:t>March 31, 2015 filed</w:t>
            </w:r>
          </w:p>
        </w:tc>
        <w:tc>
          <w:tcPr>
            <w:tcW w:w="1680" w:type="dxa"/>
            <w:vAlign w:val="bottom"/>
          </w:tcPr>
          <w:p>
            <w:pPr>
              <w:spacing w:after="0"/>
              <w:rPr>
                <w:sz w:val="18"/>
                <w:szCs w:val="18"/>
                <w:color w:val="auto"/>
              </w:rPr>
            </w:pPr>
          </w:p>
        </w:tc>
      </w:tr>
      <w:tr>
        <w:trPr>
          <w:trHeight w:val="230"/>
        </w:trPr>
        <w:tc>
          <w:tcPr>
            <w:tcW w:w="2440" w:type="dxa"/>
            <w:vAlign w:val="bottom"/>
          </w:tcPr>
          <w:p>
            <w:pPr>
              <w:jc w:val="center"/>
              <w:ind w:right="330"/>
              <w:spacing w:after="0"/>
              <w:rPr>
                <w:sz w:val="20"/>
                <w:szCs w:val="20"/>
                <w:color w:val="auto"/>
              </w:rPr>
            </w:pPr>
            <w:r>
              <w:rPr>
                <w:rFonts w:ascii="Arial" w:cs="Arial" w:eastAsia="Arial" w:hAnsi="Arial"/>
                <w:sz w:val="18"/>
                <w:szCs w:val="18"/>
                <w:color w:val="auto"/>
                <w:w w:val="95"/>
              </w:rPr>
              <w:t>April 24, 2015</w:t>
            </w:r>
          </w:p>
        </w:tc>
        <w:tc>
          <w:tcPr>
            <w:tcW w:w="168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6180" w:space="520"/>
            <w:col w:w="45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*10.19</w:t>
            </w:r>
          </w:p>
        </w:tc>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Restricted Share Units Award Agreement (CIC -</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Exhibit 10.21 of the Company</w:t>
            </w:r>
          </w:p>
        </w:tc>
        <w:tc>
          <w:tcPr>
            <w:tcW w:w="2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shd w:val="clear" w:color="auto" w:fill="CCEEFF"/>
          </w:tcPr>
          <w:p>
            <w:pPr>
              <w:spacing w:after="0"/>
              <w:rPr>
                <w:sz w:val="18"/>
                <w:szCs w:val="18"/>
                <w:color w:val="auto"/>
              </w:rPr>
            </w:pPr>
          </w:p>
        </w:tc>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Officer) pursuant to the Weatherford International plc 2010</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Annual Report on Form 10-K</w:t>
            </w:r>
          </w:p>
        </w:tc>
        <w:tc>
          <w:tcPr>
            <w:tcW w:w="204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Omnibus Incentive Plan</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filed February 16, 2016</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*10.20</w:t>
            </w:r>
          </w:p>
        </w:tc>
        <w:tc>
          <w:tcPr>
            <w:tcW w:w="4880" w:type="dxa"/>
            <w:vAlign w:val="bottom"/>
          </w:tcPr>
          <w:p>
            <w:pPr>
              <w:ind w:left="220"/>
              <w:spacing w:after="0"/>
              <w:rPr>
                <w:sz w:val="20"/>
                <w:szCs w:val="20"/>
                <w:color w:val="auto"/>
              </w:rPr>
            </w:pPr>
            <w:r>
              <w:rPr>
                <w:rFonts w:ascii="Arial" w:cs="Arial" w:eastAsia="Arial" w:hAnsi="Arial"/>
                <w:sz w:val="18"/>
                <w:szCs w:val="18"/>
                <w:color w:val="auto"/>
              </w:rPr>
              <w:t>Form of Restricted Share Units Award Agreement (CIC -</w:t>
            </w: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2"/>
              </w:rPr>
              <w:t>Exhibit 10.5 of the</w:t>
            </w:r>
          </w:p>
        </w:tc>
        <w:tc>
          <w:tcPr>
            <w:tcW w:w="2040" w:type="dxa"/>
            <w:vAlign w:val="bottom"/>
          </w:tcPr>
          <w:p>
            <w:pPr>
              <w:ind w:left="40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7"/>
              </w:rPr>
              <w:t>Director) pursuant to the Weatherford International plc 2010</w:t>
            </w: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1"/>
              </w:rPr>
              <w:t>Company's Quarterly</w:t>
            </w:r>
          </w:p>
        </w:tc>
        <w:tc>
          <w:tcPr>
            <w:tcW w:w="20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Omnibus Incentive Plan</w:t>
            </w: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2"/>
              </w:rPr>
              <w:t>Report on Form 10-Q</w:t>
            </w:r>
          </w:p>
        </w:tc>
        <w:tc>
          <w:tcPr>
            <w:tcW w:w="20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for the quarter ended</w:t>
            </w:r>
          </w:p>
        </w:tc>
        <w:tc>
          <w:tcPr>
            <w:tcW w:w="20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0"/>
              </w:rPr>
              <w:t>June 30, 2015 filed</w:t>
            </w:r>
          </w:p>
        </w:tc>
        <w:tc>
          <w:tcPr>
            <w:tcW w:w="20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1"/>
              </w:rPr>
              <w:t>July 24, 2015</w:t>
            </w:r>
          </w:p>
        </w:tc>
        <w:tc>
          <w:tcPr>
            <w:tcW w:w="20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240"/>
          </w:cols>
          <w:pgMar w:left="240" w:top="378" w:right="41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9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498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6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Original Filed Exhibit</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*10.21</w:t>
            </w:r>
          </w:p>
        </w:tc>
        <w:tc>
          <w:tcPr>
            <w:tcW w:w="180" w:type="dxa"/>
            <w:vAlign w:val="bottom"/>
            <w:tcBorders>
              <w:top w:val="single" w:sz="8" w:color="auto"/>
            </w:tcBorders>
            <w:shd w:val="clear" w:color="auto" w:fill="CCEEFF"/>
          </w:tcPr>
          <w:p>
            <w:pPr>
              <w:spacing w:after="0"/>
              <w:rPr>
                <w:sz w:val="19"/>
                <w:szCs w:val="19"/>
                <w:color w:val="auto"/>
              </w:rPr>
            </w:pPr>
          </w:p>
        </w:tc>
        <w:tc>
          <w:tcPr>
            <w:tcW w:w="4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Forms of Annex (Relative TSR and Absolute TSR) to</w:t>
            </w:r>
          </w:p>
        </w:tc>
        <w:tc>
          <w:tcPr>
            <w:tcW w:w="268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 to the</w:t>
            </w: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Performance Unit Award Agreements for use under the</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plc 2010 Omnibus Incentive Plan</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98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filed February 22, 2012</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*10.22</w:t>
            </w:r>
          </w:p>
        </w:tc>
        <w:tc>
          <w:tcPr>
            <w:tcW w:w="1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w w:val="96"/>
              </w:rPr>
              <w:t>Form of addendum for use with certain equity grants under the</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Exhibit 10.26 to the</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Weatherford International plc 2010 Omnibus Incentive Plan</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0"/>
              </w:rPr>
              <w:t>Company's Annual Report</w:t>
            </w:r>
          </w:p>
        </w:tc>
        <w:tc>
          <w:tcPr>
            <w:tcW w:w="21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5"/>
              </w:rPr>
              <w:t>on Form 10-K filed</w:t>
            </w:r>
          </w:p>
        </w:tc>
        <w:tc>
          <w:tcPr>
            <w:tcW w:w="21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80" w:type="dxa"/>
            <w:vAlign w:val="bottom"/>
          </w:tcPr>
          <w:p>
            <w:pPr>
              <w:jc w:val="center"/>
              <w:ind w:right="30"/>
              <w:spacing w:after="0"/>
              <w:rPr>
                <w:sz w:val="20"/>
                <w:szCs w:val="20"/>
                <w:color w:val="auto"/>
              </w:rPr>
            </w:pPr>
            <w:r>
              <w:rPr>
                <w:rFonts w:ascii="Arial" w:cs="Arial" w:eastAsia="Arial" w:hAnsi="Arial"/>
                <w:sz w:val="18"/>
                <w:szCs w:val="18"/>
                <w:color w:val="auto"/>
                <w:w w:val="89"/>
              </w:rPr>
              <w:t>February 17, 2015</w:t>
            </w:r>
          </w:p>
        </w:tc>
        <w:tc>
          <w:tcPr>
            <w:tcW w:w="21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*10.23</w:t>
            </w:r>
          </w:p>
        </w:tc>
        <w:tc>
          <w:tcPr>
            <w:tcW w:w="180" w:type="dxa"/>
            <w:vAlign w:val="bottom"/>
            <w:shd w:val="clear" w:color="auto" w:fill="CCEEFF"/>
          </w:tcPr>
          <w:p>
            <w:pPr>
              <w:spacing w:after="0"/>
              <w:rPr>
                <w:sz w:val="19"/>
                <w:szCs w:val="19"/>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Restricted Share Unit Award Agreement - U.K.</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10.9 of the</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pursuant to Weatherford International plc 2010 Omnibus</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2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980" w:type="dxa"/>
            <w:vAlign w:val="bottom"/>
            <w:shd w:val="clear" w:color="auto" w:fill="CCEEFF"/>
          </w:tcPr>
          <w:p>
            <w:pPr>
              <w:spacing w:after="0"/>
              <w:rPr>
                <w:sz w:val="20"/>
                <w:szCs w:val="20"/>
                <w:color w:val="auto"/>
              </w:rPr>
            </w:pPr>
          </w:p>
        </w:tc>
        <w:tc>
          <w:tcPr>
            <w:tcW w:w="26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2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200" w:hanging="922"/>
        <w:spacing w:after="0" w:line="342" w:lineRule="auto"/>
        <w:tabs>
          <w:tab w:leader="none" w:pos="16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Form of Performance Unit Award Agreement pursuant to Weatherford International plc 2010 Omnibus Incentive Plan</w:t>
      </w:r>
    </w:p>
    <w:p>
      <w:pPr>
        <w:spacing w:after="0" w:line="20" w:lineRule="exact"/>
        <w:rPr>
          <w:sz w:val="20"/>
          <w:szCs w:val="20"/>
          <w:color w:val="auto"/>
        </w:rPr>
      </w:pPr>
      <w:r>
        <w:rPr>
          <w:sz w:val="20"/>
          <w:szCs w:val="20"/>
          <w:color w:val="auto"/>
        </w:rPr>
        <w:br w:type="column"/>
      </w:r>
    </w:p>
    <w:p>
      <w:pPr>
        <w:ind w:left="180"/>
        <w:spacing w:after="0"/>
        <w:tabs>
          <w:tab w:leader="none" w:pos="27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February 22, 2011</w:t>
      </w:r>
    </w:p>
    <w:p>
      <w:pPr>
        <w:spacing w:after="0" w:line="36" w:lineRule="exact"/>
        <w:rPr>
          <w:sz w:val="20"/>
          <w:szCs w:val="20"/>
          <w:color w:val="auto"/>
        </w:rPr>
      </w:pPr>
    </w:p>
    <w:p>
      <w:pPr>
        <w:sectPr>
          <w:pgSz w:w="11900" w:h="16838" w:orient="portrait"/>
          <w:cols w:equalWidth="0" w:num="2">
            <w:col w:w="6140" w:space="720"/>
            <w:col w:w="43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*10.25</w:t>
            </w: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Performance Unit Award Agreement pursuant to</w:t>
            </w:r>
          </w:p>
        </w:tc>
        <w:tc>
          <w:tcPr>
            <w:tcW w:w="28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10.2 to the</w:t>
            </w:r>
          </w:p>
        </w:tc>
        <w:tc>
          <w:tcPr>
            <w:tcW w:w="2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Weatherford International plc 2010 Omnibus Incentive Plan</w:t>
            </w:r>
          </w:p>
        </w:tc>
        <w:tc>
          <w:tcPr>
            <w:tcW w:w="28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0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(Shareholder Return)</w:t>
            </w:r>
          </w:p>
        </w:tc>
        <w:tc>
          <w:tcPr>
            <w:tcW w:w="28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filed March 4, 2014</w:t>
            </w:r>
          </w:p>
        </w:tc>
        <w:tc>
          <w:tcPr>
            <w:tcW w:w="20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*10.26</w:t>
            </w:r>
          </w:p>
        </w:tc>
        <w:tc>
          <w:tcPr>
            <w:tcW w:w="4960" w:type="dxa"/>
            <w:vAlign w:val="bottom"/>
          </w:tcPr>
          <w:p>
            <w:pPr>
              <w:ind w:left="220"/>
              <w:spacing w:after="0"/>
              <w:rPr>
                <w:sz w:val="20"/>
                <w:szCs w:val="20"/>
                <w:color w:val="auto"/>
              </w:rPr>
            </w:pPr>
            <w:r>
              <w:rPr>
                <w:rFonts w:ascii="Arial" w:cs="Arial" w:eastAsia="Arial" w:hAnsi="Arial"/>
                <w:sz w:val="18"/>
                <w:szCs w:val="18"/>
                <w:color w:val="auto"/>
                <w:w w:val="96"/>
              </w:rPr>
              <w:t>Form of Performance Units Award Agreement (CIC) pursuant</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92"/>
              </w:rPr>
              <w:t>Exhibit 10.28 of the Company's</w:t>
            </w:r>
          </w:p>
        </w:tc>
        <w:tc>
          <w:tcPr>
            <w:tcW w:w="2020" w:type="dxa"/>
            <w:vAlign w:val="bottom"/>
          </w:tcPr>
          <w:p>
            <w:pPr>
              <w:ind w:left="38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tcPr>
          <w:p>
            <w:pPr>
              <w:spacing w:after="0"/>
              <w:rPr>
                <w:sz w:val="18"/>
                <w:szCs w:val="18"/>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w w:val="98"/>
              </w:rPr>
              <w:t>to the Weatherford International plc 2010 Omnibus Incentive</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92"/>
              </w:rPr>
              <w:t>Annual Report on Form 10-K</w:t>
            </w:r>
          </w:p>
        </w:tc>
        <w:tc>
          <w:tcPr>
            <w:tcW w:w="20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Plan</w:t>
            </w:r>
          </w:p>
        </w:tc>
        <w:tc>
          <w:tcPr>
            <w:tcW w:w="2840" w:type="dxa"/>
            <w:vAlign w:val="bottom"/>
          </w:tcPr>
          <w:p>
            <w:pPr>
              <w:jc w:val="center"/>
              <w:ind w:right="90"/>
              <w:spacing w:after="0"/>
              <w:rPr>
                <w:sz w:val="20"/>
                <w:szCs w:val="20"/>
                <w:color w:val="auto"/>
              </w:rPr>
            </w:pPr>
            <w:r>
              <w:rPr>
                <w:rFonts w:ascii="Arial" w:cs="Arial" w:eastAsia="Arial" w:hAnsi="Arial"/>
                <w:sz w:val="18"/>
                <w:szCs w:val="18"/>
                <w:color w:val="auto"/>
                <w:w w:val="91"/>
              </w:rPr>
              <w:t>filed February 16, 2016</w:t>
            </w:r>
          </w:p>
        </w:tc>
        <w:tc>
          <w:tcPr>
            <w:tcW w:w="20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w:t>
            </w: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Weatherford International Ltd. (Switzerland) Executive Non-</w:t>
            </w:r>
          </w:p>
        </w:tc>
        <w:tc>
          <w:tcPr>
            <w:tcW w:w="28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Exhibit 10.1 of the</w:t>
            </w:r>
          </w:p>
        </w:tc>
        <w:tc>
          <w:tcPr>
            <w:tcW w:w="2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Equity Incentive Compensation Plan (as amended and restated,</w:t>
            </w:r>
          </w:p>
        </w:tc>
        <w:tc>
          <w:tcPr>
            <w:tcW w:w="28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0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February 27, 2014) to be effective January 1, 2014</w:t>
            </w:r>
          </w:p>
        </w:tc>
        <w:tc>
          <w:tcPr>
            <w:tcW w:w="28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20" w:type="dxa"/>
            <w:vAlign w:val="bottom"/>
            <w:shd w:val="clear" w:color="auto" w:fill="CCEEFF"/>
          </w:tcPr>
          <w:p>
            <w:pPr>
              <w:spacing w:after="0"/>
              <w:rPr>
                <w:sz w:val="18"/>
                <w:szCs w:val="18"/>
                <w:color w:val="auto"/>
              </w:rPr>
            </w:pPr>
          </w:p>
        </w:tc>
      </w:tr>
      <w:tr>
        <w:trPr>
          <w:trHeight w:val="230"/>
        </w:trPr>
        <w:tc>
          <w:tcPr>
            <w:tcW w:w="880" w:type="dxa"/>
            <w:vAlign w:val="bottom"/>
            <w:shd w:val="clear" w:color="auto" w:fill="CCEEFF"/>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28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filed March 4, 2014</w:t>
            </w:r>
          </w:p>
        </w:tc>
        <w:tc>
          <w:tcPr>
            <w:tcW w:w="2020" w:type="dxa"/>
            <w:vAlign w:val="bottom"/>
            <w:shd w:val="clear" w:color="auto" w:fill="CCEEFF"/>
          </w:tcPr>
          <w:p>
            <w:pPr>
              <w:spacing w:after="0"/>
              <w:rPr>
                <w:sz w:val="20"/>
                <w:szCs w:val="20"/>
                <w:color w:val="auto"/>
              </w:rPr>
            </w:pPr>
          </w:p>
        </w:tc>
      </w:tr>
      <w:tr>
        <w:trPr>
          <w:trHeight w:val="27"/>
        </w:trPr>
        <w:tc>
          <w:tcPr>
            <w:tcW w:w="88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jc w:val="right"/>
        <w:ind w:left="720" w:right="440"/>
        <w:spacing w:after="0" w:line="308" w:lineRule="auto"/>
        <w:rPr>
          <w:sz w:val="20"/>
          <w:szCs w:val="20"/>
          <w:color w:val="auto"/>
        </w:rPr>
      </w:pPr>
      <w:r>
        <w:rPr>
          <w:rFonts w:ascii="Arial" w:cs="Arial" w:eastAsia="Arial" w:hAnsi="Arial"/>
          <w:sz w:val="17"/>
          <w:szCs w:val="17"/>
          <w:color w:val="auto"/>
        </w:rPr>
        <w:t>*10.28     Form of Amended and Restated Employment Agreement entered into by Bernard J. Duroc-Danner (April 10, 2010)</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filed April 13, 2010</w:t>
      </w:r>
    </w:p>
    <w:p>
      <w:pPr>
        <w:spacing w:after="0" w:line="36"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*10.29</w:t>
            </w: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Executive Employment Agreement, dated June 20, 2013,</w:t>
            </w:r>
          </w:p>
        </w:tc>
        <w:tc>
          <w:tcPr>
            <w:tcW w:w="28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 to the</w:t>
            </w:r>
          </w:p>
        </w:tc>
        <w:tc>
          <w:tcPr>
            <w:tcW w:w="2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shd w:val="clear" w:color="auto" w:fill="CCEEFF"/>
          </w:tcPr>
          <w:p>
            <w:pPr>
              <w:spacing w:after="0"/>
              <w:rPr>
                <w:sz w:val="18"/>
                <w:szCs w:val="18"/>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between Weatherford International Ltd. and Douglas M. Mills</w:t>
            </w:r>
          </w:p>
        </w:tc>
        <w:tc>
          <w:tcPr>
            <w:tcW w:w="2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Company's Quarterly</w:t>
            </w:r>
          </w:p>
        </w:tc>
        <w:tc>
          <w:tcPr>
            <w:tcW w:w="20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Report on Form 10-Q</w:t>
            </w:r>
          </w:p>
        </w:tc>
        <w:tc>
          <w:tcPr>
            <w:tcW w:w="20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for the quarter ended</w:t>
            </w:r>
          </w:p>
        </w:tc>
        <w:tc>
          <w:tcPr>
            <w:tcW w:w="20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8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June 30, 2013 filed</w:t>
            </w:r>
          </w:p>
        </w:tc>
        <w:tc>
          <w:tcPr>
            <w:tcW w:w="20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July 31, 2013</w:t>
            </w:r>
          </w:p>
        </w:tc>
        <w:tc>
          <w:tcPr>
            <w:tcW w:w="20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*10.30</w:t>
            </w:r>
          </w:p>
        </w:tc>
        <w:tc>
          <w:tcPr>
            <w:tcW w:w="4920" w:type="dxa"/>
            <w:vAlign w:val="bottom"/>
          </w:tcPr>
          <w:p>
            <w:pPr>
              <w:ind w:left="220"/>
              <w:spacing w:after="0"/>
              <w:rPr>
                <w:sz w:val="20"/>
                <w:szCs w:val="20"/>
                <w:color w:val="auto"/>
              </w:rPr>
            </w:pPr>
            <w:r>
              <w:rPr>
                <w:rFonts w:ascii="Arial" w:cs="Arial" w:eastAsia="Arial" w:hAnsi="Arial"/>
                <w:sz w:val="18"/>
                <w:szCs w:val="18"/>
                <w:color w:val="auto"/>
                <w:w w:val="95"/>
              </w:rPr>
              <w:t>Executive Employment Agreement, dated November 4, 2013,</w:t>
            </w:r>
          </w:p>
        </w:tc>
        <w:tc>
          <w:tcPr>
            <w:tcW w:w="2880" w:type="dxa"/>
            <w:vAlign w:val="bottom"/>
          </w:tcPr>
          <w:p>
            <w:pPr>
              <w:jc w:val="center"/>
              <w:ind w:right="90"/>
              <w:spacing w:after="0"/>
              <w:rPr>
                <w:sz w:val="20"/>
                <w:szCs w:val="20"/>
                <w:color w:val="auto"/>
              </w:rPr>
            </w:pPr>
            <w:r>
              <w:rPr>
                <w:rFonts w:ascii="Arial" w:cs="Arial" w:eastAsia="Arial" w:hAnsi="Arial"/>
                <w:sz w:val="18"/>
                <w:szCs w:val="18"/>
                <w:color w:val="auto"/>
                <w:w w:val="92"/>
              </w:rPr>
              <w:t>Exhibit 10.1 to the</w:t>
            </w:r>
          </w:p>
        </w:tc>
        <w:tc>
          <w:tcPr>
            <w:tcW w:w="2020" w:type="dxa"/>
            <w:vAlign w:val="bottom"/>
          </w:tcPr>
          <w:p>
            <w:pPr>
              <w:ind w:left="38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w w:val="96"/>
              </w:rPr>
              <w:t>between Weatherford International Ltd. and Krishna Shivram</w:t>
            </w:r>
          </w:p>
        </w:tc>
        <w:tc>
          <w:tcPr>
            <w:tcW w:w="288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80" w:type="dxa"/>
            <w:vAlign w:val="bottom"/>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0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80" w:type="dxa"/>
            <w:vAlign w:val="bottom"/>
          </w:tcPr>
          <w:p>
            <w:pPr>
              <w:jc w:val="center"/>
              <w:ind w:right="30"/>
              <w:spacing w:after="0"/>
              <w:rPr>
                <w:sz w:val="20"/>
                <w:szCs w:val="20"/>
                <w:color w:val="auto"/>
              </w:rPr>
            </w:pPr>
            <w:r>
              <w:rPr>
                <w:rFonts w:ascii="Arial" w:cs="Arial" w:eastAsia="Arial" w:hAnsi="Arial"/>
                <w:sz w:val="18"/>
                <w:szCs w:val="18"/>
                <w:color w:val="auto"/>
                <w:w w:val="92"/>
              </w:rPr>
              <w:t>filed November 4, 2013</w:t>
            </w:r>
          </w:p>
        </w:tc>
        <w:tc>
          <w:tcPr>
            <w:tcW w:w="20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*10.31</w:t>
            </w: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Amended and Restated Executive Employment</w:t>
            </w:r>
          </w:p>
        </w:tc>
        <w:tc>
          <w:tcPr>
            <w:tcW w:w="2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10.33 of the Company's</w:t>
            </w:r>
          </w:p>
        </w:tc>
        <w:tc>
          <w:tcPr>
            <w:tcW w:w="2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shd w:val="clear" w:color="auto" w:fill="CCEEFF"/>
          </w:tcPr>
          <w:p>
            <w:pPr>
              <w:spacing w:after="0"/>
              <w:rPr>
                <w:sz w:val="18"/>
                <w:szCs w:val="18"/>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 entered into by Antony J. Branch and Lance R.</w:t>
            </w:r>
          </w:p>
        </w:tc>
        <w:tc>
          <w:tcPr>
            <w:tcW w:w="2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Annual Report on Form 10-K</w:t>
            </w:r>
          </w:p>
        </w:tc>
        <w:tc>
          <w:tcPr>
            <w:tcW w:w="20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Marklinger, dated December, 22, 2014</w:t>
            </w:r>
          </w:p>
        </w:tc>
        <w:tc>
          <w:tcPr>
            <w:tcW w:w="28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filed February 16, 2016</w:t>
            </w:r>
          </w:p>
        </w:tc>
        <w:tc>
          <w:tcPr>
            <w:tcW w:w="20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*10.32</w:t>
            </w:r>
          </w:p>
        </w:tc>
        <w:tc>
          <w:tcPr>
            <w:tcW w:w="4920" w:type="dxa"/>
            <w:vAlign w:val="bottom"/>
          </w:tcPr>
          <w:p>
            <w:pPr>
              <w:ind w:left="220"/>
              <w:spacing w:after="0"/>
              <w:rPr>
                <w:sz w:val="20"/>
                <w:szCs w:val="20"/>
                <w:color w:val="auto"/>
              </w:rPr>
            </w:pPr>
            <w:r>
              <w:rPr>
                <w:rFonts w:ascii="Arial" w:cs="Arial" w:eastAsia="Arial" w:hAnsi="Arial"/>
                <w:sz w:val="18"/>
                <w:szCs w:val="18"/>
                <w:color w:val="auto"/>
                <w:w w:val="94"/>
              </w:rPr>
              <w:t>Form of Restricted Share Award Agreement, dated November</w:t>
            </w:r>
          </w:p>
        </w:tc>
        <w:tc>
          <w:tcPr>
            <w:tcW w:w="2880" w:type="dxa"/>
            <w:vAlign w:val="bottom"/>
          </w:tcPr>
          <w:p>
            <w:pPr>
              <w:jc w:val="center"/>
              <w:ind w:right="90"/>
              <w:spacing w:after="0"/>
              <w:rPr>
                <w:sz w:val="20"/>
                <w:szCs w:val="20"/>
                <w:color w:val="auto"/>
              </w:rPr>
            </w:pPr>
            <w:r>
              <w:rPr>
                <w:rFonts w:ascii="Arial" w:cs="Arial" w:eastAsia="Arial" w:hAnsi="Arial"/>
                <w:sz w:val="18"/>
                <w:szCs w:val="18"/>
                <w:color w:val="auto"/>
                <w:w w:val="92"/>
              </w:rPr>
              <w:t>Exhibit 10.3 to the</w:t>
            </w:r>
          </w:p>
        </w:tc>
        <w:tc>
          <w:tcPr>
            <w:tcW w:w="2020" w:type="dxa"/>
            <w:vAlign w:val="bottom"/>
          </w:tcPr>
          <w:p>
            <w:pPr>
              <w:ind w:left="38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w w:val="97"/>
              </w:rPr>
              <w:t>6, 2013, between Weatherford International Ltd. and Krishna</w:t>
            </w:r>
          </w:p>
        </w:tc>
        <w:tc>
          <w:tcPr>
            <w:tcW w:w="288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0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Shivram</w:t>
            </w:r>
          </w:p>
        </w:tc>
        <w:tc>
          <w:tcPr>
            <w:tcW w:w="2880" w:type="dxa"/>
            <w:vAlign w:val="bottom"/>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0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80" w:type="dxa"/>
            <w:vAlign w:val="bottom"/>
          </w:tcPr>
          <w:p>
            <w:pPr>
              <w:jc w:val="center"/>
              <w:ind w:right="30"/>
              <w:spacing w:after="0"/>
              <w:rPr>
                <w:sz w:val="20"/>
                <w:szCs w:val="20"/>
                <w:color w:val="auto"/>
              </w:rPr>
            </w:pPr>
            <w:r>
              <w:rPr>
                <w:rFonts w:ascii="Arial" w:cs="Arial" w:eastAsia="Arial" w:hAnsi="Arial"/>
                <w:sz w:val="18"/>
                <w:szCs w:val="18"/>
                <w:color w:val="auto"/>
                <w:w w:val="92"/>
              </w:rPr>
              <w:t>filed November 4, 2013</w:t>
            </w:r>
          </w:p>
        </w:tc>
        <w:tc>
          <w:tcPr>
            <w:tcW w:w="2020" w:type="dxa"/>
            <w:vAlign w:val="bottom"/>
          </w:tcPr>
          <w:p>
            <w:pPr>
              <w:spacing w:after="0"/>
              <w:rPr>
                <w:sz w:val="20"/>
                <w:szCs w:val="20"/>
                <w:color w:val="auto"/>
              </w:rPr>
            </w:pPr>
          </w:p>
        </w:tc>
      </w:tr>
      <w:tr>
        <w:trPr>
          <w:trHeight w:val="486"/>
        </w:trPr>
        <w:tc>
          <w:tcPr>
            <w:tcW w:w="880" w:type="dxa"/>
            <w:vAlign w:val="bottom"/>
          </w:tcPr>
          <w:p>
            <w:pPr>
              <w:spacing w:after="0"/>
              <w:rPr>
                <w:sz w:val="24"/>
                <w:szCs w:val="24"/>
                <w:color w:val="auto"/>
              </w:rPr>
            </w:pPr>
          </w:p>
        </w:tc>
        <w:tc>
          <w:tcPr>
            <w:tcW w:w="4920" w:type="dxa"/>
            <w:vAlign w:val="bottom"/>
          </w:tcPr>
          <w:p>
            <w:pPr>
              <w:ind w:left="4160"/>
              <w:spacing w:after="0"/>
              <w:rPr>
                <w:sz w:val="20"/>
                <w:szCs w:val="20"/>
                <w:color w:val="auto"/>
              </w:rPr>
            </w:pPr>
            <w:r>
              <w:rPr>
                <w:rFonts w:ascii="Arial" w:cs="Arial" w:eastAsia="Arial" w:hAnsi="Arial"/>
                <w:sz w:val="18"/>
                <w:szCs w:val="18"/>
                <w:color w:val="auto"/>
              </w:rPr>
              <w:t>110</w:t>
            </w:r>
          </w:p>
        </w:tc>
        <w:tc>
          <w:tcPr>
            <w:tcW w:w="28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*10.33</w:t>
            </w:r>
          </w:p>
        </w:tc>
        <w:tc>
          <w:tcPr>
            <w:tcW w:w="180" w:type="dxa"/>
            <w:vAlign w:val="bottom"/>
            <w:tcBorders>
              <w:top w:val="single" w:sz="8" w:color="auto"/>
            </w:tcBorders>
            <w:shd w:val="clear" w:color="auto" w:fill="CCEEFF"/>
          </w:tcPr>
          <w:p>
            <w:pPr>
              <w:spacing w:after="0"/>
              <w:rPr>
                <w:sz w:val="19"/>
                <w:szCs w:val="19"/>
                <w:color w:val="auto"/>
              </w:rPr>
            </w:pPr>
          </w:p>
        </w:tc>
        <w:tc>
          <w:tcPr>
            <w:tcW w:w="50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Change of Control Agreement, entered into by</w:t>
            </w:r>
          </w:p>
        </w:tc>
        <w:tc>
          <w:tcPr>
            <w:tcW w:w="260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Exhibit 10.1 of the</w:t>
            </w: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Christina Ibrahim (May 4, 2015), Mario Ruscev (March 25,</w:t>
            </w:r>
          </w:p>
        </w:tc>
        <w:tc>
          <w:tcPr>
            <w:tcW w:w="26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2016), Christoph Bausch and Frederico Justus (December 13,</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26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December 15, 2016</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*10.34</w:t>
            </w:r>
          </w:p>
        </w:tc>
        <w:tc>
          <w:tcPr>
            <w:tcW w:w="18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Form of Deed of Indemnity of Weatherford Ireland entered</w:t>
            </w:r>
          </w:p>
        </w:tc>
        <w:tc>
          <w:tcPr>
            <w:tcW w:w="2600" w:type="dxa"/>
            <w:vAlign w:val="bottom"/>
          </w:tcPr>
          <w:p>
            <w:pPr>
              <w:jc w:val="center"/>
              <w:ind w:right="130"/>
              <w:spacing w:after="0"/>
              <w:rPr>
                <w:sz w:val="20"/>
                <w:szCs w:val="20"/>
                <w:color w:val="auto"/>
              </w:rPr>
            </w:pPr>
            <w:r>
              <w:rPr>
                <w:rFonts w:ascii="Arial" w:cs="Arial" w:eastAsia="Arial" w:hAnsi="Arial"/>
                <w:sz w:val="18"/>
                <w:szCs w:val="18"/>
                <w:color w:val="auto"/>
                <w:w w:val="92"/>
              </w:rPr>
              <w:t>Exhibit 10.11 of the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into by each director of Weatherford Ireland and each of the</w:t>
            </w:r>
          </w:p>
        </w:tc>
        <w:tc>
          <w:tcPr>
            <w:tcW w:w="2600" w:type="dxa"/>
            <w:vAlign w:val="bottom"/>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w w:val="98"/>
              </w:rPr>
              <w:t>following executive officers of Weatherford Ireland: Bernard J.</w:t>
            </w:r>
          </w:p>
        </w:tc>
        <w:tc>
          <w:tcPr>
            <w:tcW w:w="2600" w:type="dxa"/>
            <w:vAlign w:val="bottom"/>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Duroc-Danner, Krishna Shivram, Douglas M. Mills, Antony J.</w:t>
            </w:r>
          </w:p>
        </w:tc>
        <w:tc>
          <w:tcPr>
            <w:tcW w:w="2600" w:type="dxa"/>
            <w:vAlign w:val="bottom"/>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Branch, Lance R. Marklinger (June 17, 2014), Christina</w:t>
            </w:r>
          </w:p>
        </w:tc>
        <w:tc>
          <w:tcPr>
            <w:tcW w:w="26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w w:val="96"/>
              </w:rPr>
              <w:t>Ibrahim (May 4, 2015), Christoph Bausch and Frederico Justus</w:t>
            </w:r>
          </w:p>
        </w:tc>
        <w:tc>
          <w:tcPr>
            <w:tcW w:w="26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(December 13, 2016)</w:t>
            </w:r>
          </w:p>
        </w:tc>
        <w:tc>
          <w:tcPr>
            <w:tcW w:w="26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*10.35</w:t>
            </w:r>
          </w:p>
        </w:tc>
        <w:tc>
          <w:tcPr>
            <w:tcW w:w="180" w:type="dxa"/>
            <w:vAlign w:val="bottom"/>
            <w:shd w:val="clear" w:color="auto" w:fill="CCEEFF"/>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Deed of Indemnity of Weatherford Bermuda entered</w:t>
            </w:r>
          </w:p>
        </w:tc>
        <w:tc>
          <w:tcPr>
            <w:tcW w:w="26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10.12 of the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into by each director of Weatherford Ireland and each of the</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following executive officers of Weatherford Ireland: Bernard J.</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Duroc-Danner, Krishna Shivram, Douglas M. Mills, Antony J.</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Branch, Lance R. Marklinger (June 17, 2014), Christina</w:t>
            </w:r>
          </w:p>
        </w:tc>
        <w:tc>
          <w:tcPr>
            <w:tcW w:w="2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Ibrahim (May 4, 2015), Christoph Bausch and Frederico Justus</w:t>
            </w:r>
          </w:p>
        </w:tc>
        <w:tc>
          <w:tcPr>
            <w:tcW w:w="26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13, 2016)</w:t>
            </w:r>
          </w:p>
        </w:tc>
        <w:tc>
          <w:tcPr>
            <w:tcW w:w="26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*10.36</w:t>
            </w:r>
          </w:p>
        </w:tc>
        <w:tc>
          <w:tcPr>
            <w:tcW w:w="18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Form of Employment Agreement Assignment Letter by</w:t>
            </w:r>
          </w:p>
        </w:tc>
        <w:tc>
          <w:tcPr>
            <w:tcW w:w="2600" w:type="dxa"/>
            <w:vAlign w:val="bottom"/>
          </w:tcPr>
          <w:p>
            <w:pPr>
              <w:jc w:val="center"/>
              <w:ind w:right="110"/>
              <w:spacing w:after="0"/>
              <w:rPr>
                <w:sz w:val="20"/>
                <w:szCs w:val="20"/>
                <w:color w:val="auto"/>
              </w:rPr>
            </w:pPr>
            <w:r>
              <w:rPr>
                <w:rFonts w:ascii="Arial" w:cs="Arial" w:eastAsia="Arial" w:hAnsi="Arial"/>
                <w:sz w:val="18"/>
                <w:szCs w:val="18"/>
                <w:color w:val="auto"/>
                <w:w w:val="93"/>
              </w:rPr>
              <w:t>Exhibit 10.13 of the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Weatherford Management Company Switzerland LLC,</w:t>
            </w:r>
          </w:p>
        </w:tc>
        <w:tc>
          <w:tcPr>
            <w:tcW w:w="2600" w:type="dxa"/>
            <w:vAlign w:val="bottom"/>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Weatherford Switzerland, Weatherford Ireland and the</w:t>
            </w:r>
          </w:p>
        </w:tc>
        <w:tc>
          <w:tcPr>
            <w:tcW w:w="2600" w:type="dxa"/>
            <w:vAlign w:val="bottom"/>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following executive officers of Weatherford Ireland: Krishna</w:t>
            </w:r>
          </w:p>
        </w:tc>
        <w:tc>
          <w:tcPr>
            <w:tcW w:w="2600" w:type="dxa"/>
            <w:vAlign w:val="bottom"/>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Shivram and Douglas M. Mills (June 16, 2014)</w:t>
            </w:r>
          </w:p>
        </w:tc>
        <w:tc>
          <w:tcPr>
            <w:tcW w:w="26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*10.37</w:t>
            </w:r>
          </w:p>
        </w:tc>
        <w:tc>
          <w:tcPr>
            <w:tcW w:w="180" w:type="dxa"/>
            <w:vAlign w:val="bottom"/>
            <w:shd w:val="clear" w:color="auto" w:fill="CCEEFF"/>
          </w:tcPr>
          <w:p>
            <w:pPr>
              <w:spacing w:after="0"/>
              <w:rPr>
                <w:sz w:val="19"/>
                <w:szCs w:val="19"/>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Secondment Letter entered into by Weatherford</w:t>
            </w:r>
          </w:p>
        </w:tc>
        <w:tc>
          <w:tcPr>
            <w:tcW w:w="26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Exhibit 10.14 of the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Company Switzerland LLC, Weatherford U.S.,</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L.P. and the following executive officers of Weatherford</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Ireland: Krishna Shivram and Douglas M. Mills (June 16,</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14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26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140" w:hanging="877"/>
        <w:spacing w:after="0" w:line="255" w:lineRule="auto"/>
        <w:tabs>
          <w:tab w:leader="none" w:pos="16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Amendment and Restatement Agreement, dated May 4, 2016, by and among Weatherford International plc (Ireland), Weatherford International Ltd. (Bermuda), as the Borrower, Weatherford International, LLC (Delaware), the lenders party thereto and JPMorgan Chase Bank, N.A., as administrative agent</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jc w:val="right"/>
        <w:ind w:right="286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282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2840"/>
        <w:spacing w:after="0"/>
        <w:rPr>
          <w:sz w:val="20"/>
          <w:szCs w:val="20"/>
          <w:color w:val="auto"/>
        </w:rPr>
      </w:pPr>
      <w:r>
        <w:rPr>
          <w:rFonts w:ascii="Arial" w:cs="Arial" w:eastAsia="Arial" w:hAnsi="Arial"/>
          <w:sz w:val="17"/>
          <w:szCs w:val="17"/>
          <w:color w:val="auto"/>
        </w:rPr>
        <w:t>filed May 10, 2016</w:t>
      </w:r>
    </w:p>
    <w:p>
      <w:pPr>
        <w:spacing w:after="0" w:line="479"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10.39</w:t>
            </w: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Amended and Restated Credit Agreement, effective as of May</w:t>
            </w:r>
          </w:p>
        </w:tc>
        <w:tc>
          <w:tcPr>
            <w:tcW w:w="2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10.2 of the</w:t>
            </w:r>
          </w:p>
        </w:tc>
        <w:tc>
          <w:tcPr>
            <w:tcW w:w="2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File No. 1-36504</w:t>
            </w: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 2016, by and among Weatherford International Ltd.</w:t>
            </w:r>
          </w:p>
        </w:tc>
        <w:tc>
          <w:tcPr>
            <w:tcW w:w="2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(Bermuda), Weatherford International plc (Ireland), the other</w:t>
            </w:r>
          </w:p>
        </w:tc>
        <w:tc>
          <w:tcPr>
            <w:tcW w:w="2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borrowers party thereto, the lenders party thereto and</w:t>
            </w:r>
          </w:p>
        </w:tc>
        <w:tc>
          <w:tcPr>
            <w:tcW w:w="2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filed May 10, 2016</w:t>
            </w:r>
          </w:p>
        </w:tc>
        <w:tc>
          <w:tcPr>
            <w:tcW w:w="2220" w:type="dxa"/>
            <w:vAlign w:val="bottom"/>
            <w:shd w:val="clear" w:color="auto" w:fill="CCEEFF"/>
          </w:tcPr>
          <w:p>
            <w:pPr>
              <w:spacing w:after="0"/>
              <w:rPr>
                <w:sz w:val="18"/>
                <w:szCs w:val="18"/>
                <w:color w:val="auto"/>
              </w:rPr>
            </w:pPr>
          </w:p>
        </w:tc>
      </w:tr>
      <w:tr>
        <w:trPr>
          <w:trHeight w:val="230"/>
        </w:trPr>
        <w:tc>
          <w:tcPr>
            <w:tcW w:w="860" w:type="dxa"/>
            <w:vAlign w:val="bottom"/>
            <w:shd w:val="clear" w:color="auto" w:fill="CCEEFF"/>
          </w:tcPr>
          <w:p>
            <w:pPr>
              <w:spacing w:after="0"/>
              <w:rPr>
                <w:sz w:val="20"/>
                <w:szCs w:val="20"/>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JPMorgan Chase Bank, N.A., as administrative agent</w:t>
            </w:r>
          </w:p>
        </w:tc>
        <w:tc>
          <w:tcPr>
            <w:tcW w:w="2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7"/>
        </w:trPr>
        <w:tc>
          <w:tcPr>
            <w:tcW w:w="86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100" w:hanging="877"/>
        <w:spacing w:after="0" w:line="257" w:lineRule="auto"/>
        <w:tabs>
          <w:tab w:leader="none" w:pos="16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Amendment No. 1 to Amended and Restated Credit Agreement, dated July 19, 2016, among Weatherford International Ltd. (Bermuda), Weatherford International plc (Ireland), the lenders party thereto and JPMorgan Chase Bank, N.A., as administrative agent</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jc w:val="right"/>
        <w:ind w:right="286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282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2860"/>
        <w:spacing w:after="0"/>
        <w:rPr>
          <w:sz w:val="20"/>
          <w:szCs w:val="20"/>
          <w:color w:val="auto"/>
        </w:rPr>
      </w:pPr>
      <w:r>
        <w:rPr>
          <w:rFonts w:ascii="Arial" w:cs="Arial" w:eastAsia="Arial" w:hAnsi="Arial"/>
          <w:sz w:val="17"/>
          <w:szCs w:val="17"/>
          <w:color w:val="auto"/>
        </w:rPr>
        <w:t>filed July 22, 2016</w:t>
      </w:r>
    </w:p>
    <w:p>
      <w:pPr>
        <w:spacing w:after="0" w:line="264"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10.41</w:t>
            </w: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 Loan Agreement, dated May 4, 2016, by and among</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Exhibit 10.3 of the</w:t>
            </w:r>
          </w:p>
        </w:tc>
        <w:tc>
          <w:tcPr>
            <w:tcW w:w="2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File No. 1-36504</w:t>
            </w:r>
          </w:p>
        </w:tc>
      </w:tr>
      <w:tr>
        <w:trPr>
          <w:trHeight w:val="216"/>
        </w:trPr>
        <w:tc>
          <w:tcPr>
            <w:tcW w:w="860" w:type="dxa"/>
            <w:vAlign w:val="bottom"/>
            <w:shd w:val="clear" w:color="auto" w:fill="CCEEFF"/>
          </w:tcPr>
          <w:p>
            <w:pPr>
              <w:spacing w:after="0"/>
              <w:rPr>
                <w:sz w:val="18"/>
                <w:szCs w:val="18"/>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International Ltd. (Bermuda), as the borrower,</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International plc, (Ireland), the lenders party</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thereto and JPMorgan Chase Bank, N.A., as administrative</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filed May 10, 2016</w:t>
            </w:r>
          </w:p>
        </w:tc>
        <w:tc>
          <w:tcPr>
            <w:tcW w:w="2220" w:type="dxa"/>
            <w:vAlign w:val="bottom"/>
            <w:shd w:val="clear" w:color="auto" w:fill="CCEEFF"/>
          </w:tcPr>
          <w:p>
            <w:pPr>
              <w:spacing w:after="0"/>
              <w:rPr>
                <w:sz w:val="18"/>
                <w:szCs w:val="18"/>
                <w:color w:val="auto"/>
              </w:rPr>
            </w:pP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agent for the lenders</w:t>
            </w:r>
          </w:p>
        </w:tc>
        <w:tc>
          <w:tcPr>
            <w:tcW w:w="26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459"/>
        </w:trPr>
        <w:tc>
          <w:tcPr>
            <w:tcW w:w="860" w:type="dxa"/>
            <w:vAlign w:val="bottom"/>
          </w:tcPr>
          <w:p>
            <w:pPr>
              <w:spacing w:after="0"/>
              <w:rPr>
                <w:sz w:val="24"/>
                <w:szCs w:val="24"/>
                <w:color w:val="auto"/>
              </w:rPr>
            </w:pPr>
          </w:p>
        </w:tc>
        <w:tc>
          <w:tcPr>
            <w:tcW w:w="5020" w:type="dxa"/>
            <w:vAlign w:val="bottom"/>
          </w:tcPr>
          <w:p>
            <w:pPr>
              <w:ind w:left="4180"/>
              <w:spacing w:after="0"/>
              <w:rPr>
                <w:sz w:val="20"/>
                <w:szCs w:val="20"/>
                <w:color w:val="auto"/>
              </w:rPr>
            </w:pPr>
            <w:r>
              <w:rPr>
                <w:rFonts w:ascii="Arial" w:cs="Arial" w:eastAsia="Arial" w:hAnsi="Arial"/>
                <w:sz w:val="18"/>
                <w:szCs w:val="18"/>
                <w:color w:val="auto"/>
              </w:rPr>
              <w:t>111</w:t>
            </w:r>
          </w:p>
        </w:tc>
        <w:tc>
          <w:tcPr>
            <w:tcW w:w="26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9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494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10.42</w:t>
            </w:r>
          </w:p>
        </w:tc>
        <w:tc>
          <w:tcPr>
            <w:tcW w:w="180" w:type="dxa"/>
            <w:vAlign w:val="bottom"/>
            <w:tcBorders>
              <w:top w:val="single" w:sz="8" w:color="auto"/>
            </w:tcBorders>
            <w:shd w:val="clear" w:color="auto" w:fill="CCEEFF"/>
          </w:tcPr>
          <w:p>
            <w:pPr>
              <w:spacing w:after="0"/>
              <w:rPr>
                <w:sz w:val="19"/>
                <w:szCs w:val="19"/>
                <w:color w:val="auto"/>
              </w:rPr>
            </w:pPr>
          </w:p>
        </w:tc>
        <w:tc>
          <w:tcPr>
            <w:tcW w:w="49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Amendment No. 1 to Term Loan Agreement, dated July 19,</w:t>
            </w:r>
          </w:p>
        </w:tc>
        <w:tc>
          <w:tcPr>
            <w:tcW w:w="26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2"/>
              </w:rPr>
              <w:t>Exhibit 10.2 of the</w:t>
            </w:r>
          </w:p>
        </w:tc>
        <w:tc>
          <w:tcPr>
            <w:tcW w:w="2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among Weatherford International Ltd. (Bermuda),</w:t>
            </w: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plc (Ireland), the lenders party</w:t>
            </w: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thereto and JPMorgan Chase Bank, N.A., as administrative</w:t>
            </w: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July 22, 2016</w:t>
            </w:r>
          </w:p>
        </w:tc>
        <w:tc>
          <w:tcPr>
            <w:tcW w:w="216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agent</w:t>
            </w:r>
          </w:p>
        </w:tc>
        <w:tc>
          <w:tcPr>
            <w:tcW w:w="26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378" w:right="239" w:bottom="1440" w:gutter="0" w:footer="0" w:header="0"/>
        </w:sectPr>
      </w:pPr>
    </w:p>
    <w:p>
      <w:pPr>
        <w:ind w:left="1640" w:right="80" w:hanging="877"/>
        <w:spacing w:after="0" w:line="259" w:lineRule="auto"/>
        <w:tabs>
          <w:tab w:leader="none" w:pos="16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U.S. Pledge and Security Agreement, dated as of May 9, 2016, by and among the subsidiary parties thereto and JPMorgan Chase Bank, N.A., as administrative agent of the Term Loan Agreement, dated May 4, 2016</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10.4 of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jc w:val="right"/>
        <w:ind w:right="304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300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3020"/>
        <w:spacing w:after="0"/>
        <w:rPr>
          <w:sz w:val="20"/>
          <w:szCs w:val="20"/>
          <w:color w:val="auto"/>
        </w:rPr>
      </w:pPr>
      <w:r>
        <w:rPr>
          <w:rFonts w:ascii="Arial" w:cs="Arial" w:eastAsia="Arial" w:hAnsi="Arial"/>
          <w:sz w:val="17"/>
          <w:szCs w:val="17"/>
          <w:color w:val="auto"/>
        </w:rPr>
        <w:t>filed May 10, 2016</w:t>
      </w:r>
    </w:p>
    <w:p>
      <w:pPr>
        <w:spacing w:after="0" w:line="47" w:lineRule="exact"/>
        <w:rPr>
          <w:sz w:val="20"/>
          <w:szCs w:val="20"/>
          <w:color w:val="auto"/>
        </w:rPr>
      </w:pPr>
    </w:p>
    <w:p>
      <w:pPr>
        <w:sectPr>
          <w:pgSz w:w="11900" w:h="16838" w:orient="portrait"/>
          <w:cols w:equalWidth="0" w:num="2">
            <w:col w:w="6240" w:space="720"/>
            <w:col w:w="4460"/>
          </w:cols>
          <w:pgMar w:left="240" w:top="378" w:right="23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10.44</w:t>
            </w: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Guaranty Agreement, dated as of May 9, 2016, by</w:t>
            </w:r>
          </w:p>
        </w:tc>
        <w:tc>
          <w:tcPr>
            <w:tcW w:w="25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Exhibit 10.5 of the</w:t>
            </w:r>
          </w:p>
        </w:tc>
        <w:tc>
          <w:tcPr>
            <w:tcW w:w="2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File No. 1-36504</w:t>
            </w:r>
          </w:p>
        </w:tc>
      </w:tr>
      <w:tr>
        <w:trPr>
          <w:trHeight w:val="216"/>
        </w:trPr>
        <w:tc>
          <w:tcPr>
            <w:tcW w:w="860" w:type="dxa"/>
            <w:vAlign w:val="bottom"/>
            <w:shd w:val="clear" w:color="auto" w:fill="CCEEFF"/>
          </w:tcPr>
          <w:p>
            <w:pPr>
              <w:spacing w:after="0"/>
              <w:rPr>
                <w:sz w:val="18"/>
                <w:szCs w:val="18"/>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International plc (Ireland) and certain subsidiary</w:t>
            </w:r>
          </w:p>
        </w:tc>
        <w:tc>
          <w:tcPr>
            <w:tcW w:w="25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parties thereto, as guarantors, in favor of JPMorgan Chase</w:t>
            </w:r>
          </w:p>
        </w:tc>
        <w:tc>
          <w:tcPr>
            <w:tcW w:w="25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N.A., as administrative agent of the Amended and</w:t>
            </w:r>
          </w:p>
        </w:tc>
        <w:tc>
          <w:tcPr>
            <w:tcW w:w="2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filed May 10, 2016</w:t>
            </w:r>
          </w:p>
        </w:tc>
        <w:tc>
          <w:tcPr>
            <w:tcW w:w="2220" w:type="dxa"/>
            <w:vAlign w:val="bottom"/>
            <w:shd w:val="clear" w:color="auto" w:fill="CCEEFF"/>
          </w:tcPr>
          <w:p>
            <w:pPr>
              <w:spacing w:after="0"/>
              <w:rPr>
                <w:sz w:val="18"/>
                <w:szCs w:val="18"/>
                <w:color w:val="auto"/>
              </w:rPr>
            </w:pPr>
          </w:p>
        </w:tc>
      </w:tr>
      <w:tr>
        <w:trPr>
          <w:trHeight w:val="230"/>
        </w:trPr>
        <w:tc>
          <w:tcPr>
            <w:tcW w:w="860" w:type="dxa"/>
            <w:vAlign w:val="bottom"/>
            <w:shd w:val="clear" w:color="auto" w:fill="CCEEFF"/>
          </w:tcPr>
          <w:p>
            <w:pPr>
              <w:spacing w:after="0"/>
              <w:rPr>
                <w:sz w:val="20"/>
                <w:szCs w:val="20"/>
                <w:color w:val="auto"/>
              </w:rPr>
            </w:pPr>
          </w:p>
        </w:tc>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Restated Credit Agreement, effective as of May 9, 2016</w:t>
            </w:r>
          </w:p>
        </w:tc>
        <w:tc>
          <w:tcPr>
            <w:tcW w:w="25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7"/>
        </w:trPr>
        <w:tc>
          <w:tcPr>
            <w:tcW w:w="860" w:type="dxa"/>
            <w:vAlign w:val="bottom"/>
            <w:shd w:val="clear" w:color="auto" w:fill="CCEEFF"/>
          </w:tcPr>
          <w:p>
            <w:pPr>
              <w:spacing w:after="0"/>
              <w:rPr>
                <w:sz w:val="2"/>
                <w:szCs w:val="2"/>
                <w:color w:val="auto"/>
              </w:rPr>
            </w:pPr>
          </w:p>
        </w:tc>
        <w:tc>
          <w:tcPr>
            <w:tcW w:w="51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378" w:right="239" w:bottom="1440" w:gutter="0" w:footer="0" w:header="0"/>
          <w:type w:val="continuous"/>
        </w:sectPr>
      </w:pPr>
    </w:p>
    <w:p>
      <w:pPr>
        <w:ind w:left="1640" w:right="180" w:hanging="877"/>
        <w:spacing w:after="0" w:line="257" w:lineRule="auto"/>
        <w:tabs>
          <w:tab w:leader="none" w:pos="16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Guaranty Agreement, dated as of May 9, 2016, by Weatherford International plc (Ireland) and certain subsidiary parties thereto, as guarantors, in favor of JPMorgan Chase Bank, N.A., as administrative agent of the Term Loan Agreement, dated as of May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8890</wp:posOffset>
            </wp:positionV>
            <wp:extent cx="679196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10.6 of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jc w:val="right"/>
        <w:ind w:right="304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300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3020"/>
        <w:spacing w:after="0"/>
        <w:rPr>
          <w:sz w:val="20"/>
          <w:szCs w:val="20"/>
          <w:color w:val="auto"/>
        </w:rPr>
      </w:pPr>
      <w:r>
        <w:rPr>
          <w:rFonts w:ascii="Arial" w:cs="Arial" w:eastAsia="Arial" w:hAnsi="Arial"/>
          <w:sz w:val="17"/>
          <w:szCs w:val="17"/>
          <w:color w:val="auto"/>
        </w:rPr>
        <w:t>filed May 10, 2016</w:t>
      </w:r>
    </w:p>
    <w:p>
      <w:pPr>
        <w:spacing w:after="0" w:line="276" w:lineRule="exact"/>
        <w:rPr>
          <w:sz w:val="20"/>
          <w:szCs w:val="20"/>
          <w:color w:val="auto"/>
        </w:rPr>
      </w:pPr>
    </w:p>
    <w:p>
      <w:pPr>
        <w:sectPr>
          <w:pgSz w:w="11900" w:h="16838" w:orient="portrait"/>
          <w:cols w:equalWidth="0" w:num="2">
            <w:col w:w="6240" w:space="720"/>
            <w:col w:w="4460"/>
          </w:cols>
          <w:pgMar w:left="240" w:top="378" w:right="239" w:bottom="1440" w:gutter="0" w:footer="0" w:header="0"/>
          <w:type w:val="continuous"/>
        </w:sectPr>
      </w:pPr>
    </w:p>
    <w:p>
      <w:pPr>
        <w:ind w:left="760"/>
        <w:spacing w:after="0"/>
        <w:tabs>
          <w:tab w:leader="none" w:pos="1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Ratio of Earnings to Fixed Charges</w:t>
      </w:r>
    </w:p>
    <w:p>
      <w:pPr>
        <w:spacing w:after="0" w:line="63"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Subsidiaries of 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679196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43"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KPMG LLP</w:t>
      </w:r>
    </w:p>
    <w:p>
      <w:pPr>
        <w:spacing w:after="0" w:line="63"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22860</wp:posOffset>
            </wp:positionV>
            <wp:extent cx="679196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1960" cy="308610"/>
                    </a:xfrm>
                    <a:prstGeom prst="rect">
                      <a:avLst/>
                    </a:prstGeom>
                    <a:noFill/>
                  </pic:spPr>
                </pic:pic>
              </a:graphicData>
            </a:graphic>
          </wp:anchor>
        </w:drawing>
      </w:r>
    </w:p>
    <w:p>
      <w:pPr>
        <w:spacing w:after="0" w:line="29"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302 of the Sarbanes-Oxley Act of 2002</w:t>
      </w:r>
    </w:p>
    <w:p>
      <w:pPr>
        <w:spacing w:after="0" w:line="49" w:lineRule="exact"/>
        <w:rPr>
          <w:sz w:val="20"/>
          <w:szCs w:val="20"/>
          <w:color w:val="auto"/>
        </w:rPr>
      </w:pPr>
    </w:p>
    <w:p>
      <w:pPr>
        <w:ind w:left="720"/>
        <w:spacing w:after="0"/>
        <w:tabs>
          <w:tab w:leader="none" w:pos="1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22860</wp:posOffset>
            </wp:positionV>
            <wp:extent cx="679196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1960" cy="308610"/>
                    </a:xfrm>
                    <a:prstGeom prst="rect">
                      <a:avLst/>
                    </a:prstGeom>
                    <a:noFill/>
                  </pic:spPr>
                </pic:pic>
              </a:graphicData>
            </a:graphic>
          </wp:anchor>
        </w:drawing>
      </w:r>
    </w:p>
    <w:p>
      <w:pPr>
        <w:spacing w:after="0" w:line="29" w:lineRule="exact"/>
        <w:rPr>
          <w:sz w:val="20"/>
          <w:szCs w:val="20"/>
          <w:color w:val="auto"/>
        </w:rPr>
      </w:pPr>
    </w:p>
    <w:p>
      <w:pPr>
        <w:ind w:left="720"/>
        <w:spacing w:after="0"/>
        <w:tabs>
          <w:tab w:leader="none" w:pos="1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906 of the Sarbanes-Oxley Act of 2002</w:t>
      </w:r>
    </w:p>
    <w:p>
      <w:pPr>
        <w:spacing w:after="0" w:line="49" w:lineRule="exact"/>
        <w:rPr>
          <w:sz w:val="20"/>
          <w:szCs w:val="20"/>
          <w:color w:val="auto"/>
        </w:rPr>
      </w:pPr>
    </w:p>
    <w:p>
      <w:pPr>
        <w:ind w:left="740"/>
        <w:spacing w:after="0"/>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Annual Report on Form 10-K for the year ended December 31,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2016, formatted in XBRL (eXtensible Business Reporting</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Language): (1) the Consolidated Balance Sheets,</w:t>
      </w:r>
    </w:p>
    <w:p>
      <w:pPr>
        <w:spacing w:after="0" w:line="9" w:lineRule="exact"/>
        <w:rPr>
          <w:sz w:val="20"/>
          <w:szCs w:val="20"/>
          <w:color w:val="auto"/>
        </w:rPr>
      </w:pPr>
    </w:p>
    <w:p>
      <w:pPr>
        <w:ind w:left="1900" w:hanging="265"/>
        <w:spacing w:after="0"/>
        <w:tabs>
          <w:tab w:leader="none" w:pos="1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Consolidated Statements of Operations,</w:t>
      </w:r>
    </w:p>
    <w:p>
      <w:pPr>
        <w:spacing w:after="0" w:line="9" w:lineRule="exact"/>
        <w:rPr>
          <w:rFonts w:ascii="Arial" w:cs="Arial" w:eastAsia="Arial" w:hAnsi="Arial"/>
          <w:sz w:val="18"/>
          <w:szCs w:val="18"/>
          <w:color w:val="auto"/>
        </w:rPr>
      </w:pPr>
    </w:p>
    <w:p>
      <w:pPr>
        <w:ind w:left="1640" w:right="5480" w:hanging="5"/>
        <w:spacing w:after="0" w:line="281" w:lineRule="auto"/>
        <w:tabs>
          <w:tab w:leader="none" w:pos="18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Consolidated Statements of Comprehensive Income (Loss), (4) the Consolidated Statements of Shareholders' Equity, (5) the Consolidated Statements of Cash Flows, and</w:t>
      </w:r>
    </w:p>
    <w:p>
      <w:pPr>
        <w:spacing w:after="0" w:line="2" w:lineRule="exact"/>
        <w:rPr>
          <w:rFonts w:ascii="Arial" w:cs="Arial" w:eastAsia="Arial" w:hAnsi="Arial"/>
          <w:sz w:val="16"/>
          <w:szCs w:val="16"/>
          <w:color w:val="auto"/>
        </w:rPr>
      </w:pPr>
    </w:p>
    <w:p>
      <w:pPr>
        <w:ind w:left="340" w:right="5360" w:firstLine="1295"/>
        <w:spacing w:after="0" w:line="306" w:lineRule="auto"/>
        <w:tabs>
          <w:tab w:leader="none" w:pos="1898"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related notes to the Consolidated Financial Statements * Management contract or compensatory plan or arrangement.</w:t>
      </w:r>
    </w:p>
    <w:p>
      <w:pPr>
        <w:ind w:left="560" w:hanging="228"/>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herewith.</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78"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VALUATION AND QUALIFYING ACCOUNTS AND ALLOWANCES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 THE THREE YEARS ENDED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800" w:type="dxa"/>
            <w:vAlign w:val="bottom"/>
          </w:tcPr>
          <w:p>
            <w:pPr>
              <w:jc w:val="center"/>
              <w:ind w:left="113"/>
              <w:spacing w:after="0"/>
              <w:rPr>
                <w:sz w:val="20"/>
                <w:szCs w:val="20"/>
                <w:color w:val="auto"/>
              </w:rPr>
            </w:pPr>
            <w:r>
              <w:rPr>
                <w:rFonts w:ascii="Arial" w:cs="Arial" w:eastAsia="Arial" w:hAnsi="Arial"/>
                <w:sz w:val="16"/>
                <w:szCs w:val="16"/>
                <w:b w:val="1"/>
                <w:bCs w:val="1"/>
                <w:color w:val="auto"/>
                <w:w w:val="89"/>
              </w:rPr>
              <w:t>Balance at</w:t>
            </w:r>
          </w:p>
        </w:tc>
        <w:tc>
          <w:tcPr>
            <w:tcW w:w="1340" w:type="dxa"/>
            <w:vAlign w:val="bottom"/>
          </w:tcPr>
          <w:p>
            <w:pPr>
              <w:spacing w:after="0"/>
              <w:rPr>
                <w:sz w:val="18"/>
                <w:szCs w:val="18"/>
                <w:color w:val="auto"/>
              </w:rPr>
            </w:pP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(Recovery)</w:t>
            </w:r>
          </w:p>
        </w:tc>
        <w:tc>
          <w:tcPr>
            <w:tcW w:w="1600" w:type="dxa"/>
            <w:vAlign w:val="bottom"/>
          </w:tcPr>
          <w:p>
            <w:pPr>
              <w:spacing w:after="0"/>
              <w:rPr>
                <w:sz w:val="18"/>
                <w:szCs w:val="18"/>
                <w:color w:val="auto"/>
              </w:rPr>
            </w:pPr>
          </w:p>
        </w:tc>
        <w:tc>
          <w:tcPr>
            <w:tcW w:w="1200" w:type="dxa"/>
            <w:vAlign w:val="bottom"/>
          </w:tcPr>
          <w:p>
            <w:pPr>
              <w:jc w:val="right"/>
              <w:ind w:right="173"/>
              <w:spacing w:after="0"/>
              <w:rPr>
                <w:sz w:val="20"/>
                <w:szCs w:val="20"/>
                <w:color w:val="auto"/>
              </w:rPr>
            </w:pPr>
            <w:r>
              <w:rPr>
                <w:rFonts w:ascii="Arial" w:cs="Arial" w:eastAsia="Arial" w:hAnsi="Arial"/>
                <w:sz w:val="16"/>
                <w:szCs w:val="16"/>
                <w:b w:val="1"/>
                <w:bCs w:val="1"/>
                <w:color w:val="auto"/>
              </w:rPr>
              <w:t>Balance at</w:t>
            </w:r>
          </w:p>
        </w:tc>
      </w:tr>
      <w:tr>
        <w:trPr>
          <w:trHeight w:val="270"/>
        </w:trPr>
        <w:tc>
          <w:tcPr>
            <w:tcW w:w="4120" w:type="dxa"/>
            <w:vAlign w:val="bottom"/>
          </w:tcPr>
          <w:p>
            <w:pPr>
              <w:spacing w:after="0"/>
              <w:rPr>
                <w:sz w:val="23"/>
                <w:szCs w:val="23"/>
                <w:color w:val="auto"/>
              </w:rPr>
            </w:pPr>
          </w:p>
        </w:tc>
        <w:tc>
          <w:tcPr>
            <w:tcW w:w="1800" w:type="dxa"/>
            <w:vAlign w:val="bottom"/>
          </w:tcPr>
          <w:p>
            <w:pPr>
              <w:jc w:val="center"/>
              <w:ind w:left="93"/>
              <w:spacing w:after="0"/>
              <w:rPr>
                <w:sz w:val="20"/>
                <w:szCs w:val="20"/>
                <w:color w:val="auto"/>
              </w:rPr>
            </w:pPr>
            <w:r>
              <w:rPr>
                <w:rFonts w:ascii="Arial" w:cs="Arial" w:eastAsia="Arial" w:hAnsi="Arial"/>
                <w:sz w:val="16"/>
                <w:szCs w:val="16"/>
                <w:b w:val="1"/>
                <w:bCs w:val="1"/>
                <w:color w:val="auto"/>
                <w:w w:val="89"/>
              </w:rPr>
              <w:t>Beginning</w:t>
            </w:r>
          </w:p>
        </w:tc>
        <w:tc>
          <w:tcPr>
            <w:tcW w:w="1340" w:type="dxa"/>
            <w:vAlign w:val="bottom"/>
          </w:tcPr>
          <w:p>
            <w:pPr>
              <w:spacing w:after="0"/>
              <w:rPr>
                <w:sz w:val="23"/>
                <w:szCs w:val="23"/>
                <w:color w:val="auto"/>
              </w:rPr>
            </w:pP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and</w:t>
            </w:r>
          </w:p>
        </w:tc>
        <w:tc>
          <w:tcPr>
            <w:tcW w:w="1600" w:type="dxa"/>
            <w:vAlign w:val="bottom"/>
          </w:tcPr>
          <w:p>
            <w:pPr>
              <w:jc w:val="right"/>
              <w:ind w:right="592"/>
              <w:spacing w:after="0"/>
              <w:rPr>
                <w:sz w:val="20"/>
                <w:szCs w:val="20"/>
                <w:color w:val="auto"/>
              </w:rPr>
            </w:pPr>
            <w:r>
              <w:rPr>
                <w:rFonts w:ascii="Arial" w:cs="Arial" w:eastAsia="Arial" w:hAnsi="Arial"/>
                <w:sz w:val="16"/>
                <w:szCs w:val="16"/>
                <w:b w:val="1"/>
                <w:bCs w:val="1"/>
                <w:color w:val="auto"/>
              </w:rPr>
              <w:t>Other</w:t>
            </w:r>
          </w:p>
        </w:tc>
        <w:tc>
          <w:tcPr>
            <w:tcW w:w="1200" w:type="dxa"/>
            <w:vAlign w:val="bottom"/>
          </w:tcPr>
          <w:p>
            <w:pPr>
              <w:jc w:val="right"/>
              <w:ind w:right="293"/>
              <w:spacing w:after="0"/>
              <w:rPr>
                <w:sz w:val="20"/>
                <w:szCs w:val="20"/>
                <w:color w:val="auto"/>
              </w:rPr>
            </w:pPr>
            <w:r>
              <w:rPr>
                <w:rFonts w:ascii="Arial" w:cs="Arial" w:eastAsia="Arial" w:hAnsi="Arial"/>
                <w:sz w:val="16"/>
                <w:szCs w:val="16"/>
                <w:b w:val="1"/>
                <w:bCs w:val="1"/>
                <w:color w:val="auto"/>
              </w:rPr>
              <w:t>End of</w:t>
            </w:r>
          </w:p>
        </w:tc>
      </w:tr>
      <w:tr>
        <w:trPr>
          <w:trHeight w:val="331"/>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0" w:type="dxa"/>
            <w:vAlign w:val="bottom"/>
          </w:tcPr>
          <w:p>
            <w:pPr>
              <w:jc w:val="center"/>
              <w:ind w:left="113"/>
              <w:spacing w:after="0"/>
              <w:rPr>
                <w:sz w:val="20"/>
                <w:szCs w:val="20"/>
                <w:color w:val="auto"/>
              </w:rPr>
            </w:pPr>
            <w:r>
              <w:rPr>
                <w:rFonts w:ascii="Arial" w:cs="Arial" w:eastAsia="Arial" w:hAnsi="Arial"/>
                <w:sz w:val="16"/>
                <w:szCs w:val="16"/>
                <w:b w:val="1"/>
                <w:bCs w:val="1"/>
                <w:color w:val="auto"/>
                <w:w w:val="92"/>
              </w:rPr>
              <w:t>of Period</w:t>
            </w:r>
          </w:p>
        </w:tc>
        <w:tc>
          <w:tcPr>
            <w:tcW w:w="1340" w:type="dxa"/>
            <w:vAlign w:val="bottom"/>
          </w:tcPr>
          <w:p>
            <w:pPr>
              <w:jc w:val="right"/>
              <w:ind w:right="371"/>
              <w:spacing w:after="0"/>
              <w:rPr>
                <w:sz w:val="20"/>
                <w:szCs w:val="20"/>
                <w:color w:val="auto"/>
              </w:rPr>
            </w:pPr>
            <w:r>
              <w:rPr>
                <w:rFonts w:ascii="Arial" w:cs="Arial" w:eastAsia="Arial" w:hAnsi="Arial"/>
                <w:sz w:val="16"/>
                <w:szCs w:val="16"/>
                <w:b w:val="1"/>
                <w:bCs w:val="1"/>
                <w:color w:val="auto"/>
              </w:rPr>
              <w:t>Expense</w:t>
            </w: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Additions</w:t>
            </w:r>
          </w:p>
        </w:tc>
        <w:tc>
          <w:tcPr>
            <w:tcW w:w="160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 xml:space="preserve">Reductions </w:t>
            </w:r>
            <w:r>
              <w:rPr>
                <w:rFonts w:ascii="Arial" w:cs="Arial" w:eastAsia="Arial" w:hAnsi="Arial"/>
                <w:sz w:val="21"/>
                <w:szCs w:val="21"/>
                <w:b w:val="1"/>
                <w:bCs w:val="1"/>
                <w:color w:val="auto"/>
                <w:w w:val="95"/>
                <w:vertAlign w:val="superscript"/>
              </w:rPr>
              <w:t>(a) (b)</w:t>
            </w:r>
          </w:p>
        </w:tc>
        <w:tc>
          <w:tcPr>
            <w:tcW w:w="1200" w:type="dxa"/>
            <w:vAlign w:val="bottom"/>
          </w:tcPr>
          <w:p>
            <w:pPr>
              <w:jc w:val="right"/>
              <w:ind w:right="313"/>
              <w:spacing w:after="0"/>
              <w:rPr>
                <w:sz w:val="20"/>
                <w:szCs w:val="20"/>
                <w:color w:val="auto"/>
              </w:rPr>
            </w:pPr>
            <w:r>
              <w:rPr>
                <w:rFonts w:ascii="Arial" w:cs="Arial" w:eastAsia="Arial" w:hAnsi="Arial"/>
                <w:sz w:val="16"/>
                <w:szCs w:val="16"/>
                <w:b w:val="1"/>
                <w:bCs w:val="1"/>
                <w:color w:val="auto"/>
              </w:rPr>
              <w:t>Period</w:t>
            </w:r>
          </w:p>
        </w:tc>
      </w:tr>
      <w:tr>
        <w:trPr>
          <w:trHeight w:val="134"/>
        </w:trPr>
        <w:tc>
          <w:tcPr>
            <w:tcW w:w="41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800" w:type="dxa"/>
            <w:vAlign w:val="bottom"/>
          </w:tcPr>
          <w:p>
            <w:pPr>
              <w:jc w:val="right"/>
              <w:ind w:right="213"/>
              <w:spacing w:after="0"/>
              <w:rPr>
                <w:sz w:val="20"/>
                <w:szCs w:val="20"/>
                <w:color w:val="auto"/>
              </w:rPr>
            </w:pPr>
            <w:r>
              <w:rPr>
                <w:rFonts w:ascii="Arial" w:cs="Arial" w:eastAsia="Arial" w:hAnsi="Arial"/>
                <w:sz w:val="18"/>
                <w:szCs w:val="18"/>
                <w:color w:val="auto"/>
              </w:rPr>
              <w:t>113</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(53)</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129</w:t>
            </w:r>
          </w:p>
        </w:tc>
      </w:tr>
      <w:tr>
        <w:trPr>
          <w:trHeight w:val="27"/>
        </w:trPr>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8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868</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872</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1,738</w:t>
            </w:r>
          </w:p>
        </w:tc>
      </w:tr>
      <w:tr>
        <w:trPr>
          <w:trHeight w:val="324"/>
        </w:trPr>
        <w:tc>
          <w:tcPr>
            <w:tcW w:w="4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800" w:type="dxa"/>
            <w:vAlign w:val="bottom"/>
          </w:tcPr>
          <w:p>
            <w:pPr>
              <w:jc w:val="right"/>
              <w:ind w:right="213"/>
              <w:spacing w:after="0"/>
              <w:rPr>
                <w:sz w:val="20"/>
                <w:szCs w:val="20"/>
                <w:color w:val="auto"/>
              </w:rPr>
            </w:pPr>
            <w:r>
              <w:rPr>
                <w:rFonts w:ascii="Arial" w:cs="Arial" w:eastAsia="Arial" w:hAnsi="Arial"/>
                <w:sz w:val="18"/>
                <w:szCs w:val="18"/>
                <w:color w:val="auto"/>
              </w:rPr>
              <w:t>108</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
        </w:trPr>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8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732</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r>
      <w:tr>
        <w:trPr>
          <w:trHeight w:val="324"/>
        </w:trPr>
        <w:tc>
          <w:tcPr>
            <w:tcW w:w="4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800" w:type="dxa"/>
            <w:vAlign w:val="bottom"/>
          </w:tcPr>
          <w:p>
            <w:pPr>
              <w:jc w:val="right"/>
              <w:ind w:right="213"/>
              <w:spacing w:after="0"/>
              <w:rPr>
                <w:sz w:val="20"/>
                <w:szCs w:val="20"/>
                <w:color w:val="auto"/>
              </w:rPr>
            </w:pPr>
            <w:r>
              <w:rPr>
                <w:rFonts w:ascii="Arial" w:cs="Arial" w:eastAsia="Arial" w:hAnsi="Arial"/>
                <w:sz w:val="18"/>
                <w:szCs w:val="18"/>
                <w:color w:val="auto"/>
              </w:rPr>
              <w:t>106</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108</w:t>
            </w:r>
          </w:p>
        </w:tc>
      </w:tr>
      <w:tr>
        <w:trPr>
          <w:trHeight w:val="27"/>
        </w:trPr>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8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554</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222</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r>
      <w:tr>
        <w:trPr>
          <w:trHeight w:val="27"/>
        </w:trPr>
        <w:tc>
          <w:tcPr>
            <w:tcW w:w="4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ind w:left="500" w:hanging="330"/>
        <w:spacing w:after="0"/>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write-offs and amounts reclassified to assets held for sale.</w:t>
      </w:r>
    </w:p>
    <w:p>
      <w:pPr>
        <w:spacing w:after="0" w:line="9" w:lineRule="exact"/>
        <w:rPr>
          <w:rFonts w:ascii="Arial" w:cs="Arial" w:eastAsia="Arial" w:hAnsi="Arial"/>
          <w:sz w:val="16"/>
          <w:szCs w:val="16"/>
          <w:color w:val="auto"/>
        </w:rPr>
      </w:pPr>
    </w:p>
    <w:p>
      <w:pPr>
        <w:ind w:left="500" w:hanging="330"/>
        <w:spacing w:after="0"/>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 reductions for valuation allowance on deferred taxes primarily due to currency translation.</w:t>
      </w: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 other schedules are omitted because they are not required or because the information is included in the financial statements or the related notes.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9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14, 2017.</w:t>
      </w:r>
    </w:p>
    <w:p>
      <w:pPr>
        <w:spacing w:after="0" w:line="315"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Weatherford International plc</w:t>
      </w:r>
    </w:p>
    <w:p>
      <w:pPr>
        <w:spacing w:after="0" w:line="378"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3860" w:type="dxa"/>
            <w:vAlign w:val="bottom"/>
          </w:tcPr>
          <w:p>
            <w:pPr>
              <w:jc w:val="center"/>
              <w:ind w:right="150"/>
              <w:spacing w:after="0"/>
              <w:rPr>
                <w:sz w:val="20"/>
                <w:szCs w:val="20"/>
                <w:color w:val="auto"/>
              </w:rPr>
            </w:pPr>
            <w:r>
              <w:rPr>
                <w:rFonts w:ascii="Arial" w:cs="Arial" w:eastAsia="Arial" w:hAnsi="Arial"/>
                <w:sz w:val="18"/>
                <w:szCs w:val="18"/>
                <w:color w:val="auto"/>
                <w:w w:val="99"/>
              </w:rPr>
              <w:t>Title</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34"/>
        </w:trPr>
        <w:tc>
          <w:tcPr>
            <w:tcW w:w="37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 Krishna Shivram</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3"/>
              </w:rPr>
              <w:t>Chief Executive Officer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vMerge w:val="restart"/>
          </w:tcPr>
          <w:p>
            <w:pPr>
              <w:jc w:val="center"/>
              <w:ind w:right="150"/>
              <w:spacing w:after="0"/>
              <w:rPr>
                <w:sz w:val="20"/>
                <w:szCs w:val="20"/>
                <w:color w:val="auto"/>
              </w:rPr>
            </w:pPr>
            <w:r>
              <w:rPr>
                <w:rFonts w:ascii="Arial" w:cs="Arial" w:eastAsia="Arial" w:hAnsi="Arial"/>
                <w:sz w:val="18"/>
                <w:szCs w:val="18"/>
                <w:color w:val="auto"/>
                <w:w w:val="94"/>
              </w:rPr>
              <w:t>(Principal Executive Officer)</w:t>
            </w: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Krishna Shivram</w:t>
            </w:r>
          </w:p>
        </w:tc>
        <w:tc>
          <w:tcPr>
            <w:tcW w:w="386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 Christoph Bausch</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0"/>
              </w:rPr>
              <w:t>Executive Vice President and</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Chief Financial Officer</w:t>
            </w: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Christoph Bausch</w:t>
            </w:r>
          </w:p>
        </w:tc>
        <w:tc>
          <w:tcPr>
            <w:tcW w:w="386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4"/>
              </w:rPr>
              <w:t>(Principal Financial Officer)</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6"/>
              </w:rPr>
              <w:t>/s/ Doug M. Mills</w:t>
            </w:r>
          </w:p>
        </w:tc>
        <w:tc>
          <w:tcPr>
            <w:tcW w:w="3860" w:type="dxa"/>
            <w:vAlign w:val="bottom"/>
          </w:tcPr>
          <w:p>
            <w:pPr>
              <w:jc w:val="center"/>
              <w:ind w:right="150"/>
              <w:spacing w:after="0"/>
              <w:rPr>
                <w:sz w:val="20"/>
                <w:szCs w:val="20"/>
                <w:color w:val="auto"/>
              </w:rPr>
            </w:pPr>
            <w:r>
              <w:rPr>
                <w:rFonts w:ascii="Arial" w:cs="Arial" w:eastAsia="Arial" w:hAnsi="Arial"/>
                <w:sz w:val="18"/>
                <w:szCs w:val="18"/>
                <w:color w:val="auto"/>
                <w:w w:val="88"/>
              </w:rPr>
              <w:t>Vice President and</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Chief Accounting Officer</w:t>
            </w: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9"/>
              </w:rPr>
              <w:t>Doug M. Mills</w:t>
            </w:r>
          </w:p>
        </w:tc>
        <w:tc>
          <w:tcPr>
            <w:tcW w:w="386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860" w:type="dxa"/>
            <w:vAlign w:val="bottom"/>
          </w:tcPr>
          <w:p>
            <w:pPr>
              <w:jc w:val="center"/>
              <w:ind w:right="150"/>
              <w:spacing w:after="0"/>
              <w:rPr>
                <w:sz w:val="20"/>
                <w:szCs w:val="20"/>
                <w:color w:val="auto"/>
              </w:rPr>
            </w:pPr>
            <w:r>
              <w:rPr>
                <w:rFonts w:ascii="Arial" w:cs="Arial" w:eastAsia="Arial" w:hAnsi="Arial"/>
                <w:sz w:val="18"/>
                <w:szCs w:val="18"/>
                <w:color w:val="auto"/>
                <w:w w:val="95"/>
              </w:rPr>
              <w:t>(Principal Accounting Officer)</w:t>
            </w:r>
          </w:p>
        </w:tc>
        <w:tc>
          <w:tcPr>
            <w:tcW w:w="3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 Mohamed A. Awad</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 David J. Butters</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/s/John D. Gass</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/s/Francis S. Kalman</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Francis S. Kalman</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 William E. Macaulay</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William E. Macaulay</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9"/>
              </w:rPr>
              <w:t>/s/ Robert K. Moses, Jr.</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/s/Guillermo Ortiz</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Guillermo Ortiz</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 Emyr Jones Parry</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Emyr Jones Parry</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/s/Robert A. Rayne</w:t>
            </w:r>
          </w:p>
        </w:tc>
        <w:tc>
          <w:tcPr>
            <w:tcW w:w="3860" w:type="dxa"/>
            <w:vAlign w:val="bottom"/>
          </w:tcPr>
          <w:p>
            <w:pPr>
              <w:jc w:val="center"/>
              <w:ind w:right="130"/>
              <w:spacing w:after="0"/>
              <w:rPr>
                <w:sz w:val="20"/>
                <w:szCs w:val="20"/>
                <w:color w:val="auto"/>
              </w:rPr>
            </w:pPr>
            <w:r>
              <w:rPr>
                <w:rFonts w:ascii="Arial" w:cs="Arial" w:eastAsia="Arial" w:hAnsi="Arial"/>
                <w:sz w:val="18"/>
                <w:szCs w:val="18"/>
                <w:color w:val="auto"/>
                <w:w w:val="95"/>
              </w:rPr>
              <w:t>Director</w:t>
            </w:r>
          </w:p>
        </w:tc>
        <w:tc>
          <w:tcPr>
            <w:tcW w:w="3420" w:type="dxa"/>
            <w:vAlign w:val="bottom"/>
          </w:tcPr>
          <w:p>
            <w:pPr>
              <w:jc w:val="center"/>
              <w:ind w:right="150"/>
              <w:spacing w:after="0"/>
              <w:rPr>
                <w:sz w:val="20"/>
                <w:szCs w:val="20"/>
                <w:color w:val="auto"/>
              </w:rPr>
            </w:pPr>
            <w:r>
              <w:rPr>
                <w:rFonts w:ascii="Arial" w:cs="Arial" w:eastAsia="Arial" w:hAnsi="Arial"/>
                <w:sz w:val="18"/>
                <w:szCs w:val="18"/>
                <w:color w:val="auto"/>
                <w:w w:val="91"/>
              </w:rPr>
              <w:t>February 14, 2017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A. Rayne</w:t>
            </w:r>
          </w:p>
        </w:tc>
        <w:tc>
          <w:tcPr>
            <w:tcW w:w="38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395" w:right="2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Exhibit 12.1</w:t>
            </w:r>
          </w:p>
        </w:tc>
      </w:tr>
      <w:tr>
        <w:trPr>
          <w:trHeight w:val="567"/>
        </w:trPr>
        <w:tc>
          <w:tcPr>
            <w:tcW w:w="8120" w:type="dxa"/>
            <w:vAlign w:val="bottom"/>
            <w:gridSpan w:val="8"/>
          </w:tcPr>
          <w:p>
            <w:pPr>
              <w:ind w:left="3720"/>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58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 except ratios)</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(Loss) from continuing operations before income taxes </w:t>
            </w:r>
            <w:r>
              <w:rPr>
                <w:rFonts w:ascii="Arial" w:cs="Arial" w:eastAsia="Arial" w:hAnsi="Arial"/>
                <w:sz w:val="25"/>
                <w:szCs w:val="25"/>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factor portion of rentals </w:t>
            </w:r>
            <w:r>
              <w:rPr>
                <w:rFonts w:ascii="Arial" w:cs="Arial" w:eastAsia="Arial" w:hAnsi="Arial"/>
                <w:sz w:val="25"/>
                <w:szCs w:val="25"/>
                <w:color w:val="auto"/>
                <w:vertAlign w:val="superscript"/>
              </w:rPr>
              <w:t>(c)</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Total fixed charges</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Capitalized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Earnings (loss) before income taxes and fixed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5"/>
                <w:szCs w:val="25"/>
                <w:color w:val="auto"/>
                <w:vertAlign w:val="superscript"/>
              </w:rPr>
              <w:t>(d)</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44"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has been adjusted to include only distributed income of less-than-fifty-percent-owned persons.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Interest expense consists of interest expense incurred from continuing operations and amortization of debt issuance costs.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Interest factor portion of rentals is estimated to be one-third of rental expense.</w:t>
      </w:r>
    </w:p>
    <w:p>
      <w:pPr>
        <w:spacing w:after="0" w:line="5" w:lineRule="exact"/>
        <w:rPr>
          <w:rFonts w:ascii="Arial" w:cs="Arial" w:eastAsia="Arial" w:hAnsi="Arial"/>
          <w:sz w:val="16"/>
          <w:szCs w:val="16"/>
          <w:color w:val="auto"/>
        </w:rPr>
      </w:pPr>
    </w:p>
    <w:p>
      <w:pPr>
        <w:ind w:left="500" w:hanging="330"/>
        <w:spacing w:after="0" w:line="257"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the years ended December 31, 2016, 2015, 2014, 2013 and 2012, earnings, as defined, before fixed charges were inadequate to cover fixed charges by $2.9 billion, $2.1 billion, $266 million, $211 million and $349 million, respectively.</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2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Listed below are the significant subsidiaries of the Registrant as of December 31, 2016, and the states or jurisdictions in which they are incorporated or organized. The names of other subsidiaries have been omitted from the list below, since they would not constitute, in the aggregate, a significant subsidiary as of December 31,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Company</w:t>
            </w:r>
          </w:p>
        </w:tc>
        <w:tc>
          <w:tcPr>
            <w:tcW w:w="5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620" w:type="dxa"/>
            <w:vAlign w:val="bottom"/>
          </w:tcPr>
          <w:p>
            <w:pPr>
              <w:spacing w:after="0"/>
              <w:rPr>
                <w:sz w:val="17"/>
                <w:szCs w:val="17"/>
                <w:color w:val="auto"/>
              </w:rPr>
            </w:pPr>
          </w:p>
        </w:tc>
      </w:tr>
      <w:tr>
        <w:trPr>
          <w:trHeight w:val="291"/>
        </w:trPr>
        <w:tc>
          <w:tcPr>
            <w:tcW w:w="40" w:type="dxa"/>
            <w:vAlign w:val="bottom"/>
          </w:tcPr>
          <w:p>
            <w:pPr>
              <w:spacing w:after="0"/>
              <w:rPr>
                <w:sz w:val="24"/>
                <w:szCs w:val="24"/>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Desert Rig Operations, Inc.</w:t>
            </w:r>
          </w:p>
        </w:tc>
        <w:tc>
          <w:tcPr>
            <w:tcW w:w="2440" w:type="dxa"/>
            <w:vAlign w:val="bottom"/>
          </w:tcPr>
          <w:p>
            <w:pPr>
              <w:spacing w:after="0"/>
              <w:rPr>
                <w:sz w:val="24"/>
                <w:szCs w:val="2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Cayman</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EVI de Venezuela, S.A.</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6"/>
              </w:rPr>
              <w:t>Venezuela</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Key International Drilling Company Limited</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 Oilfield Services Mexicana, S. de R.L. de C.V.</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8"/>
              </w:rPr>
              <w:t>Mexico</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Petrowell Limited</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Scotland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Precision Drilling Services (Netherlands) B.V.</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Netherlands</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Precision Drilling Services M.E.W.L.L.</w:t>
            </w:r>
          </w:p>
        </w:tc>
        <w:tc>
          <w:tcPr>
            <w:tcW w:w="3980" w:type="dxa"/>
            <w:vAlign w:val="bottom"/>
            <w:gridSpan w:val="3"/>
          </w:tcPr>
          <w:p>
            <w:pPr>
              <w:jc w:val="center"/>
              <w:ind w:left="1730"/>
              <w:spacing w:after="0"/>
              <w:rPr>
                <w:sz w:val="20"/>
                <w:szCs w:val="20"/>
                <w:color w:val="auto"/>
              </w:rPr>
            </w:pPr>
            <w:r>
              <w:rPr>
                <w:rFonts w:ascii="Arial" w:cs="Arial" w:eastAsia="Arial" w:hAnsi="Arial"/>
                <w:sz w:val="18"/>
                <w:szCs w:val="18"/>
                <w:color w:val="auto"/>
                <w:w w:val="91"/>
              </w:rPr>
              <w:t>United Arab Emirates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Precision Energy Services Saudi Arabia Co. Ltd.</w:t>
            </w:r>
          </w:p>
        </w:tc>
        <w:tc>
          <w:tcPr>
            <w:tcW w:w="3980" w:type="dxa"/>
            <w:vAlign w:val="bottom"/>
            <w:tcBorders>
              <w:bottom w:val="single" w:sz="8" w:color="CCEEFF"/>
            </w:tcBorders>
            <w:gridSpan w:val="3"/>
            <w:shd w:val="clear" w:color="auto" w:fill="CCEEFF"/>
          </w:tcPr>
          <w:p>
            <w:pPr>
              <w:jc w:val="center"/>
              <w:ind w:left="1730"/>
              <w:spacing w:after="0"/>
              <w:rPr>
                <w:sz w:val="20"/>
                <w:szCs w:val="20"/>
                <w:color w:val="auto"/>
              </w:rPr>
            </w:pPr>
            <w:r>
              <w:rPr>
                <w:rFonts w:ascii="Arial" w:cs="Arial" w:eastAsia="Arial" w:hAnsi="Arial"/>
                <w:sz w:val="18"/>
                <w:szCs w:val="18"/>
                <w:color w:val="auto"/>
                <w:w w:val="93"/>
              </w:rPr>
              <w:t>Saudi Arabia</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PT. Weatherford Indonesia</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Indonesia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Reeves Wireline Technologies Limited</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0"/>
              </w:rPr>
              <w:t>England</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(Malaysia) Sdn. Bhd.</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Malaysia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Al-Rushaid Co. Ltd.</w:t>
            </w:r>
          </w:p>
        </w:tc>
        <w:tc>
          <w:tcPr>
            <w:tcW w:w="3980" w:type="dxa"/>
            <w:vAlign w:val="bottom"/>
            <w:tcBorders>
              <w:bottom w:val="single" w:sz="8" w:color="CCEEFF"/>
            </w:tcBorders>
            <w:gridSpan w:val="3"/>
            <w:shd w:val="clear" w:color="auto" w:fill="CCEEFF"/>
          </w:tcPr>
          <w:p>
            <w:pPr>
              <w:jc w:val="center"/>
              <w:ind w:left="1730"/>
              <w:spacing w:after="0"/>
              <w:rPr>
                <w:sz w:val="20"/>
                <w:szCs w:val="20"/>
                <w:color w:val="auto"/>
              </w:rPr>
            </w:pPr>
            <w:r>
              <w:rPr>
                <w:rFonts w:ascii="Arial" w:cs="Arial" w:eastAsia="Arial" w:hAnsi="Arial"/>
                <w:sz w:val="18"/>
                <w:szCs w:val="18"/>
                <w:color w:val="auto"/>
                <w:w w:val="93"/>
              </w:rPr>
              <w:t>Saudi Arabia</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Artificial Lift Systems, LLC</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Asia Pacific Pte Ltd</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7"/>
              </w:rPr>
              <w:t>Singapore</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Australia Pty. Limited</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Australia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Bermuda Holdings Ltd.</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Canada Ltd.</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5"/>
              </w:rPr>
              <w:t>Canada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Capital Management Services Limited Liability Company</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4"/>
              </w:rPr>
              <w:t>Hungary</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Danmark AS</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Denmark</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de Mexico, S. de R.L. de C.V.</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8"/>
              </w:rPr>
              <w:t>Mexico</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Drilling International (BVI) Ltd.</w:t>
            </w:r>
          </w:p>
        </w:tc>
        <w:tc>
          <w:tcPr>
            <w:tcW w:w="3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Drilling International Holdings (BVI) Ltd.</w:t>
            </w:r>
          </w:p>
        </w:tc>
        <w:tc>
          <w:tcPr>
            <w:tcW w:w="3980" w:type="dxa"/>
            <w:vAlign w:val="bottom"/>
            <w:tcBorders>
              <w:bottom w:val="single" w:sz="8" w:color="CCEEFF"/>
            </w:tcBorders>
            <w:gridSpan w:val="3"/>
            <w:shd w:val="clear" w:color="auto" w:fill="CCEEFF"/>
          </w:tcPr>
          <w:p>
            <w:pPr>
              <w:jc w:val="center"/>
              <w:ind w:left="173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Holding GmbH</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Germany</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Industria e Comercio Ltda.</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7"/>
              </w:rPr>
              <w:t>Brazil</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International de Argentina S.A.</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Argentina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International Ltd.</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International, LLC</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KSP Company Limited</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2"/>
              </w:rPr>
              <w:t>Thailand</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Latin America, S.C.A.</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Venezuela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Liquidity Management Hungary Limited Liability Company</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4"/>
              </w:rPr>
              <w:t>Hungary</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Management Company Switzerland Sarl</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Oil Tool GmbH</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Germany</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Oil Tool Middle East Limited</w:t>
            </w:r>
          </w:p>
        </w:tc>
        <w:tc>
          <w:tcPr>
            <w:tcW w:w="3980" w:type="dxa"/>
            <w:vAlign w:val="bottom"/>
            <w:gridSpan w:val="3"/>
          </w:tcPr>
          <w:p>
            <w:pPr>
              <w:jc w:val="center"/>
              <w:ind w:left="1730"/>
              <w:spacing w:after="0"/>
              <w:rPr>
                <w:sz w:val="20"/>
                <w:szCs w:val="20"/>
                <w:color w:val="auto"/>
              </w:rPr>
            </w:pPr>
            <w:r>
              <w:rPr>
                <w:rFonts w:ascii="Arial" w:cs="Arial" w:eastAsia="Arial" w:hAnsi="Arial"/>
                <w:sz w:val="18"/>
                <w:szCs w:val="18"/>
                <w:color w:val="auto"/>
                <w:w w:val="95"/>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Products GmbH</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Saudi Arabia Limited</w:t>
            </w:r>
          </w:p>
        </w:tc>
        <w:tc>
          <w:tcPr>
            <w:tcW w:w="3980" w:type="dxa"/>
            <w:vAlign w:val="bottom"/>
            <w:gridSpan w:val="3"/>
          </w:tcPr>
          <w:p>
            <w:pPr>
              <w:jc w:val="center"/>
              <w:ind w:left="1730"/>
              <w:spacing w:after="0"/>
              <w:rPr>
                <w:sz w:val="20"/>
                <w:szCs w:val="20"/>
                <w:color w:val="auto"/>
              </w:rPr>
            </w:pPr>
            <w:r>
              <w:rPr>
                <w:rFonts w:ascii="Arial" w:cs="Arial" w:eastAsia="Arial" w:hAnsi="Arial"/>
                <w:sz w:val="18"/>
                <w:szCs w:val="18"/>
                <w:color w:val="auto"/>
                <w:w w:val="93"/>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Services and Rentals Ltd.</w:t>
            </w:r>
          </w:p>
        </w:tc>
        <w:tc>
          <w:tcPr>
            <w:tcW w:w="3980" w:type="dxa"/>
            <w:vAlign w:val="bottom"/>
            <w:tcBorders>
              <w:bottom w:val="single" w:sz="8" w:color="CCEEFF"/>
            </w:tcBorders>
            <w:gridSpan w:val="3"/>
            <w:shd w:val="clear" w:color="auto" w:fill="CCEEFF"/>
          </w:tcPr>
          <w:p>
            <w:pPr>
              <w:jc w:val="center"/>
              <w:ind w:left="173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Services, Ltd.</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Switzerland Trading and Development GmbH</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Trinidad Limited</w:t>
            </w:r>
          </w:p>
        </w:tc>
        <w:tc>
          <w:tcPr>
            <w:tcW w:w="244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2"/>
              </w:rPr>
              <w:t>Trinidad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U.S., L.P.</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Louisiana</w:t>
            </w:r>
          </w:p>
        </w:tc>
      </w:tr>
      <w:tr>
        <w:trPr>
          <w:trHeight w:val="243"/>
        </w:trPr>
        <w:tc>
          <w:tcPr>
            <w:tcW w:w="40" w:type="dxa"/>
            <w:vAlign w:val="bottom"/>
          </w:tcPr>
          <w:p>
            <w:pPr>
              <w:spacing w:after="0"/>
              <w:rPr>
                <w:sz w:val="21"/>
                <w:szCs w:val="21"/>
                <w:color w:val="auto"/>
              </w:rPr>
            </w:pPr>
          </w:p>
        </w:tc>
        <w:tc>
          <w:tcPr>
            <w:tcW w:w="7400" w:type="dxa"/>
            <w:vAlign w:val="bottom"/>
            <w:gridSpan w:val="2"/>
          </w:tcPr>
          <w:p>
            <w:pPr>
              <w:spacing w:after="0"/>
              <w:rPr>
                <w:sz w:val="20"/>
                <w:szCs w:val="20"/>
                <w:color w:val="auto"/>
              </w:rPr>
            </w:pPr>
            <w:r>
              <w:rPr>
                <w:rFonts w:ascii="Arial" w:cs="Arial" w:eastAsia="Arial" w:hAnsi="Arial"/>
                <w:sz w:val="18"/>
                <w:szCs w:val="18"/>
                <w:color w:val="auto"/>
              </w:rPr>
              <w:t>Weatherford Worldwide Holdings GmbH</w:t>
            </w:r>
          </w:p>
        </w:tc>
        <w:tc>
          <w:tcPr>
            <w:tcW w:w="244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Weatherford, LLC</w:t>
            </w:r>
          </w:p>
        </w:tc>
        <w:tc>
          <w:tcPr>
            <w:tcW w:w="2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7"/>
              </w:rPr>
              <w:t>Russia</w:t>
            </w:r>
          </w:p>
        </w:tc>
      </w:tr>
      <w:tr>
        <w:trPr>
          <w:trHeight w:val="226"/>
        </w:trPr>
        <w:tc>
          <w:tcPr>
            <w:tcW w:w="4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Arial" w:cs="Arial" w:eastAsia="Arial" w:hAnsi="Arial"/>
                <w:sz w:val="17"/>
                <w:szCs w:val="17"/>
                <w:color w:val="auto"/>
              </w:rPr>
              <w:t>WEUS Holding, LLC</w:t>
            </w:r>
          </w:p>
        </w:tc>
        <w:tc>
          <w:tcPr>
            <w:tcW w:w="244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7"/>
                <w:szCs w:val="17"/>
                <w:color w:val="auto"/>
                <w:w w:val="89"/>
              </w:rPr>
              <w:t>Delaware</w:t>
            </w:r>
          </w:p>
        </w:tc>
      </w:tr>
      <w:tr>
        <w:trPr>
          <w:trHeight w:val="31"/>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WFO S.A. de C.V.</w:t>
            </w:r>
          </w:p>
        </w:tc>
        <w:tc>
          <w:tcPr>
            <w:tcW w:w="24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7"/>
                <w:szCs w:val="17"/>
                <w:color w:val="auto"/>
                <w:w w:val="96"/>
              </w:rPr>
              <w:t>Mexico</w:t>
            </w:r>
          </w:p>
        </w:tc>
      </w:tr>
      <w:tr>
        <w:trPr>
          <w:trHeight w:val="226"/>
        </w:trPr>
        <w:tc>
          <w:tcPr>
            <w:tcW w:w="4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Arial" w:cs="Arial" w:eastAsia="Arial" w:hAnsi="Arial"/>
                <w:sz w:val="17"/>
                <w:szCs w:val="17"/>
                <w:color w:val="auto"/>
              </w:rPr>
              <w:t>WPA S.A. de C.V.</w:t>
            </w:r>
          </w:p>
        </w:tc>
        <w:tc>
          <w:tcPr>
            <w:tcW w:w="244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7"/>
                <w:szCs w:val="17"/>
                <w:color w:val="auto"/>
                <w:w w:val="96"/>
              </w:rPr>
              <w:t>Mexico</w:t>
            </w:r>
          </w:p>
        </w:tc>
      </w:tr>
    </w:tbl>
    <w:p>
      <w:pPr>
        <w:sectPr>
          <w:pgSz w:w="11900" w:h="16838" w:orient="portrait"/>
          <w:cols w:equalWidth="0" w:num="1">
            <w:col w:w="11420"/>
          </w:cols>
          <w:pgMar w:left="240" w:top="79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consent to the incorporation by reference in the registration statement (No. 333-174485, 333-194431 and 333-216034) on Form S-3 and (Nos. 333-13531, 333-36598, 333-48320, 333-81678, 333-81676, 333-112378, 333-134425, 333-167959, 333-181664 and 333-212094) on Form S-8 of Weatherford International plc of our reports dated February 14, 2017, with respect to the consolidated balance sheet of Weatherford International plc as of December 31, 2016 and 2015, the related consolidated statements of operations, comprehensive loss, shareholders’ equity, and cash flows for each of the years in the three-year period ended December 31, 2016, and the related financial statement schedule for each of the years in the three-year period ended December 31, 2016, and the effectiveness of internal control over financial reporting as of December 31, 2016, which reports appear in the December 31, 2016 annual report on Form 10-K of Weatherford International plc. Our report dated February 14, 2017 refers to a change in accounting for deferred income taxes and accounting for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ectPr>
          <w:pgSz w:w="11900" w:h="16838" w:orient="portrait"/>
          <w:cols w:equalWidth="0" w:num="1">
            <w:col w:w="11420"/>
          </w:cols>
          <w:pgMar w:left="240" w:top="5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25"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February 14,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Krishna Shivram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February 14, 2017</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2016 as filed with the Securities and Exchange Commission on the date hereof (the "Report"), I, Krishna Shivram,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14,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2016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14,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decimal"/>
      <w:start w:val="8"/>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2"/>
    </w:lvl>
  </w:abstractNum>
  <w:abstractNum w:abstractNumId="21">
    <w:nsid w:val="580BD78F"/>
    <w:multiLevelType w:val="hybridMultilevel"/>
    <w:lvl w:ilvl="0">
      <w:lvlJc w:val="left"/>
      <w:lvlText w:val="\endash "/>
      <w:numFmt w:val="bullet"/>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decimal"/>
      <w:start w:val="2"/>
    </w:lvl>
  </w:abstractNum>
  <w:abstractNum w:abstractNumId="24">
    <w:nsid w:val="70A64E2A"/>
    <w:multiLevelType w:val="hybridMultilevel"/>
    <w:lvl w:ilvl="0">
      <w:lvlJc w:val="left"/>
      <w:lvlText w:val="(%1)"/>
      <w:numFmt w:val="decimal"/>
      <w:start w:val="8"/>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10"/>
    </w:lvl>
  </w:abstractNum>
  <w:abstractNum w:abstractNumId="31">
    <w:nsid w:val="7A6D8D3C"/>
    <w:multiLevelType w:val="hybridMultilevel"/>
    <w:lvl w:ilvl="0">
      <w:lvlJc w:val="left"/>
      <w:lvlText w:val="%1."/>
      <w:numFmt w:val="decimal"/>
      <w:start w:val="12"/>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lvl w:ilvl="1">
      <w:lvlJc w:val="left"/>
      <w:lvlText w:val="%2)"/>
      <w:numFmt w:val="decimal"/>
      <w:start w:val="1"/>
    </w:lvl>
  </w:abstractNum>
  <w:abstractNum w:abstractNumId="34">
    <w:nsid w:val="6DE91B18"/>
    <w:multiLevelType w:val="hybridMultilevel"/>
    <w:lvl w:ilvl="0">
      <w:lvlJc w:val="left"/>
      <w:lvlText w:val="%1."/>
      <w:numFmt w:val="decimal"/>
      <w:start w:val="14"/>
    </w:lvl>
  </w:abstractNum>
  <w:abstractNum w:abstractNumId="35">
    <w:nsid w:val="38437FDB"/>
    <w:multiLevelType w:val="hybridMultilevel"/>
    <w:lvl w:ilvl="0">
      <w:lvlJc w:val="left"/>
      <w:lvlText w:val="%1."/>
      <w:numFmt w:val="decimal"/>
      <w:start w:val="21"/>
    </w:lvl>
  </w:abstractNum>
  <w:abstractNum w:abstractNumId="36">
    <w:nsid w:val="7644A45C"/>
    <w:multiLevelType w:val="hybridMultilevel"/>
    <w:lvl w:ilvl="0">
      <w:lvlJc w:val="left"/>
      <w:lvlText w:val="%1."/>
      <w:numFmt w:val="decimal"/>
      <w:start w:val="23"/>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3"/>
    </w:lvl>
  </w:abstractNum>
  <w:abstractNum w:abstractNumId="39">
    <w:nsid w:val="579478FE"/>
    <w:multiLevelType w:val="hybridMultilevel"/>
    <w:lvl w:ilvl="0">
      <w:lvlJc w:val="left"/>
      <w:lvlText w:val="(%1)"/>
      <w:numFmt w:val="lowerLetter"/>
      <w:start w:val="7"/>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decimal"/>
      <w:start w:val="8"/>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5"/>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lowerLetter"/>
      <w:start w:val="2"/>
    </w:lvl>
  </w:abstractNum>
  <w:abstractNum w:abstractNumId="49">
    <w:nsid w:val="4F4EF005"/>
    <w:multiLevelType w:val="hybridMultilevel"/>
    <w:lvl w:ilvl="0">
      <w:lvlJc w:val="left"/>
      <w:lvlText w:val="*"/>
      <w:numFmt w:val="bullet"/>
      <w:start w:val="1"/>
    </w:lvl>
    <w:lvl w:ilvl="1">
      <w:lvlJc w:val="left"/>
      <w:lvlText w:val="(%2)"/>
      <w:numFmt w:val="decimal"/>
      <w:start w:val="2"/>
    </w:lvl>
  </w:abstractNum>
  <w:abstractNum w:abstractNumId="50">
    <w:nsid w:val="23F9C13C"/>
    <w:multiLevelType w:val="hybridMultilevel"/>
    <w:lvl w:ilvl="0">
      <w:lvlJc w:val="left"/>
      <w:lvlText w:val="*"/>
      <w:numFmt w:val="bullet"/>
      <w:start w:val="1"/>
    </w:lvl>
    <w:lvl w:ilvl="1">
      <w:lvlJc w:val="left"/>
      <w:lvlText w:val="(%2)"/>
      <w:numFmt w:val="decimal"/>
      <w:start w:val="6"/>
    </w:lvl>
  </w:abstractNum>
  <w:abstractNum w:abstractNumId="51">
    <w:nsid w:val="649BB77C"/>
    <w:multiLevelType w:val="hybridMultilevel"/>
    <w:lvl w:ilvl="0">
      <w:lvlJc w:val="left"/>
      <w:lvlText w:val="**"/>
      <w:numFmt w:val="bullet"/>
      <w:start w:val="1"/>
    </w:lvl>
    <w:lvl w:ilvl="1">
      <w:lvlJc w:val="left"/>
      <w:lvlText w:val="%2"/>
      <w:numFmt w:val="decimal"/>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2019-12-29T07:19:24Z</dcterms:created>
  <dcterms:modified xsi:type="dcterms:W3CDTF">2019-12-29T07:19:24Z</dcterms:modified>
</cp:coreProperties>
</file>