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5)*</w:t>
      </w:r>
    </w:p>
    <w:p>
      <w:pPr>
        <w:spacing w:after="0" w:line="200" w:lineRule="exact"/>
        <w:rPr>
          <w:sz w:val="24"/>
          <w:szCs w:val="24"/>
          <w:color w:val="auto"/>
        </w:rPr>
      </w:pPr>
    </w:p>
    <w:p>
      <w:pPr>
        <w:spacing w:after="0" w:line="204"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Weatherford International plc</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Common Shares</w:t>
      </w:r>
    </w:p>
    <w:p>
      <w:pPr>
        <w:ind w:left="232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BLNN369</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29, 2017</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BLNN369</w:t>
      </w:r>
      <w:r>
        <w:rPr>
          <w:sz w:val="20"/>
          <w:szCs w:val="20"/>
          <w:color w:val="auto"/>
        </w:rPr>
        <w:tab/>
      </w:r>
      <w:r>
        <w:rPr>
          <w:rFonts w:ascii="Courier New" w:cs="Courier New" w:eastAsia="Courier New" w:hAnsi="Courier New"/>
          <w:sz w:val="16"/>
          <w:szCs w:val="16"/>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93,480,839</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95,462,627</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95,462,627</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9.5%</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BLNN369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5</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Under the Securities Exchange Act of 1934</w:t>
      </w:r>
    </w:p>
    <w:p>
      <w:pPr>
        <w:sectPr>
          <w:pgSz w:w="11900" w:h="16838" w:orient="portrait"/>
          <w:cols w:equalWidth="0" w:num="1">
            <w:col w:w="10219"/>
          </w:cols>
          <w:pgMar w:left="240" w:top="142" w:right="1440" w:bottom="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Weatherford International plc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2000 St James Place</w:t>
      </w:r>
    </w:p>
    <w:p>
      <w:pPr>
        <w:ind w:left="740"/>
        <w:spacing w:after="0"/>
        <w:rPr>
          <w:sz w:val="20"/>
          <w:szCs w:val="20"/>
          <w:color w:val="auto"/>
        </w:rPr>
      </w:pPr>
      <w:r>
        <w:rPr>
          <w:rFonts w:ascii="Courier New" w:cs="Courier New" w:eastAsia="Courier New" w:hAnsi="Courier New"/>
          <w:sz w:val="18"/>
          <w:szCs w:val="18"/>
          <w:color w:val="auto"/>
        </w:rPr>
        <w:t>Houston, TX 77056</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70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BLNN369</w:t>
            </w: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8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[X]</w:t>
            </w:r>
          </w:p>
        </w:tc>
        <w:tc>
          <w:tcPr>
            <w:tcW w:w="51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divisions of CRMC and Capital International Limited collectively provide investment management services under the name Capital World Investors. Capital World Investors is deemed to be the beneficial owner of 95,462,627 shares or 9.5% of the 992,527,349 shares believed to be outstanding.</w:t>
      </w:r>
    </w:p>
    <w:p>
      <w:pPr>
        <w:spacing w:after="0" w:line="20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BLNN369</w:t>
      </w:r>
      <w:r>
        <w:rPr>
          <w:sz w:val="20"/>
          <w:szCs w:val="20"/>
          <w:color w:val="auto"/>
        </w:rPr>
        <w:tab/>
      </w:r>
      <w:r>
        <w:rPr>
          <w:rFonts w:ascii="Courier New" w:cs="Courier New" w:eastAsia="Courier New" w:hAnsi="Courier New"/>
          <w:sz w:val="16"/>
          <w:szCs w:val="16"/>
          <w:color w:val="auto"/>
        </w:rPr>
        <w:t>Page 3 of 5</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One or more clients of Capital World Investors have the right to receive or the power to direct the receipt of dividends from, or the proceeds from the sale of, the Common Shares of Weatherford International plc. Capital World Investors holds more than five percent of the outstanding Common Shares of Weatherford International plc as of December 29, 2017 on behalf of each of the following client(s):</w:t>
      </w: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American Funds Insurance Series Asset Allocation Fund</w:t>
      </w:r>
    </w:p>
    <w:p>
      <w:pPr>
        <w:spacing w:after="0" w:line="207"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2380" w:type="dxa"/>
            <w:vAlign w:val="bottom"/>
          </w:tcPr>
          <w:p>
            <w:pPr>
              <w:ind w:left="220"/>
              <w:spacing w:after="0"/>
              <w:rPr>
                <w:sz w:val="20"/>
                <w:szCs w:val="20"/>
                <w:color w:val="auto"/>
              </w:rPr>
            </w:pPr>
            <w:r>
              <w:rPr>
                <w:rFonts w:ascii="Courier New" w:cs="Courier New" w:eastAsia="Courier New" w:hAnsi="Courier New"/>
                <w:sz w:val="18"/>
                <w:szCs w:val="18"/>
                <w:color w:val="auto"/>
              </w:rPr>
              <w:t>February 8, 2018</w:t>
            </w:r>
          </w:p>
        </w:tc>
        <w:tc>
          <w:tcPr>
            <w:tcW w:w="1940" w:type="dxa"/>
            <w:vAlign w:val="bottom"/>
          </w:tcPr>
          <w:p>
            <w:pPr>
              <w:spacing w:after="0"/>
              <w:rPr>
                <w:sz w:val="17"/>
                <w:szCs w:val="17"/>
                <w:color w:val="auto"/>
              </w:rPr>
            </w:pP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3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 Michael J. Triessl</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Michael J. Triessl -</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Senior Vice</w:t>
            </w:r>
          </w:p>
        </w:tc>
      </w:tr>
      <w:tr>
        <w:trPr>
          <w:trHeight w:val="203"/>
        </w:trPr>
        <w:tc>
          <w:tcPr>
            <w:tcW w:w="1360" w:type="dxa"/>
            <w:vAlign w:val="bottom"/>
          </w:tcPr>
          <w:p>
            <w:pPr>
              <w:spacing w:after="0"/>
              <w:rPr>
                <w:sz w:val="17"/>
                <w:szCs w:val="17"/>
                <w:color w:val="auto"/>
              </w:rPr>
            </w:pP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President and Senior</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Counsel, Fund</w:t>
            </w:r>
          </w:p>
        </w:tc>
      </w:tr>
      <w:tr>
        <w:trPr>
          <w:trHeight w:val="203"/>
        </w:trPr>
        <w:tc>
          <w:tcPr>
            <w:tcW w:w="1360" w:type="dxa"/>
            <w:vAlign w:val="bottom"/>
          </w:tcPr>
          <w:p>
            <w:pPr>
              <w:spacing w:after="0"/>
              <w:rPr>
                <w:sz w:val="17"/>
                <w:szCs w:val="17"/>
                <w:color w:val="auto"/>
              </w:rPr>
            </w:pPr>
          </w:p>
        </w:tc>
        <w:tc>
          <w:tcPr>
            <w:tcW w:w="4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Business Management Group</w:t>
            </w:r>
          </w:p>
        </w:tc>
      </w:tr>
      <w:tr>
        <w:trPr>
          <w:trHeight w:val="203"/>
        </w:trPr>
        <w:tc>
          <w:tcPr>
            <w:tcW w:w="1360" w:type="dxa"/>
            <w:vAlign w:val="bottom"/>
          </w:tcPr>
          <w:p>
            <w:pPr>
              <w:spacing w:after="0"/>
              <w:rPr>
                <w:sz w:val="17"/>
                <w:szCs w:val="17"/>
                <w:color w:val="auto"/>
              </w:rPr>
            </w:pP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Capital Research and</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Management Company</w:t>
            </w:r>
          </w:p>
        </w:tc>
      </w:tr>
    </w:tbl>
    <w:p>
      <w:pPr>
        <w:sectPr>
          <w:pgSz w:w="11900" w:h="16838" w:orient="portrait"/>
          <w:cols w:equalWidth="0" w:num="1">
            <w:col w:w="10219"/>
          </w:cols>
          <w:pgMar w:left="240" w:top="136" w:right="1440" w:bottom="335"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BLNN369</w:t>
      </w:r>
      <w:r>
        <w:rPr>
          <w:sz w:val="20"/>
          <w:szCs w:val="20"/>
          <w:color w:val="auto"/>
        </w:rPr>
        <w:tab/>
      </w:r>
      <w:r>
        <w:rPr>
          <w:rFonts w:ascii="Courier New" w:cs="Courier New" w:eastAsia="Courier New" w:hAnsi="Courier New"/>
          <w:sz w:val="16"/>
          <w:szCs w:val="16"/>
          <w:color w:val="auto"/>
        </w:rPr>
        <w:t>Page 4 of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BLNN369</w:t>
      </w:r>
      <w:r>
        <w:rPr>
          <w:sz w:val="20"/>
          <w:szCs w:val="20"/>
          <w:color w:val="auto"/>
        </w:rPr>
        <w:tab/>
      </w:r>
      <w:r>
        <w:rPr>
          <w:rFonts w:ascii="Courier New" w:cs="Courier New" w:eastAsia="Courier New" w:hAnsi="Courier New"/>
          <w:sz w:val="16"/>
          <w:szCs w:val="16"/>
          <w:color w:val="auto"/>
        </w:rPr>
        <w:t>Page 5 of 5</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2019-12-21T04:02:08Z</dcterms:created>
  <dcterms:modified xsi:type="dcterms:W3CDTF">2019-12-21T04:02:08Z</dcterms:modified>
</cp:coreProperties>
</file>