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8"/>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464185</wp:posOffset>
            </wp:positionH>
            <wp:positionV relativeFrom="page">
              <wp:posOffset>161925</wp:posOffset>
            </wp:positionV>
            <wp:extent cx="662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page">
              <wp:posOffset>464185</wp:posOffset>
            </wp:positionH>
            <wp:positionV relativeFrom="page">
              <wp:posOffset>202565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t>UNITED STATES</w:t>
      </w:r>
    </w:p>
    <w:p>
      <w:pPr>
        <w:spacing w:after="0" w:line="13" w:lineRule="exact"/>
        <w:rPr>
          <w:sz w:val="24"/>
          <w:szCs w:val="24"/>
          <w:color w:val="auto"/>
        </w:rPr>
      </w:pPr>
    </w:p>
    <w:p>
      <w:pPr>
        <w:jc w:val="center"/>
        <w:ind w:right="-88"/>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88"/>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212725</wp:posOffset>
            </wp:positionV>
            <wp:extent cx="139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88"/>
        <w:spacing w:after="0"/>
        <w:rPr>
          <w:sz w:val="20"/>
          <w:szCs w:val="20"/>
          <w:color w:val="auto"/>
        </w:rPr>
      </w:pPr>
      <w:r>
        <w:rPr>
          <w:rFonts w:ascii="Arial" w:cs="Arial" w:eastAsia="Arial" w:hAnsi="Arial"/>
          <w:sz w:val="31"/>
          <w:szCs w:val="31"/>
          <w:b w:val="1"/>
          <w:bCs w:val="1"/>
          <w:color w:val="auto"/>
        </w:rPr>
        <w:t>SCHEDULE 14A</w:t>
      </w:r>
    </w:p>
    <w:p>
      <w:pPr>
        <w:spacing w:after="0" w:line="207" w:lineRule="exact"/>
        <w:rPr>
          <w:sz w:val="24"/>
          <w:szCs w:val="24"/>
          <w:color w:val="auto"/>
        </w:rPr>
      </w:pPr>
    </w:p>
    <w:p>
      <w:pPr>
        <w:jc w:val="center"/>
        <w:ind w:right="-88"/>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108"/>
        <w:spacing w:after="0"/>
        <w:tabs>
          <w:tab w:leader="none" w:pos="18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20"/>
          <w:szCs w:val="2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220980</wp:posOffset>
            </wp:positionV>
            <wp:extent cx="1395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left="9"/>
        <w:spacing w:after="0" w:line="196" w:lineRule="exact"/>
        <w:tabs>
          <w:tab w:leader="none" w:pos="3009"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46" w:lineRule="exact"/>
        <w:rPr>
          <w:sz w:val="24"/>
          <w:szCs w:val="24"/>
          <w:color w:val="auto"/>
        </w:rPr>
      </w:pPr>
    </w:p>
    <w:p>
      <w:pPr>
        <w:ind w:left="9"/>
        <w:spacing w:after="0"/>
        <w:rPr>
          <w:sz w:val="20"/>
          <w:szCs w:val="20"/>
          <w:color w:val="auto"/>
        </w:rPr>
      </w:pPr>
      <w:r>
        <w:rPr>
          <w:rFonts w:ascii="Arial" w:cs="Arial" w:eastAsia="Arial" w:hAnsi="Arial"/>
          <w:sz w:val="17"/>
          <w:szCs w:val="17"/>
          <w:color w:val="auto"/>
        </w:rPr>
        <w:t>Check the appropriate box:</w:t>
      </w:r>
    </w:p>
    <w:p>
      <w:pPr>
        <w:spacing w:after="0" w:line="124" w:lineRule="exact"/>
        <w:rPr>
          <w:sz w:val="24"/>
          <w:szCs w:val="24"/>
          <w:color w:val="auto"/>
        </w:rPr>
      </w:pPr>
    </w:p>
    <w:p>
      <w:pPr>
        <w:ind w:left="529" w:hanging="529"/>
        <w:spacing w:after="0"/>
        <w:tabs>
          <w:tab w:leader="none" w:pos="529"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7" w:lineRule="exact"/>
        <w:rPr>
          <w:rFonts w:ascii="MS PGothic" w:cs="MS PGothic" w:eastAsia="MS PGothic" w:hAnsi="MS PGothic"/>
          <w:sz w:val="17"/>
          <w:szCs w:val="17"/>
          <w:color w:val="auto"/>
        </w:rPr>
      </w:pPr>
    </w:p>
    <w:p>
      <w:pPr>
        <w:ind w:left="529" w:hanging="529"/>
        <w:spacing w:after="0"/>
        <w:tabs>
          <w:tab w:leader="none" w:pos="52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15" w:lineRule="exact"/>
        <w:rPr>
          <w:rFonts w:ascii="MS PGothic" w:cs="MS PGothic" w:eastAsia="MS PGothic" w:hAnsi="MS PGothic"/>
          <w:sz w:val="17"/>
          <w:szCs w:val="17"/>
          <w:color w:val="auto"/>
        </w:rPr>
      </w:pPr>
    </w:p>
    <w:p>
      <w:pPr>
        <w:ind w:left="529" w:hanging="529"/>
        <w:spacing w:after="0"/>
        <w:tabs>
          <w:tab w:leader="none" w:pos="529"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1" w:lineRule="exact"/>
        <w:rPr>
          <w:sz w:val="24"/>
          <w:szCs w:val="24"/>
          <w:color w:val="auto"/>
        </w:rPr>
      </w:pPr>
    </w:p>
    <w:p>
      <w:pPr>
        <w:ind w:left="529" w:hanging="529"/>
        <w:spacing w:after="0"/>
        <w:tabs>
          <w:tab w:leader="none" w:pos="529"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1" w:lineRule="exact"/>
        <w:rPr>
          <w:sz w:val="24"/>
          <w:szCs w:val="24"/>
          <w:color w:val="auto"/>
        </w:rPr>
      </w:pPr>
    </w:p>
    <w:p>
      <w:pPr>
        <w:ind w:left="529" w:hanging="529"/>
        <w:spacing w:after="0"/>
        <w:tabs>
          <w:tab w:leader="none" w:pos="529"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2750185</wp:posOffset>
            </wp:positionH>
            <wp:positionV relativeFrom="paragraph">
              <wp:posOffset>232410</wp:posOffset>
            </wp:positionV>
            <wp:extent cx="1119505" cy="502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9505" cy="502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88"/>
        <w:spacing w:after="0"/>
        <w:rPr>
          <w:sz w:val="20"/>
          <w:szCs w:val="20"/>
          <w:color w:val="auto"/>
        </w:rPr>
      </w:pPr>
      <w:r>
        <w:rPr>
          <w:rFonts w:ascii="Arial" w:cs="Arial" w:eastAsia="Arial" w:hAnsi="Arial"/>
          <w:sz w:val="37"/>
          <w:szCs w:val="37"/>
          <w:b w:val="1"/>
          <w:bCs w:val="1"/>
          <w:color w:val="auto"/>
        </w:rPr>
        <w:t>Weatherford International plc</w:t>
      </w:r>
    </w:p>
    <w:p>
      <w:pPr>
        <w:spacing w:after="0" w:line="41" w:lineRule="exact"/>
        <w:rPr>
          <w:sz w:val="24"/>
          <w:szCs w:val="24"/>
          <w:color w:val="auto"/>
        </w:rPr>
      </w:pPr>
    </w:p>
    <w:p>
      <w:pPr>
        <w:jc w:val="center"/>
        <w:ind w:right="-88"/>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98" w:lineRule="exact"/>
        <w:rPr>
          <w:sz w:val="24"/>
          <w:szCs w:val="24"/>
          <w:color w:val="auto"/>
        </w:rPr>
      </w:pPr>
    </w:p>
    <w:p>
      <w:pPr>
        <w:jc w:val="center"/>
        <w:ind w:right="-88"/>
        <w:spacing w:after="0"/>
        <w:rPr>
          <w:sz w:val="20"/>
          <w:szCs w:val="20"/>
          <w:color w:val="auto"/>
        </w:rPr>
      </w:pPr>
      <w:r>
        <w:rPr>
          <w:rFonts w:ascii="Arial" w:cs="Arial" w:eastAsia="Arial" w:hAnsi="Arial"/>
          <w:sz w:val="17"/>
          <w:szCs w:val="17"/>
          <w:b w:val="1"/>
          <w:bCs w:val="1"/>
          <w:color w:val="auto"/>
        </w:rPr>
        <w:t>N/A</w:t>
      </w:r>
    </w:p>
    <w:p>
      <w:pPr>
        <w:spacing w:after="0" w:line="19" w:lineRule="exact"/>
        <w:rPr>
          <w:sz w:val="24"/>
          <w:szCs w:val="24"/>
          <w:color w:val="auto"/>
        </w:rPr>
      </w:pPr>
    </w:p>
    <w:p>
      <w:pPr>
        <w:jc w:val="center"/>
        <w:ind w:right="-88"/>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0" w:lineRule="exact"/>
        <w:rPr>
          <w:sz w:val="24"/>
          <w:szCs w:val="24"/>
          <w:color w:val="auto"/>
        </w:rPr>
      </w:pPr>
    </w:p>
    <w:p>
      <w:pPr>
        <w:ind w:left="9"/>
        <w:spacing w:after="0"/>
        <w:rPr>
          <w:sz w:val="20"/>
          <w:szCs w:val="20"/>
          <w:color w:val="auto"/>
        </w:rPr>
      </w:pPr>
      <w:r>
        <w:rPr>
          <w:rFonts w:ascii="Arial" w:cs="Arial" w:eastAsia="Arial" w:hAnsi="Arial"/>
          <w:sz w:val="17"/>
          <w:szCs w:val="17"/>
          <w:color w:val="auto"/>
        </w:rPr>
        <w:t>Payment of Filing Fee (Check the appropriate box):</w:t>
      </w:r>
    </w:p>
    <w:p>
      <w:pPr>
        <w:spacing w:after="0" w:line="213" w:lineRule="exact"/>
        <w:rPr>
          <w:sz w:val="24"/>
          <w:szCs w:val="24"/>
          <w:color w:val="auto"/>
        </w:rPr>
      </w:pPr>
    </w:p>
    <w:p>
      <w:pPr>
        <w:ind w:left="529" w:hanging="529"/>
        <w:spacing w:after="0"/>
        <w:tabs>
          <w:tab w:leader="none" w:pos="529"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3" w:lineRule="exact"/>
        <w:rPr>
          <w:sz w:val="24"/>
          <w:szCs w:val="24"/>
          <w:color w:val="auto"/>
        </w:rPr>
      </w:pPr>
    </w:p>
    <w:p>
      <w:pPr>
        <w:ind w:left="529" w:hanging="529"/>
        <w:spacing w:after="0"/>
        <w:tabs>
          <w:tab w:leader="none" w:pos="529"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13" w:lineRule="exact"/>
        <w:rPr>
          <w:rFonts w:ascii="MS PGothic" w:cs="MS PGothic" w:eastAsia="MS PGothic" w:hAnsi="MS PGothic"/>
          <w:sz w:val="17"/>
          <w:szCs w:val="17"/>
          <w:color w:val="auto"/>
        </w:rPr>
      </w:pPr>
    </w:p>
    <w:p>
      <w:pPr>
        <w:ind w:left="1049" w:hanging="512"/>
        <w:spacing w:after="0"/>
        <w:tabs>
          <w:tab w:leader="none" w:pos="1049"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1049" w:hanging="512"/>
        <w:spacing w:after="0"/>
        <w:tabs>
          <w:tab w:leader="none" w:pos="1049"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1049" w:hanging="512"/>
        <w:spacing w:after="0" w:line="275" w:lineRule="auto"/>
        <w:tabs>
          <w:tab w:leader="none" w:pos="1049"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049" w:hanging="512"/>
        <w:spacing w:after="0"/>
        <w:tabs>
          <w:tab w:leader="none" w:pos="1049"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1049" w:hanging="512"/>
        <w:spacing w:after="0"/>
        <w:tabs>
          <w:tab w:leader="none" w:pos="1049"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5" w:lineRule="exact"/>
        <w:rPr>
          <w:rFonts w:ascii="Arial" w:cs="Arial" w:eastAsia="Arial" w:hAnsi="Arial"/>
          <w:sz w:val="17"/>
          <w:szCs w:val="17"/>
          <w:color w:val="auto"/>
        </w:rPr>
      </w:pPr>
    </w:p>
    <w:p>
      <w:pPr>
        <w:ind w:left="529" w:hanging="529"/>
        <w:spacing w:after="0"/>
        <w:tabs>
          <w:tab w:leader="none" w:pos="529"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15" w:lineRule="exact"/>
        <w:rPr>
          <w:rFonts w:ascii="MS PGothic" w:cs="MS PGothic" w:eastAsia="MS PGothic" w:hAnsi="MS PGothic"/>
          <w:sz w:val="17"/>
          <w:szCs w:val="17"/>
          <w:color w:val="auto"/>
        </w:rPr>
      </w:pPr>
    </w:p>
    <w:p>
      <w:pPr>
        <w:ind w:left="529" w:right="180" w:hanging="529"/>
        <w:spacing w:after="0" w:line="308" w:lineRule="auto"/>
        <w:tabs>
          <w:tab w:leader="none" w:pos="529"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3" w:lineRule="exact"/>
        <w:rPr>
          <w:rFonts w:ascii="MS PGothic" w:cs="MS PGothic" w:eastAsia="MS PGothic" w:hAnsi="MS PGothic"/>
          <w:sz w:val="16"/>
          <w:szCs w:val="16"/>
          <w:color w:val="auto"/>
        </w:rPr>
      </w:pPr>
    </w:p>
    <w:p>
      <w:pPr>
        <w:ind w:left="1049" w:hanging="512"/>
        <w:spacing w:after="0"/>
        <w:tabs>
          <w:tab w:leader="none" w:pos="1049"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1049" w:hanging="512"/>
        <w:spacing w:after="0"/>
        <w:tabs>
          <w:tab w:leader="none" w:pos="1049"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-3344545</wp:posOffset>
            </wp:positionV>
            <wp:extent cx="5955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-2922905</wp:posOffset>
            </wp:positionV>
            <wp:extent cx="5955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-2371090</wp:posOffset>
            </wp:positionV>
            <wp:extent cx="5955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-1949450</wp:posOffset>
            </wp:positionV>
            <wp:extent cx="5955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-1527175</wp:posOffset>
            </wp:positionV>
            <wp:extent cx="5955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-132080</wp:posOffset>
            </wp:positionV>
            <wp:extent cx="5955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289560</wp:posOffset>
            </wp:positionV>
            <wp:extent cx="5955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5030" cy="8255"/>
                    </a:xfrm>
                    <a:prstGeom prst="rect">
                      <a:avLst/>
                    </a:prstGeom>
                    <a:noFill/>
                  </pic:spPr>
                </pic:pic>
              </a:graphicData>
            </a:graphic>
          </wp:anchor>
        </w:drawing>
      </w:r>
    </w:p>
    <w:p>
      <w:pPr>
        <w:sectPr>
          <w:pgSz w:w="11900" w:h="16838" w:orient="portrait"/>
          <w:cols w:equalWidth="0" w:num="1">
            <w:col w:w="10329"/>
          </w:cols>
          <w:pgMar w:left="731" w:top="497" w:right="839" w:bottom="478" w:gutter="0" w:footer="0" w:header="0"/>
        </w:sectPr>
      </w:pPr>
    </w:p>
    <w:bookmarkStart w:id="1" w:name="page2"/>
    <w:bookmarkEnd w:id="1"/>
    <w:p>
      <w:pPr>
        <w:ind w:left="512" w:hanging="512"/>
        <w:spacing w:after="0"/>
        <w:tabs>
          <w:tab w:leader="none" w:pos="512"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12" w:hanging="512"/>
        <w:spacing w:after="0"/>
        <w:tabs>
          <w:tab w:leader="none" w:pos="512"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-132080</wp:posOffset>
            </wp:positionV>
            <wp:extent cx="5955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289560</wp:posOffset>
            </wp:positionV>
            <wp:extent cx="5955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503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483870</wp:posOffset>
            </wp:positionV>
            <wp:extent cx="6620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524510</wp:posOffset>
            </wp:positionV>
            <wp:extent cx="6620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9192"/>
          </w:cols>
          <w:pgMar w:left="1268" w:top="1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4705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86" w:lineRule="auto"/>
        <w:rPr>
          <w:sz w:val="20"/>
          <w:szCs w:val="20"/>
          <w:color w:val="auto"/>
        </w:rPr>
      </w:pPr>
      <w:r>
        <w:rPr>
          <w:rFonts w:ascii="Arial" w:cs="Arial" w:eastAsia="Arial" w:hAnsi="Arial"/>
          <w:sz w:val="7"/>
          <w:szCs w:val="7"/>
          <w:color w:val="FFFFFF"/>
        </w:rPr>
        <w:t>OnlyBARCODEJob#Envelope1OF212# 15Sequence1234567# #1234567of#Sequence1234567# ***1234567Exercise1234567Your 1234567Rightto Vote1234567*** ImportantSeethereverseNoticesideRegardingofthisnoticetheAvailabilitytoobtainproxyofProxymaterialsMaterialsandvotefvotingrthe Shareholderinstructions. MeetingBroadridgeto BeInternalHeld onUse &lt;mtgdate&gt;. You are receiving this communication because you hold shares in the above named company. This is not ballot. You cannot use this notice to these shares. This communication presents</w:t>
      </w:r>
    </w:p>
    <w:p>
      <w:pPr>
        <w:ind w:left="10080"/>
        <w:spacing w:after="0"/>
        <w:rPr>
          <w:sz w:val="20"/>
          <w:szCs w:val="20"/>
          <w:color w:val="auto"/>
        </w:rPr>
      </w:pPr>
      <w:r>
        <w:rPr>
          <w:rFonts w:ascii="Arial" w:cs="Arial" w:eastAsia="Arial" w:hAnsi="Arial"/>
          <w:sz w:val="1"/>
          <w:szCs w:val="1"/>
          <w:color w:val="FFFFFF"/>
        </w:rPr>
        <w:t>reverseonlyan side)overview.W encourageofthemoreyoucompletetoaccessproxyand materialsreviewallthatof theare importantavailable toinformationyouthecontainedInternet. Youinthemayproxyviewmaterialstheproxybeforematerialsvoting.onlineMeetingatwww.proxyvote.comInformationMeetingor easilyype:&lt;mtgtype&gt;requestpaperForholderscopy(seeas of:</w:t>
      </w:r>
    </w:p>
    <w:p>
      <w:pPr>
        <w:ind w:right="120"/>
        <w:spacing w:after="0" w:line="184" w:lineRule="auto"/>
        <w:rPr>
          <w:sz w:val="20"/>
          <w:szCs w:val="20"/>
          <w:color w:val="auto"/>
        </w:rPr>
      </w:pPr>
      <w:r>
        <w:rPr>
          <w:rFonts w:ascii="Arial" w:cs="Arial" w:eastAsia="Arial" w:hAnsi="Arial"/>
          <w:sz w:val="6"/>
          <w:szCs w:val="6"/>
          <w:color w:val="FFFFFF"/>
        </w:rPr>
        <w:t>&lt;recdate&gt; Date: Time: &lt;mtgtime&gt; Location: 0000464233_1 R1.0.1.18 WEATHERFORD INTERNATIONAL PLC WEATHERFORD INTERNATIONAL PLC ATTN: CHRISTINA M. IBRAHIM 70 SIR JOHN ROBERTSON QUA</w:t>
      </w:r>
      <w:r>
        <w:rPr>
          <w:rFonts w:ascii="Arial" w:cs="Arial" w:eastAsia="Arial" w:hAnsi="Arial"/>
          <w:sz w:val="7"/>
          <w:szCs w:val="7"/>
          <w:color w:val="FFFFFF"/>
          <w:vertAlign w:val="superscript"/>
        </w:rPr>
        <w:t>CITY</w:t>
      </w:r>
      <w:r>
        <w:rPr>
          <w:rFonts w:ascii="Arial" w:cs="Arial" w:eastAsia="Arial" w:hAnsi="Arial"/>
          <w:sz w:val="6"/>
          <w:szCs w:val="6"/>
          <w:color w:val="FFFFFF"/>
        </w:rPr>
        <w:t>DUBLIN 2, IRELAND Investor Address Line 1 Investor Address Line 2 Investor Address Line 3 Investor Address Line 4 Investor Address Line 5 John Sample 1234</w:t>
      </w:r>
    </w:p>
    <w:p>
      <w:pPr>
        <w:ind w:right="160"/>
        <w:spacing w:after="0" w:line="180" w:lineRule="auto"/>
        <w:rPr>
          <w:sz w:val="20"/>
          <w:szCs w:val="20"/>
          <w:color w:val="auto"/>
        </w:rPr>
      </w:pPr>
      <w:r>
        <w:rPr>
          <w:rFonts w:ascii="Arial" w:cs="Arial" w:eastAsia="Arial" w:hAnsi="Arial"/>
          <w:sz w:val="11"/>
          <w:szCs w:val="11"/>
          <w:color w:val="FFFFFF"/>
        </w:rPr>
        <w:t>ANYWHERE STREET ANY , ON A1A 1A1 Annual Meeting April 17, 2020 June 12, 2020 June 12, 2020 10:00 AM LST Weatherford International PLC 2000 St. James Place Marcellus Room Houston, Texas 77056</w:t>
      </w:r>
    </w:p>
    <w:p>
      <w:pPr>
        <w:sectPr>
          <w:pgSz w:w="11900" w:h="16838" w:orient="portrait"/>
          <w:cols w:equalWidth="0" w:num="1">
            <w:col w:w="10360"/>
          </w:cols>
          <w:pgMar w:left="740" w:top="1440" w:right="7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4705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6"/>
          <w:szCs w:val="6"/>
          <w:color w:val="FFFFFF"/>
        </w:rPr>
        <w:t>InternalattendanceUseticketOnlyissuedPleasebyChoosetheentityOneholdingoftheFollowingthemeeting.VotingPleaseMethodscheck theVotemeetingInPerson:materialsManyinformationshareholderanyspecialmeetingsrequirementshaveattendanceformeetingrequirementsattendance. including,Atthemeeting,butnotyoulimitedwill needto,theto possessionrequestaballotofanto vote</w:t>
      </w:r>
    </w:p>
    <w:p>
      <w:pPr>
        <w:spacing w:after="0" w:line="196" w:lineRule="auto"/>
        <w:tabs>
          <w:tab w:leader="none" w:pos="5400" w:val="left"/>
        </w:tabs>
        <w:rPr>
          <w:sz w:val="20"/>
          <w:szCs w:val="20"/>
          <w:color w:val="auto"/>
        </w:rPr>
      </w:pPr>
      <w:r>
        <w:rPr>
          <w:rFonts w:ascii="Arial" w:cs="Arial" w:eastAsia="Arial" w:hAnsi="Arial"/>
          <w:sz w:val="10"/>
          <w:szCs w:val="10"/>
          <w:color w:val="FFFFFF"/>
        </w:rPr>
        <w:t>these shares. Vote By Internet: To vote now by Internet, go to www.proxyvote.com. Have the</w:t>
      </w:r>
      <w:r>
        <w:rPr>
          <w:sz w:val="20"/>
          <w:szCs w:val="20"/>
          <w:color w:val="auto"/>
        </w:rPr>
        <w:tab/>
      </w:r>
      <w:r>
        <w:rPr>
          <w:rFonts w:ascii="Arial" w:cs="Arial" w:eastAsia="Arial" w:hAnsi="Arial"/>
          <w:sz w:val="10"/>
          <w:szCs w:val="10"/>
          <w:color w:val="FFFFFF"/>
        </w:rPr>
        <w:t>that is printed in the box marked by the arrow available and follow the instructions. Vote By</w:t>
      </w:r>
    </w:p>
    <w:p>
      <w:pPr>
        <w:spacing w:after="0"/>
        <w:rPr>
          <w:sz w:val="20"/>
          <w:szCs w:val="20"/>
          <w:color w:val="auto"/>
        </w:rPr>
      </w:pPr>
      <w:r>
        <w:rPr>
          <w:rFonts w:ascii="Arial" w:cs="Arial" w:eastAsia="Arial" w:hAnsi="Arial"/>
          <w:sz w:val="6"/>
          <w:szCs w:val="6"/>
          <w:color w:val="FFFFFF"/>
        </w:rPr>
        <w:t>VIEWMail:YouorRECEIVE:canvotebyHowmailtobyViewrequestingOnline:a Havepaper thecopyinformationofthematerials,thatis whichprintedwillintheincludeboxmarkedproxybycard.the HowarrowTo(locatedVoteï§onBeforethefollowingYouVotepage)How andtoAccessvisit:www.proxyvote.com.theProxyMaterialsProxychooseHwMaterialstoRequestAvailableand to</w:t>
      </w:r>
    </w:p>
    <w:p>
      <w:pPr>
        <w:spacing w:after="0" w:line="8" w:lineRule="exact"/>
        <w:rPr>
          <w:sz w:val="20"/>
          <w:szCs w:val="20"/>
          <w:color w:val="auto"/>
        </w:rPr>
      </w:pPr>
    </w:p>
    <w:p>
      <w:pPr>
        <w:spacing w:after="0" w:line="199" w:lineRule="auto"/>
        <w:rPr>
          <w:sz w:val="20"/>
          <w:szCs w:val="20"/>
          <w:color w:val="auto"/>
        </w:rPr>
      </w:pPr>
      <w:r>
        <w:rPr>
          <w:rFonts w:ascii="Arial" w:cs="Arial" w:eastAsia="Arial" w:hAnsi="Arial"/>
          <w:sz w:val="6"/>
          <w:szCs w:val="6"/>
          <w:color w:val="FFFFFF"/>
        </w:rPr>
        <w:t>methodsReceive atoPAPERmakeyourorE-request:MAILCopy:1)BYIfINTERNET:youwantto www.proxyvote.comreceivepaperore-mail2)BYcopyTELEPHONE:ofthesedocuments,1-800-579you-1639must3)requestBYE-one.MAIL*:Theresendmaterial@proxyvote.comisNOchargeforrequesting a*copy.IfrequestingPlease materialsoneStatementbyofthe-mail,followingplease sendAnnualblank -mail with the informationAccountsthat is printedinstructionsthebox marked by the arrow (located on the following page) in the subject line. 0000464233_2 R1.0.1.18 1. Notice and Proxy 2.</w:t>
      </w:r>
    </w:p>
    <w:p>
      <w:pPr>
        <w:spacing w:after="0" w:line="216" w:lineRule="auto"/>
        <w:tabs>
          <w:tab w:leader="none" w:pos="3320" w:val="left"/>
        </w:tabs>
        <w:rPr>
          <w:sz w:val="20"/>
          <w:szCs w:val="20"/>
          <w:color w:val="auto"/>
        </w:rPr>
      </w:pPr>
      <w:r>
        <w:rPr>
          <w:rFonts w:ascii="Arial" w:cs="Arial" w:eastAsia="Arial" w:hAnsi="Arial"/>
          <w:sz w:val="13"/>
          <w:szCs w:val="13"/>
          <w:color w:val="FFFFFF"/>
        </w:rPr>
        <w:t>above onReportbefore3.IrishMayStatutory31,2020 to facilitateRequests,timely delivery.</w:t>
      </w:r>
      <w:r>
        <w:rPr>
          <w:sz w:val="20"/>
          <w:szCs w:val="20"/>
          <w:color w:val="auto"/>
        </w:rPr>
        <w:tab/>
      </w:r>
      <w:r>
        <w:rPr>
          <w:rFonts w:ascii="Arial" w:cs="Arial" w:eastAsia="Arial" w:hAnsi="Arial"/>
          <w:sz w:val="11"/>
          <w:szCs w:val="11"/>
          <w:color w:val="FFFFFF"/>
        </w:rPr>
        <w:t>and other inquiries sent to this e-mail address will NOT be forwarded to your investment advisor. Please make the request as instructed</w:t>
      </w:r>
    </w:p>
    <w:p>
      <w:pPr>
        <w:sectPr>
          <w:pgSz w:w="11900" w:h="16838" w:orient="portrait"/>
          <w:cols w:equalWidth="0" w:num="1">
            <w:col w:w="10400"/>
          </w:cols>
          <w:pgMar w:left="740" w:top="1440" w:right="7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4705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20" w:type="dxa"/>
            <w:vAlign w:val="bottom"/>
            <w:gridSpan w:val="2"/>
          </w:tcPr>
          <w:p>
            <w:pPr>
              <w:ind w:left="80"/>
              <w:spacing w:after="0"/>
              <w:rPr>
                <w:sz w:val="20"/>
                <w:szCs w:val="20"/>
                <w:color w:val="auto"/>
              </w:rPr>
            </w:pPr>
            <w:r>
              <w:rPr>
                <w:rFonts w:ascii="Arial" w:cs="Arial" w:eastAsia="Arial" w:hAnsi="Arial"/>
                <w:sz w:val="13"/>
                <w:szCs w:val="13"/>
                <w:color w:val="FFFFFF"/>
                <w:w w:val="88"/>
              </w:rPr>
              <w:t>ARCODE 123456789012 123456789012 123456789012 123456789012 123456789012 123456789012 123456789012 123456789012</w:t>
            </w:r>
          </w:p>
        </w:tc>
        <w:tc>
          <w:tcPr>
            <w:tcW w:w="3220" w:type="dxa"/>
            <w:vAlign w:val="bottom"/>
          </w:tcPr>
          <w:p>
            <w:pPr>
              <w:jc w:val="right"/>
              <w:ind w:right="17"/>
              <w:spacing w:after="0"/>
              <w:rPr>
                <w:sz w:val="20"/>
                <w:szCs w:val="20"/>
                <w:color w:val="auto"/>
              </w:rPr>
            </w:pPr>
            <w:r>
              <w:rPr>
                <w:rFonts w:ascii="Arial" w:cs="Arial" w:eastAsia="Arial" w:hAnsi="Arial"/>
                <w:sz w:val="13"/>
                <w:szCs w:val="13"/>
                <w:color w:val="FFFFFF"/>
              </w:rPr>
              <w:t>123456789012 123456789012 123456789012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20" w:type="dxa"/>
            <w:vAlign w:val="bottom"/>
            <w:gridSpan w:val="2"/>
          </w:tcPr>
          <w:p>
            <w:pPr>
              <w:spacing w:after="0" w:line="39" w:lineRule="exact"/>
              <w:rPr>
                <w:sz w:val="20"/>
                <w:szCs w:val="20"/>
                <w:color w:val="auto"/>
              </w:rPr>
            </w:pPr>
            <w:r>
              <w:rPr>
                <w:rFonts w:ascii="Arial" w:cs="Arial" w:eastAsia="Arial" w:hAnsi="Arial"/>
                <w:sz w:val="4"/>
                <w:szCs w:val="4"/>
                <w:color w:val="FFFFFF"/>
              </w:rPr>
              <w:t>Broadridge Internal Use Only xxxxxxxxxx xxxxxxxxxx Cusip Job # Envelope # Sequence # # of # Sequence # Voting items 0000464233</w:t>
            </w:r>
          </w:p>
        </w:tc>
        <w:tc>
          <w:tcPr>
            <w:tcW w:w="3380" w:type="dxa"/>
            <w:vAlign w:val="bottom"/>
            <w:gridSpan w:val="2"/>
          </w:tcPr>
          <w:p>
            <w:pPr>
              <w:spacing w:after="0" w:line="39" w:lineRule="exact"/>
              <w:rPr>
                <w:sz w:val="20"/>
                <w:szCs w:val="20"/>
                <w:color w:val="auto"/>
              </w:rPr>
            </w:pPr>
            <w:r>
              <w:rPr>
                <w:rFonts w:ascii="Arial" w:cs="Arial" w:eastAsia="Arial" w:hAnsi="Arial"/>
                <w:sz w:val="4"/>
                <w:szCs w:val="4"/>
                <w:color w:val="FFFFFF"/>
              </w:rPr>
              <w:t>123456789012R1...18The Board of Directors recommends you vote FOR</w:t>
            </w:r>
          </w:p>
        </w:tc>
        <w:tc>
          <w:tcPr>
            <w:tcW w:w="0" w:type="dxa"/>
            <w:vAlign w:val="bottom"/>
          </w:tcPr>
          <w:p>
            <w:pPr>
              <w:spacing w:after="0" w:line="20" w:lineRule="exact"/>
              <w:rPr>
                <w:sz w:val="1"/>
                <w:szCs w:val="1"/>
                <w:color w:val="auto"/>
              </w:rPr>
            </w:pPr>
          </w:p>
        </w:tc>
      </w:tr>
      <w:tr>
        <w:trPr>
          <w:trHeight w:val="38"/>
        </w:trPr>
        <w:tc>
          <w:tcPr>
            <w:tcW w:w="10240" w:type="dxa"/>
            <w:vAlign w:val="bottom"/>
            <w:gridSpan w:val="3"/>
          </w:tcPr>
          <w:p>
            <w:pPr>
              <w:spacing w:after="0" w:line="39" w:lineRule="exact"/>
              <w:rPr>
                <w:sz w:val="20"/>
                <w:szCs w:val="20"/>
                <w:color w:val="auto"/>
              </w:rPr>
            </w:pPr>
            <w:r>
              <w:rPr>
                <w:rFonts w:ascii="Arial" w:cs="Arial" w:eastAsia="Arial" w:hAnsi="Arial"/>
                <w:sz w:val="4"/>
                <w:szCs w:val="4"/>
                <w:color w:val="FFFFFF"/>
              </w:rPr>
              <w:t>the following: 1. Election of Directors Nominees 1A Thomas R. Bates, Jr. 1B John F. Glick 1C Neal P. Goldman 1D Gordon T. Hall 1E Mark A. McCollum 1F Jacqueline C. Mutschler 1G Charles M.</w:t>
            </w:r>
          </w:p>
        </w:tc>
        <w:tc>
          <w:tcPr>
            <w:tcW w:w="160" w:type="dxa"/>
            <w:vAlign w:val="bottom"/>
            <w:vMerge w:val="restart"/>
          </w:tcPr>
          <w:p>
            <w:pPr>
              <w:ind w:left="20"/>
              <w:spacing w:after="0" w:line="77" w:lineRule="exact"/>
              <w:rPr>
                <w:sz w:val="20"/>
                <w:szCs w:val="20"/>
                <w:color w:val="auto"/>
              </w:rPr>
            </w:pPr>
            <w:r>
              <w:rPr>
                <w:rFonts w:ascii="Arial" w:cs="Arial" w:eastAsia="Arial" w:hAnsi="Arial"/>
                <w:sz w:val="7"/>
                <w:szCs w:val="7"/>
                <w:color w:val="FFFFFF"/>
              </w:rPr>
              <w:t>for</w:t>
            </w:r>
          </w:p>
        </w:tc>
        <w:tc>
          <w:tcPr>
            <w:tcW w:w="0" w:type="dxa"/>
            <w:vAlign w:val="bottom"/>
          </w:tcPr>
          <w:p>
            <w:pPr>
              <w:spacing w:after="0" w:line="20" w:lineRule="exact"/>
              <w:rPr>
                <w:sz w:val="1"/>
                <w:szCs w:val="1"/>
                <w:color w:val="auto"/>
              </w:rPr>
            </w:pPr>
          </w:p>
        </w:tc>
      </w:tr>
      <w:tr>
        <w:trPr>
          <w:trHeight w:val="38"/>
        </w:trPr>
        <w:tc>
          <w:tcPr>
            <w:tcW w:w="10240" w:type="dxa"/>
            <w:vAlign w:val="bottom"/>
            <w:gridSpan w:val="3"/>
          </w:tcPr>
          <w:p>
            <w:pPr>
              <w:spacing w:after="0" w:line="39" w:lineRule="exact"/>
              <w:rPr>
                <w:sz w:val="20"/>
                <w:szCs w:val="20"/>
                <w:color w:val="auto"/>
              </w:rPr>
            </w:pPr>
            <w:r>
              <w:rPr>
                <w:rFonts w:ascii="Arial" w:cs="Arial" w:eastAsia="Arial" w:hAnsi="Arial"/>
                <w:sz w:val="4"/>
                <w:szCs w:val="4"/>
                <w:color w:val="FFFFFF"/>
              </w:rPr>
              <w:t>Sledge The Board of Directors recommends you vote FOR proposals 2. and 3.: 2. To ratify the appointment of KPMG LLP as the Company’s independent registered public accounting firm and</w:t>
            </w:r>
          </w:p>
        </w:tc>
        <w:tc>
          <w:tcPr>
            <w:tcW w:w="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5500" w:type="dxa"/>
            <w:vAlign w:val="bottom"/>
          </w:tcPr>
          <w:p>
            <w:pPr>
              <w:spacing w:after="0" w:line="39" w:lineRule="exact"/>
              <w:rPr>
                <w:sz w:val="20"/>
                <w:szCs w:val="20"/>
                <w:color w:val="auto"/>
              </w:rPr>
            </w:pPr>
            <w:r>
              <w:rPr>
                <w:rFonts w:ascii="Arial" w:cs="Arial" w:eastAsia="Arial" w:hAnsi="Arial"/>
                <w:sz w:val="4"/>
                <w:szCs w:val="4"/>
                <w:color w:val="FFFFFF"/>
              </w:rPr>
              <w:t>the financial year ending December 31, 2020 and KPMG Chartered Accountants, Dublin, as the Company’</w:t>
            </w:r>
          </w:p>
        </w:tc>
        <w:tc>
          <w:tcPr>
            <w:tcW w:w="4740" w:type="dxa"/>
            <w:vAlign w:val="bottom"/>
            <w:gridSpan w:val="2"/>
          </w:tcPr>
          <w:p>
            <w:pPr>
              <w:jc w:val="right"/>
              <w:spacing w:after="0" w:line="39" w:lineRule="exact"/>
              <w:rPr>
                <w:sz w:val="20"/>
                <w:szCs w:val="20"/>
                <w:color w:val="auto"/>
              </w:rPr>
            </w:pPr>
            <w:r>
              <w:rPr>
                <w:rFonts w:ascii="Arial" w:cs="Arial" w:eastAsia="Arial" w:hAnsi="Arial"/>
                <w:sz w:val="4"/>
                <w:szCs w:val="4"/>
                <w:color w:val="FFFFFF"/>
              </w:rPr>
              <w:t>statutory auditor under Irish law to hold office until the close of the 2021 AGM, and auditor</w:t>
            </w: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
        </w:trPr>
        <w:tc>
          <w:tcPr>
            <w:tcW w:w="7020" w:type="dxa"/>
            <w:vAlign w:val="bottom"/>
            <w:gridSpan w:val="2"/>
          </w:tcPr>
          <w:p>
            <w:pPr>
              <w:spacing w:after="0" w:line="20" w:lineRule="exact"/>
              <w:rPr>
                <w:sz w:val="20"/>
                <w:szCs w:val="20"/>
                <w:color w:val="auto"/>
              </w:rPr>
            </w:pPr>
            <w:r>
              <w:rPr>
                <w:rFonts w:ascii="Arial" w:cs="Arial" w:eastAsia="Arial" w:hAnsi="Arial"/>
                <w:sz w:val="2"/>
                <w:szCs w:val="2"/>
                <w:color w:val="FFFFFF"/>
              </w:rPr>
              <w:t>executive officers. NOTE: Such other business as may properly come before the meeting or any adjournmentauditorspostponement thereof.</w:t>
            </w: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3"/>
                <w:szCs w:val="13"/>
                <w:color w:val="FFFFFF"/>
                <w:w w:val="92"/>
              </w:rPr>
              <w:t>authorize the Board of Directors of the Company, acting through the Audit Committee, to determine the</w:t>
            </w:r>
          </w:p>
        </w:tc>
        <w:tc>
          <w:tcPr>
            <w:tcW w:w="4740" w:type="dxa"/>
            <w:vAlign w:val="bottom"/>
            <w:gridSpan w:val="2"/>
          </w:tcPr>
          <w:p>
            <w:pPr>
              <w:jc w:val="right"/>
              <w:ind w:right="257"/>
              <w:spacing w:after="0"/>
              <w:rPr>
                <w:sz w:val="20"/>
                <w:szCs w:val="20"/>
                <w:color w:val="auto"/>
              </w:rPr>
            </w:pPr>
            <w:r>
              <w:rPr>
                <w:rFonts w:ascii="Arial" w:cs="Arial" w:eastAsia="Arial" w:hAnsi="Arial"/>
                <w:sz w:val="13"/>
                <w:szCs w:val="13"/>
                <w:color w:val="FFFFFF"/>
                <w:w w:val="94"/>
              </w:rPr>
              <w:t>remuneration. 3. T  approve, in an advisory vote, the compensation of our named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4454525</wp:posOffset>
                </wp:positionH>
                <wp:positionV relativeFrom="paragraph">
                  <wp:posOffset>-169545</wp:posOffset>
                </wp:positionV>
                <wp:extent cx="4064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75pt,-13.3499pt" to="353.95pt,-13.3499pt" o:allowincell="f" strokecolor="#000000" strokeweight="1pt"/>
            </w:pict>
          </mc:Fallback>
        </mc:AlternateContent>
      </w:r>
    </w:p>
    <w:p>
      <w:pPr>
        <w:sectPr>
          <w:pgSz w:w="11900" w:h="16838" w:orient="portrait"/>
          <w:cols w:equalWidth="0" w:num="1">
            <w:col w:w="10400"/>
          </w:cols>
          <w:pgMar w:left="740" w:top="1440" w:right="7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4705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719963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14" w:lineRule="auto"/>
        <w:rPr>
          <w:sz w:val="20"/>
          <w:szCs w:val="20"/>
          <w:color w:val="auto"/>
        </w:rPr>
      </w:pPr>
      <w:r>
        <w:rPr>
          <w:rFonts w:ascii="Arial" w:cs="Arial" w:eastAsia="Arial" w:hAnsi="Arial"/>
          <w:sz w:val="9"/>
          <w:szCs w:val="9"/>
          <w:color w:val="FFFFFF"/>
        </w:rPr>
        <w:t>THIS SPACE RESERVED FOR SIGNATURES IF APPLICABLE Reserved for Broadridge Internal Control Information Broadridge Internal Use Only Job # Envelope # Sequence # # of # Sequence # NAME THE COMPANY NAME INC. - COMMON 123,456,789,012.12345 THE COMPANY NAME INC. - CLASS A 123,456,789,012.12345 THE COMPANY NAME INC. - CLASS B 123,456,789,012.12345 THE COMPANY NAME INC. - CLASS C 123,456,789,012.12345 THE COMPANY NAME INC. - CLASS D 123,456,789,012.12345 THE COMPANY NAME INC. - CLASS E 123,456,789,012.12345 THE COMPANY NAME INC. - CLASS F 123,456,789,012.12345 THE COMPANY NAME INC. - 401 K 123,456,789,012.12345 0000464233_4 R1.0.1.18</w:t>
      </w:r>
    </w:p>
    <w:sectPr>
      <w:pgSz w:w="11900" w:h="16838" w:orient="portrait"/>
      <w:cols w:equalWidth="0" w:num="1">
        <w:col w:w="10340"/>
      </w:cols>
      <w:pgMar w:left="740" w:top="14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2020-04-27T16:36:29Z</dcterms:created>
  <dcterms:modified xsi:type="dcterms:W3CDTF">2020-04-27T16:36:29Z</dcterms:modified>
</cp:coreProperties>
</file>