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1, 2016</w:t>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Ireland</w:t>
            </w:r>
          </w:p>
        </w:tc>
        <w:tc>
          <w:tcPr>
            <w:tcW w:w="3360" w:type="dxa"/>
            <w:vAlign w:val="bottom"/>
          </w:tcPr>
          <w:p>
            <w:pPr>
              <w:jc w:val="right"/>
              <w:ind w:right="1250"/>
              <w:spacing w:after="0"/>
              <w:rPr>
                <w:sz w:val="20"/>
                <w:szCs w:val="20"/>
                <w:color w:val="auto"/>
              </w:rPr>
            </w:pPr>
            <w:r>
              <w:rPr>
                <w:rFonts w:ascii="Arial" w:cs="Arial" w:eastAsia="Arial" w:hAnsi="Arial"/>
                <w:sz w:val="18"/>
                <w:szCs w:val="18"/>
                <w:b w:val="1"/>
                <w:bCs w:val="1"/>
                <w:color w:val="auto"/>
              </w:rPr>
              <w:t>001-36504</w:t>
            </w:r>
          </w:p>
        </w:tc>
        <w:tc>
          <w:tcPr>
            <w:tcW w:w="388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98-0606750</w:t>
            </w:r>
          </w:p>
        </w:tc>
      </w:tr>
      <w:tr>
        <w:trPr>
          <w:trHeight w:val="54"/>
        </w:trPr>
        <w:tc>
          <w:tcPr>
            <w:tcW w:w="4180" w:type="dxa"/>
            <w:vAlign w:val="bottom"/>
            <w:tcBorders>
              <w:bottom w:val="single" w:sz="8" w:color="auto"/>
            </w:tcBorders>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37"/>
        </w:trPr>
        <w:tc>
          <w:tcPr>
            <w:tcW w:w="4180" w:type="dxa"/>
            <w:vAlign w:val="bottom"/>
          </w:tcPr>
          <w:p>
            <w:pPr>
              <w:jc w:val="center"/>
              <w:ind w:right="130"/>
              <w:spacing w:after="0"/>
              <w:rPr>
                <w:sz w:val="20"/>
                <w:szCs w:val="20"/>
                <w:color w:val="auto"/>
              </w:rPr>
            </w:pPr>
            <w:r>
              <w:rPr>
                <w:rFonts w:ascii="Arial" w:cs="Arial" w:eastAsia="Arial" w:hAnsi="Arial"/>
                <w:sz w:val="18"/>
                <w:szCs w:val="18"/>
                <w:color w:val="auto"/>
                <w:w w:val="92"/>
              </w:rPr>
              <w:t>(State or other jurisdiction of incorporation)</w:t>
            </w:r>
          </w:p>
        </w:tc>
        <w:tc>
          <w:tcPr>
            <w:tcW w:w="3360" w:type="dxa"/>
            <w:vAlign w:val="bottom"/>
          </w:tcPr>
          <w:p>
            <w:pPr>
              <w:jc w:val="center"/>
              <w:ind w:right="10"/>
              <w:spacing w:after="0"/>
              <w:rPr>
                <w:sz w:val="20"/>
                <w:szCs w:val="20"/>
                <w:color w:val="auto"/>
              </w:rPr>
            </w:pPr>
            <w:r>
              <w:rPr>
                <w:rFonts w:ascii="Arial" w:cs="Arial" w:eastAsia="Arial" w:hAnsi="Arial"/>
                <w:sz w:val="18"/>
                <w:szCs w:val="18"/>
                <w:color w:val="auto"/>
                <w:w w:val="92"/>
              </w:rPr>
              <w:t>(Commission File Number)</w:t>
            </w:r>
          </w:p>
        </w:tc>
        <w:tc>
          <w:tcPr>
            <w:tcW w:w="3880" w:type="dxa"/>
            <w:vAlign w:val="bottom"/>
          </w:tcPr>
          <w:p>
            <w:pPr>
              <w:jc w:val="center"/>
              <w:ind w:left="90"/>
              <w:spacing w:after="0"/>
              <w:rPr>
                <w:sz w:val="20"/>
                <w:szCs w:val="20"/>
                <w:color w:val="auto"/>
              </w:rPr>
            </w:pPr>
            <w:r>
              <w:rPr>
                <w:rFonts w:ascii="Arial" w:cs="Arial" w:eastAsia="Arial" w:hAnsi="Arial"/>
                <w:sz w:val="18"/>
                <w:szCs w:val="18"/>
                <w:color w:val="auto"/>
                <w:w w:val="94"/>
              </w:rPr>
              <w:t>(I.R.S. Employer Identification No.)</w:t>
            </w:r>
          </w:p>
        </w:tc>
      </w:tr>
      <w:tr>
        <w:trPr>
          <w:trHeight w:val="405"/>
        </w:trPr>
        <w:tc>
          <w:tcPr>
            <w:tcW w:w="75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880" w:type="dxa"/>
            <w:vAlign w:val="bottom"/>
          </w:tcPr>
          <w:p>
            <w:pPr>
              <w:jc w:val="center"/>
              <w:ind w:left="90"/>
              <w:spacing w:after="0"/>
              <w:rPr>
                <w:sz w:val="20"/>
                <w:szCs w:val="20"/>
                <w:color w:val="auto"/>
              </w:rPr>
            </w:pPr>
            <w:r>
              <w:rPr>
                <w:rFonts w:ascii="Arial" w:cs="Arial" w:eastAsia="Arial" w:hAnsi="Arial"/>
                <w:sz w:val="18"/>
                <w:szCs w:val="18"/>
                <w:b w:val="1"/>
                <w:bCs w:val="1"/>
                <w:color w:val="auto"/>
                <w:w w:val="92"/>
              </w:rPr>
              <w:t>CH 6340</w:t>
            </w:r>
          </w:p>
        </w:tc>
      </w:tr>
      <w:tr>
        <w:trPr>
          <w:trHeight w:val="54"/>
        </w:trPr>
        <w:tc>
          <w:tcPr>
            <w:tcW w:w="7540" w:type="dxa"/>
            <w:vAlign w:val="bottom"/>
            <w:tcBorders>
              <w:bottom w:val="single" w:sz="8" w:color="auto"/>
            </w:tcBorders>
            <w:gridSpan w:val="2"/>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37"/>
        </w:trPr>
        <w:tc>
          <w:tcPr>
            <w:tcW w:w="754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(Address of principal executive offices)</w:t>
            </w:r>
          </w:p>
        </w:tc>
        <w:tc>
          <w:tcPr>
            <w:tcW w:w="3880" w:type="dxa"/>
            <w:vAlign w:val="bottom"/>
          </w:tcPr>
          <w:p>
            <w:pPr>
              <w:jc w:val="center"/>
              <w:ind w:left="90"/>
              <w:spacing w:after="0"/>
              <w:rPr>
                <w:sz w:val="20"/>
                <w:szCs w:val="20"/>
                <w:color w:val="auto"/>
              </w:rPr>
            </w:pPr>
            <w:r>
              <w:rPr>
                <w:rFonts w:ascii="Arial" w:cs="Arial" w:eastAsia="Arial" w:hAnsi="Arial"/>
                <w:sz w:val="18"/>
                <w:szCs w:val="18"/>
                <w:color w:val="auto"/>
                <w:w w:val="91"/>
              </w:rPr>
              <w:t>(Zip Code)</w:t>
            </w:r>
          </w:p>
        </w:tc>
      </w:tr>
    </w:tbl>
    <w:p>
      <w:pPr>
        <w:spacing w:after="0" w:line="184"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58" w:lineRule="exact"/>
        <w:rPr>
          <w:sz w:val="24"/>
          <w:szCs w:val="24"/>
          <w:color w:val="auto"/>
        </w:rPr>
      </w:pPr>
    </w:p>
    <w:p>
      <w:pPr>
        <w:ind w:left="564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51435</wp:posOffset>
            </wp:positionV>
            <wp:extent cx="6449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320" w:lineRule="exact"/>
        <w:rPr>
          <w:sz w:val="24"/>
          <w:szCs w:val="24"/>
          <w:color w:val="auto"/>
        </w:rPr>
      </w:pPr>
    </w:p>
    <w:p>
      <w:pPr>
        <w:ind w:right="120"/>
        <w:spacing w:after="0" w:line="32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March 1, 2016, Weatherford International plc (the “Company”) entered into an underwriting agreement (the “Underwriting Agreement”) with J.P. Morgan Securities LLC and Morgan Stanley &amp; Co. LLC, as representatives of the several underwriters named in Schedule II thereto (the “Underwriters”), which provides for the offer and sale by the Company (the “Offering”), and the purchase by the Underwriters, of 100,000,000 ordinary shares of the Company (the “Shares”) at a price to the public of $5.65 per Share. The Company also granted the Underwriters an option for a period of 30 days to purchase up to an additional 15,000,000 Shares. The Shares have been registered under the Securities Act of 1933, as amended (the “Securities Act”), pursuant to the Company’s Registration Statement on Form S-3 (File No. 333-194431), which became effective immediately upon filing with the U.S. Securities and Exchange Commission (the “SEC”) on March 7, 2014, as amended, and as supplemented by the preliminary prospectus supplement filed with the SEC on March 1, 2016, and the prospectus supplement filed with the SEC on March 2, 2016. The Company intends to use the net proceeds from the Offering for general corporate purposes, including the repayment of existing indebtedness.</w:t>
      </w:r>
    </w:p>
    <w:p>
      <w:pPr>
        <w:spacing w:after="0" w:line="18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Underwriting Agreement contains customary representations, warranties, covenants and agreements by the Company, indemnification obligations of the Company and the Underwriters, including for liabilities under the Securities Act,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initial closing of the transaction is expected to occur on or about March 7, 2016, subject to customary closing conditions. A copy of the Underwriting Agreement is attached to this Current Report on Form 8-K as Exhibit 1.1 and is incorporated into this Item 1.01. The foregoing is only a brief description of the material terms of the Underwriting Agreement and does not purport to be a complete description of the rights and obligations of the parties thereunder and such description is qualified in its entirety by reference to this Exhibit.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Relationships</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As more fully described under the caption “Underwriting – Conflicts of Interest” in the prospectus supplement, certain of the Underwriters have, from time to time, performed commercial banking, investment banking and advisory services for the Company and its affiliates for which they have received customary fees and reimbursement of expenses. The Underwriters or their affiliates may, from time to time, engage in transactions with and perform services for the Company and its affiliates in the ordinary course of their business for which they may receive customary fees and reimbursement of expenses.</w:t>
      </w:r>
    </w:p>
    <w:p>
      <w:pPr>
        <w:spacing w:after="0" w:line="15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Because affiliates of J.P. Morgan Securities LLC and Morgan Stanley &amp; Co. LLC are lenders under our revolving credit facility and will receive 5% or more of the net proceeds of this offering due to the repayment of portions of our revolving credit facility by us, J.P. Morgan Securities and Morgan Stanley &amp; Co. LLC are deemed to have a “conflict of interest” under FINRA Rule 5121. Accordingly, the Offering is being made in compliance with the requirements of FINRA Rule 5121. The appointment of a “qualified independent underwriter” is not required in connection with this offering as a “bona fide public market,” as defined in Rule 5121, exists for our ordinary shares. In accordance with Rule 5121, J.P. Morgan Securities LLC and Morgan Stanley &amp; Co. LLC will not confirm any sales to any account over which it exercises discretionary authority without the specific written approval of the transaction from the account holder.</w:t>
      </w:r>
    </w:p>
    <w:p>
      <w:pPr>
        <w:spacing w:after="0" w:line="347"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Company issued a press release on March 1, 2016, announcing the launch of the Offering and a press release on March 1, 2016, announcing the pricing of the Offering. Copies of each press release are furnished as Exhibit 99.1 and Exhibit 99.2, respectively, and are incorporated into this Item 7.01.</w:t>
      </w:r>
    </w:p>
    <w:p>
      <w:pPr>
        <w:sectPr>
          <w:pgSz w:w="11900" w:h="16838" w:orient="portrait"/>
          <w:cols w:equalWidth="0" w:num="1">
            <w:col w:w="11400"/>
          </w:cols>
          <w:pgMar w:left="240" w:top="742" w:right="259" w:bottom="1440" w:gutter="0" w:footer="0" w:header="0"/>
        </w:sectPr>
      </w:pPr>
    </w:p>
    <w:bookmarkStart w:id="2" w:name="page3"/>
    <w:bookmarkEnd w:id="2"/>
    <w:p>
      <w:pPr>
        <w:ind w:left="40"/>
        <w:spacing w:after="0"/>
        <w:tabs>
          <w:tab w:leader="none" w:pos="16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Opinion Letter</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connection with the Offering discussed in Item 1.01, the legal opinion letter of Matheson regarding the legality of the ordinary shares is filed as Exhibit 5.1.</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Item 9.01</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486"/>
        </w:trPr>
        <w:tc>
          <w:tcPr>
            <w:tcW w:w="1620" w:type="dxa"/>
            <w:vAlign w:val="bottom"/>
            <w:gridSpan w:val="2"/>
          </w:tcPr>
          <w:p>
            <w:pPr>
              <w:ind w:left="420"/>
              <w:spacing w:after="0"/>
              <w:rPr>
                <w:sz w:val="20"/>
                <w:szCs w:val="20"/>
                <w:color w:val="auto"/>
              </w:rPr>
            </w:pPr>
            <w:r>
              <w:rPr>
                <w:rFonts w:ascii="Arial" w:cs="Arial" w:eastAsia="Arial" w:hAnsi="Arial"/>
                <w:sz w:val="18"/>
                <w:szCs w:val="18"/>
                <w:color w:val="auto"/>
              </w:rPr>
              <w:t>(d)  Exhibits.</w:t>
            </w:r>
          </w:p>
        </w:tc>
        <w:tc>
          <w:tcPr>
            <w:tcW w:w="9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6"/>
        </w:trPr>
        <w:tc>
          <w:tcPr>
            <w:tcW w:w="1620" w:type="dxa"/>
            <w:vAlign w:val="bottom"/>
            <w:gridSpan w:val="2"/>
          </w:tcPr>
          <w:p>
            <w:pPr>
              <w:ind w:left="140"/>
              <w:spacing w:after="0"/>
              <w:rPr>
                <w:sz w:val="20"/>
                <w:szCs w:val="20"/>
                <w:color w:val="auto"/>
              </w:rPr>
            </w:pPr>
            <w:r>
              <w:rPr>
                <w:rFonts w:ascii="Arial" w:cs="Arial" w:eastAsia="Arial" w:hAnsi="Arial"/>
                <w:sz w:val="18"/>
                <w:szCs w:val="18"/>
                <w:b w:val="1"/>
                <w:bCs w:val="1"/>
                <w:color w:val="auto"/>
              </w:rPr>
              <w:t>Exhibit Number</w:t>
            </w:r>
          </w:p>
        </w:tc>
        <w:tc>
          <w:tcPr>
            <w:tcW w:w="9800" w:type="dxa"/>
            <w:vAlign w:val="bottom"/>
          </w:tcPr>
          <w:p>
            <w:pPr>
              <w:ind w:left="40"/>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54"/>
        </w:trPr>
        <w:tc>
          <w:tcPr>
            <w:tcW w:w="1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87"/>
              </w:rPr>
              <w:t>1.1</w:t>
            </w:r>
          </w:p>
        </w:tc>
        <w:tc>
          <w:tcPr>
            <w:tcW w:w="120" w:type="dxa"/>
            <w:vAlign w:val="bottom"/>
          </w:tcPr>
          <w:p>
            <w:pPr>
              <w:spacing w:after="0"/>
              <w:rPr>
                <w:sz w:val="19"/>
                <w:szCs w:val="19"/>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5"/>
              </w:rPr>
              <w:t>Underwriting Agreement, dated March 1, 2016, by and among Weatherford International plc and J.P. Morgan Securities LLC and</w:t>
            </w:r>
          </w:p>
        </w:tc>
        <w:tc>
          <w:tcPr>
            <w:tcW w:w="0" w:type="dxa"/>
            <w:vAlign w:val="bottom"/>
          </w:tcPr>
          <w:p>
            <w:pPr>
              <w:spacing w:after="0"/>
              <w:rPr>
                <w:sz w:val="1"/>
                <w:szCs w:val="1"/>
                <w:color w:val="auto"/>
              </w:rPr>
            </w:pPr>
          </w:p>
        </w:tc>
      </w:tr>
      <w:tr>
        <w:trPr>
          <w:trHeight w:val="216"/>
        </w:trPr>
        <w:tc>
          <w:tcPr>
            <w:tcW w:w="1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Morgan Stanley &amp; Co. LLC on behalf of themselves and the several Underwriters named in Schedule II to the Underwriting</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Agreement.</w:t>
            </w:r>
          </w:p>
        </w:tc>
        <w:tc>
          <w:tcPr>
            <w:tcW w:w="0" w:type="dxa"/>
            <w:vAlign w:val="bottom"/>
          </w:tcPr>
          <w:p>
            <w:pPr>
              <w:spacing w:after="0"/>
              <w:rPr>
                <w:sz w:val="1"/>
                <w:szCs w:val="1"/>
                <w:color w:val="auto"/>
              </w:rPr>
            </w:pPr>
          </w:p>
        </w:tc>
      </w:tr>
      <w:tr>
        <w:trPr>
          <w:trHeight w:val="270"/>
        </w:trPr>
        <w:tc>
          <w:tcPr>
            <w:tcW w:w="150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12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Opinion of Matheson regarding legality of the ordinary shares.</w:t>
            </w:r>
          </w:p>
        </w:tc>
        <w:tc>
          <w:tcPr>
            <w:tcW w:w="0" w:type="dxa"/>
            <w:vAlign w:val="bottom"/>
          </w:tcPr>
          <w:p>
            <w:pPr>
              <w:spacing w:after="0"/>
              <w:rPr>
                <w:sz w:val="1"/>
                <w:szCs w:val="1"/>
                <w:color w:val="auto"/>
              </w:rPr>
            </w:pPr>
          </w:p>
        </w:tc>
      </w:tr>
      <w:tr>
        <w:trPr>
          <w:trHeight w:val="297"/>
        </w:trPr>
        <w:tc>
          <w:tcPr>
            <w:tcW w:w="150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2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Consent of Matheson (included in Exhibit 5.1 hereto).</w:t>
            </w:r>
          </w:p>
        </w:tc>
        <w:tc>
          <w:tcPr>
            <w:tcW w:w="0" w:type="dxa"/>
            <w:vAlign w:val="bottom"/>
          </w:tcPr>
          <w:p>
            <w:pPr>
              <w:spacing w:after="0"/>
              <w:rPr>
                <w:sz w:val="1"/>
                <w:szCs w:val="1"/>
                <w:color w:val="auto"/>
              </w:rPr>
            </w:pPr>
          </w:p>
        </w:tc>
      </w:tr>
      <w:tr>
        <w:trPr>
          <w:trHeight w:val="297"/>
        </w:trPr>
        <w:tc>
          <w:tcPr>
            <w:tcW w:w="15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2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dated March 1, 2016.</w:t>
            </w:r>
          </w:p>
        </w:tc>
        <w:tc>
          <w:tcPr>
            <w:tcW w:w="0" w:type="dxa"/>
            <w:vAlign w:val="bottom"/>
          </w:tcPr>
          <w:p>
            <w:pPr>
              <w:spacing w:after="0"/>
              <w:rPr>
                <w:sz w:val="1"/>
                <w:szCs w:val="1"/>
                <w:color w:val="auto"/>
              </w:rPr>
            </w:pPr>
          </w:p>
        </w:tc>
      </w:tr>
      <w:tr>
        <w:trPr>
          <w:trHeight w:val="297"/>
        </w:trPr>
        <w:tc>
          <w:tcPr>
            <w:tcW w:w="150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2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dated March 1, 2016.</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310"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140"/>
        <w:spacing w:after="0"/>
        <w:tabs>
          <w:tab w:leader="none" w:pos="9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 2016</w:t>
      </w:r>
    </w:p>
    <w:p>
      <w:pPr>
        <w:spacing w:after="0" w:line="77"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48895</wp:posOffset>
            </wp:positionV>
            <wp:extent cx="4013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84"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Krishna Shivram</w:t>
      </w:r>
    </w:p>
    <w:p>
      <w:pPr>
        <w:spacing w:after="0" w:line="279"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607" w:right="439" w:bottom="1440" w:gutter="0" w:footer="0" w:header="0"/>
        </w:sectPr>
      </w:pPr>
    </w:p>
    <w:bookmarkStart w:id="4" w:name="page5"/>
    <w:bookmarkEnd w:id="4"/>
    <w:p>
      <w:pPr>
        <w:jc w:val="center"/>
        <w:ind w:right="-319"/>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b w:val="1"/>
          <w:bCs w:val="1"/>
          <w:color w:val="auto"/>
        </w:rPr>
        <w:t>Exhibit Number</w:t>
      </w:r>
      <w:r>
        <w:rPr>
          <w:sz w:val="20"/>
          <w:szCs w:val="20"/>
          <w:color w:val="auto"/>
        </w:rPr>
        <w:tab/>
      </w:r>
      <w:r>
        <w:rPr>
          <w:rFonts w:ascii="Arial" w:cs="Arial" w:eastAsia="Arial" w:hAnsi="Arial"/>
          <w:sz w:val="16"/>
          <w:szCs w:val="16"/>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40"/>
          </w:cols>
          <w:pgMar w:left="380" w:top="918" w:right="679" w:bottom="1440" w:gutter="0" w:footer="0" w:header="0"/>
        </w:sectPr>
      </w:pPr>
    </w:p>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5.1</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23.1</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99.1</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99.2</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Underwriting Agreement, dated March 1, 2016, by and among Weatherford International plc and J.P. Morgan Securities LLC and Morgan Stanley &amp; Co. LLC on behalf of themselves and the several Underwriters named in Schedule II to the Underwriting Agreement.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Opinion of Matheson regarding legality of the ordinary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Consent of Matheson (included in Exhibit 5.1 hereto).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Press release, dated March 1,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Press release, dated March 1, 2016.</w:t>
      </w:r>
    </w:p>
    <w:p>
      <w:pPr>
        <w:sectPr>
          <w:pgSz w:w="11900" w:h="16838" w:orient="portrait"/>
          <w:cols w:equalWidth="0" w:num="2">
            <w:col w:w="800" w:space="720"/>
            <w:col w:w="9320"/>
          </w:cols>
          <w:pgMar w:left="380" w:top="918" w:right="67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1.1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Weatherford International public limited company</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100,000,000 Ordinary Shares </w:t>
      </w:r>
      <w:r>
        <w:rPr>
          <w:rFonts w:ascii="Arial" w:cs="Arial" w:eastAsia="Arial" w:hAnsi="Arial"/>
          <w:sz w:val="28"/>
          <w:szCs w:val="28"/>
          <w:color w:val="auto"/>
          <w:vertAlign w:val="superscript"/>
        </w:rPr>
        <w:t>1</w:t>
      </w:r>
    </w:p>
    <w:p>
      <w:pPr>
        <w:jc w:val="center"/>
        <w:spacing w:after="0"/>
        <w:rPr>
          <w:sz w:val="20"/>
          <w:szCs w:val="20"/>
          <w:color w:val="auto"/>
        </w:rPr>
      </w:pPr>
      <w:r>
        <w:rPr>
          <w:rFonts w:ascii="Arial" w:cs="Arial" w:eastAsia="Arial" w:hAnsi="Arial"/>
          <w:sz w:val="22"/>
          <w:szCs w:val="22"/>
          <w:color w:val="auto"/>
        </w:rPr>
        <w:t>(par value $0.001 USD per share)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Underwriting Agreement</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New York, New York</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March 1, 2016</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To the Representatives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named in Schedule I</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hereto of the several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Underwriters named in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II hereto</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Weatherford International public limited company, an Irish public limited company (the “Company”), proposes to sell to the several underwriters named in Schedule II hereto (the “Underwriters”), for whom you (the “Representatives”) are acting as representatives, the number of ordinary shares, par value $0.001 USD per share (the “Ordinary Shares”), of the Company set forth in Schedule I hereto (the “Securities”) (said shares to be issued and sold by the Company being hereinafter called the “Underwritten Securities”). The Company also proposes to grant to the Underwriters an option to purchase up to the number of additional Ordinary Shares set forth in Schedule I hereto (the “Option Securities”; the Option Securities, together with the Underwritten Securities, being hereinafter called the “Securities”). To the extent there are no additional Underwriters listed on Schedule I other than you, the term Representatives as used herein shall mean you, as Underwriters, and the terms Representatives and Underwriters shall mean either the singular or plural as the context requires. Any reference herein to the Registration Statement, the Base Prospectus, any Preliminary Prospectus or the Final Prospectus shall be deemed to refer to and include the documents incorporated by reference therein pursuant to Item 12 of Form S-3 which were filed under the Exchange Act on or before the Effective Date of the Registration Statement or the issue date of the Base Prospectus, any Preliminary Prospectus or the Final Prospectus, as the case may be; and any reference herein to the terms “amend,” “amendment” or “supplement” with respect to the Registration Statement, the Base Prospectus, any Preliminary Prospectus or the Final Prospectus shall be deemed to refer to and include the filing of any document under the Exchange Act after the Effective Date of the Registration Statement or the issue date of the Base Prospectus, any Preliminary Prospectus or the Final Prospectus, as the case may be, deemed to be incorporated therein by reference. Certain terms used herein are defined in Section 22 hereof.</w:t>
      </w:r>
    </w:p>
    <w:p>
      <w:pPr>
        <w:spacing w:after="0" w:line="168"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1. </w:t>
      </w: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The Company represents and warrants to, and agrees with, each Underwriter as set forth below in this Section 1.</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w:t>
      </w:r>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Plus an option to purchase from the Company, up to 15,000,000 additional Securities.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1420"/>
          </w:cols>
          <w:pgMar w:left="240" w:top="1098" w:right="239" w:bottom="1440" w:gutter="0" w:footer="0" w:header="0"/>
        </w:sectPr>
      </w:pPr>
    </w:p>
    <w:bookmarkStart w:id="6" w:name="page7"/>
    <w:bookmarkEnd w:id="6"/>
    <w:p>
      <w:pPr>
        <w:jc w:val="both"/>
        <w:ind w:left="660" w:firstLine="645"/>
        <w:spacing w:after="0" w:line="286" w:lineRule="auto"/>
        <w:tabs>
          <w:tab w:leader="none" w:pos="2196" w:val="left"/>
        </w:tabs>
        <w:numPr>
          <w:ilvl w:val="1"/>
          <w:numId w:val="2"/>
        </w:numPr>
        <w:rPr>
          <w:rFonts w:ascii="Arial" w:cs="Arial" w:eastAsia="Arial" w:hAnsi="Arial"/>
          <w:sz w:val="19"/>
          <w:szCs w:val="19"/>
          <w:color w:val="auto"/>
        </w:rPr>
      </w:pPr>
      <w:r>
        <w:rPr>
          <w:rFonts w:ascii="Arial" w:cs="Arial" w:eastAsia="Arial" w:hAnsi="Arial"/>
          <w:sz w:val="19"/>
          <w:szCs w:val="19"/>
          <w:color w:val="auto"/>
        </w:rPr>
        <w:t>The Company meets the requirements for use of Form S-3 under the Act and has prepared and filed with the Commission an automatic shelf registration statement, as defined in Rule 405 (the file number of which is set forth in Schedule I hereto) on Form S-3, including a related Base Prospectus, for registration under the Act of the offering and sale of the Securities. Such Registration Statement, including any amendments thereto filed prior to the Execution Time, became effective upon filing. The Company may have filed with the Commission, as part of an amendment to the Registration Statement or pursuant to Rule 424(b), one or more Preliminary Prospectuses relating to the Securities, each of which has previously been furnished to you. The Company will file with the Commission a Final Prospectus relating to the Securities in accordance with Rule 424(b). As filed, such Final Prospectus shall contain all information required by the Act and the rules thereunder, and, except to the extent the Representatives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Base Prospectus and any Preliminary Prospectus) as the Company has advised you, prior to the Execution Time, will be included or made therein. The Registration Statement, at the Execution Time, meets the requirements set forth in Rule 415(a)(1)(x). The initial Effective Date of the Registration Statement was not earlier than the date three years before the Execution Time.</w:t>
      </w:r>
    </w:p>
    <w:p>
      <w:pPr>
        <w:spacing w:after="0" w:line="200" w:lineRule="exact"/>
        <w:rPr>
          <w:rFonts w:ascii="Arial" w:cs="Arial" w:eastAsia="Arial" w:hAnsi="Arial"/>
          <w:sz w:val="19"/>
          <w:szCs w:val="19"/>
          <w:color w:val="auto"/>
        </w:rPr>
      </w:pPr>
    </w:p>
    <w:p>
      <w:pPr>
        <w:spacing w:after="0" w:line="260" w:lineRule="exact"/>
        <w:rPr>
          <w:rFonts w:ascii="Arial" w:cs="Arial" w:eastAsia="Arial" w:hAnsi="Arial"/>
          <w:sz w:val="19"/>
          <w:szCs w:val="19"/>
          <w:color w:val="auto"/>
        </w:rPr>
      </w:pPr>
    </w:p>
    <w:p>
      <w:pPr>
        <w:jc w:val="both"/>
        <w:ind w:left="660" w:firstLine="645"/>
        <w:spacing w:after="0" w:line="286" w:lineRule="auto"/>
        <w:tabs>
          <w:tab w:leader="none" w:pos="2209" w:val="left"/>
        </w:tabs>
        <w:numPr>
          <w:ilvl w:val="1"/>
          <w:numId w:val="2"/>
        </w:numPr>
        <w:rPr>
          <w:rFonts w:ascii="Arial" w:cs="Arial" w:eastAsia="Arial" w:hAnsi="Arial"/>
          <w:sz w:val="19"/>
          <w:szCs w:val="19"/>
          <w:color w:val="auto"/>
        </w:rPr>
      </w:pPr>
      <w:r>
        <w:rPr>
          <w:rFonts w:ascii="Arial" w:cs="Arial" w:eastAsia="Arial" w:hAnsi="Arial"/>
          <w:sz w:val="19"/>
          <w:szCs w:val="19"/>
          <w:color w:val="auto"/>
        </w:rPr>
        <w:t xml:space="preserve">On each Effective Date, the Registration Statement did, and when the Final Prospectus is first filed in accordance with Rule 424(b) and on the Closing Date (as defined herein) and on any date on which Option Securities are purchased, if such date is not the Closing Date (a “settlement date”), the Final Prospectus (and any supplement thereto) will, comply in all material respects with the applicable requirements of the Act and the Exchange Act and the respective rules thereunder; on each Effective Date, at the Execution Time and on the Closing Date, the Registration Statement did not and will not contain any untrue statement of a material fact or omit to state any material fact required to be stated therein or necessary in order to make the statements therein not misleading; and on the date of any filing pursuant to Rule 424(b) and on the Closing Date and any settlement date, the Final Prospectus (together with any supplement thereto) will not include any untrue statement of a material fact or omit to state a material fact necessary in order to make the statements therein, in the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makes no representations or warranties as to the information contained in or omitted from the Registration Statement or the Final Prospectus (or any supplement thereto) in reliance upon and in conformity with information furnished in writing to the Company by or on behalf of any Underwriter through the Representatives specifically for inclusion in the Registration Statement or the Final Prospectus (or any supplement thereto), it being understood and agreed that the only such information furnished by or on behalf of any Underwriter consists of the information described as such in Section 8 hereof.</w:t>
      </w:r>
    </w:p>
    <w:p>
      <w:pPr>
        <w:spacing w:after="0" w:line="200" w:lineRule="exact"/>
        <w:rPr>
          <w:rFonts w:ascii="Arial" w:cs="Arial" w:eastAsia="Arial" w:hAnsi="Arial"/>
          <w:sz w:val="19"/>
          <w:szCs w:val="19"/>
          <w:color w:val="auto"/>
        </w:rPr>
      </w:pPr>
    </w:p>
    <w:p>
      <w:pPr>
        <w:jc w:val="both"/>
        <w:ind w:left="660" w:firstLine="645"/>
        <w:spacing w:after="0" w:line="291" w:lineRule="auto"/>
        <w:tabs>
          <w:tab w:leader="none" w:pos="2274" w:val="left"/>
        </w:tabs>
        <w:numPr>
          <w:ilvl w:val="1"/>
          <w:numId w:val="2"/>
        </w:numPr>
        <w:rPr>
          <w:rFonts w:ascii="Arial" w:cs="Arial" w:eastAsia="Arial" w:hAnsi="Arial"/>
          <w:sz w:val="19"/>
          <w:szCs w:val="19"/>
          <w:color w:val="auto"/>
        </w:rPr>
      </w:pPr>
      <w:r>
        <w:rPr>
          <w:rFonts w:ascii="Arial" w:cs="Arial" w:eastAsia="Arial" w:hAnsi="Arial"/>
          <w:sz w:val="19"/>
          <w:szCs w:val="19"/>
          <w:color w:val="auto"/>
        </w:rPr>
        <w:t>(i) The Disclosure Package and the price to the public, the number of Underwritten Securities and the number of Option Securities to be included on the cover page of the Final Prospectus, when taken together as a whole, and</w:t>
      </w:r>
    </w:p>
    <w:p>
      <w:pPr>
        <w:spacing w:after="0" w:line="1" w:lineRule="exact"/>
        <w:rPr>
          <w:rFonts w:ascii="Arial" w:cs="Arial" w:eastAsia="Arial" w:hAnsi="Arial"/>
          <w:sz w:val="19"/>
          <w:szCs w:val="19"/>
          <w:color w:val="auto"/>
        </w:rPr>
      </w:pPr>
    </w:p>
    <w:p>
      <w:pPr>
        <w:ind w:left="660" w:right="20" w:hanging="4"/>
        <w:spacing w:after="0" w:line="246" w:lineRule="auto"/>
        <w:tabs>
          <w:tab w:leader="none" w:pos="987" w:val="left"/>
        </w:tabs>
        <w:numPr>
          <w:ilvl w:val="0"/>
          <w:numId w:val="3"/>
        </w:numPr>
        <w:rPr>
          <w:rFonts w:ascii="Arial" w:cs="Arial" w:eastAsia="Arial" w:hAnsi="Arial"/>
          <w:sz w:val="22"/>
          <w:szCs w:val="22"/>
          <w:color w:val="auto"/>
        </w:rPr>
      </w:pPr>
      <w:r>
        <w:rPr>
          <w:rFonts w:ascii="Arial" w:cs="Arial" w:eastAsia="Arial" w:hAnsi="Arial"/>
          <w:sz w:val="22"/>
          <w:szCs w:val="22"/>
          <w:color w:val="auto"/>
        </w:rPr>
        <w:t>each electronic road show, when taken together as a whole with the Disclosure Package and the price to the public, the number of Underwritten Securities and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1420"/>
          </w:cols>
          <w:pgMar w:left="240" w:top="1104" w:right="239" w:bottom="1440" w:gutter="0" w:footer="0" w:header="0"/>
        </w:sectPr>
      </w:pPr>
    </w:p>
    <w:bookmarkStart w:id="7" w:name="page8"/>
    <w:bookmarkEnd w:id="7"/>
    <w:p>
      <w:pPr>
        <w:jc w:val="both"/>
        <w:ind w:left="660"/>
        <w:spacing w:after="0" w:line="246" w:lineRule="auto"/>
        <w:rPr>
          <w:sz w:val="20"/>
          <w:szCs w:val="20"/>
          <w:color w:val="auto"/>
        </w:rPr>
      </w:pPr>
      <w:r>
        <w:rPr>
          <w:rFonts w:ascii="Arial" w:cs="Arial" w:eastAsia="Arial" w:hAnsi="Arial"/>
          <w:sz w:val="22"/>
          <w:szCs w:val="22"/>
          <w:color w:val="auto"/>
        </w:rPr>
        <w:t>the number of Option Securities to be included on the cover page of the Final Prospectus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any Underwriter through the Representatives specifically for use therein, it being understood and agreed that the only such information furnished by or on behalf of any Underwriter consists of the information described as such in Section 8 hereof.</w:t>
      </w:r>
    </w:p>
    <w:p>
      <w:pPr>
        <w:spacing w:after="0" w:line="238" w:lineRule="exact"/>
        <w:rPr>
          <w:sz w:val="20"/>
          <w:szCs w:val="20"/>
          <w:color w:val="auto"/>
        </w:rPr>
      </w:pPr>
    </w:p>
    <w:p>
      <w:pPr>
        <w:jc w:val="both"/>
        <w:ind w:left="660" w:firstLine="645"/>
        <w:spacing w:after="0" w:line="259" w:lineRule="auto"/>
        <w:tabs>
          <w:tab w:leader="none" w:pos="2271" w:val="left"/>
        </w:tabs>
        <w:numPr>
          <w:ilvl w:val="0"/>
          <w:numId w:val="4"/>
        </w:numPr>
        <w:rPr>
          <w:rFonts w:ascii="Arial" w:cs="Arial" w:eastAsia="Arial" w:hAnsi="Arial"/>
          <w:sz w:val="21"/>
          <w:szCs w:val="21"/>
          <w:color w:val="auto"/>
        </w:rPr>
      </w:pPr>
      <w:r>
        <w:rPr>
          <w:rFonts w:ascii="Arial" w:cs="Arial" w:eastAsia="Arial" w:hAnsi="Arial"/>
          <w:sz w:val="21"/>
          <w:szCs w:val="21"/>
          <w:color w:val="auto"/>
        </w:rPr>
        <w:t>(i) At the time of filing the Registration Statement, (ii) at the time of the most recent amendment thereto for the purposes of complying with Section 10(a)(3) of the Act (whether such amendment was by post-effective amendment, incorporated report filed pursuant to Sections 13 or 15(d) of the Exchange Act or form of prospectus), (iii) at the time the Company, or any person acting on its behalf (within the meaning, for this clause only, of Rule 163(c)), made any offer relating to the Securities in reliance on the exemption in Rule 163, and (iv) at the Execution Time (with such date being used as the determination date for purposes of this clause (iv)), the Company was or is (as the case may be) a “well-known seasoned issuer” as defined in Rule 405. The Company agrees to pay the fees required by the Commission relating to the Securities within the time required by Rule 456(b)(1) without regard to the proviso therein and otherwise in accordance with Rules 456(b) and 457(r).</w:t>
      </w:r>
    </w:p>
    <w:p>
      <w:pPr>
        <w:spacing w:after="0" w:line="220" w:lineRule="exact"/>
        <w:rPr>
          <w:rFonts w:ascii="Arial" w:cs="Arial" w:eastAsia="Arial" w:hAnsi="Arial"/>
          <w:sz w:val="21"/>
          <w:szCs w:val="21"/>
          <w:color w:val="auto"/>
        </w:rPr>
      </w:pPr>
    </w:p>
    <w:p>
      <w:pPr>
        <w:jc w:val="both"/>
        <w:ind w:left="660" w:firstLine="645"/>
        <w:spacing w:after="0" w:line="263" w:lineRule="auto"/>
        <w:tabs>
          <w:tab w:leader="none" w:pos="2196" w:val="left"/>
        </w:tabs>
        <w:numPr>
          <w:ilvl w:val="0"/>
          <w:numId w:val="4"/>
        </w:numPr>
        <w:rPr>
          <w:rFonts w:ascii="Arial" w:cs="Arial" w:eastAsia="Arial" w:hAnsi="Arial"/>
          <w:sz w:val="21"/>
          <w:szCs w:val="21"/>
          <w:color w:val="auto"/>
        </w:rPr>
      </w:pPr>
      <w:r>
        <w:rPr>
          <w:rFonts w:ascii="Arial" w:cs="Arial" w:eastAsia="Arial" w:hAnsi="Arial"/>
          <w:sz w:val="21"/>
          <w:szCs w:val="21"/>
          <w:color w:val="auto"/>
        </w:rPr>
        <w:t xml:space="preserve">(i) At the earliest time after the filing of the Registration Statement that the Company or another offering participant made a </w:t>
      </w:r>
      <w:r>
        <w:rPr>
          <w:rFonts w:ascii="Arial" w:cs="Arial" w:eastAsia="Arial" w:hAnsi="Arial"/>
          <w:sz w:val="21"/>
          <w:szCs w:val="21"/>
          <w:i w:val="1"/>
          <w:iCs w:val="1"/>
          <w:color w:val="auto"/>
        </w:rPr>
        <w:t>bona fide</w:t>
      </w:r>
      <w:r>
        <w:rPr>
          <w:rFonts w:ascii="Arial" w:cs="Arial" w:eastAsia="Arial" w:hAnsi="Arial"/>
          <w:sz w:val="21"/>
          <w:szCs w:val="21"/>
          <w:color w:val="auto"/>
        </w:rPr>
        <w:t xml:space="preserve"> offer (within the meaning of Rule 164(h)(2)) of the Securities and (ii) as of the Execution Time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spacing w:after="0" w:line="216" w:lineRule="exact"/>
        <w:rPr>
          <w:rFonts w:ascii="Arial" w:cs="Arial" w:eastAsia="Arial" w:hAnsi="Arial"/>
          <w:sz w:val="21"/>
          <w:szCs w:val="21"/>
          <w:color w:val="auto"/>
        </w:rPr>
      </w:pPr>
    </w:p>
    <w:p>
      <w:pPr>
        <w:jc w:val="both"/>
        <w:ind w:left="660" w:firstLine="645"/>
        <w:spacing w:after="0" w:line="292" w:lineRule="auto"/>
        <w:tabs>
          <w:tab w:leader="none" w:pos="2172" w:val="left"/>
        </w:tabs>
        <w:numPr>
          <w:ilvl w:val="0"/>
          <w:numId w:val="4"/>
        </w:numPr>
        <w:rPr>
          <w:rFonts w:ascii="Arial" w:cs="Arial" w:eastAsia="Arial" w:hAnsi="Arial"/>
          <w:sz w:val="19"/>
          <w:szCs w:val="19"/>
          <w:color w:val="auto"/>
        </w:rPr>
      </w:pPr>
      <w:r>
        <w:rPr>
          <w:rFonts w:ascii="Arial" w:cs="Arial" w:eastAsia="Arial" w:hAnsi="Arial"/>
          <w:sz w:val="19"/>
          <w:szCs w:val="19"/>
          <w:color w:val="auto"/>
        </w:rPr>
        <w:t>Each Issuer Free Writing Prospectus prepared and filed pursuant to Section 5(b) hereto does not include any information that conflicts with the information contained in the Registration Statement, including any document incorporated by reference therein and any prospectus supplement deemed to be a part thereof that has not been superseded or modified. The foregoing sentence does not apply to statements in or omissions from any Issuer Free Writing Prospectus based upon and in conformity with written information furnished to the Company by any Underwriter through the Representatives specifically for use therein, it being understood and agreed that the only such information furnished by or on behalf of any Underwriter consists of the information described as such in Section 8 hereof.</w:t>
      </w:r>
    </w:p>
    <w:p>
      <w:pPr>
        <w:spacing w:after="0" w:line="192" w:lineRule="exact"/>
        <w:rPr>
          <w:rFonts w:ascii="Arial" w:cs="Arial" w:eastAsia="Arial" w:hAnsi="Arial"/>
          <w:sz w:val="19"/>
          <w:szCs w:val="19"/>
          <w:color w:val="auto"/>
        </w:rPr>
      </w:pPr>
    </w:p>
    <w:p>
      <w:pPr>
        <w:jc w:val="both"/>
        <w:ind w:left="660" w:firstLine="645"/>
        <w:spacing w:after="0" w:line="312" w:lineRule="auto"/>
        <w:tabs>
          <w:tab w:leader="none" w:pos="2209"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interactive data in the eXtensible Business Reporting Language (“XBRL”) included as an exhibit to the Registration Statement and the documents incorporated by reference therein fairly presents the information called for in all material respects and has been prepared in accordance with the Commission’s rules and guidelines applicable thereto.</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1420"/>
          </w:cols>
          <w:pgMar w:left="240" w:top="847" w:right="239" w:bottom="1440" w:gutter="0" w:footer="0" w:header="0"/>
        </w:sectPr>
      </w:pPr>
    </w:p>
    <w:bookmarkStart w:id="8" w:name="page9"/>
    <w:bookmarkEnd w:id="8"/>
    <w:p>
      <w:pPr>
        <w:jc w:val="both"/>
        <w:ind w:left="660" w:firstLine="645"/>
        <w:spacing w:after="0" w:line="265" w:lineRule="auto"/>
        <w:tabs>
          <w:tab w:leader="none" w:pos="2276"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Company has not distributed and will not distribute, prior to the later of the Closing Date and the completion of the Underwriters’ distribution of the Securities, any offering material in connection with the offering and sale of the Securities other than the Preliminary Prospectus, the Final Prospectus, any Issuer Free Writing Prospectus included in Schedule III hereto, any Permitted Free Writing Prospectus or the Registration Statement.</w:t>
      </w:r>
    </w:p>
    <w:p>
      <w:pPr>
        <w:spacing w:after="0" w:line="216" w:lineRule="exact"/>
        <w:rPr>
          <w:rFonts w:ascii="Arial" w:cs="Arial" w:eastAsia="Arial" w:hAnsi="Arial"/>
          <w:sz w:val="21"/>
          <w:szCs w:val="21"/>
          <w:color w:val="auto"/>
        </w:rPr>
      </w:pPr>
    </w:p>
    <w:p>
      <w:pPr>
        <w:jc w:val="both"/>
        <w:ind w:left="660" w:firstLine="645"/>
        <w:spacing w:after="0" w:line="292" w:lineRule="auto"/>
        <w:tabs>
          <w:tab w:leader="none" w:pos="2220"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documents incorporated or deemed to be incorporated by reference in the Registration Statement, the Final Prospectus and the Disclosure Package (collectively, the “Incorporated Documents”) at the time they were or hereafter are filed with the Commission, complied and will comply in all material respects with the requirements of the Exchange Act, and, when read together with the other information in such Registration Statement, Final Prospectus or Disclosure Package, as the case may be, at the time the Registration Statement became effective, at the time the Final Prospectus was issued, at the Execution Time and at the Closing Date, did not and will not contain an untrue statement of a material fact or omit to state a material fact required to be stated therein or necessary to make the statements therein not misleading.</w:t>
      </w:r>
    </w:p>
    <w:p>
      <w:pPr>
        <w:spacing w:after="0" w:line="192" w:lineRule="exact"/>
        <w:rPr>
          <w:rFonts w:ascii="Arial" w:cs="Arial" w:eastAsia="Arial" w:hAnsi="Arial"/>
          <w:sz w:val="19"/>
          <w:szCs w:val="19"/>
          <w:color w:val="auto"/>
        </w:rPr>
      </w:pPr>
    </w:p>
    <w:p>
      <w:pPr>
        <w:jc w:val="both"/>
        <w:ind w:left="660" w:firstLine="645"/>
        <w:spacing w:after="0" w:line="253" w:lineRule="auto"/>
        <w:tabs>
          <w:tab w:leader="none" w:pos="216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accountants who certified the financial statements and supporting schedules included in the Registration Statement, the Disclosure Package and the Final Prospectus are an independent registered public accounting firm as required by the Act.</w:t>
      </w:r>
    </w:p>
    <w:p>
      <w:pPr>
        <w:spacing w:after="0" w:line="226" w:lineRule="exact"/>
        <w:rPr>
          <w:rFonts w:ascii="Arial" w:cs="Arial" w:eastAsia="Arial" w:hAnsi="Arial"/>
          <w:sz w:val="22"/>
          <w:szCs w:val="22"/>
          <w:color w:val="auto"/>
        </w:rPr>
      </w:pPr>
    </w:p>
    <w:p>
      <w:pPr>
        <w:jc w:val="both"/>
        <w:ind w:left="660" w:firstLine="645"/>
        <w:spacing w:after="0" w:line="286" w:lineRule="auto"/>
        <w:tabs>
          <w:tab w:leader="none" w:pos="2209"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consolidated financial statements included in the Registration Statement, the Final Prospectus and the Disclosure Package present fairly in all material respects the financial position of the Company and its consolidated subsidiaries at the dates indicated and the statement of operations, shareholders’ equity and cash flows of the Company and its consolidated subsidiaries for the periods specified all prepared in conformity with generally accepted accounting principles (“GAAP”) (subject, in the case of interim statements, to normal year-end audit adjustments); the consolidated financial statements and the related financial statement schedules included in the Registration Statement comply as to form in all material respects with the applicable accounting requirements of the Act and the Exchange Act and the related rules and regulations adopted by the Commission; and the Company has no material contingent obligation that is not disclosed in such financial statements or in the Registration Statement, Final Prospectus or Disclosure Package. The supporting schedules, if any, included in the Registration Statement present fairly in accordance with GAAP the information required to be stated therein. The capitalization table and the ratio of earnings to fixed charges included in the Final Prospectus and Disclosure Package present fairly the information shown therein and have been compiled on a basis consistent with that of the audited financial statements included in the Registration Statement.</w:t>
      </w:r>
    </w:p>
    <w:p>
      <w:pPr>
        <w:spacing w:after="0" w:line="207" w:lineRule="exact"/>
        <w:rPr>
          <w:rFonts w:ascii="Arial" w:cs="Arial" w:eastAsia="Arial" w:hAnsi="Arial"/>
          <w:sz w:val="19"/>
          <w:szCs w:val="19"/>
          <w:color w:val="auto"/>
        </w:rPr>
      </w:pPr>
    </w:p>
    <w:p>
      <w:pPr>
        <w:jc w:val="both"/>
        <w:ind w:left="660" w:firstLine="645"/>
        <w:spacing w:after="0" w:line="297" w:lineRule="auto"/>
        <w:tabs>
          <w:tab w:leader="none" w:pos="2160" w:val="left"/>
        </w:tabs>
        <w:numPr>
          <w:ilvl w:val="0"/>
          <w:numId w:val="5"/>
        </w:numPr>
        <w:rPr>
          <w:rFonts w:ascii="Arial" w:cs="Arial" w:eastAsia="Arial" w:hAnsi="Arial"/>
          <w:sz w:val="19"/>
          <w:szCs w:val="19"/>
          <w:color w:val="auto"/>
        </w:rPr>
      </w:pPr>
      <w:r>
        <w:rPr>
          <w:rFonts w:ascii="Arial" w:cs="Arial" w:eastAsia="Arial" w:hAnsi="Arial"/>
          <w:sz w:val="19"/>
          <w:szCs w:val="19"/>
          <w:color w:val="auto"/>
        </w:rPr>
        <w:t>Since the respective dates as of which information is given in the Registration Statement, the Final Prospectus and the Disclosure Package, except as otherwise stated therein, (A) there has been no material adverse change in the consolidated financial position, shareholders’ equity, results of operations or business of the Company and its subsidiaries considered as one enterprise, whether or not arising in the ordinary course of business (a “Material Adverse Effect”), (B) there have been no transactions entered into by the Company or any of its subsidiaries, other than those in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1420"/>
          </w:cols>
          <w:pgMar w:left="240" w:top="1104" w:right="239" w:bottom="1440" w:gutter="0" w:footer="0" w:header="0"/>
        </w:sectPr>
      </w:pPr>
    </w:p>
    <w:bookmarkStart w:id="9" w:name="page10"/>
    <w:bookmarkEnd w:id="9"/>
    <w:p>
      <w:pPr>
        <w:jc w:val="both"/>
        <w:ind w:left="660"/>
        <w:spacing w:after="0" w:line="253" w:lineRule="auto"/>
        <w:rPr>
          <w:sz w:val="20"/>
          <w:szCs w:val="20"/>
          <w:color w:val="auto"/>
        </w:rPr>
      </w:pPr>
      <w:r>
        <w:rPr>
          <w:rFonts w:ascii="Arial" w:cs="Arial" w:eastAsia="Arial" w:hAnsi="Arial"/>
          <w:sz w:val="22"/>
          <w:szCs w:val="22"/>
          <w:color w:val="auto"/>
        </w:rPr>
        <w:t>the ordinary course of business, which are material with respect to the Company and its subsidiaries considered as one enterprise, and (C) there has been no dividend or distribution of any kind declared, paid or made by the Company on any class of its share capital.</w:t>
      </w:r>
    </w:p>
    <w:p>
      <w:pPr>
        <w:spacing w:after="0" w:line="226" w:lineRule="exact"/>
        <w:rPr>
          <w:sz w:val="20"/>
          <w:szCs w:val="20"/>
          <w:color w:val="auto"/>
        </w:rPr>
      </w:pPr>
    </w:p>
    <w:p>
      <w:pPr>
        <w:jc w:val="both"/>
        <w:ind w:left="660" w:firstLine="645"/>
        <w:spacing w:after="0" w:line="246" w:lineRule="auto"/>
        <w:tabs>
          <w:tab w:leader="none" w:pos="2268"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Company has been duly organized and is validly existing as an Irish public limited company in good standing (to the extent applicable) and has company power and authority to own, lease and operate its properties and to conduct its business as described in the Prospectus and the Disclosure Package and to enter into and perform its obligations under this Agreement;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result in a Material Adverse Effect.</w:t>
      </w:r>
    </w:p>
    <w:p>
      <w:pPr>
        <w:spacing w:after="0" w:line="237" w:lineRule="exact"/>
        <w:rPr>
          <w:rFonts w:ascii="Arial" w:cs="Arial" w:eastAsia="Arial" w:hAnsi="Arial"/>
          <w:sz w:val="22"/>
          <w:szCs w:val="22"/>
          <w:color w:val="auto"/>
        </w:rPr>
      </w:pPr>
    </w:p>
    <w:p>
      <w:pPr>
        <w:jc w:val="both"/>
        <w:ind w:left="660" w:firstLine="645"/>
        <w:spacing w:after="0" w:line="290" w:lineRule="auto"/>
        <w:tabs>
          <w:tab w:leader="none" w:pos="2209" w:val="left"/>
        </w:tabs>
        <w:numPr>
          <w:ilvl w:val="0"/>
          <w:numId w:val="6"/>
        </w:numPr>
        <w:rPr>
          <w:rFonts w:ascii="Arial" w:cs="Arial" w:eastAsia="Arial" w:hAnsi="Arial"/>
          <w:sz w:val="19"/>
          <w:szCs w:val="19"/>
          <w:color w:val="auto"/>
        </w:rPr>
      </w:pPr>
      <w:r>
        <w:rPr>
          <w:rFonts w:ascii="Arial" w:cs="Arial" w:eastAsia="Arial" w:hAnsi="Arial"/>
          <w:sz w:val="19"/>
          <w:szCs w:val="19"/>
          <w:color w:val="auto"/>
        </w:rPr>
        <w:t>All of the subsidiaries (as defined in Rule 405) of the Company have been duly incorporated or formed and are validly existing as corporations, limited liability companies, limited partnerships or other forms of entities, as the case may be, in good standing under the laws of their respective jurisdictions of incorporation or formation (to the extent applicable), have the requisite power and authority to own their respective properties and conduct their respective businesses, are duly qualified to do business and are in good standing as foreign corporations, limited liability companies, limited partnerships or other forms of entities in each jurisdiction in which their respective ownership or lease of property or the conduct of their respective businesses requires such qualification, except to the extent that the failure to be so qualified or be in good standing would not have a Material Adverse Effect.</w:t>
      </w:r>
    </w:p>
    <w:p>
      <w:pPr>
        <w:spacing w:after="0" w:line="197" w:lineRule="exact"/>
        <w:rPr>
          <w:rFonts w:ascii="Arial" w:cs="Arial" w:eastAsia="Arial" w:hAnsi="Arial"/>
          <w:sz w:val="19"/>
          <w:szCs w:val="19"/>
          <w:color w:val="auto"/>
        </w:rPr>
      </w:pPr>
    </w:p>
    <w:p>
      <w:pPr>
        <w:jc w:val="both"/>
        <w:ind w:left="660" w:firstLine="645"/>
        <w:spacing w:after="0" w:line="288" w:lineRule="auto"/>
        <w:tabs>
          <w:tab w:leader="none" w:pos="2209"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Company’s authorized equity capitalization is as set forth in the Disclosure Package and the Final Prospectus; the capital stock of the Company conforms to the description thereof contained in the Disclosure Package and the Final Prospectus; the outstanding Ordinary Shares have been duly and validly authorized and issued and are fully paid and nonassessable; the Securities have been duly and validly authorized, and, when issued and delivered to and paid for by the Underwriters pursuant to this Agreement, will be fully paid and nonassessable and conform to the description thereof contained in the Disclosure Package and the Final Prospectus; any certificates for the Securities are in valid and sufficient form; the holders of outstanding shares of capital stock of the Company are not entitled to preemptive or other rights to subscribe for the Securities; and, except as set forth in the Disclosure Package and the Final Prospectus, no options, warrants or other rights to purchase, agreements or other obligations to issue, or rights to convert any obligations into or exchange any securities for, shares of capital stock of or ownership interests in the Company are outstanding;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1420"/>
          </w:cols>
          <w:pgMar w:left="240" w:top="847" w:right="239" w:bottom="1440" w:gutter="0" w:footer="0" w:header="0"/>
        </w:sectPr>
      </w:pPr>
    </w:p>
    <w:bookmarkStart w:id="10" w:name="page11"/>
    <w:bookmarkEnd w:id="10"/>
    <w:p>
      <w:pPr>
        <w:jc w:val="both"/>
        <w:ind w:left="660" w:firstLine="645"/>
        <w:spacing w:after="0" w:line="248" w:lineRule="auto"/>
        <w:tabs>
          <w:tab w:leader="none" w:pos="2209" w:val="left"/>
        </w:tabs>
        <w:numPr>
          <w:ilvl w:val="0"/>
          <w:numId w:val="7"/>
        </w:numPr>
        <w:rPr>
          <w:rFonts w:ascii="Arial" w:cs="Arial" w:eastAsia="Arial" w:hAnsi="Arial"/>
          <w:sz w:val="22"/>
          <w:szCs w:val="22"/>
          <w:color w:val="auto"/>
        </w:rPr>
      </w:pPr>
      <w:r>
        <w:rPr>
          <w:rFonts w:ascii="Arial" w:cs="Arial" w:eastAsia="Arial" w:hAnsi="Arial"/>
          <w:sz w:val="22"/>
          <w:szCs w:val="22"/>
          <w:color w:val="auto"/>
        </w:rPr>
        <w:t>All the outstanding shares of capital stock of each subsidiary have been duly and validly authorized and issued and are fully paid and nonassessable, and, except as otherwise set forth in the Disclosure Package and the Prospectus, all outstanding shares of capital stock of the subsidiaries are owned by the Company either directly or through wholly owned subsidiaries free and clear of any perfected security interest or any other security interests, claims, liens or encumbrances.</w:t>
      </w:r>
    </w:p>
    <w:p>
      <w:pPr>
        <w:spacing w:after="0" w:line="232" w:lineRule="exact"/>
        <w:rPr>
          <w:rFonts w:ascii="Arial" w:cs="Arial" w:eastAsia="Arial" w:hAnsi="Arial"/>
          <w:sz w:val="22"/>
          <w:szCs w:val="22"/>
          <w:color w:val="auto"/>
        </w:rPr>
      </w:pPr>
    </w:p>
    <w:p>
      <w:pPr>
        <w:ind w:left="2200" w:hanging="895"/>
        <w:spacing w:after="0"/>
        <w:tabs>
          <w:tab w:leader="none" w:pos="220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This Agreement has been duly authorized, executed and delivered by the Company.</w:t>
      </w:r>
    </w:p>
    <w:p>
      <w:pPr>
        <w:spacing w:after="0" w:line="260" w:lineRule="exact"/>
        <w:rPr>
          <w:rFonts w:ascii="Arial" w:cs="Arial" w:eastAsia="Arial" w:hAnsi="Arial"/>
          <w:sz w:val="22"/>
          <w:szCs w:val="22"/>
          <w:color w:val="auto"/>
        </w:rPr>
      </w:pPr>
    </w:p>
    <w:p>
      <w:pPr>
        <w:jc w:val="both"/>
        <w:ind w:left="660" w:firstLine="645"/>
        <w:spacing w:after="0" w:line="284" w:lineRule="auto"/>
        <w:tabs>
          <w:tab w:leader="none" w:pos="2172" w:val="left"/>
        </w:tabs>
        <w:numPr>
          <w:ilvl w:val="0"/>
          <w:numId w:val="7"/>
        </w:numPr>
        <w:rPr>
          <w:rFonts w:ascii="Arial" w:cs="Arial" w:eastAsia="Arial" w:hAnsi="Arial"/>
          <w:sz w:val="19"/>
          <w:szCs w:val="19"/>
          <w:color w:val="auto"/>
        </w:rPr>
      </w:pPr>
      <w:r>
        <w:rPr>
          <w:rFonts w:ascii="Arial" w:cs="Arial" w:eastAsia="Arial" w:hAnsi="Arial"/>
          <w:sz w:val="19"/>
          <w:szCs w:val="19"/>
          <w:color w:val="auto"/>
        </w:rPr>
        <w:t>Neither the Company nor any of its subsidiaries is (i) in violation of its charter, constitution, memorandum and articles of association or bye-laws or similar governing document, as applicable, (ii) in default, and no event has occurred which, with notice or lapse of time or both, would constitute such a default, in the due performance or observance of any term, obligation, agreement, covenant or condition contained in any contract, indenture, mortgage, deed of trust, loan or credit agreement, lease or other agreement or instrument to which it is a party or by which it is bound or which any of its properties or assets may be subject (collectively, “Agreements and Instruments”) or (iii) in violation of any law, ordinance, governmental rule, regulation or court decree to which it or its property or assets may be subject, except with respect to (ii) or (iii), for any such violations or defaults that would not be reasonably likely, singly or in the aggregate, to have a Material Adverse Effect; and the execution, delivery and performance of this Agreement and the consummation of the transactions contemplated herein and in the Registration Statement (including the issuance and sale of the Securities and the use of the proceeds from the sale of the Securities as described in the Disclosure Package and the Final Prospectus under the caption “Use of Proceeds”) and compliance by the Company with its obligations hereunder, and the fulfillment of the terms hereof, have been duly authorized by all necessary corporate action and do not and will not, whether with or without the giving of notice or passage of time or both, (i) conflict with or result in a breach or violation of any of the terms or provisions of, or constitute a default or Repayment Event (as defined below) under, or result in the creation or imposition of any lien, charge or encumbrance upon any property or assets of the Company or any of its subsidiaries pursuant to, the Agreements and Instruments, (ii) result in any violation of the provisions of the charter, constitution, memorandum and articles of association, organizational regulations or bye-laws (or similar governing document) of the Company or any of its subsidiaries or (iii) result in any violation of any applicable law, statute, rule, regulation, judgment, order, writ or decree of any government, government instrumentality or court, domestic or foreign, having jurisdiction over the Company or any of its subsidiaries or any of their assets, properties or operations; except for such conflict, breach, violation or default which would, for purposes of clauses (i) and (iii) above, either individually or in the aggregate, not have a Material Adverse Effect or materially and adversely affect the consummation of the transactions contemplated in this Agreement or the performance by the Company of its obligations hereunder.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200" w:lineRule="exact"/>
        <w:rPr>
          <w:rFonts w:ascii="Arial" w:cs="Arial" w:eastAsia="Arial" w:hAnsi="Arial"/>
          <w:sz w:val="19"/>
          <w:szCs w:val="19"/>
          <w:color w:val="auto"/>
        </w:rPr>
      </w:pPr>
    </w:p>
    <w:p>
      <w:pPr>
        <w:spacing w:after="0" w:line="262" w:lineRule="exact"/>
        <w:rPr>
          <w:rFonts w:ascii="Arial" w:cs="Arial" w:eastAsia="Arial" w:hAnsi="Arial"/>
          <w:sz w:val="19"/>
          <w:szCs w:val="19"/>
          <w:color w:val="auto"/>
        </w:rPr>
      </w:pPr>
    </w:p>
    <w:p>
      <w:pPr>
        <w:ind w:left="660" w:firstLine="645"/>
        <w:spacing w:after="0" w:line="263" w:lineRule="auto"/>
        <w:tabs>
          <w:tab w:leader="none" w:pos="2184" w:val="left"/>
        </w:tabs>
        <w:numPr>
          <w:ilvl w:val="0"/>
          <w:numId w:val="7"/>
        </w:numPr>
        <w:rPr>
          <w:rFonts w:ascii="Arial" w:cs="Arial" w:eastAsia="Arial" w:hAnsi="Arial"/>
          <w:sz w:val="22"/>
          <w:szCs w:val="22"/>
          <w:color w:val="auto"/>
        </w:rPr>
      </w:pPr>
      <w:r>
        <w:rPr>
          <w:rFonts w:ascii="Arial" w:cs="Arial" w:eastAsia="Arial" w:hAnsi="Arial"/>
          <w:sz w:val="22"/>
          <w:szCs w:val="22"/>
          <w:color w:val="auto"/>
        </w:rPr>
        <w:t>No labor dispute with the employees of the Company or any of its subsidiaries exists or, to the knowledge of the Company, is imminent, which would reasonably be expected to have a</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1420"/>
          </w:cols>
          <w:pgMar w:left="240" w:top="1104" w:right="239" w:bottom="1440" w:gutter="0" w:footer="0" w:header="0"/>
        </w:sectPr>
      </w:pPr>
    </w:p>
    <w:bookmarkStart w:id="11" w:name="page12"/>
    <w:bookmarkEnd w:id="11"/>
    <w:p>
      <w:pPr>
        <w:ind w:left="660"/>
        <w:spacing w:after="0" w:line="263" w:lineRule="auto"/>
        <w:rPr>
          <w:sz w:val="20"/>
          <w:szCs w:val="20"/>
          <w:color w:val="auto"/>
        </w:rPr>
      </w:pPr>
      <w:r>
        <w:rPr>
          <w:rFonts w:ascii="Arial" w:cs="Arial" w:eastAsia="Arial" w:hAnsi="Arial"/>
          <w:sz w:val="22"/>
          <w:szCs w:val="22"/>
          <w:color w:val="auto"/>
        </w:rPr>
        <w:t>Material Adverse Effect; and there are no significant unfair labor practice complaints pending against the Company or any of its subsidiaries or, to the knowledge of the Company, threatened against any of them.</w:t>
      </w:r>
    </w:p>
    <w:p>
      <w:pPr>
        <w:spacing w:after="0" w:line="215" w:lineRule="exact"/>
        <w:rPr>
          <w:sz w:val="20"/>
          <w:szCs w:val="20"/>
          <w:color w:val="auto"/>
        </w:rPr>
      </w:pPr>
    </w:p>
    <w:p>
      <w:pPr>
        <w:jc w:val="both"/>
        <w:ind w:left="660" w:firstLine="645"/>
        <w:spacing w:after="0" w:line="287" w:lineRule="auto"/>
        <w:tabs>
          <w:tab w:leader="none" w:pos="2160" w:val="left"/>
        </w:tabs>
        <w:numPr>
          <w:ilvl w:val="0"/>
          <w:numId w:val="8"/>
        </w:numPr>
        <w:rPr>
          <w:rFonts w:ascii="Arial" w:cs="Arial" w:eastAsia="Arial" w:hAnsi="Arial"/>
          <w:sz w:val="19"/>
          <w:szCs w:val="19"/>
          <w:color w:val="auto"/>
        </w:rPr>
      </w:pPr>
      <w:r>
        <w:rPr>
          <w:rFonts w:ascii="Arial" w:cs="Arial" w:eastAsia="Arial" w:hAnsi="Arial"/>
          <w:sz w:val="19"/>
          <w:szCs w:val="19"/>
          <w:color w:val="auto"/>
        </w:rPr>
        <w:t>With respect to the ordinary share options (the “Ordinary Share Options”) granted pursuant to the ordinary share-based compensation plans of the Company and its subsidiaries (the “Company Ordinary Share Plans”), (i) each grant of an Ordinary Share Option was duly authorized no later than the date on which the grant of such Ordinary Share Option was by its terms to be effective by all necessary corporate action, including, as applicable, approval by the board of directors of the Company (or a duly constituted and authorized committee thereof) and any required shareholder approval by the necessary number of votes or written consents, and the award agreement governing such grant (if any) was duly executed and delivered by each party thereto, and (ii) each such grant was made in accordance with the terms of the Company Ordinary Share Plans, the Act, the Exchange Act and all other applicable laws and regulatory rules or requirements. The Company has not knowingly granted, and there is no and has been no policy or practice of the Company of granting, Ordinary Share Options prior to, or otherwise coordinating the grant of Ordinary Share Options with, the release or other public announcement of material information regarding the Company or its subsidiaries or their results of operations or prospects.</w:t>
      </w:r>
    </w:p>
    <w:p>
      <w:pPr>
        <w:spacing w:after="0" w:line="200" w:lineRule="exact"/>
        <w:rPr>
          <w:rFonts w:ascii="Arial" w:cs="Arial" w:eastAsia="Arial" w:hAnsi="Arial"/>
          <w:sz w:val="19"/>
          <w:szCs w:val="19"/>
          <w:color w:val="auto"/>
        </w:rPr>
      </w:pPr>
    </w:p>
    <w:p>
      <w:pPr>
        <w:spacing w:after="0" w:line="261" w:lineRule="exact"/>
        <w:rPr>
          <w:rFonts w:ascii="Arial" w:cs="Arial" w:eastAsia="Arial" w:hAnsi="Arial"/>
          <w:sz w:val="19"/>
          <w:szCs w:val="19"/>
          <w:color w:val="auto"/>
        </w:rPr>
      </w:pPr>
    </w:p>
    <w:p>
      <w:pPr>
        <w:jc w:val="both"/>
        <w:ind w:left="660" w:firstLine="645"/>
        <w:spacing w:after="0" w:line="288" w:lineRule="auto"/>
        <w:tabs>
          <w:tab w:leader="none" w:pos="2209" w:val="left"/>
        </w:tabs>
        <w:numPr>
          <w:ilvl w:val="0"/>
          <w:numId w:val="8"/>
        </w:numPr>
        <w:rPr>
          <w:rFonts w:ascii="Arial" w:cs="Arial" w:eastAsia="Arial" w:hAnsi="Arial"/>
          <w:sz w:val="19"/>
          <w:szCs w:val="19"/>
          <w:color w:val="auto"/>
        </w:rPr>
      </w:pPr>
      <w:r>
        <w:rPr>
          <w:rFonts w:ascii="Arial" w:cs="Arial" w:eastAsia="Arial" w:hAnsi="Arial"/>
          <w:sz w:val="19"/>
          <w:szCs w:val="19"/>
          <w:color w:val="auto"/>
        </w:rPr>
        <w:t>Except as described in the Registration Statement, the Final Prospectus and the Disclosure Package, there is no action, suit, proceeding, inquiry or investigation before or brought by any court or governmental agency or body, domestic or foreign, now pending, or, to the knowledge of the Company, threatened, against or affecting the Company or any of its subsidiaries, which is required to be disclosed in the Registration Statement or the Prospectus, or which would reasonably be expected to result in a Material Adverse Effect, or which would reasonably be expected to materially and adversely affect the consummation of the transactions contemplated in this Agreement or the performance by the Company of its obligations hereunder; the aggregate of all pending legal or governmental proceedings to which the Company or any of its subsidiaries is a party or of which any of their respective property or assets is the subject which are not described in the Registration Statement, the Final Prospectus or the Disclosure Package, including ordinary routine litigation incidental to the business, would not reasonably be expected to result in a Material Adverse Effect.</w:t>
      </w:r>
    </w:p>
    <w:p>
      <w:pPr>
        <w:spacing w:after="0" w:line="200" w:lineRule="exact"/>
        <w:rPr>
          <w:rFonts w:ascii="Arial" w:cs="Arial" w:eastAsia="Arial" w:hAnsi="Arial"/>
          <w:sz w:val="19"/>
          <w:szCs w:val="19"/>
          <w:color w:val="auto"/>
        </w:rPr>
      </w:pPr>
    </w:p>
    <w:p>
      <w:pPr>
        <w:jc w:val="both"/>
        <w:ind w:left="660" w:firstLine="645"/>
        <w:spacing w:after="0" w:line="253" w:lineRule="auto"/>
        <w:tabs>
          <w:tab w:leader="none" w:pos="2209"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There are no contracts or documents which are required to be described in the Registration Statement, the Final Prospectus or the documents incorporated by reference therein or to be filed as exhibits thereto which have not been so described and filed as required.</w:t>
      </w:r>
    </w:p>
    <w:p>
      <w:pPr>
        <w:spacing w:after="0" w:line="226" w:lineRule="exact"/>
        <w:rPr>
          <w:rFonts w:ascii="Arial" w:cs="Arial" w:eastAsia="Arial" w:hAnsi="Arial"/>
          <w:sz w:val="22"/>
          <w:szCs w:val="22"/>
          <w:color w:val="auto"/>
        </w:rPr>
      </w:pPr>
    </w:p>
    <w:p>
      <w:pPr>
        <w:jc w:val="both"/>
        <w:ind w:left="660" w:firstLine="645"/>
        <w:spacing w:after="0" w:line="297" w:lineRule="auto"/>
        <w:tabs>
          <w:tab w:leader="none" w:pos="2256"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Company and its subsidiaries own or possess adequate rights to use all material patents, patent applications, trademarks, service marks, trade names, trademark registrations, service mark registrations, copyrights and licenses necessary for the conduct of their respective businesses and have no reason to believe that the conduct of their respective businesses will conflict with, and have not received any notice of any claim of conflict with, any such rights of others, except where such conflict could not reasonably be expected to have a Material Adverse Effect.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1420"/>
          </w:cols>
          <w:pgMar w:left="240" w:top="847" w:right="239" w:bottom="1440" w:gutter="0" w:footer="0" w:header="0"/>
        </w:sectPr>
      </w:pPr>
    </w:p>
    <w:bookmarkStart w:id="12" w:name="page13"/>
    <w:bookmarkEnd w:id="12"/>
    <w:p>
      <w:pPr>
        <w:jc w:val="both"/>
        <w:ind w:left="660" w:firstLine="645"/>
        <w:spacing w:after="0" w:line="312" w:lineRule="auto"/>
        <w:tabs>
          <w:tab w:leader="none" w:pos="2209" w:val="left"/>
        </w:tabs>
        <w:numPr>
          <w:ilvl w:val="1"/>
          <w:numId w:val="9"/>
        </w:numPr>
        <w:rPr>
          <w:rFonts w:ascii="Arial" w:cs="Arial" w:eastAsia="Arial" w:hAnsi="Arial"/>
          <w:sz w:val="19"/>
          <w:szCs w:val="19"/>
          <w:color w:val="auto"/>
        </w:rPr>
      </w:pPr>
      <w:r>
        <w:rPr>
          <w:rFonts w:ascii="Arial" w:cs="Arial" w:eastAsia="Arial" w:hAnsi="Arial"/>
          <w:sz w:val="19"/>
          <w:szCs w:val="19"/>
          <w:color w:val="auto"/>
        </w:rPr>
        <w:t>None of the Company or any of its affiliates has taken, nor will the Company or any of its affiliates take, directly or indirectly, any action which is designed to or which has constituted or which would be expected to cause or result in stabilization or manipulation of the price of any security of the Company to facilitate the sale or resale of the Securities.</w:t>
      </w:r>
    </w:p>
    <w:p>
      <w:pPr>
        <w:spacing w:after="0" w:line="174" w:lineRule="exact"/>
        <w:rPr>
          <w:rFonts w:ascii="Arial" w:cs="Arial" w:eastAsia="Arial" w:hAnsi="Arial"/>
          <w:sz w:val="19"/>
          <w:szCs w:val="19"/>
          <w:color w:val="auto"/>
        </w:rPr>
      </w:pPr>
    </w:p>
    <w:p>
      <w:pPr>
        <w:jc w:val="both"/>
        <w:ind w:left="660" w:firstLine="645"/>
        <w:spacing w:after="0" w:line="286" w:lineRule="auto"/>
        <w:tabs>
          <w:tab w:leader="none" w:pos="2209" w:val="left"/>
        </w:tabs>
        <w:numPr>
          <w:ilvl w:val="1"/>
          <w:numId w:val="9"/>
        </w:numPr>
        <w:rPr>
          <w:rFonts w:ascii="Arial" w:cs="Arial" w:eastAsia="Arial" w:hAnsi="Arial"/>
          <w:sz w:val="19"/>
          <w:szCs w:val="19"/>
          <w:color w:val="auto"/>
        </w:rPr>
      </w:pPr>
      <w:r>
        <w:rPr>
          <w:rFonts w:ascii="Arial" w:cs="Arial" w:eastAsia="Arial" w:hAnsi="Arial"/>
          <w:sz w:val="19"/>
          <w:szCs w:val="19"/>
          <w:color w:val="auto"/>
        </w:rPr>
        <w:t>No filing with, or authorization, approval, consent, license, order, registration, qualification or decree of, any court or governmental authority or agency is necessary or required for the performance by the Company of its obligations hereunder, in connection with the offering, issuance or sale of the Securities hereunder or the consummation of the transactions contemplated by this Agreement, except (A) as may be required under the Act or state or securities laws;</w:t>
      </w:r>
    </w:p>
    <w:p>
      <w:pPr>
        <w:spacing w:after="0" w:line="2" w:lineRule="exact"/>
        <w:rPr>
          <w:rFonts w:ascii="Arial" w:cs="Arial" w:eastAsia="Arial" w:hAnsi="Arial"/>
          <w:sz w:val="19"/>
          <w:szCs w:val="19"/>
          <w:color w:val="auto"/>
        </w:rPr>
      </w:pPr>
    </w:p>
    <w:p>
      <w:pPr>
        <w:jc w:val="both"/>
        <w:ind w:left="660" w:hanging="4"/>
        <w:spacing w:after="0" w:line="245" w:lineRule="auto"/>
        <w:tabs>
          <w:tab w:leader="none" w:pos="1013"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listing of the Securities on the New York Stock Exchange or (C) as have already been made, obtained or rendered, as applicable, and except where the failure to so make, obtain or render, singly or in the aggregate, would not reasonably be expected to result in a Material Adverse Effect.</w:t>
      </w:r>
    </w:p>
    <w:p>
      <w:pPr>
        <w:spacing w:after="0" w:line="233" w:lineRule="exact"/>
        <w:rPr>
          <w:rFonts w:ascii="Arial" w:cs="Arial" w:eastAsia="Arial" w:hAnsi="Arial"/>
          <w:sz w:val="22"/>
          <w:szCs w:val="22"/>
          <w:color w:val="auto"/>
        </w:rPr>
      </w:pPr>
    </w:p>
    <w:p>
      <w:pPr>
        <w:jc w:val="both"/>
        <w:ind w:left="660" w:firstLine="645"/>
        <w:spacing w:after="0" w:line="288" w:lineRule="auto"/>
        <w:tabs>
          <w:tab w:leader="none" w:pos="2196" w:val="left"/>
        </w:tabs>
        <w:numPr>
          <w:ilvl w:val="1"/>
          <w:numId w:val="10"/>
        </w:numPr>
        <w:rPr>
          <w:rFonts w:ascii="Arial" w:cs="Arial" w:eastAsia="Arial" w:hAnsi="Arial"/>
          <w:sz w:val="19"/>
          <w:szCs w:val="19"/>
          <w:color w:val="auto"/>
        </w:rPr>
      </w:pPr>
      <w:r>
        <w:rPr>
          <w:rFonts w:ascii="Arial" w:cs="Arial" w:eastAsia="Arial" w:hAnsi="Arial"/>
          <w:sz w:val="19"/>
          <w:szCs w:val="19"/>
          <w:color w:val="auto"/>
        </w:rPr>
        <w:t>The Company and its subsidiaries possess such permits, licenses, approvals, consents and other authorizations (collectively, “Governmental Licenses”) issued by the appropriate federal, state, local or foreign regulatory agencies or bodies necessary to conduct the business now operated by them, except where the failure so to possess would not, singly or in the aggregate, reasonably be expected to result in a Material Adverse Effect; the Company and its subsidiaries are in compliance with the terms and conditions of all such Governmental Licenses, except where the failure so to comply would not, singly or in the aggregate, reasonably be expected to result in a Material Adverse Effect; all of the Governmental Licenses are valid and in full force and effect, except when the invalidity of such Governmental Licenses or the failure of such Governmental Licenses to be in full force and effect would not, singly or in the aggregate, reasonably be expected to result in a Material Adverse Effect; and neither the Company nor any of its subsidiaries has received any notice of proceedings relating to the revocation or modification of any such Governmental Licenses which, singly or in the aggregate, if the subject of an unfavorable decision, ruling or finding, would result in a Material Adverse Effect.</w:t>
      </w:r>
    </w:p>
    <w:p>
      <w:pPr>
        <w:spacing w:after="0" w:line="195" w:lineRule="exact"/>
        <w:rPr>
          <w:sz w:val="20"/>
          <w:szCs w:val="20"/>
          <w:color w:val="auto"/>
        </w:rPr>
      </w:pPr>
    </w:p>
    <w:p>
      <w:pPr>
        <w:jc w:val="both"/>
        <w:ind w:left="660" w:firstLine="645"/>
        <w:spacing w:after="0" w:line="288" w:lineRule="auto"/>
        <w:tabs>
          <w:tab w:leader="none" w:pos="2292"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Company and its subsidiaries have good and indefeasible title in fee simple to all real property owned by the Company or its subsidiaries, as applicable, and good and valid title to all other properties owned by them, in each case, free and clear of all mortgages, pledges, liens, security interests, claims, restrictions or encumbrances of any kind except such as (a) are described in the Disclosure Package and the Final Prospectus or (b) would not, singly or in the aggregate, reasonably be expected to result in a Material Adverse Effect; and all of the leases and subleases material to the business of the Company and its subsidiaries, considered as one enterprise, and under which the Company or any of its subsidiaries holds properties described in the Disclosure Package and the Prospectus, are in full force and effect, and neither the Company nor any of its subsidiaries has any notice of any material claim of any sort that has been asserted by anyone adverse to the rights of the Company or any of its subsidiaries under any of the leases or subleases mentioned above, or affecting or questioning the rights of the Company or any such subsidiary to the continued possession of the leased or subleased premises under any such lease or sublease except such as (a) are described in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1420"/>
          </w:cols>
          <w:pgMar w:left="240" w:top="1104" w:right="239" w:bottom="1440" w:gutter="0" w:footer="0" w:header="0"/>
        </w:sectPr>
      </w:pPr>
    </w:p>
    <w:bookmarkStart w:id="13" w:name="page14"/>
    <w:bookmarkEnd w:id="13"/>
    <w:p>
      <w:pPr>
        <w:ind w:left="660"/>
        <w:spacing w:after="0" w:line="263" w:lineRule="auto"/>
        <w:rPr>
          <w:sz w:val="20"/>
          <w:szCs w:val="20"/>
          <w:color w:val="auto"/>
        </w:rPr>
      </w:pPr>
      <w:r>
        <w:rPr>
          <w:rFonts w:ascii="Arial" w:cs="Arial" w:eastAsia="Arial" w:hAnsi="Arial"/>
          <w:sz w:val="22"/>
          <w:szCs w:val="22"/>
          <w:color w:val="auto"/>
        </w:rPr>
        <w:t>Disclosure Package and the Final Prospectus or (b) would not, singly or in the aggregate, reasonably be expected to result in a Material Adverse Effect.</w:t>
      </w:r>
    </w:p>
    <w:p>
      <w:pPr>
        <w:spacing w:after="0" w:line="215" w:lineRule="exact"/>
        <w:rPr>
          <w:sz w:val="20"/>
          <w:szCs w:val="20"/>
          <w:color w:val="auto"/>
        </w:rPr>
      </w:pPr>
    </w:p>
    <w:p>
      <w:pPr>
        <w:jc w:val="both"/>
        <w:ind w:left="660" w:firstLine="645"/>
        <w:spacing w:after="0" w:line="265" w:lineRule="auto"/>
        <w:tabs>
          <w:tab w:leader="none" w:pos="2317" w:val="left"/>
        </w:tabs>
        <w:numPr>
          <w:ilvl w:val="0"/>
          <w:numId w:val="12"/>
        </w:numPr>
        <w:rPr>
          <w:rFonts w:ascii="Arial" w:cs="Arial" w:eastAsia="Arial" w:hAnsi="Arial"/>
          <w:sz w:val="21"/>
          <w:szCs w:val="21"/>
          <w:color w:val="auto"/>
        </w:rPr>
      </w:pPr>
      <w:r>
        <w:rPr>
          <w:rFonts w:ascii="Arial" w:cs="Arial" w:eastAsia="Arial" w:hAnsi="Arial"/>
          <w:sz w:val="21"/>
          <w:szCs w:val="21"/>
          <w:color w:val="auto"/>
        </w:rPr>
        <w:t>Except as described in the Registration Statement, the Final Prospectus and the Disclosure Package, there are no stock or transfer taxes, stamp duties or other similar fees or charges under Federal law or the laws of Ireland or Switzerland or any political subdivision thereof, required to be paid in connection with the execution and delivery of this Agreement or the issuance, sale or delivery by the Company of the Securities.</w:t>
      </w:r>
    </w:p>
    <w:p>
      <w:pPr>
        <w:spacing w:after="0" w:line="216" w:lineRule="exact"/>
        <w:rPr>
          <w:rFonts w:ascii="Arial" w:cs="Arial" w:eastAsia="Arial" w:hAnsi="Arial"/>
          <w:sz w:val="21"/>
          <w:szCs w:val="21"/>
          <w:color w:val="auto"/>
        </w:rPr>
      </w:pPr>
    </w:p>
    <w:p>
      <w:pPr>
        <w:jc w:val="both"/>
        <w:ind w:left="660" w:firstLine="645"/>
        <w:spacing w:after="0" w:line="265" w:lineRule="auto"/>
        <w:tabs>
          <w:tab w:leader="none" w:pos="2292" w:val="left"/>
        </w:tabs>
        <w:numPr>
          <w:ilvl w:val="0"/>
          <w:numId w:val="12"/>
        </w:numPr>
        <w:rPr>
          <w:rFonts w:ascii="Arial" w:cs="Arial" w:eastAsia="Arial" w:hAnsi="Arial"/>
          <w:sz w:val="21"/>
          <w:szCs w:val="21"/>
          <w:color w:val="auto"/>
        </w:rPr>
      </w:pPr>
      <w:r>
        <w:rPr>
          <w:rFonts w:ascii="Arial" w:cs="Arial" w:eastAsia="Arial" w:hAnsi="Arial"/>
          <w:sz w:val="21"/>
          <w:szCs w:val="21"/>
          <w:color w:val="auto"/>
        </w:rPr>
        <w:t>Neither the Company nor any of its subsidiaries is, and upon the issuance and sale of the Securities as herein contemplated and the application of the net proceeds therefrom as described in the Disclosure Package and the Final Prospectus, will be, an “investment company” or an entity “controlled” by an “investment company,” as such terms are defined in the U.S. Investment Company Act of 1940, as amended (the “1940 Act”).</w:t>
      </w:r>
    </w:p>
    <w:p>
      <w:pPr>
        <w:spacing w:after="0" w:line="216" w:lineRule="exact"/>
        <w:rPr>
          <w:rFonts w:ascii="Arial" w:cs="Arial" w:eastAsia="Arial" w:hAnsi="Arial"/>
          <w:sz w:val="21"/>
          <w:szCs w:val="21"/>
          <w:color w:val="auto"/>
        </w:rPr>
      </w:pPr>
    </w:p>
    <w:p>
      <w:pPr>
        <w:jc w:val="both"/>
        <w:ind w:left="660" w:firstLine="645"/>
        <w:spacing w:after="0" w:line="285" w:lineRule="auto"/>
        <w:tabs>
          <w:tab w:leader="none" w:pos="2317" w:val="left"/>
        </w:tabs>
        <w:numPr>
          <w:ilvl w:val="0"/>
          <w:numId w:val="12"/>
        </w:numPr>
        <w:rPr>
          <w:rFonts w:ascii="Arial" w:cs="Arial" w:eastAsia="Arial" w:hAnsi="Arial"/>
          <w:sz w:val="19"/>
          <w:szCs w:val="19"/>
          <w:color w:val="auto"/>
        </w:rPr>
      </w:pPr>
      <w:r>
        <w:rPr>
          <w:rFonts w:ascii="Arial" w:cs="Arial" w:eastAsia="Arial" w:hAnsi="Arial"/>
          <w:sz w:val="19"/>
          <w:szCs w:val="19"/>
          <w:color w:val="auto"/>
        </w:rPr>
        <w:t>Except as described in the Registration Statement, the Final Prospectus and the Disclosure Package and except as would not, singly or in the aggregate, result in a Material Adverse Effect, (A)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“Hazardous Materials”) or to the manufacture, processing, distribution, use, treatment, storage, disposal, transport or handling of Hazardous Materials (collectively, “Environmental Laws”), (B) the Company and its subsidiaries have all permits, authorizations and approvals required under any applicable Environmental Laws and are each in compliance with their requirements, (C) there are no pending or, to the knowledge of the Company, threatened administrative, regulatory or judicial actions, suits, demands, demand letters, claims, liens, notices of noncompliance or violation, investigation or proceedings relating to any Environmental Law against the Company or any of its subsidiaries and (D) there are no events or circumstances that would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208" w:lineRule="exact"/>
        <w:rPr>
          <w:rFonts w:ascii="Arial" w:cs="Arial" w:eastAsia="Arial" w:hAnsi="Arial"/>
          <w:sz w:val="19"/>
          <w:szCs w:val="19"/>
          <w:color w:val="auto"/>
        </w:rPr>
      </w:pPr>
    </w:p>
    <w:p>
      <w:pPr>
        <w:jc w:val="both"/>
        <w:ind w:left="660" w:firstLine="645"/>
        <w:spacing w:after="0" w:line="248" w:lineRule="auto"/>
        <w:tabs>
          <w:tab w:leader="none" w:pos="2292" w:val="left"/>
        </w:tabs>
        <w:numPr>
          <w:ilvl w:val="0"/>
          <w:numId w:val="12"/>
        </w:numPr>
        <w:rPr>
          <w:rFonts w:ascii="Arial" w:cs="Arial" w:eastAsia="Arial" w:hAnsi="Arial"/>
          <w:sz w:val="22"/>
          <w:szCs w:val="22"/>
          <w:color w:val="auto"/>
        </w:rPr>
      </w:pPr>
      <w:r>
        <w:rPr>
          <w:rFonts w:ascii="Arial" w:cs="Arial" w:eastAsia="Arial" w:hAnsi="Arial"/>
          <w:sz w:val="22"/>
          <w:szCs w:val="22"/>
          <w:color w:val="auto"/>
        </w:rPr>
        <w:t>All material tax returns required to be filed by the Company have been timely filed or are in the process of being filed, and all taxes and other assessments of a similar nature (whether imposed directly or through withholding) including any interest, additions to tax or penalties applicable thereto due or claimed to be due from the Company have been timely paid, other than such tax returns, taxes or other assessments (i) being contested in good faith or (ii) for which adequate reserves have been provided.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1420"/>
          </w:cols>
          <w:pgMar w:left="240" w:top="847" w:right="239" w:bottom="1440" w:gutter="0" w:footer="0" w:header="0"/>
        </w:sectPr>
      </w:pPr>
    </w:p>
    <w:bookmarkStart w:id="14" w:name="page15"/>
    <w:bookmarkEnd w:id="14"/>
    <w:p>
      <w:pPr>
        <w:jc w:val="both"/>
        <w:ind w:left="660" w:firstLine="645"/>
        <w:spacing w:after="0" w:line="259" w:lineRule="auto"/>
        <w:tabs>
          <w:tab w:leader="none" w:pos="2240" w:val="left"/>
        </w:tabs>
        <w:numPr>
          <w:ilvl w:val="0"/>
          <w:numId w:val="13"/>
        </w:numPr>
        <w:rPr>
          <w:rFonts w:ascii="Arial" w:cs="Arial" w:eastAsia="Arial" w:hAnsi="Arial"/>
          <w:sz w:val="21"/>
          <w:szCs w:val="21"/>
          <w:color w:val="auto"/>
        </w:rPr>
      </w:pPr>
      <w:r>
        <w:rPr>
          <w:rFonts w:ascii="Arial" w:cs="Arial" w:eastAsia="Arial" w:hAnsi="Arial"/>
          <w:sz w:val="21"/>
          <w:szCs w:val="21"/>
          <w:color w:val="auto"/>
        </w:rPr>
        <w:t>Neither the Company nor any of its subsidiaries has sustained, since the date of the latest audited financial statements included in the Registration Statement, the Final Prospectus and the Disclosure Package,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the Final Prospectus or the Disclosure Package; and, since such date, there has not been any material change in the share capital or long-term debt of the Company or any of its subsidiaries, or any material adverse change or any development involving a prospective material adverse change in the condition, financial or otherwise, or in the earnings or business of the Company or its subsidiaries, otherwise than as set forth or contemplated in the Registration Statement, the Prospectus or the Disclosure Package.</w:t>
      </w:r>
    </w:p>
    <w:p>
      <w:pPr>
        <w:spacing w:after="0" w:line="220" w:lineRule="exact"/>
        <w:rPr>
          <w:rFonts w:ascii="Arial" w:cs="Arial" w:eastAsia="Arial" w:hAnsi="Arial"/>
          <w:sz w:val="21"/>
          <w:szCs w:val="21"/>
          <w:color w:val="auto"/>
        </w:rPr>
      </w:pPr>
    </w:p>
    <w:p>
      <w:pPr>
        <w:jc w:val="both"/>
        <w:ind w:left="660" w:firstLine="645"/>
        <w:spacing w:after="0" w:line="250" w:lineRule="auto"/>
        <w:tabs>
          <w:tab w:leader="none" w:pos="2317"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Company and its subsidiaries carry, or are covered by, insurance in such amounts and covering such risks as they reasonably deem sufficient for the conduct of their respective businesses and the value of their respective properties, and neither the Company nor any of its subsidiaries has received notice of cancellation or non-renewal of such insurance.</w:t>
      </w:r>
    </w:p>
    <w:p>
      <w:pPr>
        <w:spacing w:after="0" w:line="228" w:lineRule="exact"/>
        <w:rPr>
          <w:rFonts w:ascii="Arial" w:cs="Arial" w:eastAsia="Arial" w:hAnsi="Arial"/>
          <w:sz w:val="22"/>
          <w:szCs w:val="22"/>
          <w:color w:val="auto"/>
        </w:rPr>
      </w:pPr>
    </w:p>
    <w:p>
      <w:pPr>
        <w:jc w:val="both"/>
        <w:ind w:left="660" w:firstLine="645"/>
        <w:spacing w:after="0" w:line="294" w:lineRule="auto"/>
        <w:tabs>
          <w:tab w:leader="none" w:pos="2317" w:val="left"/>
        </w:tabs>
        <w:numPr>
          <w:ilvl w:val="0"/>
          <w:numId w:val="13"/>
        </w:numPr>
        <w:rPr>
          <w:rFonts w:ascii="Arial" w:cs="Arial" w:eastAsia="Arial" w:hAnsi="Arial"/>
          <w:sz w:val="19"/>
          <w:szCs w:val="19"/>
          <w:color w:val="auto"/>
        </w:rPr>
      </w:pPr>
      <w:r>
        <w:rPr>
          <w:rFonts w:ascii="Arial" w:cs="Arial" w:eastAsia="Arial" w:hAnsi="Arial"/>
          <w:sz w:val="19"/>
          <w:szCs w:val="19"/>
          <w:color w:val="auto"/>
        </w:rPr>
        <w:t>Each of the Company and its subsidiaries (i) makes and keeps books and records, which accurately reflect transactions and dispositions of its assets, and (ii) maintains internal accounting controls which provide reasonable assurance that (A) transactions are executed in accordance with management’s general and specific authorization, (B) transactions are recorded as necessary to permit preparation of its financial statements and to maintain accountability for its assets, (C) access to its assets is permitted only in accordance with management’s general and specific authorization and (D) the recorded accountability for its assets is compared with existing assets at reasonable intervals.</w:t>
      </w:r>
    </w:p>
    <w:p>
      <w:pPr>
        <w:spacing w:after="0" w:line="190" w:lineRule="exact"/>
        <w:rPr>
          <w:rFonts w:ascii="Arial" w:cs="Arial" w:eastAsia="Arial" w:hAnsi="Arial"/>
          <w:sz w:val="19"/>
          <w:szCs w:val="19"/>
          <w:color w:val="auto"/>
        </w:rPr>
      </w:pPr>
    </w:p>
    <w:p>
      <w:pPr>
        <w:ind w:left="660" w:firstLine="645"/>
        <w:spacing w:after="0" w:line="263" w:lineRule="auto"/>
        <w:tabs>
          <w:tab w:leader="none" w:pos="2221" w:val="left"/>
        </w:tabs>
        <w:numPr>
          <w:ilvl w:val="0"/>
          <w:numId w:val="13"/>
        </w:numPr>
        <w:rPr>
          <w:rFonts w:ascii="Arial" w:cs="Arial" w:eastAsia="Arial" w:hAnsi="Arial"/>
          <w:sz w:val="22"/>
          <w:szCs w:val="22"/>
          <w:color w:val="auto"/>
        </w:rPr>
      </w:pPr>
      <w:r>
        <w:rPr>
          <w:rFonts w:ascii="Arial" w:cs="Arial" w:eastAsia="Arial" w:hAnsi="Arial"/>
          <w:sz w:val="22"/>
          <w:szCs w:val="22"/>
          <w:color w:val="auto"/>
        </w:rPr>
        <w:t>No holders of securities of the Company have rights to the registration of such securities under the Registration Statement.</w:t>
      </w:r>
    </w:p>
    <w:p>
      <w:pPr>
        <w:spacing w:after="0" w:line="215" w:lineRule="exact"/>
        <w:rPr>
          <w:rFonts w:ascii="Arial" w:cs="Arial" w:eastAsia="Arial" w:hAnsi="Arial"/>
          <w:sz w:val="22"/>
          <w:szCs w:val="22"/>
          <w:color w:val="auto"/>
        </w:rPr>
      </w:pPr>
    </w:p>
    <w:p>
      <w:pPr>
        <w:jc w:val="both"/>
        <w:ind w:left="660" w:firstLine="645"/>
        <w:spacing w:after="0" w:line="289" w:lineRule="auto"/>
        <w:tabs>
          <w:tab w:leader="none" w:pos="2221" w:val="left"/>
        </w:tabs>
        <w:numPr>
          <w:ilvl w:val="0"/>
          <w:numId w:val="13"/>
        </w:numPr>
        <w:rPr>
          <w:rFonts w:ascii="Arial" w:cs="Arial" w:eastAsia="Arial" w:hAnsi="Arial"/>
          <w:sz w:val="19"/>
          <w:szCs w:val="19"/>
          <w:color w:val="auto"/>
        </w:rPr>
      </w:pPr>
      <w:r>
        <w:rPr>
          <w:rFonts w:ascii="Arial" w:cs="Arial" w:eastAsia="Arial" w:hAnsi="Arial"/>
          <w:sz w:val="19"/>
          <w:szCs w:val="19"/>
          <w:color w:val="auto"/>
        </w:rPr>
        <w:t>Neither the Company nor any of its subsidiaries nor, to the knowledge of the Company, any director, officer, agent, employee, affiliate or other person acting on behalf of the Company or any of its subsidiaries is aware of or has taken any action, directly or indirectly, that could result in a violation or a sanction for violation by such persons of the Foreign Corrupt Practices Act of 1977 or the U.K. Bribery Act 2010, each as may be amended, or similar law of any other relevant jurisdiction, or the rules or regulations thereunder; and the Company and its subsidiaries and, to the knowledge of the Company and its affiliates, have conducted their business in compliance with the FCPA and have instituted and maintain policies and procedures to ensure compliance therewith. No part of the proceeds of the offering will be used, directly or indirectly, in violation of the Foreign Corrupt Practices Act of 1977 or the U.K. Bribery Act 2010, each as may be amended, or similar law of any other relevant jurisdiction, or the rules or regulations thereunder.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1420"/>
          </w:cols>
          <w:pgMar w:left="240" w:top="1104" w:right="239" w:bottom="1440" w:gutter="0" w:footer="0" w:header="0"/>
        </w:sectPr>
      </w:pPr>
    </w:p>
    <w:bookmarkStart w:id="15" w:name="page16"/>
    <w:bookmarkEnd w:id="15"/>
    <w:p>
      <w:pPr>
        <w:jc w:val="both"/>
        <w:ind w:left="660" w:firstLine="645"/>
        <w:spacing w:after="0" w:line="246" w:lineRule="auto"/>
        <w:tabs>
          <w:tab w:leader="none" w:pos="2317"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operations of the Company and its subsidiaries are and have been conducted at all times in compliance with applicable financial recordkeeping and reporting requirements and the money laundering statutes of all applicable jurisdictions and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237" w:lineRule="exact"/>
        <w:rPr>
          <w:rFonts w:ascii="Arial" w:cs="Arial" w:eastAsia="Arial" w:hAnsi="Arial"/>
          <w:sz w:val="22"/>
          <w:szCs w:val="22"/>
          <w:color w:val="auto"/>
        </w:rPr>
      </w:pPr>
    </w:p>
    <w:p>
      <w:pPr>
        <w:jc w:val="both"/>
        <w:ind w:left="660" w:firstLine="645"/>
        <w:spacing w:after="0" w:line="257" w:lineRule="auto"/>
        <w:tabs>
          <w:tab w:leader="none" w:pos="2221" w:val="left"/>
        </w:tabs>
        <w:numPr>
          <w:ilvl w:val="0"/>
          <w:numId w:val="14"/>
        </w:numPr>
        <w:rPr>
          <w:rFonts w:ascii="Arial" w:cs="Arial" w:eastAsia="Arial" w:hAnsi="Arial"/>
          <w:sz w:val="21"/>
          <w:szCs w:val="21"/>
          <w:color w:val="auto"/>
        </w:rPr>
      </w:pPr>
      <w:r>
        <w:rPr>
          <w:rFonts w:ascii="Arial" w:cs="Arial" w:eastAsia="Arial" w:hAnsi="Arial"/>
          <w:sz w:val="21"/>
          <w:szCs w:val="21"/>
          <w:color w:val="auto"/>
        </w:rPr>
        <w:t>Neither the Company nor any of its subsidiaries nor, to the knowledge of the Company, any director, officer, agent, employee or affiliate of the Company or any of its subsidiaries (i) is, or is controlled or 50% or more owned in the aggregate by or is acting on behalf of, one or more individuals or entities that are currently the subject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(including sanctions administered or enforced by Her Majesty’s Treasury of the United Kingdom) or other relevant sanctions authority (collectively, “Sanctions” and such persons, “Sanctioned Persons” and each such person, a “Sanctioned Person”), (ii) is located, organized or resident in a country or territory that is, or whose government is, the subject of Sanctions that broadly prohibit dealings with that country or territory (collectively, “Sanctioned Countries” and each, a “Sanctioned Country”) or (iii) will, directly or indirectly, use the proceeds of this offering,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underwriter, advisor, investor or otherwise).</w:t>
      </w:r>
    </w:p>
    <w:p>
      <w:pPr>
        <w:spacing w:after="0" w:line="226" w:lineRule="exact"/>
        <w:rPr>
          <w:rFonts w:ascii="Arial" w:cs="Arial" w:eastAsia="Arial" w:hAnsi="Arial"/>
          <w:sz w:val="21"/>
          <w:szCs w:val="21"/>
          <w:color w:val="auto"/>
        </w:rPr>
      </w:pPr>
    </w:p>
    <w:p>
      <w:pPr>
        <w:jc w:val="both"/>
        <w:ind w:left="660" w:firstLine="645"/>
        <w:spacing w:after="0" w:line="250" w:lineRule="auto"/>
        <w:tabs>
          <w:tab w:leader="none" w:pos="2437" w:val="left"/>
        </w:tabs>
        <w:numPr>
          <w:ilvl w:val="0"/>
          <w:numId w:val="14"/>
        </w:numPr>
        <w:rPr>
          <w:rFonts w:ascii="Arial" w:cs="Arial" w:eastAsia="Arial" w:hAnsi="Arial"/>
          <w:sz w:val="22"/>
          <w:szCs w:val="22"/>
          <w:color w:val="auto"/>
        </w:rPr>
      </w:pPr>
      <w:r>
        <w:rPr>
          <w:rFonts w:ascii="Arial" w:cs="Arial" w:eastAsia="Arial" w:hAnsi="Arial"/>
          <w:sz w:val="22"/>
          <w:szCs w:val="22"/>
          <w:color w:val="auto"/>
        </w:rPr>
        <w:t>Neither the Company nor any of its subsidiaries has engaged in any dealings or transactions with or for the benefit of a Sanctioned Person, or with or in a Sanctioned Country, in the preceding three years, nor does the Company or any of its subsidiaries have any plans to engage in dealings or transactions with or for the benefit of a Sanctioned Person, or with or in a Sanctioned Country.</w:t>
      </w:r>
    </w:p>
    <w:p>
      <w:pPr>
        <w:spacing w:after="0" w:line="228" w:lineRule="exact"/>
        <w:rPr>
          <w:rFonts w:ascii="Arial" w:cs="Arial" w:eastAsia="Arial" w:hAnsi="Arial"/>
          <w:sz w:val="22"/>
          <w:szCs w:val="22"/>
          <w:color w:val="auto"/>
        </w:rPr>
      </w:pPr>
    </w:p>
    <w:p>
      <w:pPr>
        <w:jc w:val="both"/>
        <w:ind w:left="660" w:firstLine="645"/>
        <w:spacing w:after="0" w:line="259" w:lineRule="auto"/>
        <w:tabs>
          <w:tab w:leader="none" w:pos="2317" w:val="left"/>
        </w:tabs>
        <w:numPr>
          <w:ilvl w:val="0"/>
          <w:numId w:val="14"/>
        </w:numPr>
        <w:rPr>
          <w:rFonts w:ascii="Arial" w:cs="Arial" w:eastAsia="Arial" w:hAnsi="Arial"/>
          <w:sz w:val="21"/>
          <w:szCs w:val="21"/>
          <w:color w:val="auto"/>
        </w:rPr>
      </w:pPr>
      <w:r>
        <w:rPr>
          <w:rFonts w:ascii="Arial" w:cs="Arial" w:eastAsia="Arial" w:hAnsi="Arial"/>
          <w:sz w:val="21"/>
          <w:szCs w:val="21"/>
          <w:color w:val="auto"/>
        </w:rPr>
        <w:t>(i) The Company has established and maintains disclosure controls and procedures (as such term is defined in Rules 13a-15(e) and 15d-15(e) under the Exchange Act); (ii) such disclosure controls and procedures are designed to ensure that information required to be disclosed by the Company in the reports it files or submits under the Exchange Act is accumulated and communicated to its management, including its principal executive officer and its principal financial officer, as appropriate, to allow timely decisions regarding required disclosure; and (iii) such disclosure controls and procedures are effective in all material respects to perform the functions for which they were established. Since the date of the most recent evaluation of such disclosure controls and procedures, there have been no significant changes in internal controls or in other factors that could significantly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1420"/>
          </w:cols>
          <w:pgMar w:left="240" w:top="1104" w:right="239" w:bottom="1440" w:gutter="0" w:footer="0" w:header="0"/>
        </w:sectPr>
      </w:pPr>
    </w:p>
    <w:bookmarkStart w:id="16" w:name="page17"/>
    <w:bookmarkEnd w:id="16"/>
    <w:p>
      <w:pPr>
        <w:ind w:left="660"/>
        <w:spacing w:after="0"/>
        <w:rPr>
          <w:sz w:val="20"/>
          <w:szCs w:val="20"/>
          <w:color w:val="auto"/>
        </w:rPr>
      </w:pPr>
      <w:r>
        <w:rPr>
          <w:rFonts w:ascii="Arial" w:cs="Arial" w:eastAsia="Arial" w:hAnsi="Arial"/>
          <w:sz w:val="19"/>
          <w:szCs w:val="19"/>
          <w:color w:val="auto"/>
        </w:rPr>
        <w:t>affect internal controls, including any corrective actions with regard to significant deficiencies and material weaknesses.</w:t>
      </w:r>
    </w:p>
    <w:p>
      <w:pPr>
        <w:spacing w:after="0" w:line="295" w:lineRule="exact"/>
        <w:rPr>
          <w:sz w:val="20"/>
          <w:szCs w:val="20"/>
          <w:color w:val="auto"/>
        </w:rPr>
      </w:pPr>
    </w:p>
    <w:p>
      <w:pPr>
        <w:jc w:val="both"/>
        <w:ind w:left="660" w:firstLine="645"/>
        <w:spacing w:after="0" w:line="285" w:lineRule="auto"/>
        <w:tabs>
          <w:tab w:leader="none" w:pos="2317" w:val="left"/>
        </w:tabs>
        <w:numPr>
          <w:ilvl w:val="0"/>
          <w:numId w:val="15"/>
        </w:numPr>
        <w:rPr>
          <w:rFonts w:ascii="Arial" w:cs="Arial" w:eastAsia="Arial" w:hAnsi="Arial"/>
          <w:sz w:val="19"/>
          <w:szCs w:val="19"/>
          <w:color w:val="auto"/>
        </w:rPr>
      </w:pPr>
      <w:r>
        <w:rPr>
          <w:rFonts w:ascii="Arial" w:cs="Arial" w:eastAsia="Arial" w:hAnsi="Arial"/>
          <w:sz w:val="19"/>
          <w:szCs w:val="19"/>
          <w:color w:val="auto"/>
        </w:rPr>
        <w:t>Since the date of the latest audited financial statements included or incorporated by reference in the Final Prospectus, there has not been (i) any significant deficiency in the design or operation of internal controls which could adversely affect the ability of the Company to record, process, summarize and report financial data nor any material weaknesses in internal controls; or (ii) any fraud, whether or not material, that involves management or other employees who have a significant role in the internal controls of the Company. Since the date of the latest audited financial statements included or incorporated by reference in the Final Prospectus, there have been no significant changes in internal controls or in other factors that could significantly affect internal controls, including any corrective actions with regard to significant deficiencies and material weaknesses. The Company has designed and maintains internal control over financial reporting (as such term is defined in Rules 13a-15(f) and Rules 15d-15(f) under the Exchange Act, referred to herein as “Reporting Controls”), and the Reporting Controls are (i) designed to, and sufficient to, provide reasonable assurance (A) that transactions are executed in accordance with management’s general or specific authorizations; (B) that transactions are recorded as necessary to permit preparation of financial statements in conformity with GAAP and to maintain asset accountability; (C) that access to assets is permitted only in accordance with management’s general or specific authorization; (D) that the recorded accountability for assets is compared with the existing assets at reasonable intervals and appropriate action is taken with respect to any differences; and (E) regarding the reliability of financial reporting and the preparation of financial statements for external purposes in accordance with GAAP and include, without limitation, those processes specifically referred to in Rule 13a-15(f) and Rule 15d-15(f) and (ii) to the knowledge of the Company, effective to perform the functions for which they are maintained.</w:t>
      </w:r>
    </w:p>
    <w:p>
      <w:pPr>
        <w:spacing w:after="0" w:line="200" w:lineRule="exact"/>
        <w:rPr>
          <w:sz w:val="20"/>
          <w:szCs w:val="20"/>
          <w:color w:val="auto"/>
        </w:rPr>
      </w:pPr>
    </w:p>
    <w:p>
      <w:pPr>
        <w:spacing w:after="0" w:line="2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Any certificate signed by any officer of the Company and delivered to the Representatives or counsel for the Underwriters in connection with the offering of the Securities shall be deemed a representation and warranty by the Company, as to matters covered thereby, to each Underwriter.</w:t>
      </w:r>
    </w:p>
    <w:p>
      <w:pPr>
        <w:spacing w:after="0" w:line="186" w:lineRule="exact"/>
        <w:rPr>
          <w:sz w:val="20"/>
          <w:szCs w:val="20"/>
          <w:color w:val="auto"/>
        </w:rPr>
      </w:pPr>
    </w:p>
    <w:p>
      <w:pPr>
        <w:jc w:val="both"/>
        <w:ind w:firstLine="1305"/>
        <w:spacing w:after="0" w:line="265" w:lineRule="auto"/>
        <w:tabs>
          <w:tab w:leader="none" w:pos="2107" w:val="left"/>
        </w:tabs>
        <w:numPr>
          <w:ilvl w:val="0"/>
          <w:numId w:val="16"/>
        </w:numPr>
        <w:rPr>
          <w:rFonts w:ascii="Arial" w:cs="Arial" w:eastAsia="Arial" w:hAnsi="Arial"/>
          <w:sz w:val="21"/>
          <w:szCs w:val="21"/>
          <w:color w:val="auto"/>
        </w:rPr>
      </w:pPr>
      <w:r>
        <w:rPr>
          <w:rFonts w:ascii="Arial" w:cs="Arial" w:eastAsia="Arial" w:hAnsi="Arial"/>
          <w:sz w:val="21"/>
          <w:szCs w:val="21"/>
          <w:u w:val="single" w:color="auto"/>
          <w:color w:val="auto"/>
        </w:rPr>
        <w:t>Purchase and Sale</w:t>
      </w:r>
      <w:r>
        <w:rPr>
          <w:rFonts w:ascii="Arial" w:cs="Arial" w:eastAsia="Arial" w:hAnsi="Arial"/>
          <w:sz w:val="21"/>
          <w:szCs w:val="21"/>
          <w:color w:val="auto"/>
        </w:rPr>
        <w:t>. (a) Subject to the terms and conditions and in reliance upon the representations and warranties herein set forth, the Company agrees to sell to each Underwriter, and each Underwriter agrees, severally and not jointly, to purchase from the Company, at the purchase price set forth in Schedule I hereto, the number of Underwritten Securities set forth opposite such Underwriter’s name in Schedule II hereto.</w:t>
      </w:r>
    </w:p>
    <w:p>
      <w:pPr>
        <w:spacing w:after="0" w:line="216" w:lineRule="exact"/>
        <w:rPr>
          <w:sz w:val="20"/>
          <w:szCs w:val="20"/>
          <w:color w:val="auto"/>
        </w:rPr>
      </w:pPr>
    </w:p>
    <w:p>
      <w:pPr>
        <w:jc w:val="both"/>
        <w:ind w:left="660" w:firstLine="645"/>
        <w:spacing w:after="0" w:line="302" w:lineRule="auto"/>
        <w:tabs>
          <w:tab w:leader="none" w:pos="2209" w:val="left"/>
        </w:tabs>
        <w:numPr>
          <w:ilvl w:val="0"/>
          <w:numId w:val="17"/>
        </w:numPr>
        <w:rPr>
          <w:rFonts w:ascii="Arial" w:cs="Arial" w:eastAsia="Arial" w:hAnsi="Arial"/>
          <w:sz w:val="19"/>
          <w:szCs w:val="19"/>
          <w:color w:val="auto"/>
        </w:rPr>
      </w:pPr>
      <w:r>
        <w:rPr>
          <w:rFonts w:ascii="Arial" w:cs="Arial" w:eastAsia="Arial" w:hAnsi="Arial"/>
          <w:sz w:val="19"/>
          <w:szCs w:val="19"/>
          <w:color w:val="auto"/>
        </w:rPr>
        <w:t>Subject to the terms and conditions and in reliance upon the representations and warranties herein set forth, the Company hereby grants an option to the several Underwriters to purchase, severally and not jointly, up to the number of Option Securities set forth in Schedule I hereto at the same purchase price per share as the Underwriters shall pay for the Underwritten Securities, less an amount per share equal to any dividends or distributions declared by the Company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1420"/>
          </w:cols>
          <w:pgMar w:left="240" w:top="847" w:right="239" w:bottom="1440" w:gutter="0" w:footer="0" w:header="0"/>
        </w:sectPr>
      </w:pPr>
    </w:p>
    <w:bookmarkStart w:id="17" w:name="page18"/>
    <w:bookmarkEnd w:id="17"/>
    <w:p>
      <w:pPr>
        <w:jc w:val="both"/>
        <w:ind w:left="660"/>
        <w:spacing w:after="0" w:line="260" w:lineRule="auto"/>
        <w:rPr>
          <w:sz w:val="20"/>
          <w:szCs w:val="20"/>
          <w:color w:val="auto"/>
        </w:rPr>
      </w:pPr>
      <w:r>
        <w:rPr>
          <w:rFonts w:ascii="Arial" w:cs="Arial" w:eastAsia="Arial" w:hAnsi="Arial"/>
          <w:sz w:val="21"/>
          <w:szCs w:val="21"/>
          <w:color w:val="auto"/>
        </w:rPr>
        <w:t>and payable on the Underwritten Securities but not payable on the Option Securities. Said option may be exercised in whole or in part at any time on or before the 30th day after the date of the Final Prospectus upon written or electronic notice by the Representatives to the Company setting forth the number of Option Securities as to which the several Underwriters are exercising the option and the settlement date. The number of Option Securities to be purchased by each Underwriter shall be the same percentage of the total number of Option Securities to be purchased by the several Underwriters as such Underwriter is purchasing of the Underwritten Securities, subject to such adjustments as you in your absolute discretion shall make to eliminate any fractional shares.</w:t>
      </w:r>
    </w:p>
    <w:p>
      <w:pPr>
        <w:spacing w:after="0" w:line="222" w:lineRule="exact"/>
        <w:rPr>
          <w:sz w:val="20"/>
          <w:szCs w:val="20"/>
          <w:color w:val="auto"/>
        </w:rPr>
      </w:pPr>
    </w:p>
    <w:p>
      <w:pPr>
        <w:jc w:val="both"/>
        <w:ind w:firstLine="1305"/>
        <w:spacing w:after="0" w:line="288" w:lineRule="auto"/>
        <w:tabs>
          <w:tab w:leader="none" w:pos="2107"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Delivery and Payment</w:t>
      </w:r>
      <w:r>
        <w:rPr>
          <w:rFonts w:ascii="Arial" w:cs="Arial" w:eastAsia="Arial" w:hAnsi="Arial"/>
          <w:sz w:val="19"/>
          <w:szCs w:val="19"/>
          <w:color w:val="auto"/>
        </w:rPr>
        <w:t>. Delivery of and payment for the Underwritten Securities and the Option Securities (if the option provided for in Section 2(b) hereof shall have been exercised on or before the third Business Day immediately preceding the Closing Date) shall be made on the date and at the time specified in Schedule I hereto or at such time on such later date not more than three Business Days after the foregoing date as the Representatives shall designate, which date and time may be postponed by agreement between the Representatives and the Company or as provided in Section 9 hereof (such date and time of delivery and payment for the Securities being herein called the “Closing Date”). Delivery of the Securities shall be made to the Representatives for the respective accounts of the several Underwriters against payment by the several Underwriters through the Representatives of the purchase price thereof to or upon the order of the Company by wire transfer payable in same-day funds to an account specified by the Company. Delivery of the Underwritten Securities and the Option Securities shall be made through the facilities of The Depository Trust Company unless the Representatives shall otherwise instruct.</w:t>
      </w:r>
    </w:p>
    <w:p>
      <w:pPr>
        <w:spacing w:after="0" w:line="201"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If the option provided for in Section 2(b) hereof is exercised after the third Business Day immediately preceding the Closing Date, the Company will deliver the Option Securities (at the expense of the Company) to the Representatives, at 383 Madison Avenue, New York, New York, on the date specified by the Representatives (which shall be within three Business Days after exercise of said option) for the respective accounts of the several Underwriters, against payment by the several Underwriters through the Representatives of the purchase price thereof to or upon the order of the Company by wire transfer payable in same-day funds to an account specified by the Company. If settlement for the Option Securities occurs after the Closing Date, the Company will deliver to the Representatives on the settlement date for the Option Securities, and the obligation of the Underwriters to purchase the Option Securities shall be conditioned upon receipt of, supplemental opinions, certificates and letters confirming as of such date the opinions, certificates and letters delivered on the Closing Date pursuant to Section 6 hereof.</w:t>
      </w:r>
    </w:p>
    <w:p>
      <w:pPr>
        <w:spacing w:after="0" w:line="158" w:lineRule="exact"/>
        <w:rPr>
          <w:sz w:val="20"/>
          <w:szCs w:val="20"/>
          <w:color w:val="auto"/>
        </w:rPr>
      </w:pPr>
    </w:p>
    <w:p>
      <w:pPr>
        <w:ind w:right="20" w:firstLine="1305"/>
        <w:spacing w:after="0" w:line="263" w:lineRule="auto"/>
        <w:tabs>
          <w:tab w:leader="none" w:pos="2107"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Offering by Underwriters</w:t>
      </w:r>
      <w:r>
        <w:rPr>
          <w:rFonts w:ascii="Arial" w:cs="Arial" w:eastAsia="Arial" w:hAnsi="Arial"/>
          <w:sz w:val="22"/>
          <w:szCs w:val="22"/>
          <w:color w:val="auto"/>
        </w:rPr>
        <w:t>. It is understood that the several Underwriters propose to offer the Securities for sale to the public as set forth in the Final Prospectus.</w:t>
      </w:r>
    </w:p>
    <w:p>
      <w:pPr>
        <w:spacing w:after="0" w:line="215" w:lineRule="exact"/>
        <w:rPr>
          <w:rFonts w:ascii="Arial" w:cs="Arial" w:eastAsia="Arial" w:hAnsi="Arial"/>
          <w:sz w:val="22"/>
          <w:szCs w:val="22"/>
          <w:color w:val="auto"/>
        </w:rPr>
      </w:pPr>
    </w:p>
    <w:p>
      <w:pPr>
        <w:ind w:left="2120" w:hanging="815"/>
        <w:spacing w:after="0"/>
        <w:tabs>
          <w:tab w:leader="none" w:pos="212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Agreements</w:t>
      </w:r>
      <w:r>
        <w:rPr>
          <w:rFonts w:ascii="Arial" w:cs="Arial" w:eastAsia="Arial" w:hAnsi="Arial"/>
          <w:sz w:val="22"/>
          <w:szCs w:val="22"/>
          <w:color w:val="auto"/>
        </w:rPr>
        <w:t>. The Company agrees with the several Underwriters that:</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1420"/>
          </w:cols>
          <w:pgMar w:left="240" w:top="847" w:right="239" w:bottom="1440" w:gutter="0" w:footer="0" w:header="0"/>
        </w:sectPr>
      </w:pPr>
    </w:p>
    <w:bookmarkStart w:id="18" w:name="page19"/>
    <w:bookmarkEnd w:id="18"/>
    <w:p>
      <w:pPr>
        <w:jc w:val="both"/>
        <w:ind w:left="660" w:firstLine="645"/>
        <w:spacing w:after="0" w:line="285" w:lineRule="auto"/>
        <w:tabs>
          <w:tab w:leader="none" w:pos="2196" w:val="left"/>
        </w:tabs>
        <w:numPr>
          <w:ilvl w:val="0"/>
          <w:numId w:val="20"/>
        </w:numPr>
        <w:rPr>
          <w:rFonts w:ascii="Arial" w:cs="Arial" w:eastAsia="Arial" w:hAnsi="Arial"/>
          <w:sz w:val="19"/>
          <w:szCs w:val="19"/>
          <w:color w:val="auto"/>
        </w:rPr>
      </w:pPr>
      <w:r>
        <w:rPr>
          <w:rFonts w:ascii="Arial" w:cs="Arial" w:eastAsia="Arial" w:hAnsi="Arial"/>
          <w:sz w:val="19"/>
          <w:szCs w:val="19"/>
          <w:color w:val="auto"/>
        </w:rPr>
        <w:t>Prior to the termination of the offering of the Securities, the Company will not file any amendment of the Registration Statement or supplement (including the Final Prospectus or any Preliminary Prospectus) to the Base Prospectus unless the Company has furnished you a copy for your review prior to filing and will not file any such proposed amendment or supplement to which you reasonably object. The Company will cause the Final Prospectus, properly completed, and any supplement thereto to be filed in a form approved by the Representatives with the Commission pursuant to the applicable paragraph of Rule 424(b) within the time period prescribed and will provide evidence satisfactory to the Representatives of such timely filing. The Company will promptly advise the Representatives (i) when the Final Prospectus, and any supplement thereto, shall have been filed (if required) with the Commission pursuant to Rule 424(b), (ii) when, prior to termination of the offering of the Securities, any amendment to the Registration Statement shall have been filed or become effective, (iii) of any request by the Commission or its staff for any amendment of the Registration Statement, or for any supplement to the Final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Securities for sale in any jurisdiction or the institution or threatening of any proceeding for such purpose. The Company will use its reasonable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reasonable best efforts to have such amendment or new registration statement declared effective as soon as practicable.</w:t>
      </w:r>
    </w:p>
    <w:p>
      <w:pPr>
        <w:spacing w:after="0" w:line="200" w:lineRule="exact"/>
        <w:rPr>
          <w:rFonts w:ascii="Arial" w:cs="Arial" w:eastAsia="Arial" w:hAnsi="Arial"/>
          <w:sz w:val="19"/>
          <w:szCs w:val="19"/>
          <w:color w:val="auto"/>
        </w:rPr>
      </w:pPr>
    </w:p>
    <w:p>
      <w:pPr>
        <w:spacing w:after="0" w:line="258" w:lineRule="exact"/>
        <w:rPr>
          <w:rFonts w:ascii="Arial" w:cs="Arial" w:eastAsia="Arial" w:hAnsi="Arial"/>
          <w:sz w:val="19"/>
          <w:szCs w:val="19"/>
          <w:color w:val="auto"/>
        </w:rPr>
      </w:pPr>
    </w:p>
    <w:p>
      <w:pPr>
        <w:ind w:left="2200" w:hanging="895"/>
        <w:spacing w:after="0"/>
        <w:tabs>
          <w:tab w:leader="none" w:pos="22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[Reserved]</w:t>
      </w:r>
    </w:p>
    <w:p>
      <w:pPr>
        <w:spacing w:after="0" w:line="260" w:lineRule="exact"/>
        <w:rPr>
          <w:rFonts w:ascii="Arial" w:cs="Arial" w:eastAsia="Arial" w:hAnsi="Arial"/>
          <w:sz w:val="22"/>
          <w:szCs w:val="22"/>
          <w:color w:val="auto"/>
        </w:rPr>
      </w:pPr>
    </w:p>
    <w:p>
      <w:pPr>
        <w:jc w:val="both"/>
        <w:ind w:left="660" w:firstLine="645"/>
        <w:spacing w:after="0" w:line="260" w:lineRule="auto"/>
        <w:tabs>
          <w:tab w:leader="none" w:pos="2196" w:val="left"/>
        </w:tabs>
        <w:numPr>
          <w:ilvl w:val="0"/>
          <w:numId w:val="20"/>
        </w:numPr>
        <w:rPr>
          <w:rFonts w:ascii="Arial" w:cs="Arial" w:eastAsia="Arial" w:hAnsi="Arial"/>
          <w:sz w:val="21"/>
          <w:szCs w:val="21"/>
          <w:color w:val="auto"/>
        </w:rPr>
      </w:pPr>
      <w:r>
        <w:rPr>
          <w:rFonts w:ascii="Arial" w:cs="Arial" w:eastAsia="Arial" w:hAnsi="Arial"/>
          <w:sz w:val="21"/>
          <w:szCs w:val="21"/>
          <w:color w:val="auto"/>
        </w:rPr>
        <w:t>If, at any time prior to the filing of the Final Prospectus pursuant to Rule 424(b), any event occurs as a result of which the Disclosure Package would include any untrue statement of a material fact or omit to state any material fact necessary in order to make the statements therein in the light of the circumstances under which they were made or the circumstances then prevailing not misleading, the Company will (i) notify promptly the Representatives so that any use of the Disclosure Package may cease until it is amended or supplemented; (ii) amend or supplement the Disclosure Package to correct such statement or omission; and (iii) supply any amendment or supplement to you in such quantities as you may reasonably request.</w:t>
      </w:r>
    </w:p>
    <w:p>
      <w:pPr>
        <w:spacing w:after="0" w:line="221" w:lineRule="exact"/>
        <w:rPr>
          <w:rFonts w:ascii="Arial" w:cs="Arial" w:eastAsia="Arial" w:hAnsi="Arial"/>
          <w:sz w:val="21"/>
          <w:szCs w:val="21"/>
          <w:color w:val="auto"/>
        </w:rPr>
      </w:pPr>
    </w:p>
    <w:p>
      <w:pPr>
        <w:jc w:val="both"/>
        <w:ind w:left="660" w:firstLine="645"/>
        <w:spacing w:after="0" w:line="297" w:lineRule="auto"/>
        <w:tabs>
          <w:tab w:leader="none" w:pos="2209" w:val="left"/>
        </w:tabs>
        <w:numPr>
          <w:ilvl w:val="0"/>
          <w:numId w:val="20"/>
        </w:numPr>
        <w:rPr>
          <w:rFonts w:ascii="Arial" w:cs="Arial" w:eastAsia="Arial" w:hAnsi="Arial"/>
          <w:sz w:val="19"/>
          <w:szCs w:val="19"/>
          <w:color w:val="auto"/>
        </w:rPr>
      </w:pPr>
      <w:r>
        <w:rPr>
          <w:rFonts w:ascii="Arial" w:cs="Arial" w:eastAsia="Arial" w:hAnsi="Arial"/>
          <w:sz w:val="19"/>
          <w:szCs w:val="19"/>
          <w:color w:val="auto"/>
        </w:rPr>
        <w:t>If, at any time when a prospectus relating to the Securities is required to be delivered under the Act (including in circumstances where such requirement may be satisfied pursuant to Rule 172), any event occurs as a result of which the Final Prospectus as then supplemented would include any untrue statement of a material fact or omit to state any material fact necessary in order to make the statements therein in the light of the circumstances under which they were made at such time not misleading, or if it shall be necessary to amend the Registration Statement, file a new registration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1420"/>
          </w:cols>
          <w:pgMar w:left="240" w:top="1104" w:right="239" w:bottom="1440" w:gutter="0" w:footer="0" w:header="0"/>
        </w:sectPr>
      </w:pPr>
    </w:p>
    <w:bookmarkStart w:id="19" w:name="page20"/>
    <w:bookmarkEnd w:id="19"/>
    <w:p>
      <w:pPr>
        <w:jc w:val="both"/>
        <w:ind w:left="660"/>
        <w:spacing w:after="0" w:line="288" w:lineRule="auto"/>
        <w:rPr>
          <w:sz w:val="20"/>
          <w:szCs w:val="20"/>
          <w:color w:val="auto"/>
        </w:rPr>
      </w:pPr>
      <w:r>
        <w:rPr>
          <w:rFonts w:ascii="Arial" w:cs="Arial" w:eastAsia="Arial" w:hAnsi="Arial"/>
          <w:sz w:val="19"/>
          <w:szCs w:val="19"/>
          <w:color w:val="auto"/>
        </w:rPr>
        <w:t>statement or supplement the Final Prospectus to comply with the Act or the Exchange Act or the respective rules thereunder, including in connection with use or delivery of the Final Prospectus, the Company promptly will (i) notify the Representatives of any such event, (ii) prepare and file with the Commission, subject to the second sentence of paragraph</w:t>
      </w:r>
    </w:p>
    <w:p>
      <w:pPr>
        <w:spacing w:after="0" w:line="1" w:lineRule="exact"/>
        <w:rPr>
          <w:sz w:val="20"/>
          <w:szCs w:val="20"/>
          <w:color w:val="auto"/>
        </w:rPr>
      </w:pPr>
    </w:p>
    <w:p>
      <w:pPr>
        <w:jc w:val="both"/>
        <w:ind w:left="660" w:hanging="4"/>
        <w:spacing w:after="0" w:line="295" w:lineRule="auto"/>
        <w:tabs>
          <w:tab w:leader="none" w:pos="989" w:val="left"/>
        </w:tabs>
        <w:numPr>
          <w:ilvl w:val="0"/>
          <w:numId w:val="21"/>
        </w:numPr>
        <w:rPr>
          <w:rFonts w:ascii="Arial" w:cs="Arial" w:eastAsia="Arial" w:hAnsi="Arial"/>
          <w:sz w:val="19"/>
          <w:szCs w:val="19"/>
          <w:color w:val="auto"/>
        </w:rPr>
      </w:pPr>
      <w:r>
        <w:rPr>
          <w:rFonts w:ascii="Arial" w:cs="Arial" w:eastAsia="Arial" w:hAnsi="Arial"/>
          <w:sz w:val="19"/>
          <w:szCs w:val="19"/>
          <w:color w:val="auto"/>
        </w:rPr>
        <w:t>of this Section 5, an amendment or supplement or new registration statement which will correct such statement or omission or effect such compliance, (iii) use its reasonable best efforts to have any amendment to the Registration Statement or new registration statement declared effective as soon as practicable in order to avoid any disruption in use of the Final Prospectus and (iv) supply any supplemented Final Prospectus to you in such quantities as you may reasonably request.</w:t>
      </w:r>
    </w:p>
    <w:p>
      <w:pPr>
        <w:spacing w:after="0" w:line="190" w:lineRule="exact"/>
        <w:rPr>
          <w:rFonts w:ascii="Arial" w:cs="Arial" w:eastAsia="Arial" w:hAnsi="Arial"/>
          <w:sz w:val="19"/>
          <w:szCs w:val="19"/>
          <w:color w:val="auto"/>
        </w:rPr>
      </w:pPr>
    </w:p>
    <w:p>
      <w:pPr>
        <w:jc w:val="both"/>
        <w:ind w:left="660" w:firstLine="645"/>
        <w:spacing w:after="0" w:line="253" w:lineRule="auto"/>
        <w:tabs>
          <w:tab w:leader="none" w:pos="2196" w:val="left"/>
        </w:tabs>
        <w:numPr>
          <w:ilvl w:val="1"/>
          <w:numId w:val="21"/>
        </w:numPr>
        <w:rPr>
          <w:rFonts w:ascii="Arial" w:cs="Arial" w:eastAsia="Arial" w:hAnsi="Arial"/>
          <w:sz w:val="22"/>
          <w:szCs w:val="22"/>
          <w:color w:val="auto"/>
        </w:rPr>
      </w:pPr>
      <w:r>
        <w:rPr>
          <w:rFonts w:ascii="Arial" w:cs="Arial" w:eastAsia="Arial" w:hAnsi="Arial"/>
          <w:sz w:val="22"/>
          <w:szCs w:val="22"/>
          <w:color w:val="auto"/>
        </w:rPr>
        <w:t>As soon as practicable, the Company will make generally available to its security holders and to the Representatives an earnings statement or statements of the Company and its subsidiaries which will satisfy the provisions of Section 11(a) of the Act and Rule 158.</w:t>
      </w:r>
    </w:p>
    <w:p>
      <w:pPr>
        <w:spacing w:after="0" w:line="226" w:lineRule="exact"/>
        <w:rPr>
          <w:rFonts w:ascii="Arial" w:cs="Arial" w:eastAsia="Arial" w:hAnsi="Arial"/>
          <w:sz w:val="22"/>
          <w:szCs w:val="22"/>
          <w:color w:val="auto"/>
        </w:rPr>
      </w:pPr>
    </w:p>
    <w:p>
      <w:pPr>
        <w:ind w:left="660" w:firstLine="645"/>
        <w:spacing w:after="0" w:line="263" w:lineRule="auto"/>
        <w:tabs>
          <w:tab w:leader="none" w:pos="2172" w:val="left"/>
        </w:tabs>
        <w:numPr>
          <w:ilvl w:val="1"/>
          <w:numId w:val="21"/>
        </w:numPr>
        <w:rPr>
          <w:rFonts w:ascii="Arial" w:cs="Arial" w:eastAsia="Arial" w:hAnsi="Arial"/>
          <w:sz w:val="22"/>
          <w:szCs w:val="22"/>
          <w:color w:val="auto"/>
        </w:rPr>
      </w:pPr>
      <w:r>
        <w:rPr>
          <w:rFonts w:ascii="Arial" w:cs="Arial" w:eastAsia="Arial" w:hAnsi="Arial"/>
          <w:sz w:val="22"/>
          <w:szCs w:val="22"/>
          <w:color w:val="auto"/>
        </w:rPr>
        <w:t>The Company will use the net proceeds received by it from the sale of the Securities in the manner specified in the Final Prospectus under “Use of Proceeds.”</w:t>
      </w:r>
    </w:p>
    <w:p>
      <w:pPr>
        <w:spacing w:after="0" w:line="215" w:lineRule="exact"/>
        <w:rPr>
          <w:rFonts w:ascii="Arial" w:cs="Arial" w:eastAsia="Arial" w:hAnsi="Arial"/>
          <w:sz w:val="22"/>
          <w:szCs w:val="22"/>
          <w:color w:val="auto"/>
        </w:rPr>
      </w:pPr>
    </w:p>
    <w:p>
      <w:pPr>
        <w:jc w:val="both"/>
        <w:ind w:left="660" w:firstLine="645"/>
        <w:spacing w:after="0" w:line="261" w:lineRule="auto"/>
        <w:tabs>
          <w:tab w:leader="none" w:pos="2209" w:val="left"/>
        </w:tabs>
        <w:numPr>
          <w:ilvl w:val="1"/>
          <w:numId w:val="21"/>
        </w:numPr>
        <w:rPr>
          <w:rFonts w:ascii="Arial" w:cs="Arial" w:eastAsia="Arial" w:hAnsi="Arial"/>
          <w:sz w:val="21"/>
          <w:szCs w:val="21"/>
          <w:color w:val="auto"/>
        </w:rPr>
      </w:pPr>
      <w:r>
        <w:rPr>
          <w:rFonts w:ascii="Arial" w:cs="Arial" w:eastAsia="Arial" w:hAnsi="Arial"/>
          <w:sz w:val="21"/>
          <w:szCs w:val="21"/>
          <w:color w:val="auto"/>
        </w:rPr>
        <w:t>The Company will furnish to the Representatives and counsel for the Underwriters, without charge, signed copies of the Registration Statement (including exhibits thereto) and to each other Underwriter a copy of the Registration Statement (without exhibits thereto) and, so long as delivery of a prospectus by an Underwriter or dealer may be required by the Act (including in circumstances where such requirement may be satisfied pursuant to Rule 172), as many copies of each Preliminary Prospectus, the Final Prospectus and each Issuer Free Writing Prospectus and any supplement thereto as the Representatives may reasonably request.</w:t>
      </w:r>
    </w:p>
    <w:p>
      <w:pPr>
        <w:spacing w:after="0" w:line="220" w:lineRule="exact"/>
        <w:rPr>
          <w:rFonts w:ascii="Arial" w:cs="Arial" w:eastAsia="Arial" w:hAnsi="Arial"/>
          <w:sz w:val="21"/>
          <w:szCs w:val="21"/>
          <w:color w:val="auto"/>
        </w:rPr>
      </w:pPr>
    </w:p>
    <w:p>
      <w:pPr>
        <w:jc w:val="both"/>
        <w:ind w:left="660" w:firstLine="645"/>
        <w:spacing w:after="0" w:line="247" w:lineRule="auto"/>
        <w:tabs>
          <w:tab w:leader="none" w:pos="2209" w:val="left"/>
        </w:tabs>
        <w:numPr>
          <w:ilvl w:val="1"/>
          <w:numId w:val="21"/>
        </w:numPr>
        <w:rPr>
          <w:rFonts w:ascii="Arial" w:cs="Arial" w:eastAsia="Arial" w:hAnsi="Arial"/>
          <w:sz w:val="22"/>
          <w:szCs w:val="22"/>
          <w:color w:val="auto"/>
        </w:rPr>
      </w:pPr>
      <w:r>
        <w:rPr>
          <w:rFonts w:ascii="Arial" w:cs="Arial" w:eastAsia="Arial" w:hAnsi="Arial"/>
          <w:sz w:val="22"/>
          <w:szCs w:val="22"/>
          <w:color w:val="auto"/>
        </w:rPr>
        <w:t>The Company will arrange, if necessary, for the qualification of the Securities for sale under the laws of such jurisdictions as the Representatives may reasonably request and will maintain such qualifications in effect so long as required for the distribution of the Securities; provided that in no event shall the Company be obligated to qualify to do business in any jurisdiction where it is not now so qualified or to take any action that would subject it to service of process in suits, other than those arising out of the offering or sale of the Securities, in any jurisdiction where it is not now so subject.</w:t>
      </w:r>
    </w:p>
    <w:p>
      <w:pPr>
        <w:spacing w:after="0" w:line="234" w:lineRule="exact"/>
        <w:rPr>
          <w:rFonts w:ascii="Arial" w:cs="Arial" w:eastAsia="Arial" w:hAnsi="Arial"/>
          <w:sz w:val="22"/>
          <w:szCs w:val="22"/>
          <w:color w:val="auto"/>
        </w:rPr>
      </w:pPr>
    </w:p>
    <w:p>
      <w:pPr>
        <w:jc w:val="both"/>
        <w:ind w:left="660" w:firstLine="645"/>
        <w:spacing w:after="0" w:line="259" w:lineRule="auto"/>
        <w:tabs>
          <w:tab w:leader="none" w:pos="2160" w:val="left"/>
        </w:tabs>
        <w:numPr>
          <w:ilvl w:val="1"/>
          <w:numId w:val="21"/>
        </w:numPr>
        <w:rPr>
          <w:rFonts w:ascii="Arial" w:cs="Arial" w:eastAsia="Arial" w:hAnsi="Arial"/>
          <w:sz w:val="21"/>
          <w:szCs w:val="21"/>
          <w:color w:val="auto"/>
        </w:rPr>
      </w:pPr>
      <w:r>
        <w:rPr>
          <w:rFonts w:ascii="Arial" w:cs="Arial" w:eastAsia="Arial" w:hAnsi="Arial"/>
          <w:sz w:val="21"/>
          <w:szCs w:val="21"/>
          <w:color w:val="auto"/>
        </w:rPr>
        <w:t>The Company agrees that, unless it has or shall have obtained the prior written consent of the Representatives, and each Underwriter, severally and not jointly, agrees with the Company that, unless it has or shall have obtained, as the case may be, the prior written consent of the Company, it has not made and will not make any offer relating to the Securities that would constitute an Issuer Free Writing Prospectus or that would otherwise constitute a “free writing prospectus” (as defined in Rule 405) required to be filed by the Company with the Commission or retained by the Company under Rule 433; provided that the prior written consent of the parties hereto shall be deemed to have been given in respect of the Free Writing Prospectuses included in Schedule III hereto and any electronic road show. Any such free writing prospectus consented to by the Representatives or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1420"/>
          </w:cols>
          <w:pgMar w:left="240" w:top="847" w:right="239" w:bottom="1440" w:gutter="0" w:footer="0" w:header="0"/>
        </w:sectPr>
      </w:pPr>
    </w:p>
    <w:bookmarkStart w:id="20" w:name="page21"/>
    <w:bookmarkEnd w:id="20"/>
    <w:p>
      <w:pPr>
        <w:jc w:val="both"/>
        <w:ind w:left="660"/>
        <w:spacing w:after="0" w:line="302" w:lineRule="auto"/>
        <w:rPr>
          <w:sz w:val="20"/>
          <w:szCs w:val="20"/>
          <w:color w:val="auto"/>
        </w:rPr>
      </w:pPr>
      <w:r>
        <w:rPr>
          <w:rFonts w:ascii="Arial" w:cs="Arial" w:eastAsia="Arial" w:hAnsi="Arial"/>
          <w:sz w:val="19"/>
          <w:szCs w:val="19"/>
          <w:color w:val="auto"/>
        </w:rPr>
        <w:t>Company is hereinafter referred to as a “Permitted Free Writing Prospectus.” The Company agrees that (x) it has treated and will treat, as the case may be, each Permitted Free Writing Prospectus as an Issuer Free Writing Prospectus and (y) it has complied and will comply, as the case may be, with the requirements of Rules 164 and 433 applicable to any Permitted Free Writing Prospectus, including in respect of timely filing with the Commission, legending and record keeping.</w:t>
      </w:r>
    </w:p>
    <w:p>
      <w:pPr>
        <w:spacing w:after="0" w:line="183" w:lineRule="exact"/>
        <w:rPr>
          <w:sz w:val="20"/>
          <w:szCs w:val="20"/>
          <w:color w:val="auto"/>
        </w:rPr>
      </w:pPr>
    </w:p>
    <w:p>
      <w:pPr>
        <w:jc w:val="both"/>
        <w:ind w:left="660" w:firstLine="645"/>
        <w:spacing w:after="0" w:line="287" w:lineRule="auto"/>
        <w:tabs>
          <w:tab w:leader="none" w:pos="2160" w:val="left"/>
        </w:tabs>
        <w:numPr>
          <w:ilvl w:val="1"/>
          <w:numId w:val="22"/>
        </w:numPr>
        <w:rPr>
          <w:rFonts w:ascii="Arial" w:cs="Arial" w:eastAsia="Arial" w:hAnsi="Arial"/>
          <w:sz w:val="19"/>
          <w:szCs w:val="19"/>
          <w:color w:val="auto"/>
        </w:rPr>
      </w:pPr>
      <w:r>
        <w:rPr>
          <w:rFonts w:ascii="Arial" w:cs="Arial" w:eastAsia="Arial" w:hAnsi="Arial"/>
          <w:sz w:val="19"/>
          <w:szCs w:val="19"/>
          <w:color w:val="auto"/>
        </w:rPr>
        <w:t xml:space="preserve">The Company will not, without the prior written consent of J.P. Morgan Securities LLC and Morgan Stanley &amp; Co. LLC,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other Ordinary Shares or any securities convertible into, or exercisable, or exchangeable for, Ordinary Shares; or publicly announce an intention to effect any such transaction, until the Business Day set forth on Schedule I 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may issue and sell Ordinary Shares pursuant to any employee stock option plan, stock ownership plan or dividend reinvestment plan of the Company in effect at the Execution Time and the Company may issue Ordinary Shares issuable upon the conversion of securities or the exercise of warrants outstanding at the Execution Time.</w:t>
      </w:r>
    </w:p>
    <w:p>
      <w:pPr>
        <w:spacing w:after="0" w:line="200" w:lineRule="exact"/>
        <w:rPr>
          <w:rFonts w:ascii="Arial" w:cs="Arial" w:eastAsia="Arial" w:hAnsi="Arial"/>
          <w:sz w:val="19"/>
          <w:szCs w:val="19"/>
          <w:color w:val="auto"/>
        </w:rPr>
      </w:pPr>
    </w:p>
    <w:p>
      <w:pPr>
        <w:jc w:val="both"/>
        <w:ind w:left="660" w:firstLine="645"/>
        <w:spacing w:after="0" w:line="312" w:lineRule="auto"/>
        <w:tabs>
          <w:tab w:leader="none" w:pos="2209" w:val="left"/>
        </w:tabs>
        <w:numPr>
          <w:ilvl w:val="1"/>
          <w:numId w:val="22"/>
        </w:numPr>
        <w:rPr>
          <w:rFonts w:ascii="Arial" w:cs="Arial" w:eastAsia="Arial" w:hAnsi="Arial"/>
          <w:sz w:val="19"/>
          <w:szCs w:val="19"/>
          <w:color w:val="auto"/>
        </w:rPr>
      </w:pPr>
      <w:r>
        <w:rPr>
          <w:rFonts w:ascii="Arial" w:cs="Arial" w:eastAsia="Arial" w:hAnsi="Arial"/>
          <w:sz w:val="19"/>
          <w:szCs w:val="19"/>
          <w:color w:val="auto"/>
        </w:rPr>
        <w:t>The Company will not take, directly or indirectly, any action designed to or that would constitute or that might reasonably be expected to cause or result in, under the Exchange Act or otherwise, stabilization or manipulation of the price of any security of the Company or its subsidiaries to facilitate the sale or resale of the Securities.</w:t>
      </w:r>
    </w:p>
    <w:p>
      <w:pPr>
        <w:spacing w:after="0" w:line="174" w:lineRule="exact"/>
        <w:rPr>
          <w:rFonts w:ascii="Arial" w:cs="Arial" w:eastAsia="Arial" w:hAnsi="Arial"/>
          <w:sz w:val="19"/>
          <w:szCs w:val="19"/>
          <w:color w:val="auto"/>
        </w:rPr>
      </w:pPr>
    </w:p>
    <w:p>
      <w:pPr>
        <w:jc w:val="both"/>
        <w:ind w:left="660" w:firstLine="645"/>
        <w:spacing w:after="0" w:line="284" w:lineRule="auto"/>
        <w:tabs>
          <w:tab w:leader="none" w:pos="2160" w:val="left"/>
        </w:tabs>
        <w:numPr>
          <w:ilvl w:val="1"/>
          <w:numId w:val="22"/>
        </w:numPr>
        <w:rPr>
          <w:rFonts w:ascii="Arial" w:cs="Arial" w:eastAsia="Arial" w:hAnsi="Arial"/>
          <w:sz w:val="19"/>
          <w:szCs w:val="19"/>
          <w:color w:val="auto"/>
        </w:rPr>
      </w:pPr>
      <w:r>
        <w:rPr>
          <w:rFonts w:ascii="Arial" w:cs="Arial" w:eastAsia="Arial" w:hAnsi="Arial"/>
          <w:sz w:val="19"/>
          <w:szCs w:val="19"/>
          <w:color w:val="auto"/>
        </w:rPr>
        <w:t>The Company agrees to pay the costs, expenses and taxes relating to the following matters: (i) the preparation, printing or reproduction and filing with the Commission of the Registration Statement (including financial statements and exhibits thereto), each Preliminary Prospectus, the Final Prospectus and each Issuer Free Writing Prospectus, and each amendment or supplement to any of them; (ii) the printing (or reproduction) and delivery (including postage, air freight charges and charges for counting and packaging) of such copies of the Registration Statement, each Preliminary Prospectus, the Final Prospectus and each Issuer Free Writing Prospectus, and all amendments or supplements to any of them, as may, in each case, be reasonably requested for use in connection with the offering and sale of the Securities;</w:t>
      </w:r>
    </w:p>
    <w:p>
      <w:pPr>
        <w:spacing w:after="0" w:line="4" w:lineRule="exact"/>
        <w:rPr>
          <w:rFonts w:ascii="Arial" w:cs="Arial" w:eastAsia="Arial" w:hAnsi="Arial"/>
          <w:sz w:val="19"/>
          <w:szCs w:val="19"/>
          <w:color w:val="auto"/>
        </w:rPr>
      </w:pPr>
    </w:p>
    <w:p>
      <w:pPr>
        <w:jc w:val="both"/>
        <w:ind w:left="660" w:hanging="4"/>
        <w:spacing w:after="0" w:line="281" w:lineRule="auto"/>
        <w:tabs>
          <w:tab w:leader="none" w:pos="105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preparation, printing, authentication, issuance and delivery of certificates for the Securities, including any stock or transfer taxes and stamp or similar duties payable upon the issuance, sale or delivery of the Securities to the Underwriters;</w:t>
      </w:r>
    </w:p>
    <w:p>
      <w:pPr>
        <w:spacing w:after="0" w:line="1" w:lineRule="exact"/>
        <w:rPr>
          <w:rFonts w:ascii="Arial" w:cs="Arial" w:eastAsia="Arial" w:hAnsi="Arial"/>
          <w:sz w:val="19"/>
          <w:szCs w:val="19"/>
          <w:color w:val="auto"/>
        </w:rPr>
      </w:pPr>
    </w:p>
    <w:p>
      <w:pPr>
        <w:jc w:val="both"/>
        <w:ind w:left="660" w:hanging="4"/>
        <w:spacing w:after="0" w:line="244" w:lineRule="auto"/>
        <w:tabs>
          <w:tab w:leader="none" w:pos="104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printing (or reproduction) and delivery of this Agreement, any blue sky memorandum and all other agreements or documents printed (or reproduced) and delivered in connection with the offering of the Securities; (v) the registration of the Securities under the Exchange Act and the listing of the Securities on the New York Stock Exchange; (vi) any registration or qualification of the Securities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1420"/>
          </w:cols>
          <w:pgMar w:left="240" w:top="847" w:right="239" w:bottom="1440" w:gutter="0" w:footer="0" w:header="0"/>
        </w:sectPr>
      </w:pPr>
    </w:p>
    <w:bookmarkStart w:id="21" w:name="page22"/>
    <w:bookmarkEnd w:id="21"/>
    <w:p>
      <w:pPr>
        <w:jc w:val="both"/>
        <w:ind w:left="660"/>
        <w:spacing w:after="0" w:line="288" w:lineRule="auto"/>
        <w:rPr>
          <w:sz w:val="20"/>
          <w:szCs w:val="20"/>
          <w:color w:val="auto"/>
        </w:rPr>
      </w:pPr>
      <w:r>
        <w:rPr>
          <w:rFonts w:ascii="Arial" w:cs="Arial" w:eastAsia="Arial" w:hAnsi="Arial"/>
          <w:sz w:val="19"/>
          <w:szCs w:val="19"/>
          <w:color w:val="auto"/>
        </w:rPr>
        <w:t>for offer and sale under the securities or blue sky laws of the several states (including filing fees and the reasonable fees and expenses of counsel for the Underwriters relating to such registration and qualification); (vii) any filings required to be made with the Financial Industry Regulatory Authority, Inc. (“FINRA”) (including filing fees and the reasonable fees and expenses of counsel for the Underwriters relating to such filings); (viii) the transportation and other expenses incurred by or on behalf of Company representatives in connection with presentations to prospective purchasers of the Securities; (ix) the fees and expenses of the Company’s accountants and the fees and expenses of counsel (including local and special counsel) for the Company; and (x) all other costs and expenses incident to the performance by the Company of its obligations hereunder; provided that the Underwriters shall pay their own costs and expenses, including the costs and expenses of counsel, any transfer taxes on the Securities that they may sell and the expenses of advertising any offering of the Securities made by the Underwriters.</w:t>
      </w:r>
    </w:p>
    <w:p>
      <w:pPr>
        <w:spacing w:after="0" w:line="201" w:lineRule="exact"/>
        <w:rPr>
          <w:sz w:val="20"/>
          <w:szCs w:val="20"/>
          <w:color w:val="auto"/>
        </w:rPr>
      </w:pPr>
    </w:p>
    <w:p>
      <w:pPr>
        <w:jc w:val="both"/>
        <w:ind w:firstLine="1305"/>
        <w:spacing w:after="0" w:line="297" w:lineRule="auto"/>
        <w:tabs>
          <w:tab w:leader="none" w:pos="2107"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Conditions to the Obligations of the Underwriters</w:t>
      </w:r>
      <w:r>
        <w:rPr>
          <w:rFonts w:ascii="Arial" w:cs="Arial" w:eastAsia="Arial" w:hAnsi="Arial"/>
          <w:sz w:val="19"/>
          <w:szCs w:val="19"/>
          <w:color w:val="auto"/>
        </w:rPr>
        <w:t>. The obligations of the Underwriters to purchase the Underwritten Securities and the Option Securities, as the case may be, shall be subject to the accuracy of the representations and warranties on the part of the Company contained herein as of the Execution Time, the Closing Date and any settlement date pursuant to Section 3 hereof, to the accuracy of the statements of the Company made in any certificates pursuant to the provisions hereof, to the performance by the Company of its obligations hereunder and to the following additional conditions:</w:t>
      </w:r>
    </w:p>
    <w:p>
      <w:pPr>
        <w:spacing w:after="0" w:line="188" w:lineRule="exact"/>
        <w:rPr>
          <w:sz w:val="20"/>
          <w:szCs w:val="20"/>
          <w:color w:val="auto"/>
        </w:rPr>
      </w:pPr>
    </w:p>
    <w:p>
      <w:pPr>
        <w:jc w:val="both"/>
        <w:ind w:left="660" w:firstLine="645"/>
        <w:spacing w:after="0" w:line="297" w:lineRule="auto"/>
        <w:tabs>
          <w:tab w:leader="none" w:pos="2196"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Final Prospectus, and any supplement thereto, have been filed in the manner and within the time period required by Rule 424(b); any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187" w:lineRule="exact"/>
        <w:rPr>
          <w:rFonts w:ascii="Arial" w:cs="Arial" w:eastAsia="Arial" w:hAnsi="Arial"/>
          <w:sz w:val="19"/>
          <w:szCs w:val="19"/>
          <w:color w:val="auto"/>
        </w:rPr>
      </w:pPr>
    </w:p>
    <w:p>
      <w:pPr>
        <w:jc w:val="both"/>
        <w:ind w:left="660" w:firstLine="645"/>
        <w:spacing w:after="0" w:line="250" w:lineRule="auto"/>
        <w:tabs>
          <w:tab w:leader="none" w:pos="2209"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Company shall have requested and caused Latham &amp; Watkins LLP, counsel for the Company, to have furnished to the Representatives their opinion and negative assurance letters, each dated the Closing Date, and, if applicable, any settlement date pursuant to Section 3 hereof, and addressed to the Representatives, to the effect set forth in Annex A-1 and Annex A-2, respectively.</w:t>
      </w:r>
    </w:p>
    <w:p>
      <w:pPr>
        <w:spacing w:after="0" w:line="228" w:lineRule="exact"/>
        <w:rPr>
          <w:rFonts w:ascii="Arial" w:cs="Arial" w:eastAsia="Arial" w:hAnsi="Arial"/>
          <w:sz w:val="22"/>
          <w:szCs w:val="22"/>
          <w:color w:val="auto"/>
        </w:rPr>
      </w:pPr>
    </w:p>
    <w:p>
      <w:pPr>
        <w:jc w:val="both"/>
        <w:ind w:left="660" w:firstLine="645"/>
        <w:spacing w:after="0" w:line="250" w:lineRule="auto"/>
        <w:tabs>
          <w:tab w:leader="none" w:pos="2196"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Company shall have requested and caused the Executive Vice President, General Counsel and Corporate Secretary of the Company to have furnished to the Representatives her opinion, dated the Closing Date and, if applicable, any settlement date pursuant to Section 3 hereof, and addressed to the Representatives, to the effect set forth in Annex B.</w:t>
      </w:r>
    </w:p>
    <w:p>
      <w:pPr>
        <w:spacing w:after="0" w:line="228" w:lineRule="exact"/>
        <w:rPr>
          <w:rFonts w:ascii="Arial" w:cs="Arial" w:eastAsia="Arial" w:hAnsi="Arial"/>
          <w:sz w:val="22"/>
          <w:szCs w:val="22"/>
          <w:color w:val="auto"/>
        </w:rPr>
      </w:pPr>
    </w:p>
    <w:p>
      <w:pPr>
        <w:jc w:val="both"/>
        <w:ind w:left="660" w:firstLine="645"/>
        <w:spacing w:after="0" w:line="312" w:lineRule="auto"/>
        <w:tabs>
          <w:tab w:leader="none" w:pos="2209"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Company shall have requested and caused Matheson, special Ireland counsel for the Company, to have furnished to the Representatives their opinion, dated the Closing Date and, if applicable, any settlement date pursuant to Section 3 hereof, and addressed to the Representatives, to the effect set forth in Annex 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1420"/>
          </w:cols>
          <w:pgMar w:left="240" w:top="847" w:right="239" w:bottom="1440" w:gutter="0" w:footer="0" w:header="0"/>
        </w:sectPr>
      </w:pPr>
    </w:p>
    <w:bookmarkStart w:id="22" w:name="page23"/>
    <w:bookmarkEnd w:id="22"/>
    <w:p>
      <w:pPr>
        <w:jc w:val="both"/>
        <w:ind w:left="660" w:firstLine="645"/>
        <w:spacing w:after="0" w:line="312" w:lineRule="auto"/>
        <w:tabs>
          <w:tab w:leader="none" w:pos="2196"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Company shall have requested and caused PricewaterhouseCoopers AG, Switzerland, special advisor for the Company to have furnished to the Representatives their opinion, dated the Closing Date, and, if applicable, any settlement date pursuant to Section 3 hereof, and addressed to the Representatives, to the effect set forth in Annex D.</w:t>
      </w:r>
    </w:p>
    <w:p>
      <w:pPr>
        <w:spacing w:after="0" w:line="174" w:lineRule="exact"/>
        <w:rPr>
          <w:rFonts w:ascii="Arial" w:cs="Arial" w:eastAsia="Arial" w:hAnsi="Arial"/>
          <w:sz w:val="19"/>
          <w:szCs w:val="19"/>
          <w:color w:val="auto"/>
        </w:rPr>
      </w:pPr>
    </w:p>
    <w:p>
      <w:pPr>
        <w:jc w:val="both"/>
        <w:ind w:left="660" w:firstLine="645"/>
        <w:spacing w:after="0" w:line="261" w:lineRule="auto"/>
        <w:tabs>
          <w:tab w:leader="none" w:pos="2172" w:val="left"/>
        </w:tabs>
        <w:numPr>
          <w:ilvl w:val="0"/>
          <w:numId w:val="26"/>
        </w:numPr>
        <w:rPr>
          <w:rFonts w:ascii="Arial" w:cs="Arial" w:eastAsia="Arial" w:hAnsi="Arial"/>
          <w:sz w:val="21"/>
          <w:szCs w:val="21"/>
          <w:color w:val="auto"/>
        </w:rPr>
      </w:pPr>
      <w:r>
        <w:rPr>
          <w:rFonts w:ascii="Arial" w:cs="Arial" w:eastAsia="Arial" w:hAnsi="Arial"/>
          <w:sz w:val="21"/>
          <w:szCs w:val="21"/>
          <w:color w:val="auto"/>
        </w:rPr>
        <w:t>The Representatives shall have received from Morrison &amp; Foerster LLP, counsel for the Underwriters, such opinion or opinions, dated the Closing Date and, if applicable, any settlement date pursuant to Section 3 hereof, and addressed to the Representatives, with respect to the issuance and sale of the Securities, the Registration Statement, the Disclosure Package, the Final Prospectus (together with any supplement thereto) and other related matters as the Representatives may reasonably require, and the Company shall have furnished to such counsel such documents as they request for the purpose of enabling them to pass upon such matters.</w:t>
      </w:r>
    </w:p>
    <w:p>
      <w:pPr>
        <w:spacing w:after="0" w:line="220" w:lineRule="exact"/>
        <w:rPr>
          <w:rFonts w:ascii="Arial" w:cs="Arial" w:eastAsia="Arial" w:hAnsi="Arial"/>
          <w:sz w:val="21"/>
          <w:szCs w:val="21"/>
          <w:color w:val="auto"/>
        </w:rPr>
      </w:pPr>
    </w:p>
    <w:p>
      <w:pPr>
        <w:jc w:val="both"/>
        <w:ind w:left="660" w:firstLine="645"/>
        <w:spacing w:after="0" w:line="261" w:lineRule="auto"/>
        <w:tabs>
          <w:tab w:leader="none" w:pos="2209" w:val="left"/>
        </w:tabs>
        <w:numPr>
          <w:ilvl w:val="0"/>
          <w:numId w:val="26"/>
        </w:numPr>
        <w:rPr>
          <w:rFonts w:ascii="Arial" w:cs="Arial" w:eastAsia="Arial" w:hAnsi="Arial"/>
          <w:sz w:val="21"/>
          <w:szCs w:val="21"/>
          <w:color w:val="auto"/>
        </w:rPr>
      </w:pPr>
      <w:r>
        <w:rPr>
          <w:rFonts w:ascii="Arial" w:cs="Arial" w:eastAsia="Arial" w:hAnsi="Arial"/>
          <w:sz w:val="21"/>
          <w:szCs w:val="21"/>
          <w:color w:val="auto"/>
        </w:rPr>
        <w:t>The Representatives shall have received from A&amp;L Goodbody, special Ireland counsel for the Underwriters, such opinion or opinions, dated the Closing Date and, if applicable, any settlement date pursuant to Section 3 hereof, and addressed to the Representatives, with respect to the issuance and sale of the Securities, the Registration Statement, the Disclosure Package, the Final Prospectus (together with any supplement thereto) and other related matters as the Representatives may reasonably require, and the Company shall have furnished to such counsel such documents as they request for the purpose of enabling them to pass upon such matters.</w:t>
      </w:r>
    </w:p>
    <w:p>
      <w:pPr>
        <w:spacing w:after="0" w:line="220" w:lineRule="exact"/>
        <w:rPr>
          <w:rFonts w:ascii="Arial" w:cs="Arial" w:eastAsia="Arial" w:hAnsi="Arial"/>
          <w:sz w:val="21"/>
          <w:szCs w:val="21"/>
          <w:color w:val="auto"/>
        </w:rPr>
      </w:pPr>
    </w:p>
    <w:p>
      <w:pPr>
        <w:jc w:val="both"/>
        <w:ind w:left="660" w:firstLine="645"/>
        <w:spacing w:after="0" w:line="247" w:lineRule="auto"/>
        <w:tabs>
          <w:tab w:leader="none" w:pos="2209"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Company shall have furnished to the Representatives a certificate of the Company, signed by the Chief Executive Officer or the President and the principal financial or accounting officer of the Company, dated the Closing Date, and, if applicable, any settlement date pursuant to Section 3 hereof, to the effect that the signers of such certificate have carefully examined the Registration Statement, the Disclosure Package, the Final Prospectus and any supplements or amendments thereto, as well as each electronic road show used in connection with the offering of the Securities, and this Agreement and that:</w:t>
      </w:r>
    </w:p>
    <w:p>
      <w:pPr>
        <w:spacing w:after="0" w:line="234" w:lineRule="exact"/>
        <w:rPr>
          <w:rFonts w:ascii="Arial" w:cs="Arial" w:eastAsia="Arial" w:hAnsi="Arial"/>
          <w:sz w:val="22"/>
          <w:szCs w:val="22"/>
          <w:color w:val="auto"/>
        </w:rPr>
      </w:pPr>
    </w:p>
    <w:p>
      <w:pPr>
        <w:jc w:val="both"/>
        <w:ind w:left="1300" w:firstLine="653"/>
        <w:spacing w:after="0" w:line="250" w:lineRule="auto"/>
        <w:tabs>
          <w:tab w:leader="none" w:pos="2800" w:val="left"/>
        </w:tabs>
        <w:numPr>
          <w:ilvl w:val="1"/>
          <w:numId w:val="26"/>
        </w:numPr>
        <w:rPr>
          <w:rFonts w:ascii="Arial" w:cs="Arial" w:eastAsia="Arial" w:hAnsi="Arial"/>
          <w:sz w:val="22"/>
          <w:szCs w:val="22"/>
          <w:color w:val="auto"/>
        </w:rPr>
      </w:pPr>
      <w:r>
        <w:rPr>
          <w:rFonts w:ascii="Arial" w:cs="Arial" w:eastAsia="Arial" w:hAnsi="Arial"/>
          <w:sz w:val="22"/>
          <w:szCs w:val="22"/>
          <w:color w:val="auto"/>
        </w:rPr>
        <w:t>the representations and warranties of the Company in this Agreement are true and correct on and as of the Closing Date with the same effect as if made on the Closing Date and that each of the Company has materially complied with all the agreements and satisfied all the conditions on its part to be performed or satisfied at or prior to the Closing Date;</w:t>
      </w:r>
    </w:p>
    <w:p>
      <w:pPr>
        <w:spacing w:after="0" w:line="228" w:lineRule="exact"/>
        <w:rPr>
          <w:rFonts w:ascii="Arial" w:cs="Arial" w:eastAsia="Arial" w:hAnsi="Arial"/>
          <w:sz w:val="22"/>
          <w:szCs w:val="22"/>
          <w:color w:val="auto"/>
        </w:rPr>
      </w:pPr>
    </w:p>
    <w:p>
      <w:pPr>
        <w:jc w:val="both"/>
        <w:ind w:left="1300" w:firstLine="653"/>
        <w:spacing w:after="0" w:line="253" w:lineRule="auto"/>
        <w:tabs>
          <w:tab w:leader="none" w:pos="2860" w:val="left"/>
        </w:tabs>
        <w:numPr>
          <w:ilvl w:val="1"/>
          <w:numId w:val="26"/>
        </w:numPr>
        <w:rPr>
          <w:rFonts w:ascii="Arial" w:cs="Arial" w:eastAsia="Arial" w:hAnsi="Arial"/>
          <w:sz w:val="22"/>
          <w:szCs w:val="22"/>
          <w:color w:val="auto"/>
        </w:rPr>
      </w:pPr>
      <w:r>
        <w:rPr>
          <w:rFonts w:ascii="Arial" w:cs="Arial" w:eastAsia="Arial" w:hAnsi="Arial"/>
          <w:sz w:val="22"/>
          <w:szCs w:val="22"/>
          <w:color w:val="auto"/>
        </w:rPr>
        <w:t>no stop order suspending the effectiveness of the Registration Statement or any notice objecting to its use has been issued and no proceedings for that purpose have been instituted or, to the knowledge of the Company, threatened; and</w:t>
      </w:r>
    </w:p>
    <w:p>
      <w:pPr>
        <w:spacing w:after="0" w:line="226" w:lineRule="exact"/>
        <w:rPr>
          <w:rFonts w:ascii="Arial" w:cs="Arial" w:eastAsia="Arial" w:hAnsi="Arial"/>
          <w:sz w:val="22"/>
          <w:szCs w:val="22"/>
          <w:color w:val="auto"/>
        </w:rPr>
      </w:pPr>
    </w:p>
    <w:p>
      <w:pPr>
        <w:jc w:val="both"/>
        <w:ind w:left="1300" w:firstLine="653"/>
        <w:spacing w:after="0" w:line="253" w:lineRule="auto"/>
        <w:tabs>
          <w:tab w:leader="none" w:pos="2920" w:val="left"/>
        </w:tabs>
        <w:numPr>
          <w:ilvl w:val="1"/>
          <w:numId w:val="26"/>
        </w:numPr>
        <w:rPr>
          <w:rFonts w:ascii="Arial" w:cs="Arial" w:eastAsia="Arial" w:hAnsi="Arial"/>
          <w:sz w:val="22"/>
          <w:szCs w:val="22"/>
          <w:color w:val="auto"/>
        </w:rPr>
      </w:pPr>
      <w:r>
        <w:rPr>
          <w:rFonts w:ascii="Arial" w:cs="Arial" w:eastAsia="Arial" w:hAnsi="Arial"/>
          <w:sz w:val="22"/>
          <w:szCs w:val="22"/>
          <w:color w:val="auto"/>
        </w:rPr>
        <w:t>since the date of the most recent financial statements included in the Disclosure Package and the Final Prospectus (exclusive of any supplement thereto), there has been no material adverse effect on the condition (financial or otherwise), prospects, earnings, business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1420"/>
          </w:cols>
          <w:pgMar w:left="240" w:top="1104" w:right="239" w:bottom="1440" w:gutter="0" w:footer="0" w:header="0"/>
        </w:sectPr>
      </w:pPr>
    </w:p>
    <w:bookmarkStart w:id="23" w:name="page24"/>
    <w:bookmarkEnd w:id="23"/>
    <w:p>
      <w:pPr>
        <w:jc w:val="both"/>
        <w:ind w:left="1300"/>
        <w:spacing w:after="0" w:line="253" w:lineRule="auto"/>
        <w:rPr>
          <w:sz w:val="20"/>
          <w:szCs w:val="20"/>
          <w:color w:val="auto"/>
        </w:rPr>
      </w:pPr>
      <w:r>
        <w:rPr>
          <w:rFonts w:ascii="Arial" w:cs="Arial" w:eastAsia="Arial" w:hAnsi="Arial"/>
          <w:sz w:val="22"/>
          <w:szCs w:val="22"/>
          <w:color w:val="auto"/>
        </w:rPr>
        <w:t>or properties of the Company and its subsidiaries, taken as a whole, whether or not arising from transactions in the ordinary course of business, except as set forth in or contemplated in the Disclosure Package and the Final Prospectus (exclusive of any supplement thereto).</w:t>
      </w:r>
    </w:p>
    <w:p>
      <w:pPr>
        <w:spacing w:after="0" w:line="226" w:lineRule="exact"/>
        <w:rPr>
          <w:sz w:val="20"/>
          <w:szCs w:val="20"/>
          <w:color w:val="auto"/>
        </w:rPr>
      </w:pPr>
    </w:p>
    <w:p>
      <w:pPr>
        <w:jc w:val="both"/>
        <w:ind w:left="660" w:firstLine="645"/>
        <w:spacing w:after="0" w:line="247" w:lineRule="auto"/>
        <w:tabs>
          <w:tab w:leader="none" w:pos="21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Immediately following the Execution Time, the Representatives shall receive from KPMG LLP a letter, dated as of the date of this Agreement,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relating to the Company and its subsidiaries contained in the Registration Statement and the Preliminary Prospectus.</w:t>
      </w:r>
    </w:p>
    <w:p>
      <w:pPr>
        <w:spacing w:after="0" w:line="234" w:lineRule="exact"/>
        <w:rPr>
          <w:rFonts w:ascii="Arial" w:cs="Arial" w:eastAsia="Arial" w:hAnsi="Arial"/>
          <w:sz w:val="22"/>
          <w:szCs w:val="22"/>
          <w:color w:val="auto"/>
        </w:rPr>
      </w:pPr>
    </w:p>
    <w:p>
      <w:pPr>
        <w:jc w:val="both"/>
        <w:ind w:left="660" w:firstLine="645"/>
        <w:spacing w:after="0" w:line="246" w:lineRule="auto"/>
        <w:tabs>
          <w:tab w:leader="none" w:pos="21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On the Closing Date and on any settlement date, the Representatives shall have received from KPMG LLP a letter, dated as of the Closing Date or the settlement date, as applicable, to the effect that they reaffirm the statements made in the letter furnished pursuant to subsection (i) of this Section, except that the cut-off date for certain procedures performed by them shall be a date not more than two business days prior to the Closing Date or the settlement date, as applicable, and providing information of the type ordinarily included in accountants’ “comfort letters” to underwriters with respect to the financial statements and certain financial information relating to the Company and its subsidiaries contained in the Final Prospectus.</w:t>
      </w:r>
    </w:p>
    <w:p>
      <w:pPr>
        <w:spacing w:after="0" w:line="237" w:lineRule="exact"/>
        <w:rPr>
          <w:rFonts w:ascii="Arial" w:cs="Arial" w:eastAsia="Arial" w:hAnsi="Arial"/>
          <w:sz w:val="22"/>
          <w:szCs w:val="22"/>
          <w:color w:val="auto"/>
        </w:rPr>
      </w:pPr>
    </w:p>
    <w:p>
      <w:pPr>
        <w:jc w:val="both"/>
        <w:ind w:left="660" w:firstLine="645"/>
        <w:spacing w:after="0" w:line="258" w:lineRule="auto"/>
        <w:tabs>
          <w:tab w:leader="none" w:pos="2209" w:val="left"/>
        </w:tabs>
        <w:numPr>
          <w:ilvl w:val="0"/>
          <w:numId w:val="27"/>
        </w:numPr>
        <w:rPr>
          <w:rFonts w:ascii="Arial" w:cs="Arial" w:eastAsia="Arial" w:hAnsi="Arial"/>
          <w:sz w:val="21"/>
          <w:szCs w:val="21"/>
          <w:color w:val="auto"/>
        </w:rPr>
      </w:pPr>
      <w:r>
        <w:rPr>
          <w:rFonts w:ascii="Arial" w:cs="Arial" w:eastAsia="Arial" w:hAnsi="Arial"/>
          <w:sz w:val="21"/>
          <w:szCs w:val="21"/>
          <w:color w:val="auto"/>
        </w:rPr>
        <w:t>Subsequent to the Execution Time or, if earlier, the dates as of which information is given in the Registration Statement (exclusive of any amendment thereof) and the Final Prospectus (exclusive of any amendment or supplement thereto), there shall not have been (i) any change or decrease specified in the letter or letters referred to in paragraph (h) of this Section 6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in or contemplated in the Disclosure Package and the Final Prospectus (exclusive of any amendment or supplement thereto) the effect of which, in any case referred to in clause (i) or (ii) above, is, in the sole judgment of the Representatives, so material and adverse as to make it impractical or inadvisable to proceed with the offering or delivery of the Securities as contemplated by the Registration Statement (exclusive of any amendment thereof), the Disclosure Package and the Final Prospectus (exclusive of any amendment or supplement thereto).</w:t>
      </w:r>
    </w:p>
    <w:p>
      <w:pPr>
        <w:spacing w:after="0" w:line="223" w:lineRule="exact"/>
        <w:rPr>
          <w:rFonts w:ascii="Arial" w:cs="Arial" w:eastAsia="Arial" w:hAnsi="Arial"/>
          <w:sz w:val="21"/>
          <w:szCs w:val="21"/>
          <w:color w:val="auto"/>
        </w:rPr>
      </w:pPr>
    </w:p>
    <w:p>
      <w:pPr>
        <w:jc w:val="both"/>
        <w:ind w:left="660" w:firstLine="645"/>
        <w:spacing w:after="0" w:line="302" w:lineRule="auto"/>
        <w:tabs>
          <w:tab w:leader="none" w:pos="2160" w:val="left"/>
        </w:tabs>
        <w:numPr>
          <w:ilvl w:val="0"/>
          <w:numId w:val="27"/>
        </w:numPr>
        <w:rPr>
          <w:rFonts w:ascii="Arial" w:cs="Arial" w:eastAsia="Arial" w:hAnsi="Arial"/>
          <w:sz w:val="19"/>
          <w:szCs w:val="19"/>
          <w:color w:val="auto"/>
        </w:rPr>
      </w:pPr>
      <w:r>
        <w:rPr>
          <w:rFonts w:ascii="Arial" w:cs="Arial" w:eastAsia="Arial" w:hAnsi="Arial"/>
          <w:sz w:val="19"/>
          <w:szCs w:val="19"/>
          <w:color w:val="auto"/>
        </w:rPr>
        <w:t>Subsequent to the Execution Time, there shall not have been any decrease in the rating of any of the debt securities of the Company or any of its subsidiaries by any “nationally recognized statistical rating organization” (as defined for purposes of Rule 3(a)(62) under the Exchange Act) or any notice given of any intended or potential decrease in any such rating or of a possible change in any such rating that does not indicate the direction of the possible change.</w:t>
      </w:r>
    </w:p>
    <w:p>
      <w:pPr>
        <w:spacing w:after="0" w:line="183" w:lineRule="exact"/>
        <w:rPr>
          <w:rFonts w:ascii="Arial" w:cs="Arial" w:eastAsia="Arial" w:hAnsi="Arial"/>
          <w:sz w:val="19"/>
          <w:szCs w:val="19"/>
          <w:color w:val="auto"/>
        </w:rPr>
      </w:pPr>
    </w:p>
    <w:p>
      <w:pPr>
        <w:ind w:left="660" w:firstLine="645"/>
        <w:spacing w:after="0" w:line="263" w:lineRule="auto"/>
        <w:tabs>
          <w:tab w:leader="none" w:pos="2268" w:val="left"/>
        </w:tabs>
        <w:numPr>
          <w:ilvl w:val="0"/>
          <w:numId w:val="27"/>
        </w:numPr>
        <w:rPr>
          <w:rFonts w:ascii="Arial" w:cs="Arial" w:eastAsia="Arial" w:hAnsi="Arial"/>
          <w:sz w:val="22"/>
          <w:szCs w:val="22"/>
          <w:color w:val="auto"/>
        </w:rPr>
      </w:pPr>
      <w:r>
        <w:rPr>
          <w:rFonts w:ascii="Arial" w:cs="Arial" w:eastAsia="Arial" w:hAnsi="Arial"/>
          <w:sz w:val="22"/>
          <w:szCs w:val="22"/>
          <w:color w:val="auto"/>
        </w:rPr>
        <w:t>Prior to the Closing Date, the Company shall have furnished to the Representatives such further information, certificates and documents as the Representatives may reasonably request.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1420"/>
          </w:cols>
          <w:pgMar w:left="240" w:top="847" w:right="239" w:bottom="1440" w:gutter="0" w:footer="0" w:header="0"/>
        </w:sectPr>
      </w:pPr>
    </w:p>
    <w:bookmarkStart w:id="24" w:name="page25"/>
    <w:bookmarkEnd w:id="24"/>
    <w:p>
      <w:pPr>
        <w:ind w:left="660" w:right="20" w:firstLine="645"/>
        <w:spacing w:after="0" w:line="263" w:lineRule="auto"/>
        <w:tabs>
          <w:tab w:leader="none" w:pos="2209"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Securities shall have been listed and admitted and authorized for trading on the New York Stock Exchange, and satisfactory evidence of such actions shall have been provided to the Representatives.</w:t>
      </w:r>
    </w:p>
    <w:p>
      <w:pPr>
        <w:spacing w:after="0" w:line="215" w:lineRule="exact"/>
        <w:rPr>
          <w:rFonts w:ascii="Arial" w:cs="Arial" w:eastAsia="Arial" w:hAnsi="Arial"/>
          <w:sz w:val="22"/>
          <w:szCs w:val="22"/>
          <w:color w:val="auto"/>
        </w:rPr>
      </w:pPr>
    </w:p>
    <w:p>
      <w:pPr>
        <w:ind w:left="660" w:firstLine="645"/>
        <w:spacing w:after="0" w:line="343" w:lineRule="auto"/>
        <w:tabs>
          <w:tab w:leader="none" w:pos="2209" w:val="left"/>
        </w:tabs>
        <w:numPr>
          <w:ilvl w:val="0"/>
          <w:numId w:val="28"/>
        </w:numPr>
        <w:rPr>
          <w:rFonts w:ascii="Arial" w:cs="Arial" w:eastAsia="Arial" w:hAnsi="Arial"/>
          <w:sz w:val="19"/>
          <w:szCs w:val="19"/>
          <w:color w:val="auto"/>
        </w:rPr>
      </w:pPr>
      <w:r>
        <w:rPr>
          <w:rFonts w:ascii="Arial" w:cs="Arial" w:eastAsia="Arial" w:hAnsi="Arial"/>
          <w:sz w:val="19"/>
          <w:szCs w:val="19"/>
          <w:color w:val="auto"/>
        </w:rPr>
        <w:t>At the Execution Time, the Company shall have furnished to the Representatives a letter substantially in the form of Exhibit A hereto from each person listed in Exhibit B hereto and addressed to the Representatives.</w:t>
      </w:r>
    </w:p>
    <w:p>
      <w:pPr>
        <w:spacing w:after="0" w:line="145"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Representatives and counsel for the Underwriters, this Agreement and all obligations of the Underwriters hereunder may be canceled at, or at any time prior to, the Closing Date by the Representatives. Notice of such cancellation shall be given to the Company in writing or by telephone or facsimile confirmed in writing.</w:t>
      </w:r>
    </w:p>
    <w:p>
      <w:pPr>
        <w:spacing w:after="0" w:line="147"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The documents required to be delivered by this Section 6 shall be delivered at the office of Latham &amp; Watkins LLP, special counsel to the Company, at 811 Main Street, Suite 3700, Houston, Texas 77002, on the Closing Date.</w:t>
      </w:r>
    </w:p>
    <w:p>
      <w:pPr>
        <w:spacing w:after="0" w:line="105" w:lineRule="exact"/>
        <w:rPr>
          <w:sz w:val="20"/>
          <w:szCs w:val="20"/>
          <w:color w:val="auto"/>
        </w:rPr>
      </w:pPr>
    </w:p>
    <w:p>
      <w:pPr>
        <w:jc w:val="both"/>
        <w:ind w:firstLine="1305"/>
        <w:spacing w:after="0" w:line="292" w:lineRule="auto"/>
        <w:tabs>
          <w:tab w:leader="none" w:pos="2107"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Reimbursement of Underwriters’ Expenses</w:t>
      </w:r>
      <w:r>
        <w:rPr>
          <w:rFonts w:ascii="Arial" w:cs="Arial" w:eastAsia="Arial" w:hAnsi="Arial"/>
          <w:sz w:val="19"/>
          <w:szCs w:val="19"/>
          <w:color w:val="auto"/>
        </w:rPr>
        <w:t>. If the sale of the Securities provided for herein is not consummated because any condition to the obligations of the Underwriters set forth in Section 6 hereof is not satisfied, because of any termination pursuant to Section 10 hereof (other than Sections 10(i)(B), (ii), (iii) or (iv)) or because of any refusal, inability or failure on the part of the Company to perform any agreement herein or comply with any provision hereof other than by reason of a default by any of the Underwriters, the Company will reimburse the Underwriters severally through J.P. Morgan Securities LLC on demand for all reasonable documented out-of-pocket expenses (including reasonable fees and disbursements of counsel) that shall have been incurred by them in connection with the proposed purchase and sale of the Securities.</w:t>
      </w:r>
    </w:p>
    <w:p>
      <w:pPr>
        <w:spacing w:after="0" w:line="192" w:lineRule="exact"/>
        <w:rPr>
          <w:rFonts w:ascii="Arial" w:cs="Arial" w:eastAsia="Arial" w:hAnsi="Arial"/>
          <w:sz w:val="19"/>
          <w:szCs w:val="19"/>
          <w:color w:val="auto"/>
        </w:rPr>
      </w:pPr>
    </w:p>
    <w:p>
      <w:pPr>
        <w:jc w:val="both"/>
        <w:ind w:firstLine="1305"/>
        <w:spacing w:after="0" w:line="288" w:lineRule="auto"/>
        <w:tabs>
          <w:tab w:leader="none" w:pos="2107"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Indemnification and Contribution</w:t>
      </w:r>
      <w:r>
        <w:rPr>
          <w:rFonts w:ascii="Arial" w:cs="Arial" w:eastAsia="Arial" w:hAnsi="Arial"/>
          <w:sz w:val="19"/>
          <w:szCs w:val="19"/>
          <w:color w:val="auto"/>
        </w:rPr>
        <w:t>. (a) The Company agrees to indemnify and hold harmless each Underwriter, its affiliates, directors, officers and employees, and agents who have or who are alleged to have participated in the distribution of the Securities as Underwriters (the “Selling Agents”)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as originally filed or in any amendment thereof, or in the Base Prospectus, any Preliminary Prospectus, the Final Prospectus, any Issuer Free Writing Prospectus, or in any amendment thereof or supplement thereto or arise out of or are based upon the omission or alleged omission to state therein a material fact required to be stated therein or necessary to make the statements therein not misleading,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1420"/>
          </w:cols>
          <w:pgMar w:left="240" w:top="1104" w:right="239" w:bottom="1440" w:gutter="0" w:footer="0" w:header="0"/>
        </w:sectPr>
      </w:pPr>
    </w:p>
    <w:bookmarkStart w:id="25" w:name="page26"/>
    <w:bookmarkEnd w:id="25"/>
    <w:p>
      <w:pPr>
        <w:jc w:val="both"/>
        <w:spacing w:after="0" w:line="294" w:lineRule="auto"/>
        <w:rPr>
          <w:sz w:val="20"/>
          <w:szCs w:val="20"/>
          <w:color w:val="auto"/>
        </w:rPr>
      </w:pPr>
      <w:r>
        <w:rPr>
          <w:rFonts w:ascii="Arial" w:cs="Arial" w:eastAsia="Arial" w:hAnsi="Arial"/>
          <w:sz w:val="19"/>
          <w:szCs w:val="19"/>
          <w:color w:val="auto"/>
        </w:rPr>
        <w:t xml:space="preserve">and agrees to reimburse each such indemnified party, as incurred, for any legal or other expenses reasonably incurred by them in connection with investigating or defending any such loss, claim, damage, liability or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This indemnity agreement will be in addition to any liability which the Company may otherwise have.</w:t>
      </w:r>
    </w:p>
    <w:p>
      <w:pPr>
        <w:spacing w:after="0" w:line="190" w:lineRule="exact"/>
        <w:rPr>
          <w:sz w:val="20"/>
          <w:szCs w:val="20"/>
          <w:color w:val="auto"/>
        </w:rPr>
      </w:pPr>
    </w:p>
    <w:p>
      <w:pPr>
        <w:jc w:val="both"/>
        <w:ind w:left="660" w:firstLine="645"/>
        <w:spacing w:after="0" w:line="258" w:lineRule="auto"/>
        <w:tabs>
          <w:tab w:leader="none" w:pos="2209" w:val="left"/>
        </w:tabs>
        <w:numPr>
          <w:ilvl w:val="0"/>
          <w:numId w:val="30"/>
        </w:numPr>
        <w:rPr>
          <w:rFonts w:ascii="Arial" w:cs="Arial" w:eastAsia="Arial" w:hAnsi="Arial"/>
          <w:sz w:val="21"/>
          <w:szCs w:val="21"/>
          <w:color w:val="auto"/>
        </w:rPr>
      </w:pPr>
      <w:r>
        <w:rPr>
          <w:rFonts w:ascii="Arial" w:cs="Arial" w:eastAsia="Arial" w:hAnsi="Arial"/>
          <w:sz w:val="21"/>
          <w:szCs w:val="21"/>
          <w:color w:val="auto"/>
        </w:rPr>
        <w:t>Each Underwriter severally and not jointly agrees to indemnify and hold harmless the Company, each of its directors, each of its officers who signs the Registration Statement, and each person who controls the Company within the meaning of either the Act or the Exchange Act, to the same extent as the foregoing indemnity from the Company to each Underwriter, but only with reference to written information relating to such Underwriter furnished to the Company by or on behalf of such Underwriter through the Representatives specifically for inclusion in the documents referred to in the foregoing indemnity. This indemnity agreement will be in addition to any liability which any Underwriter may otherwise have. The Company acknowledges that the statements set forth (i) in the last paragraph of the cover page regarding delivery of the Securities and, under the heading “Underwriting” or “Plan of Distribution”, (ii) the sentences related to concessions and reallowances and (iii) the paragraph related to stabilization, syndicate covering transactions and penalty bids in any Preliminary Prospectus and the Final Prospectus constitute the only information furnished in writing by or on behalf of the several Underwriters for inclusion in any Preliminary Prospectus, the Final Prospectus or any Issuer Free Writing Prospectus.</w:t>
      </w:r>
    </w:p>
    <w:p>
      <w:pPr>
        <w:spacing w:after="0" w:line="220" w:lineRule="exact"/>
        <w:rPr>
          <w:rFonts w:ascii="Arial" w:cs="Arial" w:eastAsia="Arial" w:hAnsi="Arial"/>
          <w:sz w:val="21"/>
          <w:szCs w:val="21"/>
          <w:color w:val="auto"/>
        </w:rPr>
      </w:pPr>
    </w:p>
    <w:p>
      <w:pPr>
        <w:jc w:val="both"/>
        <w:ind w:left="660" w:firstLine="645"/>
        <w:spacing w:after="0" w:line="286" w:lineRule="auto"/>
        <w:tabs>
          <w:tab w:leader="none" w:pos="2196" w:val="left"/>
        </w:tabs>
        <w:numPr>
          <w:ilvl w:val="0"/>
          <w:numId w:val="30"/>
        </w:numPr>
        <w:rPr>
          <w:rFonts w:ascii="Arial" w:cs="Arial" w:eastAsia="Arial" w:hAnsi="Arial"/>
          <w:sz w:val="19"/>
          <w:szCs w:val="19"/>
          <w:color w:val="auto"/>
        </w:rPr>
      </w:pPr>
      <w:r>
        <w:rPr>
          <w:rFonts w:ascii="Arial" w:cs="Arial" w:eastAsia="Arial" w:hAnsi="Arial"/>
          <w:sz w:val="19"/>
          <w:szCs w:val="19"/>
          <w:color w:val="auto"/>
        </w:rPr>
        <w:t xml:space="preserve">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counsel shall be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1420"/>
          </w:cols>
          <w:pgMar w:left="240" w:top="847" w:right="239" w:bottom="1440" w:gutter="0" w:footer="0" w:header="0"/>
        </w:sectPr>
      </w:pPr>
    </w:p>
    <w:bookmarkStart w:id="26" w:name="page27"/>
    <w:bookmarkEnd w:id="26"/>
    <w:p>
      <w:pPr>
        <w:jc w:val="both"/>
        <w:ind w:left="660"/>
        <w:spacing w:after="0" w:line="284" w:lineRule="auto"/>
        <w:rPr>
          <w:sz w:val="20"/>
          <w:szCs w:val="20"/>
          <w:color w:val="auto"/>
        </w:rPr>
      </w:pPr>
      <w:r>
        <w:rPr>
          <w:rFonts w:ascii="Arial" w:cs="Arial" w:eastAsia="Arial" w:hAnsi="Arial"/>
          <w:sz w:val="19"/>
          <w:szCs w:val="19"/>
          <w:color w:val="auto"/>
        </w:rPr>
        <w:t>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provided, however, that an indemnifying party shall not be liable for the fees and expenses of more than one such separate counsel (in addition to local counsel) in connection with any proceeding or related proceeding in the same jurisdiction. An indemnifying party shall not be liable for any settlement of any proceeding effected without its consent (which consent shall not be unreasonably withheld). Notwithstanding the foregoing sentence, if at any time an indemnified party shall have requested an indemnifying party to reimburse the indemnified party for fees and expenses of counsel as contemplated by Section 8(a) or (b) hereof, the indemnifying party agrees that it shall be liable for any settlement of any proceeding effected without its written consent if (i) such settlement is entered into more than 60 days after receipt by such indemnifying party of the aforesaid request, (ii) such indemnifying party shall have received notice of the terms of such settlement at least 30 days before such settlement is entered into and (iii) such indemnifying party shall not have reimbursed the indemnified party in accordance with such request or disputed in good faith the indemnified party’s entitlement to such reimbursement prior to the date of such settlement. An indemnifying party will not, without the prior written consent (which consent shall not be unreasonably withheld)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an admission of fault.</w:t>
      </w:r>
    </w:p>
    <w:p>
      <w:pPr>
        <w:spacing w:after="0" w:line="200" w:lineRule="exact"/>
        <w:rPr>
          <w:sz w:val="20"/>
          <w:szCs w:val="20"/>
          <w:color w:val="auto"/>
        </w:rPr>
      </w:pPr>
    </w:p>
    <w:p>
      <w:pPr>
        <w:spacing w:after="0" w:line="270" w:lineRule="exact"/>
        <w:rPr>
          <w:sz w:val="20"/>
          <w:szCs w:val="20"/>
          <w:color w:val="auto"/>
        </w:rPr>
      </w:pPr>
    </w:p>
    <w:p>
      <w:pPr>
        <w:jc w:val="both"/>
        <w:ind w:left="660" w:firstLine="645"/>
        <w:spacing w:after="0" w:line="288" w:lineRule="auto"/>
        <w:tabs>
          <w:tab w:leader="none" w:pos="2209" w:val="left"/>
        </w:tabs>
        <w:numPr>
          <w:ilvl w:val="0"/>
          <w:numId w:val="31"/>
        </w:numPr>
        <w:rPr>
          <w:rFonts w:ascii="Arial" w:cs="Arial" w:eastAsia="Arial" w:hAnsi="Arial"/>
          <w:sz w:val="19"/>
          <w:szCs w:val="19"/>
          <w:color w:val="auto"/>
        </w:rPr>
      </w:pPr>
      <w:r>
        <w:rPr>
          <w:rFonts w:ascii="Arial" w:cs="Arial" w:eastAsia="Arial" w:hAnsi="Arial"/>
          <w:sz w:val="19"/>
          <w:szCs w:val="19"/>
          <w:color w:val="auto"/>
        </w:rPr>
        <w:t>In the event that the indemnity provided in paragraph (a), (b) or (c) of this Section 8 is unavailable to or insufficient to hold harmless an indemnified party for any reason, the Company and the Underwriters severally agree to contribute to the aggregate losses, claims, damages and liabilities (including legal or other expenses reasonably incurred in connection with investigating or defending the same) (collectively “Losses”) to which the Company and one or more of the Underwriters may be subject in such proportion as is appropriate to reflect the relative benefits received by the Company on the one hand and by the Underwriters on the other from the offering of the Securities. If the allocation provided by the immediately preceding sentence is unavailable for any reason, the Company and the Underwriters severally shall contribute in such proportion as is appropriate to reflect not only such relative benefits but also the relative fault of the Company on the one hand and of the Underwriters on the other in connection with the statements or omissions which resulted in such Losses as well as any other relevant equitable considerations. Benefits received by the Company shall be deemed to be equal to the total net proceeds from the offering (before deducting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1420"/>
          </w:cols>
          <w:pgMar w:left="240" w:top="847" w:right="239" w:bottom="1440" w:gutter="0" w:footer="0" w:header="0"/>
        </w:sectPr>
      </w:pPr>
    </w:p>
    <w:bookmarkStart w:id="27" w:name="page28"/>
    <w:bookmarkEnd w:id="27"/>
    <w:p>
      <w:pPr>
        <w:jc w:val="both"/>
        <w:ind w:left="660"/>
        <w:spacing w:after="0" w:line="285" w:lineRule="auto"/>
        <w:rPr>
          <w:sz w:val="20"/>
          <w:szCs w:val="20"/>
          <w:color w:val="auto"/>
        </w:rPr>
      </w:pPr>
      <w:r>
        <w:rPr>
          <w:rFonts w:ascii="Arial" w:cs="Arial" w:eastAsia="Arial" w:hAnsi="Arial"/>
          <w:sz w:val="19"/>
          <w:szCs w:val="19"/>
          <w:color w:val="auto"/>
        </w:rPr>
        <w:t>expenses) received by it, and benefits received by the Underwriters shall be deemed to be equal to the total underwriting discounts and commissions, in each case as set forth on the cover page of the Final Prospectus. Relative fault shall be determined by reference to, among other things, whether any untrue or any alleged untrue statement of a material fact or the omission or alleged omission to state a material fact relates to information provided by the Company on the one hand or the Underwriters on the other, the intent of the parties and their relative knowledge, access to information and opportunity to correct or prevent such untrue statement or omission. The Company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8, each person who controls an Underwriter within the meaning of either the Act or the Exchange Act and each director, officer, employee, affiliate and agent of an Underwriter shall have the same rights to contribution as such Underwriter, and each person who controls the Company within the meaning of either the Act or the Exchange Act, each officer of the Company who shall have signed the Registration Statement and each director of the Company shall have the same rights to contribution as the Company, subject in each case to the applicable terms and conditions of this paragraph (d).</w:t>
      </w:r>
    </w:p>
    <w:p>
      <w:pPr>
        <w:spacing w:after="0" w:line="202" w:lineRule="exact"/>
        <w:rPr>
          <w:sz w:val="20"/>
          <w:szCs w:val="20"/>
          <w:color w:val="auto"/>
        </w:rPr>
      </w:pPr>
    </w:p>
    <w:p>
      <w:pPr>
        <w:jc w:val="both"/>
        <w:ind w:firstLine="1305"/>
        <w:spacing w:after="0" w:line="286" w:lineRule="auto"/>
        <w:tabs>
          <w:tab w:leader="none" w:pos="2107"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Default by an Underwriter</w:t>
      </w:r>
      <w:r>
        <w:rPr>
          <w:rFonts w:ascii="Arial" w:cs="Arial" w:eastAsia="Arial" w:hAnsi="Arial"/>
          <w:sz w:val="19"/>
          <w:szCs w:val="19"/>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amount of Securities set forth opposite their names in Schedule II hereto bears to the aggregate amount of Securities set forth opposite the names of all the remaining Underwriters) the Securities which the defaulting Underwriter or Underwriters agreed but failed to purchase;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that the aggregate amount of Securities which the defaulting Underwriter or Underwriters agreed but failed to purchase shall exceed 10% of the aggregate amount of Securities set forth in Schedule II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or the Company. In the event of a default by any Underwriter as set forth in this Section 9, the Closing Date shall be postponed for such period, not exceeding five Business Days, as the Representatives shall determine in order that the required changes in the Registration Statement and the Final Prospectus or in any other documents or arrangements may be effected. Nothing contained in this Agreement shall relieve any defaulting Underwriter of its liability, if any, to the Company and any nondefaulting Underwriter for damages occasioned by its default hereunder.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1420"/>
          </w:cols>
          <w:pgMar w:left="240" w:top="847" w:right="239" w:bottom="1440" w:gutter="0" w:footer="0" w:header="0"/>
        </w:sectPr>
      </w:pPr>
    </w:p>
    <w:bookmarkStart w:id="28" w:name="page29"/>
    <w:bookmarkEnd w:id="28"/>
    <w:p>
      <w:pPr>
        <w:jc w:val="both"/>
        <w:ind w:firstLine="1305"/>
        <w:spacing w:after="0" w:line="285" w:lineRule="auto"/>
        <w:tabs>
          <w:tab w:leader="none" w:pos="2215" w:val="left"/>
        </w:tabs>
        <w:numPr>
          <w:ilvl w:val="1"/>
          <w:numId w:val="33"/>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shall be subject to termination in the absolute discretion of the Representatives, by notice given to the Company prior to delivery of and payment for the Securities, if at any time prior to such delivery and payment (i) (A) trading in the Company’s Ordinary Shares shall have been suspended or materially limited by the Commission or the New York Stock Exchange or (B) trading in securities generally on the New York Stock Exchange or the Nasdaq National Market shall have been suspended or limited or minimum prices shall have been established on either of such exchanges, (ii) a banking moratorium shall have been declared either by Federal, Bermuda, Ireland or New York State authorities,</w:t>
      </w:r>
    </w:p>
    <w:p>
      <w:pPr>
        <w:ind w:left="440" w:hanging="432"/>
        <w:spacing w:after="0"/>
        <w:tabs>
          <w:tab w:leader="none" w:pos="440" w:val="left"/>
        </w:tabs>
        <w:numPr>
          <w:ilvl w:val="0"/>
          <w:numId w:val="34"/>
        </w:numPr>
        <w:rPr>
          <w:rFonts w:ascii="Arial" w:cs="Arial" w:eastAsia="Arial" w:hAnsi="Arial"/>
          <w:sz w:val="21"/>
          <w:szCs w:val="21"/>
          <w:color w:val="auto"/>
        </w:rPr>
      </w:pPr>
      <w:r>
        <w:rPr>
          <w:rFonts w:ascii="Arial" w:cs="Arial" w:eastAsia="Arial" w:hAnsi="Arial"/>
          <w:sz w:val="21"/>
          <w:szCs w:val="21"/>
          <w:color w:val="auto"/>
        </w:rPr>
        <w:t>there shall have occurred a material disruption in commercial banking or securities settlement or clearance services or</w:t>
      </w:r>
    </w:p>
    <w:p>
      <w:pPr>
        <w:spacing w:after="0" w:line="15" w:lineRule="exact"/>
        <w:rPr>
          <w:rFonts w:ascii="Arial" w:cs="Arial" w:eastAsia="Arial" w:hAnsi="Arial"/>
          <w:sz w:val="21"/>
          <w:szCs w:val="21"/>
          <w:color w:val="auto"/>
        </w:rPr>
      </w:pPr>
    </w:p>
    <w:p>
      <w:pPr>
        <w:jc w:val="both"/>
        <w:ind w:firstLine="8"/>
        <w:spacing w:after="0" w:line="260" w:lineRule="auto"/>
        <w:tabs>
          <w:tab w:leader="none" w:pos="376" w:val="left"/>
        </w:tabs>
        <w:numPr>
          <w:ilvl w:val="0"/>
          <w:numId w:val="34"/>
        </w:numPr>
        <w:rPr>
          <w:rFonts w:ascii="Arial" w:cs="Arial" w:eastAsia="Arial" w:hAnsi="Arial"/>
          <w:sz w:val="21"/>
          <w:szCs w:val="21"/>
          <w:color w:val="auto"/>
        </w:rPr>
      </w:pPr>
      <w:r>
        <w:rPr>
          <w:rFonts w:ascii="Arial" w:cs="Arial" w:eastAsia="Arial" w:hAnsi="Arial"/>
          <w:sz w:val="21"/>
          <w:szCs w:val="21"/>
          <w:color w:val="auto"/>
        </w:rPr>
        <w:t>there shall have occurred any outbreak or escalation of hostilities, declaration by the United States of a national emergency or war, or other calamity or crisis the effect of which on financial markets is such as to make it, in the sole judgment of the Representatives, impractical or inadvisable to proceed with the offering or delivery of the Securities as contemplated by any Preliminary Prospectus or the Final Prospectus (exclusive of any amendment or supplement thereto).</w:t>
      </w:r>
    </w:p>
    <w:p>
      <w:pPr>
        <w:spacing w:after="0" w:line="218" w:lineRule="exact"/>
        <w:rPr>
          <w:rFonts w:ascii="Arial" w:cs="Arial" w:eastAsia="Arial" w:hAnsi="Arial"/>
          <w:sz w:val="21"/>
          <w:szCs w:val="21"/>
          <w:color w:val="auto"/>
        </w:rPr>
      </w:pPr>
    </w:p>
    <w:p>
      <w:pPr>
        <w:jc w:val="both"/>
        <w:ind w:firstLine="1305"/>
        <w:spacing w:after="0" w:line="247" w:lineRule="auto"/>
        <w:tabs>
          <w:tab w:leader="none" w:pos="2207" w:val="left"/>
        </w:tabs>
        <w:numPr>
          <w:ilvl w:val="1"/>
          <w:numId w:val="34"/>
        </w:numPr>
        <w:rPr>
          <w:rFonts w:ascii="Arial" w:cs="Arial" w:eastAsia="Arial" w:hAnsi="Arial"/>
          <w:sz w:val="22"/>
          <w:szCs w:val="22"/>
          <w:color w:val="auto"/>
        </w:rPr>
      </w:pPr>
      <w:r>
        <w:rPr>
          <w:rFonts w:ascii="Arial" w:cs="Arial" w:eastAsia="Arial" w:hAnsi="Arial"/>
          <w:sz w:val="22"/>
          <w:szCs w:val="22"/>
          <w:u w:val="single" w:color="auto"/>
          <w:color w:val="auto"/>
        </w:rPr>
        <w:t>Representations and Indemnities to Survive</w:t>
      </w:r>
      <w:r>
        <w:rPr>
          <w:rFonts w:ascii="Arial" w:cs="Arial" w:eastAsia="Arial" w:hAnsi="Arial"/>
          <w:sz w:val="22"/>
          <w:szCs w:val="22"/>
          <w:color w:val="auto"/>
        </w:rPr>
        <w:t>. The respective agreements, representations, warranties, indemnities and other statements of the Company or its officers and of the Underwriters set forth in or made pursuant to this Agreement will remain in full force and effect, regardless of any investigation made by or on behalf of any Underwriter or the Company or any of the officers, directors, employees, affiliates, Selling Agents or controlling persons referred to in Section 8 hereof, and will survive delivery of and payment for the Securities. The provisions of Sections 7 and 8 hereof shall survive the termination or cancellation of this Agreement.</w:t>
      </w:r>
    </w:p>
    <w:p>
      <w:pPr>
        <w:spacing w:after="0" w:line="234" w:lineRule="exact"/>
        <w:rPr>
          <w:rFonts w:ascii="Arial" w:cs="Arial" w:eastAsia="Arial" w:hAnsi="Arial"/>
          <w:sz w:val="22"/>
          <w:szCs w:val="22"/>
          <w:color w:val="auto"/>
        </w:rPr>
      </w:pPr>
    </w:p>
    <w:p>
      <w:pPr>
        <w:jc w:val="both"/>
        <w:ind w:firstLine="1305"/>
        <w:spacing w:after="0" w:line="261" w:lineRule="auto"/>
        <w:tabs>
          <w:tab w:leader="none" w:pos="2215" w:val="left"/>
        </w:tabs>
        <w:numPr>
          <w:ilvl w:val="1"/>
          <w:numId w:val="34"/>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All communications hereunder will be in writing and effective only on receipt, and, if sent to the Representatives, will be mailed, delivered or telefaxed to J.P. Morgan Securities LLC, (fax no.: (212) 622-8358), 383 Madison Avenue, New York, New York, 10179, Attention: Equity Syndicate Desk; and Morgan Stanley &amp; Co. LLC; 1585 Broadway, New York, New York 10036, Attention: Equity Syndicate Desk, with a copy to the Legal Department; or, if sent to the Company, mailed or delivered to Bahnhofstrasse 1, Baar, 6340, Switzerland, and confirmed to it at c/o Weatherford International, LLC, 2000 St. James Place, Houston, Texas 77056, U.S.A., Attention: General Counsel.</w:t>
      </w:r>
    </w:p>
    <w:p>
      <w:pPr>
        <w:spacing w:after="0" w:line="220" w:lineRule="exact"/>
        <w:rPr>
          <w:rFonts w:ascii="Arial" w:cs="Arial" w:eastAsia="Arial" w:hAnsi="Arial"/>
          <w:sz w:val="21"/>
          <w:szCs w:val="21"/>
          <w:color w:val="auto"/>
        </w:rPr>
      </w:pPr>
    </w:p>
    <w:p>
      <w:pPr>
        <w:jc w:val="both"/>
        <w:ind w:firstLine="1305"/>
        <w:spacing w:after="0" w:line="253" w:lineRule="auto"/>
        <w:tabs>
          <w:tab w:leader="none" w:pos="2215" w:val="left"/>
        </w:tabs>
        <w:numPr>
          <w:ilvl w:val="1"/>
          <w:numId w:val="34"/>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This Agreement will inure to the benefit of and be binding upon the parties hereto and their respective successors and the officers, directors, employees, agents and controlling persons referred to in Section 8 hereof, and no other person will have any right or obligation hereunder.</w:t>
      </w:r>
    </w:p>
    <w:p>
      <w:pPr>
        <w:spacing w:after="0" w:line="226" w:lineRule="exact"/>
        <w:rPr>
          <w:rFonts w:ascii="Arial" w:cs="Arial" w:eastAsia="Arial" w:hAnsi="Arial"/>
          <w:sz w:val="22"/>
          <w:szCs w:val="22"/>
          <w:color w:val="auto"/>
        </w:rPr>
      </w:pPr>
    </w:p>
    <w:p>
      <w:pPr>
        <w:jc w:val="both"/>
        <w:ind w:firstLine="1305"/>
        <w:spacing w:after="0" w:line="297" w:lineRule="auto"/>
        <w:tabs>
          <w:tab w:leader="none" w:pos="2215"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No Fiduciary Duty</w:t>
      </w:r>
      <w:r>
        <w:rPr>
          <w:rFonts w:ascii="Arial" w:cs="Arial" w:eastAsia="Arial" w:hAnsi="Arial"/>
          <w:sz w:val="19"/>
          <w:szCs w:val="19"/>
          <w:color w:val="auto"/>
        </w:rPr>
        <w:t>. The Company hereby acknowledges that (a) the purchase and sale of the Securities pursuant to this Agreement is an arm’s-length commercial transaction between the Company, on the one hand, and the Underwriters and any affiliate through which it may be acting, on the other, (b) the Underwriters are acting as principal and not as an agent or fiduciary of the Company and (c) the Company’s engagement of the Underwriters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any of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1420"/>
          </w:cols>
          <w:pgMar w:left="240" w:top="1104" w:right="239" w:bottom="1440" w:gutter="0" w:footer="0" w:header="0"/>
        </w:sectPr>
      </w:pPr>
    </w:p>
    <w:bookmarkStart w:id="29" w:name="page30"/>
    <w:bookmarkEnd w:id="29"/>
    <w:p>
      <w:pPr>
        <w:jc w:val="both"/>
        <w:spacing w:after="0" w:line="253" w:lineRule="auto"/>
        <w:rPr>
          <w:sz w:val="20"/>
          <w:szCs w:val="20"/>
          <w:color w:val="auto"/>
        </w:rPr>
      </w:pPr>
      <w:r>
        <w:rPr>
          <w:rFonts w:ascii="Arial" w:cs="Arial" w:eastAsia="Arial" w:hAnsi="Arial"/>
          <w:sz w:val="22"/>
          <w:szCs w:val="22"/>
          <w:color w:val="auto"/>
        </w:rPr>
        <w:t>Underwriters has advised or is currently advising the Company on related or other matters). The Company agrees that it will not claim that the Underwriters have rendered advisory services of any nature or respect, or owe an agency, fiduciary or similar duty to the Company, in connection with such transaction or the process leading thereto.</w:t>
      </w:r>
    </w:p>
    <w:p>
      <w:pPr>
        <w:spacing w:after="0" w:line="226" w:lineRule="exact"/>
        <w:rPr>
          <w:sz w:val="20"/>
          <w:szCs w:val="20"/>
          <w:color w:val="auto"/>
        </w:rPr>
      </w:pPr>
    </w:p>
    <w:p>
      <w:pPr>
        <w:ind w:firstLine="1305"/>
        <w:spacing w:after="0" w:line="263" w:lineRule="auto"/>
        <w:tabs>
          <w:tab w:leader="none" w:pos="2215"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supersedes all prior agreements and understandings (whether written or oral) between the Company and the Underwriters, or any of them, with respect to the subject matter hereof.</w:t>
      </w:r>
    </w:p>
    <w:p>
      <w:pPr>
        <w:spacing w:after="0" w:line="215" w:lineRule="exact"/>
        <w:rPr>
          <w:rFonts w:ascii="Arial" w:cs="Arial" w:eastAsia="Arial" w:hAnsi="Arial"/>
          <w:sz w:val="22"/>
          <w:szCs w:val="22"/>
          <w:color w:val="auto"/>
        </w:rPr>
      </w:pPr>
    </w:p>
    <w:p>
      <w:pPr>
        <w:ind w:firstLine="1305"/>
        <w:spacing w:after="0" w:line="263" w:lineRule="auto"/>
        <w:tabs>
          <w:tab w:leader="none" w:pos="2215"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This Agreement will be governed by and construed in accordance with the laws of the State of New York applicable to contracts made and to be performed within the State of New York.</w:t>
      </w:r>
    </w:p>
    <w:p>
      <w:pPr>
        <w:spacing w:after="0" w:line="215" w:lineRule="exact"/>
        <w:rPr>
          <w:rFonts w:ascii="Arial" w:cs="Arial" w:eastAsia="Arial" w:hAnsi="Arial"/>
          <w:sz w:val="22"/>
          <w:szCs w:val="22"/>
          <w:color w:val="auto"/>
        </w:rPr>
      </w:pPr>
    </w:p>
    <w:p>
      <w:pPr>
        <w:jc w:val="both"/>
        <w:ind w:firstLine="1305"/>
        <w:spacing w:after="0" w:line="286" w:lineRule="auto"/>
        <w:tabs>
          <w:tab w:leader="none" w:pos="2215"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Submission to Jurisdiction and Waiver</w:t>
      </w:r>
      <w:r>
        <w:rPr>
          <w:rFonts w:ascii="Arial" w:cs="Arial" w:eastAsia="Arial" w:hAnsi="Arial"/>
          <w:sz w:val="19"/>
          <w:szCs w:val="19"/>
          <w:color w:val="auto"/>
        </w:rPr>
        <w:t>. By the execution and delivery of this Agreement, the Company submits to the non-exclusive jurisdiction of any federal or New York State court located in the City of New York in any suit or proceeding arising out of or relating to the Securities or this Agreement. 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in any New York State or federal court in the City of New York, or any appellate court with respect to any of the foregoing. Each of the parties hereto hereby irrevocably waives, to the fullest extent permitted by law, the defense of an inconvenient forum to the maintenance of such action or proceeding in any such court. To the extent that the Company has or hereafter may acquire any immunity from jurisdiction of any court (including, without limitation, any court in the United States, the State of New York, Ireland, Switzerland or any political subdivision thereof) or from any legal process (whether through service of notice, attachment prior to judgment, attachment in aid of execution, execution or otherwise) with respect to itself or its property or assets, this Agreement, or any other actions to enforce judgments in respect of any thereof, the Company hereby irrevocably waives such immunity, and any defense based on such immunity, in respect of their respective obligations under the above-referenced documents and the transactions contemplated thereby, to the fullest extent permitted by law.</w:t>
      </w:r>
    </w:p>
    <w:p>
      <w:pPr>
        <w:spacing w:after="0" w:line="200" w:lineRule="exact"/>
        <w:rPr>
          <w:sz w:val="20"/>
          <w:szCs w:val="20"/>
          <w:color w:val="auto"/>
        </w:rPr>
      </w:pPr>
    </w:p>
    <w:p>
      <w:pPr>
        <w:spacing w:after="0" w:line="237" w:lineRule="exact"/>
        <w:rPr>
          <w:sz w:val="20"/>
          <w:szCs w:val="20"/>
          <w:color w:val="auto"/>
        </w:rPr>
      </w:pPr>
    </w:p>
    <w:p>
      <w:pPr>
        <w:jc w:val="both"/>
        <w:ind w:firstLine="1945"/>
        <w:spacing w:after="0" w:line="288" w:lineRule="auto"/>
        <w:rPr>
          <w:sz w:val="20"/>
          <w:szCs w:val="20"/>
          <w:color w:val="auto"/>
        </w:rPr>
      </w:pPr>
      <w:r>
        <w:rPr>
          <w:rFonts w:ascii="Arial" w:cs="Arial" w:eastAsia="Arial" w:hAnsi="Arial"/>
          <w:sz w:val="19"/>
          <w:szCs w:val="19"/>
          <w:color w:val="auto"/>
        </w:rPr>
        <w:t>In addition to the foregoing, the Company agrees to irrevocably appoint CT Corporation Systems as its authorized agent on which any and all legal process may be served in any such action, suit or proceeding brought in the courts specified in the preceding paragraph. The Company agrees that service of process in respect of it upon such agent shall be deemed to be effective service of process upon it in any such action, suit or proceeding. The Company agrees that the failure of such agent to give notice to it of any such service shall not impair or affect the validity of such service or any judgment rendered in any such action, suit or proceeding based thereon. If for any reason such agent shall cease to be available to act as such, the Company agrees to irrevocably appoint another such agent in New York City as its authorized agent for service of process, on the terms and for the purposes of this Section 17. Nothing herein shall in any way be deemed to limit the ability of the Underwriters or any other person to serve any such legal process in any other manner permitted by applicable law or to obtain jurisdiction over the Company or bring actions, suits or proceedings against it in such other jurisdiction, and in such matter, as may be permitted by applicable law.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1420"/>
          </w:cols>
          <w:pgMar w:left="240" w:top="847" w:right="239" w:bottom="1440" w:gutter="0" w:footer="0" w:header="0"/>
        </w:sectPr>
      </w:pPr>
    </w:p>
    <w:bookmarkStart w:id="30" w:name="page31"/>
    <w:bookmarkEnd w:id="30"/>
    <w:p>
      <w:pPr>
        <w:jc w:val="both"/>
        <w:ind w:firstLine="1305"/>
        <w:spacing w:after="0" w:line="253" w:lineRule="auto"/>
        <w:tabs>
          <w:tab w:leader="none" w:pos="2215"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The Company hereby irrevocably waives, to the fullest extent permitted by applicable law, any and all right to trial by jury in any legal proceeding arising out of or relating to this Agreement or the transactions contemplated hereby.</w:t>
      </w:r>
    </w:p>
    <w:p>
      <w:pPr>
        <w:spacing w:after="0" w:line="226" w:lineRule="exact"/>
        <w:rPr>
          <w:rFonts w:ascii="Arial" w:cs="Arial" w:eastAsia="Arial" w:hAnsi="Arial"/>
          <w:sz w:val="22"/>
          <w:szCs w:val="22"/>
          <w:color w:val="auto"/>
        </w:rPr>
      </w:pPr>
    </w:p>
    <w:p>
      <w:pPr>
        <w:jc w:val="both"/>
        <w:ind w:firstLine="1305"/>
        <w:spacing w:after="0" w:line="259" w:lineRule="auto"/>
        <w:tabs>
          <w:tab w:leader="none" w:pos="2215"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Judgment Currency</w:t>
      </w:r>
      <w:r>
        <w:rPr>
          <w:rFonts w:ascii="Arial" w:cs="Arial" w:eastAsia="Arial" w:hAnsi="Arial"/>
          <w:sz w:val="21"/>
          <w:szCs w:val="21"/>
          <w:color w:val="auto"/>
        </w:rPr>
        <w:t>. The obligation of the Company in respect of any sum due to any Underwriter in United States dollars shall, notwithstanding any judgment in a currency other than United States dollars, not be discharged until the first Business Day following receipt by such Underwriter of any sum adjudged to be so due in such other currency, on which (and only to the extent that) such Underwriter may in accordance with normal banking procedures purchase United States dollars with such other currency; if the United States dollars so purchased are less than the sum originally due to such Underwriter hereunder, the Company agrees, as a separate obligation and notwithstanding any such judgment, to indemnify such Underwriter against such loss. If the United States dollars so purchased are greater than the sum originally due to such Underwriter hereunder, such Underwriter agrees to pay to the Company an amount equal to the excess of the dollars so purchased over the sum originally due to such Underwriter hereunder.</w:t>
      </w:r>
    </w:p>
    <w:p>
      <w:pPr>
        <w:spacing w:after="0" w:line="220" w:lineRule="exact"/>
        <w:rPr>
          <w:rFonts w:ascii="Arial" w:cs="Arial" w:eastAsia="Arial" w:hAnsi="Arial"/>
          <w:sz w:val="21"/>
          <w:szCs w:val="21"/>
          <w:color w:val="auto"/>
        </w:rPr>
      </w:pPr>
    </w:p>
    <w:p>
      <w:pPr>
        <w:ind w:firstLine="1305"/>
        <w:spacing w:after="0" w:line="263" w:lineRule="auto"/>
        <w:tabs>
          <w:tab w:leader="none" w:pos="2215"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signed in one or more counterparts, each of which shall constitute an original and all of which together shall constitute one and the same agreement.</w:t>
      </w:r>
    </w:p>
    <w:p>
      <w:pPr>
        <w:spacing w:after="0" w:line="215" w:lineRule="exact"/>
        <w:rPr>
          <w:rFonts w:ascii="Arial" w:cs="Arial" w:eastAsia="Arial" w:hAnsi="Arial"/>
          <w:sz w:val="22"/>
          <w:szCs w:val="22"/>
          <w:color w:val="auto"/>
        </w:rPr>
      </w:pPr>
    </w:p>
    <w:p>
      <w:pPr>
        <w:ind w:left="2220" w:hanging="915"/>
        <w:spacing w:after="0"/>
        <w:tabs>
          <w:tab w:leader="none" w:pos="2220"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The section headings used herein are for convenience only and shall not affect the construction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242" w:lineRule="exact"/>
        <w:rPr>
          <w:rFonts w:ascii="Arial" w:cs="Arial" w:eastAsia="Arial" w:hAnsi="Arial"/>
          <w:sz w:val="19"/>
          <w:szCs w:val="19"/>
          <w:color w:val="auto"/>
        </w:rPr>
      </w:pPr>
    </w:p>
    <w:p>
      <w:pPr>
        <w:ind w:left="1300" w:right="20" w:firstLine="5"/>
        <w:spacing w:after="0" w:line="291" w:lineRule="auto"/>
        <w:tabs>
          <w:tab w:leader="none" w:pos="2218"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The terms that follow, when used in this Agreement, shall have the meanings indicated. “Act” shall mean the Securities Act of 1933, as amended, and the rules and regulations of the Commission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promulgated thereunder.</w:t>
      </w:r>
    </w:p>
    <w:p>
      <w:pPr>
        <w:spacing w:after="0" w:line="202"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“Base Prospectus” shall mean the base prospectus referred to in paragraph 1(a) above contained in the Registration Statement at the Execution Time.</w:t>
      </w:r>
    </w:p>
    <w:p>
      <w:pPr>
        <w:spacing w:after="0" w:line="175"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“Business Day” shall mean any day other than a Saturday, a Sunday or a legal holiday or a day on which banking institutions or trust companies are authorized or obligated by law to close in New York City.</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“Commission” shall mean the Securities and Exchange Commission.</w:t>
      </w:r>
    </w:p>
    <w:p>
      <w:pPr>
        <w:spacing w:after="0" w:line="220"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2"/>
          <w:szCs w:val="22"/>
          <w:color w:val="auto"/>
        </w:rPr>
        <w:t>“Disclosure Package” shall mean (i) the Base Prospectus, (ii) the Preliminary Prospectus used most recently prior to the Execution Time, (iii) the Issuer Free Writing Prospectuses, if any, identified in Schedule III hereto, and (iv) any other Free Writing Prospectus that the parties hereto shall hereafter expressly agree in writing to treat as part of the Disclosure Package.</w:t>
      </w:r>
    </w:p>
    <w:p>
      <w:pPr>
        <w:spacing w:after="0" w:line="188"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“Effective Date” shall mean each date and time that the Registration Statement and any post-effective amendment or amendments thereto became or becomes effective.</w:t>
      </w:r>
    </w:p>
    <w:p>
      <w:pPr>
        <w:spacing w:after="0" w:line="175"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“Exchange Act” shall mean the Securities Exchange Act of 1934, as amended, and the rules and regulations of the Commission promulgated thereunder.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1420"/>
          </w:cols>
          <w:pgMar w:left="240" w:top="1104" w:right="239" w:bottom="1440" w:gutter="0" w:footer="0" w:header="0"/>
        </w:sectPr>
      </w:pPr>
    </w:p>
    <w:bookmarkStart w:id="31" w:name="page32"/>
    <w:bookmarkEnd w:id="31"/>
    <w:p>
      <w:pPr>
        <w:ind w:left="1300"/>
        <w:spacing w:after="0"/>
        <w:rPr>
          <w:sz w:val="20"/>
          <w:szCs w:val="20"/>
          <w:color w:val="auto"/>
        </w:rPr>
      </w:pPr>
      <w:r>
        <w:rPr>
          <w:rFonts w:ascii="Arial" w:cs="Arial" w:eastAsia="Arial" w:hAnsi="Arial"/>
          <w:sz w:val="19"/>
          <w:szCs w:val="19"/>
          <w:color w:val="auto"/>
        </w:rPr>
        <w:t>“Execution Time” shall mean the date and time that this Agreement is executed and delivered by the parties hereto.</w:t>
      </w:r>
    </w:p>
    <w:p>
      <w:pPr>
        <w:spacing w:after="0" w:line="254"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“Final Prospectus” shall mean the prospectus supplement relating to the Securities that was first filed pursuant to Rule 424(b) after the Execution Time, together with the Base Prospectus.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“Free Writing Prospectus” shall mean a free writing prospectus, as defined in Rule 405.</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“Issuer Free Writing Prospectus” shall mean an issuer free writing prospectus, as defined in Rule 433.</w:t>
      </w:r>
    </w:p>
    <w:p>
      <w:pPr>
        <w:spacing w:after="0" w:line="220" w:lineRule="exact"/>
        <w:rPr>
          <w:sz w:val="20"/>
          <w:szCs w:val="20"/>
          <w:color w:val="auto"/>
        </w:rPr>
      </w:pPr>
    </w:p>
    <w:p>
      <w:pPr>
        <w:jc w:val="both"/>
        <w:ind w:left="660" w:firstLine="648"/>
        <w:spacing w:after="0" w:line="343" w:lineRule="auto"/>
        <w:rPr>
          <w:sz w:val="20"/>
          <w:szCs w:val="20"/>
          <w:color w:val="auto"/>
        </w:rPr>
      </w:pPr>
      <w:r>
        <w:rPr>
          <w:rFonts w:ascii="Arial" w:cs="Arial" w:eastAsia="Arial" w:hAnsi="Arial"/>
          <w:sz w:val="19"/>
          <w:szCs w:val="19"/>
          <w:color w:val="auto"/>
        </w:rPr>
        <w:t>“Preliminary Prospectus” shall mean any preliminary prospectus supplement to the Base Prospectus referred to in paragraph 1(a) above which is used prior to the filing of the Final Prospectus, together with the Base Prospectus.</w:t>
      </w:r>
    </w:p>
    <w:p>
      <w:pPr>
        <w:spacing w:after="0" w:line="105" w:lineRule="exact"/>
        <w:rPr>
          <w:sz w:val="20"/>
          <w:szCs w:val="20"/>
          <w:color w:val="auto"/>
        </w:rPr>
      </w:pPr>
    </w:p>
    <w:p>
      <w:pPr>
        <w:jc w:val="both"/>
        <w:ind w:left="660" w:firstLine="648"/>
        <w:spacing w:after="0" w:line="248" w:lineRule="auto"/>
        <w:rPr>
          <w:sz w:val="20"/>
          <w:szCs w:val="20"/>
          <w:color w:val="auto"/>
        </w:rPr>
      </w:pPr>
      <w:r>
        <w:rPr>
          <w:rFonts w:ascii="Arial" w:cs="Arial" w:eastAsia="Arial" w:hAnsi="Arial"/>
          <w:sz w:val="22"/>
          <w:szCs w:val="22"/>
          <w:color w:val="auto"/>
        </w:rPr>
        <w:t>“Registration Statement” shall mean the registration statement referred to in paragraph 1(a) above, including exhibits and financial statements and any prospectus supplement relating to the Securities that is filed with the Commission pursuant to Rule 424(b) and deemed part of such registration statement pursuant to Rule 430B, as amended on each Effective Date and, in the event any post-effective amendment thereto becomes effective prior to the Closing Date, shall also mean such registration statement as so amended.</w:t>
      </w:r>
    </w:p>
    <w:p>
      <w:pPr>
        <w:spacing w:after="0" w:line="192"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“Rule 158”, “Rule 163”, “Rule 164”, “Rule 172”, “Rule 405”, “Rule 415”, “Rule 424”, “Rule 430B” and “Rule 433” refer to such rules under the Act.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“Well-Known Seasoned Issuer” shall mean a well-known seasoned issuer, as defined in Rule 405.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1420"/>
          </w:cols>
          <w:pgMar w:left="240" w:top="847" w:right="239" w:bottom="1440" w:gutter="0" w:footer="0" w:header="0"/>
        </w:sectPr>
      </w:pPr>
    </w:p>
    <w:bookmarkStart w:id="32" w:name="page33"/>
    <w:bookmarkEnd w:id="32"/>
    <w:p>
      <w:pPr>
        <w:spacing w:after="0" w:line="5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If the foregoing is in accordance with your understanding of our agreement, please sign and return to us the enclosed duplicate hereof, whereupon this letter and your acceptance shall represent a binding agreement among the Company and the several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Very truly yours,</w:t>
      </w:r>
    </w:p>
    <w:p>
      <w:pPr>
        <w:spacing w:after="0" w:line="368"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WEATHERFORD</w:t>
      </w:r>
    </w:p>
    <w:p>
      <w:pPr>
        <w:ind w:left="6520"/>
        <w:spacing w:after="0" w:line="238" w:lineRule="auto"/>
        <w:rPr>
          <w:sz w:val="20"/>
          <w:szCs w:val="20"/>
          <w:color w:val="auto"/>
        </w:rPr>
      </w:pPr>
      <w:r>
        <w:rPr>
          <w:rFonts w:ascii="Arial" w:cs="Arial" w:eastAsia="Arial" w:hAnsi="Arial"/>
          <w:sz w:val="22"/>
          <w:szCs w:val="22"/>
          <w:color w:val="auto"/>
        </w:rPr>
        <w:t>INTERNATIONAL PUBLIC</w:t>
      </w:r>
    </w:p>
    <w:p>
      <w:pPr>
        <w:ind w:left="6520"/>
        <w:spacing w:after="0"/>
        <w:rPr>
          <w:sz w:val="20"/>
          <w:szCs w:val="20"/>
          <w:color w:val="auto"/>
        </w:rPr>
      </w:pPr>
      <w:r>
        <w:rPr>
          <w:rFonts w:ascii="Arial" w:cs="Arial" w:eastAsia="Arial" w:hAnsi="Arial"/>
          <w:sz w:val="22"/>
          <w:szCs w:val="22"/>
          <w:color w:val="auto"/>
        </w:rPr>
        <w:t>LIMITED COMPANY,</w:t>
      </w:r>
    </w:p>
    <w:p>
      <w:pPr>
        <w:spacing w:after="0" w:line="26"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an Irish public limited company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520"/>
        <w:spacing w:after="0"/>
        <w:tabs>
          <w:tab w:leader="none" w:pos="7120" w:val="left"/>
        </w:tabs>
        <w:rPr>
          <w:sz w:val="20"/>
          <w:szCs w:val="20"/>
          <w:color w:val="auto"/>
        </w:rPr>
      </w:pPr>
      <w:r>
        <w:rPr>
          <w:rFonts w:ascii="Arial" w:cs="Arial" w:eastAsia="Arial" w:hAnsi="Arial"/>
          <w:sz w:val="22"/>
          <w:szCs w:val="22"/>
          <w:color w:val="auto"/>
        </w:rPr>
        <w:t>By:</w:t>
        <w:tab/>
        <w:t>/s/ James C.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24765</wp:posOffset>
            </wp:positionV>
            <wp:extent cx="17068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38"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Name: James C. Parent</w:t>
      </w:r>
    </w:p>
    <w:p>
      <w:pPr>
        <w:spacing w:after="0" w:line="44" w:lineRule="exact"/>
        <w:rPr>
          <w:sz w:val="20"/>
          <w:szCs w:val="20"/>
          <w:color w:val="auto"/>
        </w:rPr>
      </w:pPr>
    </w:p>
    <w:p>
      <w:pPr>
        <w:ind w:left="6520"/>
        <w:spacing w:after="0"/>
        <w:tabs>
          <w:tab w:leader="none" w:pos="71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1420"/>
          </w:cols>
          <w:pgMar w:left="240" w:top="1440" w:right="239" w:bottom="1440" w:gutter="0" w:footer="0" w:header="0"/>
        </w:sectPr>
      </w:pPr>
    </w:p>
    <w:bookmarkStart w:id="33" w:name="page34"/>
    <w:bookmarkEnd w:id="33"/>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The foregoing Agreement is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hereby confirmed and accepted</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as of the date specified in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Schedule I hereto.</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1"/>
          <w:szCs w:val="21"/>
          <w:color w:val="auto"/>
        </w:rPr>
        <w:t>J.P. MORGAN SECURITIES LLC</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MORGAN STANLEY &amp; CO. LLC</w:t>
      </w:r>
    </w:p>
    <w:p>
      <w:pPr>
        <w:spacing w:after="0" w:line="353" w:lineRule="exact"/>
        <w:rPr>
          <w:sz w:val="20"/>
          <w:szCs w:val="20"/>
          <w:color w:val="auto"/>
        </w:rPr>
      </w:pPr>
    </w:p>
    <w:p>
      <w:pPr>
        <w:spacing w:after="0"/>
        <w:tabs>
          <w:tab w:leader="none" w:pos="560" w:val="left"/>
        </w:tabs>
        <w:rPr>
          <w:sz w:val="20"/>
          <w:szCs w:val="20"/>
          <w:color w:val="auto"/>
        </w:rPr>
      </w:pPr>
      <w:r>
        <w:rPr>
          <w:rFonts w:ascii="Arial" w:cs="Arial" w:eastAsia="Arial" w:hAnsi="Arial"/>
          <w:sz w:val="21"/>
          <w:szCs w:val="21"/>
          <w:color w:val="auto"/>
        </w:rPr>
        <w:t>By:</w:t>
        <w:tab/>
        <w:t>J.P. Morgan Securities LLC</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22"/>
          <w:szCs w:val="22"/>
          <w:color w:val="auto"/>
        </w:rPr>
        <w:t>/s/ Yaw Asamoah-Duodo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24765</wp:posOffset>
            </wp:positionV>
            <wp:extent cx="21780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8" w:lineRule="exact"/>
        <w:rPr>
          <w:sz w:val="20"/>
          <w:szCs w:val="20"/>
          <w:color w:val="auto"/>
        </w:rPr>
      </w:pPr>
    </w:p>
    <w:p>
      <w:pPr>
        <w:ind w:left="580"/>
        <w:spacing w:after="0"/>
        <w:rPr>
          <w:sz w:val="20"/>
          <w:szCs w:val="20"/>
          <w:color w:val="auto"/>
        </w:rPr>
      </w:pPr>
      <w:r>
        <w:rPr>
          <w:rFonts w:ascii="Arial" w:cs="Arial" w:eastAsia="Arial" w:hAnsi="Arial"/>
          <w:sz w:val="19"/>
          <w:szCs w:val="19"/>
          <w:color w:val="auto"/>
        </w:rPr>
        <w:t>Name: Yaw Asamoah-Duodo</w:t>
      </w:r>
    </w:p>
    <w:p>
      <w:pPr>
        <w:spacing w:after="0" w:line="295" w:lineRule="exact"/>
        <w:rPr>
          <w:sz w:val="20"/>
          <w:szCs w:val="20"/>
          <w:color w:val="auto"/>
        </w:rPr>
      </w:pPr>
    </w:p>
    <w:p>
      <w:pPr>
        <w:ind w:left="58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ind w:left="580"/>
        <w:spacing w:after="0"/>
        <w:rPr>
          <w:sz w:val="20"/>
          <w:szCs w:val="20"/>
          <w:color w:val="auto"/>
        </w:rPr>
      </w:pPr>
      <w:r>
        <w:rPr>
          <w:rFonts w:ascii="Arial" w:cs="Arial" w:eastAsia="Arial" w:hAnsi="Arial"/>
          <w:sz w:val="21"/>
          <w:szCs w:val="21"/>
          <w:color w:val="auto"/>
        </w:rPr>
        <w:t>Morgan Stanley &amp; Co. LLC</w:t>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22"/>
          <w:szCs w:val="22"/>
          <w:color w:val="auto"/>
        </w:rPr>
        <w:t>/s/ Robert Shepardson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24765</wp:posOffset>
            </wp:positionV>
            <wp:extent cx="21780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8" w:lineRule="exact"/>
        <w:rPr>
          <w:sz w:val="20"/>
          <w:szCs w:val="20"/>
          <w:color w:val="auto"/>
        </w:rPr>
      </w:pPr>
    </w:p>
    <w:p>
      <w:pPr>
        <w:ind w:left="580"/>
        <w:spacing w:after="0"/>
        <w:rPr>
          <w:sz w:val="20"/>
          <w:szCs w:val="20"/>
          <w:color w:val="auto"/>
        </w:rPr>
      </w:pPr>
      <w:r>
        <w:rPr>
          <w:rFonts w:ascii="Arial" w:cs="Arial" w:eastAsia="Arial" w:hAnsi="Arial"/>
          <w:sz w:val="21"/>
          <w:szCs w:val="21"/>
          <w:color w:val="auto"/>
        </w:rPr>
        <w:t>Name: Robert Shepardson</w:t>
      </w:r>
    </w:p>
    <w:p>
      <w:pPr>
        <w:spacing w:after="0" w:line="56" w:lineRule="exact"/>
        <w:rPr>
          <w:sz w:val="20"/>
          <w:szCs w:val="20"/>
          <w:color w:val="auto"/>
        </w:rPr>
      </w:pPr>
    </w:p>
    <w:p>
      <w:pPr>
        <w:ind w:left="58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For themselves and the other</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several Underwriters, if any,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named in Schedule II to the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foregoing Agreement.</w:t>
      </w:r>
    </w:p>
    <w:p>
      <w:pPr>
        <w:sectPr>
          <w:pgSz w:w="11900" w:h="16838" w:orient="portrait"/>
          <w:cols w:equalWidth="0" w:num="1">
            <w:col w:w="10179"/>
          </w:cols>
          <w:pgMar w:left="280" w:top="1440" w:right="1440" w:bottom="1440" w:gutter="0" w:footer="0" w:header="0"/>
        </w:sectPr>
      </w:pPr>
    </w:p>
    <w:bookmarkStart w:id="34" w:name="page35"/>
    <w:bookmarkEnd w:id="34"/>
    <w:p>
      <w:pPr>
        <w:jc w:val="right"/>
        <w:ind w:right="4419"/>
        <w:spacing w:after="0"/>
        <w:rPr>
          <w:sz w:val="20"/>
          <w:szCs w:val="20"/>
          <w:color w:val="auto"/>
        </w:rPr>
      </w:pPr>
      <w:r>
        <w:rPr>
          <w:rFonts w:ascii="Arial" w:cs="Arial" w:eastAsia="Arial" w:hAnsi="Arial"/>
          <w:sz w:val="18"/>
          <w:szCs w:val="18"/>
          <w:color w:val="auto"/>
        </w:rPr>
        <w:t>29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0219"/>
          </w:cols>
          <w:pgMar w:left="240" w:top="584" w:right="1440"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22"/>
          <w:szCs w:val="22"/>
          <w:color w:val="auto"/>
        </w:rPr>
        <w:t>SCHEDULE 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Underwriting Agreement dated March 1, 2016</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Registration Statement No. 333-194431</w:t>
      </w:r>
    </w:p>
    <w:p>
      <w:pPr>
        <w:spacing w:after="0" w:line="220" w:lineRule="exact"/>
        <w:rPr>
          <w:sz w:val="20"/>
          <w:szCs w:val="20"/>
          <w:color w:val="auto"/>
        </w:rPr>
      </w:pPr>
    </w:p>
    <w:p>
      <w:pPr>
        <w:ind w:right="4680"/>
        <w:spacing w:after="0" w:line="448" w:lineRule="auto"/>
        <w:rPr>
          <w:sz w:val="20"/>
          <w:szCs w:val="20"/>
          <w:color w:val="auto"/>
        </w:rPr>
      </w:pPr>
      <w:r>
        <w:rPr>
          <w:rFonts w:ascii="Arial" w:cs="Arial" w:eastAsia="Arial" w:hAnsi="Arial"/>
          <w:sz w:val="22"/>
          <w:szCs w:val="22"/>
          <w:color w:val="auto"/>
        </w:rPr>
        <w:t>Representatives: J.P. Morgan Securities LLC and Morgan Stanley &amp; Co. LLC Title, Purchase Price and Description of Securities: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Title: Ordinary Shares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Number of Underwritten Securities to be sold by the Company: 100,000,000</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Number of Option Securities to be sold by the Company: 15,000,000</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Price per Share to Public (include accrued dividends, if any): $5.65</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Price per Share to the Underwriters - total: $5.4805</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Closing Date, Time and Location: March 7, 2016 at 10:00 a.m. EST at Latham &amp; Watkins LLP, special counsel for the Company, at 811 Main Street, Suite 3700, Houston, Texas 77002</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Type of Offering: Non-Delayed</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Date referred to in Section 5(h) after which the Company may offer or sell securities issued by the Company without the consent of the Representative(s): 60 days after pricing hereof</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Modification of items to be covered by the letter KPMG LLP delivered pursuant to Section 6(i) at the Execution Time: 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1400"/>
          </w:cols>
          <w:pgMar w:left="240" w:top="591" w:right="259" w:bottom="1440" w:gutter="0" w:footer="0" w:header="0"/>
        </w:sectPr>
      </w:pPr>
    </w:p>
    <w:bookmarkStart w:id="36" w:name="page37"/>
    <w:bookmarkEnd w:id="36"/>
    <w:tbl>
      <w:tblPr>
        <w:tblLayout w:type="fixed"/>
        <w:tblInd w:w="1140" w:type="dxa"/>
        <w:tblCellMar>
          <w:top w:w="0" w:type="dxa"/>
          <w:left w:w="0" w:type="dxa"/>
          <w:bottom w:w="0" w:type="dxa"/>
          <w:right w:w="0" w:type="dxa"/>
        </w:tblCellMar>
      </w:tblPr>
      <w:tr>
        <w:trPr>
          <w:trHeight w:val="275"/>
        </w:trPr>
        <w:tc>
          <w:tcPr>
            <w:tcW w:w="124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5260" w:type="dxa"/>
            <w:vAlign w:val="bottom"/>
            <w:gridSpan w:val="4"/>
          </w:tcPr>
          <w:p>
            <w:pPr>
              <w:spacing w:after="0"/>
              <w:rPr>
                <w:sz w:val="20"/>
                <w:szCs w:val="20"/>
                <w:color w:val="auto"/>
              </w:rPr>
            </w:pPr>
            <w:r>
              <w:rPr>
                <w:rFonts w:ascii="Arial" w:cs="Arial" w:eastAsia="Arial" w:hAnsi="Arial"/>
                <w:sz w:val="22"/>
                <w:szCs w:val="22"/>
                <w:color w:val="auto"/>
              </w:rPr>
              <w:t>SCHEDULE II</w:t>
            </w:r>
          </w:p>
        </w:tc>
        <w:tc>
          <w:tcPr>
            <w:tcW w:w="0" w:type="dxa"/>
            <w:vAlign w:val="bottom"/>
          </w:tcPr>
          <w:p>
            <w:pPr>
              <w:spacing w:after="0"/>
              <w:rPr>
                <w:sz w:val="1"/>
                <w:szCs w:val="1"/>
                <w:color w:val="auto"/>
              </w:rPr>
            </w:pPr>
          </w:p>
        </w:tc>
      </w:tr>
      <w:tr>
        <w:trPr>
          <w:trHeight w:val="584"/>
        </w:trPr>
        <w:tc>
          <w:tcPr>
            <w:tcW w:w="1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22"/>
                <w:szCs w:val="22"/>
                <w:b w:val="1"/>
                <w:bCs w:val="1"/>
                <w:color w:val="auto"/>
                <w:w w:val="92"/>
              </w:rPr>
              <w:t>Number of Underwritten</w:t>
            </w:r>
          </w:p>
        </w:tc>
        <w:tc>
          <w:tcPr>
            <w:tcW w:w="0" w:type="dxa"/>
            <w:vAlign w:val="bottom"/>
          </w:tcPr>
          <w:p>
            <w:pPr>
              <w:spacing w:after="0"/>
              <w:rPr>
                <w:sz w:val="1"/>
                <w:szCs w:val="1"/>
                <w:color w:val="auto"/>
              </w:rPr>
            </w:pPr>
          </w:p>
        </w:tc>
      </w:tr>
      <w:tr>
        <w:trPr>
          <w:trHeight w:val="230"/>
        </w:trPr>
        <w:tc>
          <w:tcPr>
            <w:tcW w:w="392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Underwriters</w:t>
            </w:r>
          </w:p>
        </w:tc>
        <w:tc>
          <w:tcPr>
            <w:tcW w:w="2560" w:type="dxa"/>
            <w:vAlign w:val="bottom"/>
          </w:tcPr>
          <w:p>
            <w:pPr>
              <w:spacing w:after="0"/>
              <w:rPr>
                <w:sz w:val="20"/>
                <w:szCs w:val="20"/>
                <w:color w:val="auto"/>
              </w:rPr>
            </w:pPr>
          </w:p>
        </w:tc>
        <w:tc>
          <w:tcPr>
            <w:tcW w:w="120" w:type="dxa"/>
            <w:vAlign w:val="bottom"/>
            <w:vMerge w:val="restart"/>
          </w:tcPr>
          <w:p>
            <w:pPr>
              <w:spacing w:after="0"/>
              <w:rPr>
                <w:sz w:val="20"/>
                <w:szCs w:val="20"/>
                <w:color w:val="auto"/>
              </w:rPr>
            </w:pPr>
          </w:p>
        </w:tc>
        <w:tc>
          <w:tcPr>
            <w:tcW w:w="2440" w:type="dxa"/>
            <w:vAlign w:val="bottom"/>
            <w:tcBorders>
              <w:bottom w:val="single" w:sz="8" w:color="auto"/>
            </w:tcBorders>
          </w:tcPr>
          <w:p>
            <w:pPr>
              <w:jc w:val="center"/>
              <w:spacing w:after="0" w:line="210" w:lineRule="exact"/>
              <w:rPr>
                <w:sz w:val="20"/>
                <w:szCs w:val="20"/>
                <w:color w:val="auto"/>
              </w:rPr>
            </w:pPr>
            <w:r>
              <w:rPr>
                <w:rFonts w:ascii="Arial" w:cs="Arial" w:eastAsia="Arial" w:hAnsi="Arial"/>
                <w:sz w:val="22"/>
                <w:szCs w:val="22"/>
                <w:b w:val="1"/>
                <w:bCs w:val="1"/>
                <w:color w:val="auto"/>
                <w:w w:val="86"/>
              </w:rPr>
              <w:t>Securities to be Purchased</w:t>
            </w:r>
          </w:p>
        </w:tc>
        <w:tc>
          <w:tcPr>
            <w:tcW w:w="1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920" w:type="dxa"/>
            <w:vAlign w:val="bottom"/>
            <w:gridSpan w:val="2"/>
            <w:vMerge w:val="continu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3"/>
        </w:trPr>
        <w:tc>
          <w:tcPr>
            <w:tcW w:w="3920" w:type="dxa"/>
            <w:vAlign w:val="bottom"/>
            <w:gridSpan w:val="2"/>
          </w:tcPr>
          <w:p>
            <w:pPr>
              <w:spacing w:after="0"/>
              <w:rPr>
                <w:sz w:val="20"/>
                <w:szCs w:val="20"/>
                <w:color w:val="auto"/>
              </w:rPr>
            </w:pPr>
            <w:r>
              <w:rPr>
                <w:rFonts w:ascii="Arial" w:cs="Arial" w:eastAsia="Arial" w:hAnsi="Arial"/>
                <w:sz w:val="17"/>
                <w:szCs w:val="17"/>
                <w:color w:val="auto"/>
                <w:w w:val="71"/>
              </w:rPr>
              <w:t>J.P. Morgan Securities LLC.......................................................................</w:t>
            </w:r>
          </w:p>
        </w:tc>
        <w:tc>
          <w:tcPr>
            <w:tcW w:w="5120" w:type="dxa"/>
            <w:vAlign w:val="bottom"/>
            <w:gridSpan w:val="3"/>
          </w:tcPr>
          <w:p>
            <w:pPr>
              <w:jc w:val="center"/>
              <w:ind w:left="2572"/>
              <w:spacing w:after="0"/>
              <w:rPr>
                <w:sz w:val="20"/>
                <w:szCs w:val="20"/>
                <w:color w:val="auto"/>
              </w:rPr>
            </w:pPr>
            <w:r>
              <w:rPr>
                <w:rFonts w:ascii="Arial" w:cs="Arial" w:eastAsia="Arial" w:hAnsi="Arial"/>
                <w:sz w:val="22"/>
                <w:szCs w:val="22"/>
                <w:color w:val="auto"/>
                <w:w w:val="87"/>
              </w:rPr>
              <w:t>30,000,000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20" w:type="dxa"/>
            <w:vAlign w:val="bottom"/>
            <w:gridSpan w:val="2"/>
          </w:tcPr>
          <w:p>
            <w:pPr>
              <w:spacing w:after="0"/>
              <w:rPr>
                <w:sz w:val="20"/>
                <w:szCs w:val="20"/>
                <w:color w:val="auto"/>
              </w:rPr>
            </w:pPr>
            <w:r>
              <w:rPr>
                <w:rFonts w:ascii="Arial" w:cs="Arial" w:eastAsia="Arial" w:hAnsi="Arial"/>
                <w:sz w:val="17"/>
                <w:szCs w:val="17"/>
                <w:color w:val="auto"/>
                <w:w w:val="73"/>
              </w:rPr>
              <w:t>Morgan Stanley &amp; Co. LLC......................................................................</w:t>
            </w:r>
          </w:p>
        </w:tc>
        <w:tc>
          <w:tcPr>
            <w:tcW w:w="5120" w:type="dxa"/>
            <w:vAlign w:val="bottom"/>
            <w:gridSpan w:val="3"/>
          </w:tcPr>
          <w:p>
            <w:pPr>
              <w:jc w:val="center"/>
              <w:ind w:left="2572"/>
              <w:spacing w:after="0"/>
              <w:rPr>
                <w:sz w:val="20"/>
                <w:szCs w:val="20"/>
                <w:color w:val="auto"/>
              </w:rPr>
            </w:pPr>
            <w:r>
              <w:rPr>
                <w:rFonts w:ascii="Arial" w:cs="Arial" w:eastAsia="Arial" w:hAnsi="Arial"/>
                <w:sz w:val="22"/>
                <w:szCs w:val="22"/>
                <w:color w:val="auto"/>
                <w:w w:val="87"/>
              </w:rPr>
              <w:t>30,000,000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20" w:type="dxa"/>
            <w:vAlign w:val="bottom"/>
            <w:gridSpan w:val="2"/>
          </w:tcPr>
          <w:p>
            <w:pPr>
              <w:spacing w:after="0"/>
              <w:rPr>
                <w:sz w:val="20"/>
                <w:szCs w:val="20"/>
                <w:color w:val="auto"/>
              </w:rPr>
            </w:pPr>
            <w:r>
              <w:rPr>
                <w:rFonts w:ascii="Arial" w:cs="Arial" w:eastAsia="Arial" w:hAnsi="Arial"/>
                <w:sz w:val="17"/>
                <w:szCs w:val="17"/>
                <w:color w:val="auto"/>
                <w:w w:val="72"/>
              </w:rPr>
              <w:t>Citigroup Global Markets Inc....................................................................</w:t>
            </w:r>
          </w:p>
        </w:tc>
        <w:tc>
          <w:tcPr>
            <w:tcW w:w="5120" w:type="dxa"/>
            <w:vAlign w:val="bottom"/>
            <w:gridSpan w:val="3"/>
          </w:tcPr>
          <w:p>
            <w:pPr>
              <w:jc w:val="center"/>
              <w:ind w:left="2572"/>
              <w:spacing w:after="0"/>
              <w:rPr>
                <w:sz w:val="20"/>
                <w:szCs w:val="20"/>
                <w:color w:val="auto"/>
              </w:rPr>
            </w:pPr>
            <w:r>
              <w:rPr>
                <w:rFonts w:ascii="Arial" w:cs="Arial" w:eastAsia="Arial" w:hAnsi="Arial"/>
                <w:sz w:val="22"/>
                <w:szCs w:val="22"/>
                <w:color w:val="auto"/>
                <w:w w:val="89"/>
              </w:rPr>
              <w:t>4,800,000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20" w:type="dxa"/>
            <w:vAlign w:val="bottom"/>
            <w:gridSpan w:val="2"/>
          </w:tcPr>
          <w:p>
            <w:pPr>
              <w:spacing w:after="0"/>
              <w:rPr>
                <w:sz w:val="20"/>
                <w:szCs w:val="20"/>
                <w:color w:val="auto"/>
              </w:rPr>
            </w:pPr>
            <w:r>
              <w:rPr>
                <w:rFonts w:ascii="Arial" w:cs="Arial" w:eastAsia="Arial" w:hAnsi="Arial"/>
                <w:sz w:val="17"/>
                <w:szCs w:val="17"/>
                <w:color w:val="auto"/>
                <w:w w:val="73"/>
              </w:rPr>
              <w:t>Credit Agricole Securities (USA) Inc........................................................</w:t>
            </w:r>
          </w:p>
        </w:tc>
        <w:tc>
          <w:tcPr>
            <w:tcW w:w="5120" w:type="dxa"/>
            <w:vAlign w:val="bottom"/>
            <w:gridSpan w:val="3"/>
          </w:tcPr>
          <w:p>
            <w:pPr>
              <w:jc w:val="center"/>
              <w:ind w:left="2572"/>
              <w:spacing w:after="0"/>
              <w:rPr>
                <w:sz w:val="20"/>
                <w:szCs w:val="20"/>
                <w:color w:val="auto"/>
              </w:rPr>
            </w:pPr>
            <w:r>
              <w:rPr>
                <w:rFonts w:ascii="Arial" w:cs="Arial" w:eastAsia="Arial" w:hAnsi="Arial"/>
                <w:sz w:val="22"/>
                <w:szCs w:val="22"/>
                <w:color w:val="auto"/>
                <w:w w:val="89"/>
              </w:rPr>
              <w:t>4,800,000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20" w:type="dxa"/>
            <w:vAlign w:val="bottom"/>
            <w:gridSpan w:val="2"/>
          </w:tcPr>
          <w:p>
            <w:pPr>
              <w:spacing w:after="0"/>
              <w:rPr>
                <w:sz w:val="20"/>
                <w:szCs w:val="20"/>
                <w:color w:val="auto"/>
              </w:rPr>
            </w:pPr>
            <w:r>
              <w:rPr>
                <w:rFonts w:ascii="Arial" w:cs="Arial" w:eastAsia="Arial" w:hAnsi="Arial"/>
                <w:sz w:val="17"/>
                <w:szCs w:val="17"/>
                <w:color w:val="auto"/>
                <w:w w:val="71"/>
              </w:rPr>
              <w:t>Deutsche Bank Securities Inc....................................................................</w:t>
            </w:r>
          </w:p>
        </w:tc>
        <w:tc>
          <w:tcPr>
            <w:tcW w:w="5120" w:type="dxa"/>
            <w:vAlign w:val="bottom"/>
            <w:gridSpan w:val="3"/>
          </w:tcPr>
          <w:p>
            <w:pPr>
              <w:jc w:val="center"/>
              <w:ind w:left="2572"/>
              <w:spacing w:after="0"/>
              <w:rPr>
                <w:sz w:val="20"/>
                <w:szCs w:val="20"/>
                <w:color w:val="auto"/>
              </w:rPr>
            </w:pPr>
            <w:r>
              <w:rPr>
                <w:rFonts w:ascii="Arial" w:cs="Arial" w:eastAsia="Arial" w:hAnsi="Arial"/>
                <w:sz w:val="22"/>
                <w:szCs w:val="22"/>
                <w:color w:val="auto"/>
                <w:w w:val="89"/>
              </w:rPr>
              <w:t>4,800,000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20" w:type="dxa"/>
            <w:vAlign w:val="bottom"/>
            <w:gridSpan w:val="2"/>
          </w:tcPr>
          <w:p>
            <w:pPr>
              <w:spacing w:after="0"/>
              <w:rPr>
                <w:sz w:val="20"/>
                <w:szCs w:val="20"/>
                <w:color w:val="auto"/>
              </w:rPr>
            </w:pPr>
            <w:r>
              <w:rPr>
                <w:rFonts w:ascii="Arial" w:cs="Arial" w:eastAsia="Arial" w:hAnsi="Arial"/>
                <w:sz w:val="17"/>
                <w:szCs w:val="17"/>
                <w:color w:val="auto"/>
                <w:w w:val="73"/>
              </w:rPr>
              <w:t>Mitsubishi UFJ Securities (USA), Inc.......................................................</w:t>
            </w:r>
          </w:p>
        </w:tc>
        <w:tc>
          <w:tcPr>
            <w:tcW w:w="5120" w:type="dxa"/>
            <w:vAlign w:val="bottom"/>
            <w:gridSpan w:val="3"/>
          </w:tcPr>
          <w:p>
            <w:pPr>
              <w:jc w:val="center"/>
              <w:ind w:left="2572"/>
              <w:spacing w:after="0"/>
              <w:rPr>
                <w:sz w:val="20"/>
                <w:szCs w:val="20"/>
                <w:color w:val="auto"/>
              </w:rPr>
            </w:pPr>
            <w:r>
              <w:rPr>
                <w:rFonts w:ascii="Arial" w:cs="Arial" w:eastAsia="Arial" w:hAnsi="Arial"/>
                <w:sz w:val="22"/>
                <w:szCs w:val="22"/>
                <w:color w:val="auto"/>
                <w:w w:val="89"/>
              </w:rPr>
              <w:t>4,800,000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20" w:type="dxa"/>
            <w:vAlign w:val="bottom"/>
            <w:gridSpan w:val="2"/>
          </w:tcPr>
          <w:p>
            <w:pPr>
              <w:spacing w:after="0"/>
              <w:rPr>
                <w:sz w:val="20"/>
                <w:szCs w:val="20"/>
                <w:color w:val="auto"/>
              </w:rPr>
            </w:pPr>
            <w:r>
              <w:rPr>
                <w:rFonts w:ascii="Arial" w:cs="Arial" w:eastAsia="Arial" w:hAnsi="Arial"/>
                <w:sz w:val="17"/>
                <w:szCs w:val="17"/>
                <w:color w:val="auto"/>
                <w:w w:val="72"/>
              </w:rPr>
              <w:t>RBC Capital Markets, LLC.......................................................................</w:t>
            </w:r>
          </w:p>
        </w:tc>
        <w:tc>
          <w:tcPr>
            <w:tcW w:w="5120" w:type="dxa"/>
            <w:vAlign w:val="bottom"/>
            <w:gridSpan w:val="3"/>
          </w:tcPr>
          <w:p>
            <w:pPr>
              <w:jc w:val="center"/>
              <w:ind w:left="2572"/>
              <w:spacing w:after="0"/>
              <w:rPr>
                <w:sz w:val="20"/>
                <w:szCs w:val="20"/>
                <w:color w:val="auto"/>
              </w:rPr>
            </w:pPr>
            <w:r>
              <w:rPr>
                <w:rFonts w:ascii="Arial" w:cs="Arial" w:eastAsia="Arial" w:hAnsi="Arial"/>
                <w:sz w:val="22"/>
                <w:szCs w:val="22"/>
                <w:color w:val="auto"/>
                <w:w w:val="89"/>
              </w:rPr>
              <w:t>4,800,000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20" w:type="dxa"/>
            <w:vAlign w:val="bottom"/>
            <w:gridSpan w:val="2"/>
          </w:tcPr>
          <w:p>
            <w:pPr>
              <w:spacing w:after="0"/>
              <w:rPr>
                <w:sz w:val="20"/>
                <w:szCs w:val="20"/>
                <w:color w:val="auto"/>
              </w:rPr>
            </w:pPr>
            <w:r>
              <w:rPr>
                <w:rFonts w:ascii="Arial" w:cs="Arial" w:eastAsia="Arial" w:hAnsi="Arial"/>
                <w:sz w:val="17"/>
                <w:szCs w:val="17"/>
                <w:color w:val="auto"/>
                <w:w w:val="72"/>
              </w:rPr>
              <w:t>Wells Fargo Securities, LLC......................................................................</w:t>
            </w:r>
          </w:p>
        </w:tc>
        <w:tc>
          <w:tcPr>
            <w:tcW w:w="5120" w:type="dxa"/>
            <w:vAlign w:val="bottom"/>
            <w:gridSpan w:val="3"/>
          </w:tcPr>
          <w:p>
            <w:pPr>
              <w:jc w:val="center"/>
              <w:ind w:left="2572"/>
              <w:spacing w:after="0"/>
              <w:rPr>
                <w:sz w:val="20"/>
                <w:szCs w:val="20"/>
                <w:color w:val="auto"/>
              </w:rPr>
            </w:pPr>
            <w:r>
              <w:rPr>
                <w:rFonts w:ascii="Arial" w:cs="Arial" w:eastAsia="Arial" w:hAnsi="Arial"/>
                <w:sz w:val="22"/>
                <w:szCs w:val="22"/>
                <w:color w:val="auto"/>
                <w:w w:val="89"/>
              </w:rPr>
              <w:t>4,800,000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20" w:type="dxa"/>
            <w:vAlign w:val="bottom"/>
            <w:gridSpan w:val="2"/>
          </w:tcPr>
          <w:p>
            <w:pPr>
              <w:spacing w:after="0"/>
              <w:rPr>
                <w:sz w:val="20"/>
                <w:szCs w:val="20"/>
                <w:color w:val="auto"/>
              </w:rPr>
            </w:pPr>
            <w:r>
              <w:rPr>
                <w:rFonts w:ascii="Arial" w:cs="Arial" w:eastAsia="Arial" w:hAnsi="Arial"/>
                <w:sz w:val="17"/>
                <w:szCs w:val="17"/>
                <w:color w:val="auto"/>
                <w:w w:val="71"/>
              </w:rPr>
              <w:t>Barclays Capital Inc...................................................................................</w:t>
            </w:r>
          </w:p>
        </w:tc>
        <w:tc>
          <w:tcPr>
            <w:tcW w:w="5120" w:type="dxa"/>
            <w:vAlign w:val="bottom"/>
            <w:gridSpan w:val="3"/>
          </w:tcPr>
          <w:p>
            <w:pPr>
              <w:jc w:val="center"/>
              <w:ind w:left="2572"/>
              <w:spacing w:after="0"/>
              <w:rPr>
                <w:sz w:val="20"/>
                <w:szCs w:val="20"/>
                <w:color w:val="auto"/>
              </w:rPr>
            </w:pPr>
            <w:r>
              <w:rPr>
                <w:rFonts w:ascii="Arial" w:cs="Arial" w:eastAsia="Arial" w:hAnsi="Arial"/>
                <w:sz w:val="22"/>
                <w:szCs w:val="22"/>
                <w:color w:val="auto"/>
                <w:w w:val="89"/>
              </w:rPr>
              <w:t>2,400,000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20" w:type="dxa"/>
            <w:vAlign w:val="bottom"/>
            <w:gridSpan w:val="2"/>
          </w:tcPr>
          <w:p>
            <w:pPr>
              <w:spacing w:after="0"/>
              <w:rPr>
                <w:sz w:val="20"/>
                <w:szCs w:val="20"/>
                <w:color w:val="auto"/>
              </w:rPr>
            </w:pPr>
            <w:r>
              <w:rPr>
                <w:rFonts w:ascii="Arial" w:cs="Arial" w:eastAsia="Arial" w:hAnsi="Arial"/>
                <w:sz w:val="17"/>
                <w:szCs w:val="17"/>
                <w:color w:val="auto"/>
                <w:w w:val="71"/>
              </w:rPr>
              <w:t>Skandinaviska Enskilda Banken AB..........................................................</w:t>
            </w:r>
          </w:p>
        </w:tc>
        <w:tc>
          <w:tcPr>
            <w:tcW w:w="5120" w:type="dxa"/>
            <w:vAlign w:val="bottom"/>
            <w:gridSpan w:val="3"/>
          </w:tcPr>
          <w:p>
            <w:pPr>
              <w:jc w:val="center"/>
              <w:ind w:left="2572"/>
              <w:spacing w:after="0"/>
              <w:rPr>
                <w:sz w:val="20"/>
                <w:szCs w:val="20"/>
                <w:color w:val="auto"/>
              </w:rPr>
            </w:pPr>
            <w:r>
              <w:rPr>
                <w:rFonts w:ascii="Arial" w:cs="Arial" w:eastAsia="Arial" w:hAnsi="Arial"/>
                <w:sz w:val="22"/>
                <w:szCs w:val="22"/>
                <w:color w:val="auto"/>
                <w:w w:val="89"/>
              </w:rPr>
              <w:t>2,400,000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20" w:type="dxa"/>
            <w:vAlign w:val="bottom"/>
            <w:gridSpan w:val="2"/>
          </w:tcPr>
          <w:p>
            <w:pPr>
              <w:spacing w:after="0"/>
              <w:rPr>
                <w:sz w:val="20"/>
                <w:szCs w:val="20"/>
                <w:color w:val="auto"/>
              </w:rPr>
            </w:pPr>
            <w:r>
              <w:rPr>
                <w:rFonts w:ascii="Arial" w:cs="Arial" w:eastAsia="Arial" w:hAnsi="Arial"/>
                <w:sz w:val="17"/>
                <w:szCs w:val="17"/>
                <w:color w:val="auto"/>
                <w:w w:val="72"/>
              </w:rPr>
              <w:t>TD Securities (USA) LLC..........................................................................</w:t>
            </w:r>
          </w:p>
        </w:tc>
        <w:tc>
          <w:tcPr>
            <w:tcW w:w="5120" w:type="dxa"/>
            <w:vAlign w:val="bottom"/>
            <w:gridSpan w:val="3"/>
          </w:tcPr>
          <w:p>
            <w:pPr>
              <w:jc w:val="center"/>
              <w:ind w:left="2572"/>
              <w:spacing w:after="0"/>
              <w:rPr>
                <w:sz w:val="20"/>
                <w:szCs w:val="20"/>
                <w:color w:val="auto"/>
              </w:rPr>
            </w:pPr>
            <w:r>
              <w:rPr>
                <w:rFonts w:ascii="Arial" w:cs="Arial" w:eastAsia="Arial" w:hAnsi="Arial"/>
                <w:sz w:val="22"/>
                <w:szCs w:val="22"/>
                <w:color w:val="auto"/>
                <w:w w:val="89"/>
              </w:rPr>
              <w:t>2,400,000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20" w:type="dxa"/>
            <w:vAlign w:val="bottom"/>
            <w:gridSpan w:val="2"/>
          </w:tcPr>
          <w:p>
            <w:pPr>
              <w:spacing w:after="0"/>
              <w:rPr>
                <w:sz w:val="20"/>
                <w:szCs w:val="20"/>
                <w:color w:val="auto"/>
              </w:rPr>
            </w:pPr>
            <w:r>
              <w:rPr>
                <w:rFonts w:ascii="Arial" w:cs="Arial" w:eastAsia="Arial" w:hAnsi="Arial"/>
                <w:sz w:val="17"/>
                <w:szCs w:val="17"/>
                <w:color w:val="auto"/>
                <w:w w:val="72"/>
              </w:rPr>
              <w:t>HSBC Securities (USA) Inc.......................................................................</w:t>
            </w:r>
          </w:p>
        </w:tc>
        <w:tc>
          <w:tcPr>
            <w:tcW w:w="5120" w:type="dxa"/>
            <w:vAlign w:val="bottom"/>
            <w:gridSpan w:val="3"/>
          </w:tcPr>
          <w:p>
            <w:pPr>
              <w:jc w:val="center"/>
              <w:ind w:left="2572"/>
              <w:spacing w:after="0"/>
              <w:rPr>
                <w:sz w:val="20"/>
                <w:szCs w:val="20"/>
                <w:color w:val="auto"/>
              </w:rPr>
            </w:pPr>
            <w:r>
              <w:rPr>
                <w:rFonts w:ascii="Arial" w:cs="Arial" w:eastAsia="Arial" w:hAnsi="Arial"/>
                <w:sz w:val="22"/>
                <w:szCs w:val="22"/>
                <w:color w:val="auto"/>
                <w:w w:val="89"/>
              </w:rPr>
              <w:t>1,500,000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20" w:type="dxa"/>
            <w:vAlign w:val="bottom"/>
            <w:gridSpan w:val="2"/>
          </w:tcPr>
          <w:p>
            <w:pPr>
              <w:spacing w:after="0"/>
              <w:rPr>
                <w:sz w:val="20"/>
                <w:szCs w:val="20"/>
                <w:color w:val="auto"/>
              </w:rPr>
            </w:pPr>
            <w:r>
              <w:rPr>
                <w:rFonts w:ascii="Arial" w:cs="Arial" w:eastAsia="Arial" w:hAnsi="Arial"/>
                <w:sz w:val="17"/>
                <w:szCs w:val="17"/>
                <w:color w:val="auto"/>
                <w:w w:val="72"/>
              </w:rPr>
              <w:t>UniCredit Capital Markets LLC.................................................................</w:t>
            </w:r>
          </w:p>
        </w:tc>
        <w:tc>
          <w:tcPr>
            <w:tcW w:w="5120" w:type="dxa"/>
            <w:vAlign w:val="bottom"/>
            <w:gridSpan w:val="3"/>
          </w:tcPr>
          <w:p>
            <w:pPr>
              <w:jc w:val="center"/>
              <w:ind w:left="2572"/>
              <w:spacing w:after="0"/>
              <w:rPr>
                <w:sz w:val="20"/>
                <w:szCs w:val="20"/>
                <w:color w:val="auto"/>
              </w:rPr>
            </w:pPr>
            <w:r>
              <w:rPr>
                <w:rFonts w:ascii="Arial" w:cs="Arial" w:eastAsia="Arial" w:hAnsi="Arial"/>
                <w:sz w:val="22"/>
                <w:szCs w:val="22"/>
                <w:color w:val="auto"/>
                <w:w w:val="89"/>
              </w:rPr>
              <w:t>1,500,000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20" w:type="dxa"/>
            <w:vAlign w:val="bottom"/>
            <w:gridSpan w:val="2"/>
          </w:tcPr>
          <w:p>
            <w:pPr>
              <w:spacing w:after="0"/>
              <w:rPr>
                <w:sz w:val="20"/>
                <w:szCs w:val="20"/>
                <w:color w:val="auto"/>
              </w:rPr>
            </w:pPr>
            <w:r>
              <w:rPr>
                <w:rFonts w:ascii="Arial" w:cs="Arial" w:eastAsia="Arial" w:hAnsi="Arial"/>
                <w:sz w:val="17"/>
                <w:szCs w:val="17"/>
                <w:color w:val="auto"/>
                <w:w w:val="71"/>
              </w:rPr>
              <w:t>BBVA Securities Inc...................................................................................</w:t>
            </w:r>
          </w:p>
        </w:tc>
        <w:tc>
          <w:tcPr>
            <w:tcW w:w="5120" w:type="dxa"/>
            <w:vAlign w:val="bottom"/>
            <w:gridSpan w:val="3"/>
          </w:tcPr>
          <w:p>
            <w:pPr>
              <w:jc w:val="center"/>
              <w:ind w:left="2572"/>
              <w:spacing w:after="0"/>
              <w:rPr>
                <w:sz w:val="20"/>
                <w:szCs w:val="20"/>
                <w:color w:val="auto"/>
              </w:rPr>
            </w:pPr>
            <w:r>
              <w:rPr>
                <w:rFonts w:ascii="Arial" w:cs="Arial" w:eastAsia="Arial" w:hAnsi="Arial"/>
                <w:sz w:val="22"/>
                <w:szCs w:val="22"/>
                <w:color w:val="auto"/>
                <w:w w:val="89"/>
              </w:rPr>
              <w:t>1,000,000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1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3920" w:type="dxa"/>
            <w:vAlign w:val="bottom"/>
            <w:gridSpan w:val="2"/>
          </w:tcPr>
          <w:p>
            <w:pPr>
              <w:spacing w:after="0"/>
              <w:rPr>
                <w:sz w:val="20"/>
                <w:szCs w:val="20"/>
                <w:color w:val="auto"/>
              </w:rPr>
            </w:pPr>
            <w:r>
              <w:rPr>
                <w:rFonts w:ascii="Arial" w:cs="Arial" w:eastAsia="Arial" w:hAnsi="Arial"/>
                <w:sz w:val="22"/>
                <w:szCs w:val="22"/>
                <w:color w:val="auto"/>
              </w:rPr>
              <w:t>Total</w:t>
            </w:r>
          </w:p>
        </w:tc>
        <w:tc>
          <w:tcPr>
            <w:tcW w:w="5120" w:type="dxa"/>
            <w:vAlign w:val="bottom"/>
            <w:gridSpan w:val="3"/>
          </w:tcPr>
          <w:p>
            <w:pPr>
              <w:jc w:val="center"/>
              <w:ind w:left="2572"/>
              <w:spacing w:after="0"/>
              <w:rPr>
                <w:sz w:val="20"/>
                <w:szCs w:val="20"/>
                <w:color w:val="auto"/>
              </w:rPr>
            </w:pPr>
            <w:r>
              <w:rPr>
                <w:rFonts w:ascii="Arial" w:cs="Arial" w:eastAsia="Arial" w:hAnsi="Arial"/>
                <w:sz w:val="22"/>
                <w:szCs w:val="22"/>
                <w:color w:val="auto"/>
                <w:w w:val="88"/>
              </w:rPr>
              <w:t>100,000,000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0320"/>
          </w:cols>
          <w:pgMar w:left="240" w:top="591" w:right="1339" w:bottom="1440" w:gutter="0" w:footer="0" w:header="0"/>
        </w:sectPr>
      </w:pPr>
    </w:p>
    <w:bookmarkStart w:id="37" w:name="page38"/>
    <w:bookmarkEnd w:id="37"/>
    <w:p>
      <w:pPr>
        <w:ind w:left="5020"/>
        <w:spacing w:after="0"/>
        <w:rPr>
          <w:sz w:val="20"/>
          <w:szCs w:val="20"/>
          <w:color w:val="auto"/>
        </w:rPr>
      </w:pPr>
      <w:r>
        <w:rPr>
          <w:rFonts w:ascii="Arial" w:cs="Arial" w:eastAsia="Arial" w:hAnsi="Arial"/>
          <w:sz w:val="21"/>
          <w:szCs w:val="21"/>
          <w:color w:val="auto"/>
        </w:rPr>
        <w:t>SCHEDULE III</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Schedule of Free Writing Prospectuses included in the Disclosure Package</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5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III-1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0219"/>
          </w:cols>
          <w:pgMar w:left="240" w:top="591" w:right="1440" w:bottom="1440" w:gutter="0" w:footer="0" w:header="0"/>
        </w:sectPr>
      </w:pPr>
    </w:p>
    <w:bookmarkStart w:id="38" w:name="page39"/>
    <w:bookmarkEnd w:id="38"/>
    <w:p>
      <w:pPr>
        <w:jc w:val="center"/>
        <w:spacing w:after="0"/>
        <w:rPr>
          <w:sz w:val="20"/>
          <w:szCs w:val="20"/>
          <w:color w:val="auto"/>
        </w:rPr>
      </w:pPr>
      <w:r>
        <w:rPr>
          <w:rFonts w:ascii="Arial" w:cs="Arial" w:eastAsia="Arial" w:hAnsi="Arial"/>
          <w:sz w:val="22"/>
          <w:szCs w:val="22"/>
          <w:color w:val="auto"/>
        </w:rPr>
        <w:t>EXHIBIT A</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[Letterhead of officer or director of</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Weatherford International public limited company]</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Weatherford International public limited company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Public Offering of Ordinary Shares</w:t>
      </w: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March 1, 2016</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J.P. Morgan Securities LLC</w:t>
      </w:r>
    </w:p>
    <w:p>
      <w:pPr>
        <w:spacing w:after="0" w:line="260" w:lineRule="exact"/>
        <w:rPr>
          <w:sz w:val="20"/>
          <w:szCs w:val="20"/>
          <w:color w:val="auto"/>
        </w:rPr>
      </w:pPr>
    </w:p>
    <w:p>
      <w:pPr>
        <w:ind w:left="40"/>
        <w:spacing w:after="0"/>
        <w:rPr>
          <w:sz w:val="20"/>
          <w:szCs w:val="20"/>
          <w:color w:val="auto"/>
        </w:rPr>
      </w:pPr>
      <w:r>
        <w:rPr>
          <w:rFonts w:ascii="Arial" w:cs="Arial" w:eastAsia="Arial" w:hAnsi="Arial"/>
          <w:sz w:val="22"/>
          <w:szCs w:val="22"/>
          <w:color w:val="auto"/>
        </w:rPr>
        <w:t>As Representative[s] of the several Underwriters,</w:t>
      </w:r>
    </w:p>
    <w:p>
      <w:pPr>
        <w:spacing w:after="0" w:line="260" w:lineRule="exact"/>
        <w:rPr>
          <w:sz w:val="20"/>
          <w:szCs w:val="20"/>
          <w:color w:val="auto"/>
        </w:rPr>
      </w:pPr>
    </w:p>
    <w:p>
      <w:pPr>
        <w:ind w:left="40"/>
        <w:spacing w:after="0"/>
        <w:rPr>
          <w:sz w:val="20"/>
          <w:szCs w:val="20"/>
          <w:color w:val="auto"/>
        </w:rPr>
      </w:pPr>
      <w:r>
        <w:rPr>
          <w:rFonts w:ascii="Arial" w:cs="Arial" w:eastAsia="Arial" w:hAnsi="Arial"/>
          <w:sz w:val="22"/>
          <w:szCs w:val="22"/>
          <w:color w:val="auto"/>
        </w:rPr>
        <w:t>c/o J.P. Morgan Securities LLC</w:t>
      </w:r>
    </w:p>
    <w:p>
      <w:pPr>
        <w:spacing w:after="0" w:line="260" w:lineRule="exact"/>
        <w:rPr>
          <w:sz w:val="20"/>
          <w:szCs w:val="20"/>
          <w:color w:val="auto"/>
        </w:rPr>
      </w:pPr>
    </w:p>
    <w:p>
      <w:pPr>
        <w:ind w:left="40"/>
        <w:spacing w:after="0"/>
        <w:rPr>
          <w:sz w:val="20"/>
          <w:szCs w:val="20"/>
          <w:color w:val="auto"/>
        </w:rPr>
      </w:pPr>
      <w:r>
        <w:rPr>
          <w:rFonts w:ascii="Arial" w:cs="Arial" w:eastAsia="Arial" w:hAnsi="Arial"/>
          <w:sz w:val="22"/>
          <w:szCs w:val="22"/>
          <w:color w:val="auto"/>
        </w:rPr>
        <w:t>383 Madison Avenue</w:t>
      </w:r>
    </w:p>
    <w:p>
      <w:pPr>
        <w:spacing w:after="0" w:line="260" w:lineRule="exact"/>
        <w:rPr>
          <w:sz w:val="20"/>
          <w:szCs w:val="20"/>
          <w:color w:val="auto"/>
        </w:rPr>
      </w:pPr>
    </w:p>
    <w:p>
      <w:pPr>
        <w:ind w:left="40"/>
        <w:spacing w:after="0"/>
        <w:rPr>
          <w:sz w:val="20"/>
          <w:szCs w:val="20"/>
          <w:color w:val="auto"/>
        </w:rPr>
      </w:pPr>
      <w:r>
        <w:rPr>
          <w:rFonts w:ascii="Arial" w:cs="Arial" w:eastAsia="Arial" w:hAnsi="Arial"/>
          <w:sz w:val="22"/>
          <w:szCs w:val="22"/>
          <w:color w:val="auto"/>
        </w:rPr>
        <w:t>New York, New York 10179</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This letter is being delivered to you in connection with the proposed Underwriting Agreement (the “Underwriting Agreement”), by and among Weatherford International public limited company, an Irish public limited company (the “Company”), and each of you as representatives of a group of Underwriters named therein, relating to an underwritten public offering of ordinary shares, par value $0.001 USD per share (the “Ordinary Shares”), of the Company.</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In order to induce you and the other Underwriters to enter into the Underwriting Agreement, the undersigned will not, without the prior written consent of J.P. Morgan Securities LLC and Morgan Stanley &amp; Co. LLC, offer, sell, contract to sell,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or any person in privity with the undersigned or any affiliate of the undersigned), directly or indirectly, including the filing (or participation in the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(the “Exchange Act”), and the rules and regulations of the Securities and Exchange Commission promulgated thereunder with respect to, any shares of capital stock of the Company or any securities convertible into or exercisable or exchangeable for such capital stock, or publicly announce an intention to effect any such transaction, for a period from the date hereof until 60 days after the date of the Underwriting Agreement, other than (i) Ordinary Shares disposed of as bona fide gifts approved by J.P. Morgan Securities LLC and Morgan Stanley &amp; Co. LLC or (ii) sold by the undersigned pursuant to a trading plan under Rule 10b5-1 of the Exchange Act, in existence on the date hereof.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1420"/>
          </w:cols>
          <w:pgMar w:left="240" w:top="739" w:right="239" w:bottom="1440" w:gutter="0" w:footer="0" w:header="0"/>
        </w:sectPr>
      </w:pPr>
    </w:p>
    <w:bookmarkStart w:id="39" w:name="page40"/>
    <w:bookmarkEnd w:id="39"/>
    <w:p>
      <w:pPr>
        <w:jc w:val="both"/>
        <w:ind w:firstLine="648"/>
        <w:spacing w:after="0" w:line="253" w:lineRule="auto"/>
        <w:rPr>
          <w:sz w:val="20"/>
          <w:szCs w:val="20"/>
          <w:color w:val="auto"/>
        </w:rPr>
      </w:pPr>
      <w:r>
        <w:rPr>
          <w:rFonts w:ascii="Arial" w:cs="Arial" w:eastAsia="Arial" w:hAnsi="Arial"/>
          <w:sz w:val="22"/>
          <w:szCs w:val="22"/>
          <w:color w:val="auto"/>
        </w:rPr>
        <w:t>If for any reason the Underwriting Agreement does not become effective prior to March 31, 2016, or if the Underwriting Agreement shall be terminated prior to the Closing Date (as defined in the Underwriting Agreement), the undersigned shall be released from all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Yours very truly,</w:t>
      </w:r>
    </w:p>
    <w:p>
      <w:pPr>
        <w:spacing w:after="0" w:line="368"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[Signature of officer or</w:t>
      </w:r>
    </w:p>
    <w:p>
      <w:pPr>
        <w:spacing w:after="0" w:line="8"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director]</w:t>
      </w:r>
    </w:p>
    <w:p>
      <w:pPr>
        <w:spacing w:after="0" w:line="350"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[Name of officer or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1420"/>
          </w:cols>
          <w:pgMar w:left="240" w:top="591" w:right="239" w:bottom="1440" w:gutter="0" w:footer="0" w:header="0"/>
        </w:sectPr>
      </w:pPr>
    </w:p>
    <w:bookmarkStart w:id="40" w:name="page41"/>
    <w:bookmarkEnd w:id="40"/>
    <w:p>
      <w:pPr>
        <w:jc w:val="right"/>
        <w:ind w:right="3979"/>
        <w:spacing w:after="0"/>
        <w:rPr>
          <w:sz w:val="20"/>
          <w:szCs w:val="20"/>
          <w:color w:val="auto"/>
        </w:rPr>
      </w:pPr>
      <w:r>
        <w:rPr>
          <w:rFonts w:ascii="Arial" w:cs="Arial" w:eastAsia="Arial" w:hAnsi="Arial"/>
          <w:sz w:val="22"/>
          <w:szCs w:val="22"/>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Arial" w:cs="Arial" w:eastAsia="Arial" w:hAnsi="Arial"/>
          <w:sz w:val="22"/>
          <w:szCs w:val="22"/>
          <w:color w:val="auto"/>
        </w:rPr>
        <w:t>List of lock-up parties:</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22"/>
          <w:szCs w:val="22"/>
          <w:color w:val="auto"/>
        </w:rPr>
        <w:t>Mohamed A. Awad</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David J. Butters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Bernard J. Duroc-Danner</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John D. Gass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Sir Emyr Jones Parry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Francis S. Kalman</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William E. Macaulay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Robert K Moses, Jr.</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Dr. Guillermo Ortiz</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The Honorable Robert A. Rayne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Krishna Shivram</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Douglas M. Mills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Antony J. Branch</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Lance R. Marklinger</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Christina M. Ibrahim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0219"/>
          </w:cols>
          <w:pgMar w:left="240" w:top="591" w:right="1440"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color w:val="auto"/>
        </w:rPr>
        <w:t>ANNEX A-1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OPINION OF SPECIAL COUNSEL TO THE COMPANY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BE DELIVERED PURSUANT TO SECTION 6(b)</w:t>
      </w:r>
    </w:p>
    <w:p>
      <w:pPr>
        <w:spacing w:after="0" w:line="193" w:lineRule="exact"/>
        <w:rPr>
          <w:sz w:val="20"/>
          <w:szCs w:val="20"/>
          <w:color w:val="auto"/>
        </w:rPr>
      </w:pPr>
    </w:p>
    <w:p>
      <w:pPr>
        <w:ind w:left="260" w:hanging="252"/>
        <w:spacing w:after="0" w:line="260" w:lineRule="auto"/>
        <w:tabs>
          <w:tab w:leader="none" w:pos="215"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execution and delivery of the Underwriting Agreement and the issuance and sale of the Securities by the Company to you and the other Underwriters pursuant to the Underwriting Agreement do not on the date hereof:</w:t>
      </w:r>
    </w:p>
    <w:p>
      <w:pPr>
        <w:spacing w:after="0" w:line="177" w:lineRule="exact"/>
        <w:rPr>
          <w:sz w:val="20"/>
          <w:szCs w:val="20"/>
          <w:color w:val="auto"/>
        </w:rPr>
      </w:pPr>
    </w:p>
    <w:p>
      <w:pPr>
        <w:ind w:left="1300" w:hanging="644"/>
        <w:spacing w:after="0" w:line="260" w:lineRule="auto"/>
        <w:tabs>
          <w:tab w:leader="none" w:pos="13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violate any federal, New York or Texas statute, rule or regulation applicable to the Company or violate the Delaware General Corporation Law (the “DGCL”);</w:t>
      </w:r>
    </w:p>
    <w:p>
      <w:pPr>
        <w:spacing w:after="0" w:line="177" w:lineRule="exact"/>
        <w:rPr>
          <w:sz w:val="20"/>
          <w:szCs w:val="20"/>
          <w:color w:val="auto"/>
        </w:rPr>
      </w:pPr>
    </w:p>
    <w:p>
      <w:pPr>
        <w:ind w:left="1060" w:hanging="431"/>
        <w:spacing w:after="0"/>
        <w:tabs>
          <w:tab w:leader="none" w:pos="1060" w:val="left"/>
        </w:tabs>
        <w:numPr>
          <w:ilvl w:val="2"/>
          <w:numId w:val="39"/>
        </w:numPr>
        <w:rPr>
          <w:rFonts w:ascii="Arial" w:cs="Arial" w:eastAsia="Arial" w:hAnsi="Arial"/>
          <w:sz w:val="20"/>
          <w:szCs w:val="20"/>
          <w:color w:val="auto"/>
        </w:rPr>
      </w:pPr>
      <w:r>
        <w:rPr>
          <w:rFonts w:ascii="Arial" w:cs="Arial" w:eastAsia="Arial" w:hAnsi="Arial"/>
          <w:sz w:val="20"/>
          <w:szCs w:val="20"/>
          <w:color w:val="auto"/>
        </w:rPr>
        <w:t>result in the breach of or a default under any of the Specified Agreements</w:t>
      </w:r>
      <w:r>
        <w:rPr>
          <w:rFonts w:ascii="Arial" w:cs="Arial" w:eastAsia="Arial" w:hAnsi="Arial"/>
          <w:sz w:val="25"/>
          <w:szCs w:val="25"/>
          <w:color w:val="auto"/>
          <w:vertAlign w:val="superscript"/>
        </w:rPr>
        <w:t>1</w:t>
      </w:r>
      <w:r>
        <w:rPr>
          <w:rFonts w:ascii="Arial" w:cs="Arial" w:eastAsia="Arial" w:hAnsi="Arial"/>
          <w:sz w:val="20"/>
          <w:szCs w:val="20"/>
          <w:color w:val="auto"/>
        </w:rPr>
        <w:t>; or</w:t>
      </w:r>
    </w:p>
    <w:p>
      <w:pPr>
        <w:spacing w:after="0" w:line="158" w:lineRule="exact"/>
        <w:rPr>
          <w:rFonts w:ascii="Arial" w:cs="Arial" w:eastAsia="Arial" w:hAnsi="Arial"/>
          <w:sz w:val="20"/>
          <w:szCs w:val="20"/>
          <w:color w:val="auto"/>
        </w:rPr>
      </w:pPr>
    </w:p>
    <w:p>
      <w:pPr>
        <w:jc w:val="both"/>
        <w:ind w:left="1300" w:hanging="644"/>
        <w:spacing w:after="0" w:line="291" w:lineRule="auto"/>
        <w:tabs>
          <w:tab w:leader="none" w:pos="1300" w:val="left"/>
        </w:tabs>
        <w:numPr>
          <w:ilvl w:val="3"/>
          <w:numId w:val="39"/>
        </w:numPr>
        <w:rPr>
          <w:rFonts w:ascii="Arial" w:cs="Arial" w:eastAsia="Arial" w:hAnsi="Arial"/>
          <w:sz w:val="18"/>
          <w:szCs w:val="18"/>
          <w:color w:val="auto"/>
        </w:rPr>
      </w:pPr>
      <w:r>
        <w:rPr>
          <w:rFonts w:ascii="Arial" w:cs="Arial" w:eastAsia="Arial" w:hAnsi="Arial"/>
          <w:sz w:val="18"/>
          <w:szCs w:val="18"/>
          <w:color w:val="auto"/>
        </w:rPr>
        <w:t>require any consents, approvals, or authorizations to be obtained by the Company from, or any registrations, declarations or filings to be made by the Company with, any governmental authority under any federal, New York or Texas statute, rule or regulation applicable to the Company or the DGCL on or prior to the date hereof that have not been obtained or made.</w:t>
      </w:r>
    </w:p>
    <w:p>
      <w:pPr>
        <w:spacing w:after="0" w:line="151" w:lineRule="exact"/>
        <w:rPr>
          <w:rFonts w:ascii="Arial" w:cs="Arial" w:eastAsia="Arial" w:hAnsi="Arial"/>
          <w:sz w:val="18"/>
          <w:szCs w:val="18"/>
          <w:color w:val="auto"/>
        </w:rPr>
      </w:pPr>
    </w:p>
    <w:p>
      <w:pPr>
        <w:jc w:val="both"/>
        <w:ind w:left="260" w:hanging="252"/>
        <w:spacing w:after="0" w:line="260" w:lineRule="auto"/>
        <w:tabs>
          <w:tab w:leader="none" w:pos="215"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Registration Statement has become effective under the Act. With your consent, based solely on a review of a list of stop orders on the Commission’s website at http://www.sec.gov/litigation/stoporders.shtml at [•] a.m. Eastern Time on March 7, 2016, we confirm that no stop order suspending the effectiveness of the Registration Statement has been issued under the Act and no proceedings therefor have been initiated by the Commission. The Preliminary Prospectus has been filed in accordance with Rule 424(b) under the Act and the Prospectus has been filed in accordance with Rules 424(b) and 430B under the Act.</w:t>
      </w:r>
    </w:p>
    <w:p>
      <w:pPr>
        <w:spacing w:after="0" w:line="180" w:lineRule="exact"/>
        <w:rPr>
          <w:rFonts w:ascii="Arial" w:cs="Arial" w:eastAsia="Arial" w:hAnsi="Arial"/>
          <w:sz w:val="19"/>
          <w:szCs w:val="19"/>
          <w:color w:val="auto"/>
        </w:rPr>
      </w:pPr>
    </w:p>
    <w:p>
      <w:pPr>
        <w:jc w:val="both"/>
        <w:ind w:left="260" w:hanging="238"/>
        <w:spacing w:after="0" w:line="233" w:lineRule="exact"/>
        <w:tabs>
          <w:tab w:leader="none" w:pos="2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Registration Statement at March 1, 2016, including the information deemed to be a part thereof pursuant to Rule 430B under the Act, and the Prospectus, as of its date, each appeared on their face to be appropriately responsive in all material respects to the applicable form requirements for registration statements on Form S-3 under the Act and the rules and regulations of the Commission thereunder; it being understood, however, that we express no view with respect to Regulation S</w:t>
      </w:r>
      <w:r>
        <w:rPr>
          <w:rFonts w:ascii="MS PGothic" w:cs="MS PGothic" w:eastAsia="MS PGothic" w:hAnsi="MS PGothic"/>
          <w:sz w:val="18"/>
          <w:szCs w:val="18"/>
          <w:color w:val="auto"/>
        </w:rPr>
        <w:t>‑</w:t>
      </w:r>
      <w:r>
        <w:rPr>
          <w:rFonts w:ascii="Arial" w:cs="Arial" w:eastAsia="Arial" w:hAnsi="Arial"/>
          <w:sz w:val="18"/>
          <w:szCs w:val="18"/>
          <w:color w:val="auto"/>
        </w:rPr>
        <w:t>T or the financial statements, schedules, or other financial data, included in, incorporated by reference in, or omitted from, the Registration Statement or the Prospectus. For purposes of this paragraph, we have assumed that the statements made in the Registration Statement and the Prospectus are correct and complete.</w:t>
      </w:r>
    </w:p>
    <w:p>
      <w:pPr>
        <w:spacing w:after="0" w:line="196" w:lineRule="exact"/>
        <w:rPr>
          <w:sz w:val="20"/>
          <w:szCs w:val="20"/>
          <w:color w:val="auto"/>
        </w:rPr>
      </w:pPr>
    </w:p>
    <w:p>
      <w:pPr>
        <w:jc w:val="both"/>
        <w:ind w:left="260" w:hanging="252"/>
        <w:spacing w:after="0" w:line="250" w:lineRule="auto"/>
        <w:tabs>
          <w:tab w:leader="none" w:pos="234"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statements in the Prospectus Supplement under caption “Material United States Federal Income Tax Considerations,” insofar as such statements purport to constitute summaries of United States federal income tax law and regulations or legal conclusions with respect thereto, constitute accurate summaries of the matters described therein in all material respects.</w:t>
      </w:r>
    </w:p>
    <w:p>
      <w:pPr>
        <w:spacing w:after="0" w:line="186" w:lineRule="exact"/>
        <w:rPr>
          <w:rFonts w:ascii="Arial" w:cs="Arial" w:eastAsia="Arial" w:hAnsi="Arial"/>
          <w:sz w:val="20"/>
          <w:szCs w:val="20"/>
          <w:color w:val="auto"/>
        </w:rPr>
      </w:pPr>
    </w:p>
    <w:p>
      <w:pPr>
        <w:jc w:val="both"/>
        <w:ind w:left="260" w:hanging="252"/>
        <w:spacing w:after="0" w:line="269" w:lineRule="auto"/>
        <w:tabs>
          <w:tab w:leader="none" w:pos="215"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Company is not, and immediately after giving effect to the sale of the Shares in accordance with the Underwriting Agreement and the application of the proceeds as described in the Prospectus under the caption “Use of Proceeds,” will not be required to be, registered as an “investment company” within the meaning of the Investment Company Act of 1940, as amended.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w:t>
      </w:r>
    </w:p>
    <w:p>
      <w:pPr>
        <w:spacing w:after="0" w:line="168" w:lineRule="exact"/>
        <w:rPr>
          <w:sz w:val="20"/>
          <w:szCs w:val="20"/>
          <w:color w:val="auto"/>
        </w:rPr>
      </w:pPr>
    </w:p>
    <w:p>
      <w:pPr>
        <w:ind w:left="120" w:hanging="112"/>
        <w:spacing w:after="0"/>
        <w:tabs>
          <w:tab w:leader="none" w:pos="12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NTD: List will include certain agreements filed as exhibits to the 10-K.</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1420"/>
          </w:cols>
          <w:pgMar w:left="240" w:top="1009" w:right="239" w:bottom="1440" w:gutter="0" w:footer="0" w:header="0"/>
        </w:sectPr>
      </w:pPr>
    </w:p>
    <w:bookmarkStart w:id="42" w:name="page43"/>
    <w:bookmarkEnd w:id="42"/>
    <w:p>
      <w:pPr>
        <w:ind w:left="10280"/>
        <w:spacing w:after="0"/>
        <w:rPr>
          <w:sz w:val="20"/>
          <w:szCs w:val="20"/>
          <w:color w:val="auto"/>
        </w:rPr>
      </w:pPr>
      <w:r>
        <w:rPr>
          <w:rFonts w:ascii="Arial" w:cs="Arial" w:eastAsia="Arial" w:hAnsi="Arial"/>
          <w:sz w:val="21"/>
          <w:szCs w:val="21"/>
          <w:color w:val="auto"/>
        </w:rPr>
        <w:t>ANNEX A-2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NEGATIVE ASSURANCE LETTER OF SPECIAL COUNSEL TO THE COMPANY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BE DELIVERED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6(b)</w:t>
      </w:r>
    </w:p>
    <w:p>
      <w:pPr>
        <w:spacing w:after="0" w:line="193" w:lineRule="exact"/>
        <w:rPr>
          <w:sz w:val="20"/>
          <w:szCs w:val="20"/>
          <w:color w:val="auto"/>
        </w:rPr>
      </w:pPr>
    </w:p>
    <w:p>
      <w:pPr>
        <w:jc w:val="both"/>
        <w:ind w:firstLine="891"/>
        <w:spacing w:after="0" w:line="249" w:lineRule="auto"/>
        <w:rPr>
          <w:sz w:val="20"/>
          <w:szCs w:val="20"/>
          <w:color w:val="auto"/>
        </w:rPr>
      </w:pPr>
      <w:r>
        <w:rPr>
          <w:rFonts w:ascii="Arial" w:cs="Arial" w:eastAsia="Arial" w:hAnsi="Arial"/>
          <w:sz w:val="19"/>
          <w:szCs w:val="19"/>
          <w:color w:val="auto"/>
        </w:rPr>
        <w:t>The primary purpose of our professional engagement was not to establish or confirm factual matters or financial or quantitative information. Therefore, we are not passing upon and do not assume any responsibility for the accuracy, completeness or fairness of the statements contained in, or incorporated by reference in, the Registration Statement, the Preliminary Prospectus, the Prospectus or the Incorporated Documents</w:t>
      </w:r>
      <w:r>
        <w:rPr>
          <w:rFonts w:ascii="Arial" w:cs="Arial" w:eastAsia="Arial" w:hAnsi="Arial"/>
          <w:sz w:val="24"/>
          <w:szCs w:val="24"/>
          <w:color w:val="auto"/>
          <w:vertAlign w:val="superscript"/>
        </w:rPr>
        <w:t>2</w:t>
      </w:r>
      <w:r>
        <w:rPr>
          <w:rFonts w:ascii="Arial" w:cs="Arial" w:eastAsia="Arial" w:hAnsi="Arial"/>
          <w:sz w:val="19"/>
          <w:szCs w:val="19"/>
          <w:color w:val="auto"/>
        </w:rPr>
        <w:t>, and have not made an independent check or verification thereof. However, in the course of acting as special counsel to the Company in connection with the preparation by the Company of the Preliminary Prospectus, and the Prospectus, we reviewed the Registration Statement, the Preliminary Prospectus, the Prospectus and the Incorporated Documents, and participated in conferences and telephone conversations with officers and other representatives of the Company, the independent public accountants for the Company, representatives of the Underwriters, and the Underwriters’ counsel, during which conferences and conversations the contents of the Registration Statement, the Preliminary Prospectus, each Issuer Free Writing Prospectus and the Final Prospectus and related matters were discussed. Such counsel also reviewed and relied upon certain Irish public limited company records and documents, letters from counsel and accountants, and oral and written statements of officers and other representatives of the Company and others as to the existence and consequence of certain factual and other matters.</w:t>
      </w:r>
    </w:p>
    <w:p>
      <w:pPr>
        <w:spacing w:after="0" w:line="191" w:lineRule="exact"/>
        <w:rPr>
          <w:sz w:val="20"/>
          <w:szCs w:val="20"/>
          <w:color w:val="auto"/>
        </w:rPr>
      </w:pPr>
    </w:p>
    <w:p>
      <w:pPr>
        <w:jc w:val="both"/>
        <w:ind w:firstLine="891"/>
        <w:spacing w:after="0" w:line="260" w:lineRule="auto"/>
        <w:rPr>
          <w:sz w:val="20"/>
          <w:szCs w:val="20"/>
          <w:color w:val="auto"/>
        </w:rPr>
      </w:pPr>
      <w:r>
        <w:rPr>
          <w:rFonts w:ascii="Arial" w:cs="Arial" w:eastAsia="Arial" w:hAnsi="Arial"/>
          <w:sz w:val="20"/>
          <w:szCs w:val="20"/>
          <w:color w:val="auto"/>
        </w:rPr>
        <w:t>Based on our participation, review and reliance as described above, we advise you that no facts came to our attention that caused us to believe that:</w:t>
      </w:r>
    </w:p>
    <w:p>
      <w:pPr>
        <w:spacing w:after="0" w:line="177" w:lineRule="exact"/>
        <w:rPr>
          <w:sz w:val="20"/>
          <w:szCs w:val="20"/>
          <w:color w:val="auto"/>
        </w:rPr>
      </w:pPr>
    </w:p>
    <w:p>
      <w:pPr>
        <w:jc w:val="both"/>
        <w:ind w:left="1220" w:hanging="321"/>
        <w:spacing w:after="0" w:line="246" w:lineRule="auto"/>
        <w:tabs>
          <w:tab w:leader="none" w:pos="122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Registration Statement, at the time it became effective on March 7, 2014, including the information deemed to be a part of the Registration Statement pursuant to Rule 430B under the Act (together with the Incorporated Documents at that time), contained an untrue statement of a material fact or omitted to state a material fact required to be stated therein or necessary to make the statements therein not misleading;</w:t>
      </w:r>
    </w:p>
    <w:p>
      <w:pPr>
        <w:spacing w:after="0" w:line="205" w:lineRule="exact"/>
        <w:rPr>
          <w:rFonts w:ascii="Arial" w:cs="Arial" w:eastAsia="Arial" w:hAnsi="Arial"/>
          <w:sz w:val="20"/>
          <w:szCs w:val="20"/>
          <w:color w:val="auto"/>
        </w:rPr>
      </w:pPr>
    </w:p>
    <w:p>
      <w:pPr>
        <w:jc w:val="both"/>
        <w:ind w:left="1220" w:hanging="321"/>
        <w:spacing w:after="0" w:line="246" w:lineRule="auto"/>
        <w:tabs>
          <w:tab w:leader="none" w:pos="122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Preliminary Prospectus, as of [•] p.m. (New York City time) on March 1, 2016 (together with the Incorporated Documents at that date), when taken together with the pricing information set forth on Schedule I to this Agreement, contained an untrue statement of a material fact or omitted to state a material fact necessary to make the statements therein, in the light of the circumstances under which they were made, not misleading; or</w:t>
      </w:r>
    </w:p>
    <w:p>
      <w:pPr>
        <w:spacing w:after="0" w:line="205" w:lineRule="exact"/>
        <w:rPr>
          <w:rFonts w:ascii="Arial" w:cs="Arial" w:eastAsia="Arial" w:hAnsi="Arial"/>
          <w:sz w:val="20"/>
          <w:szCs w:val="20"/>
          <w:color w:val="auto"/>
        </w:rPr>
      </w:pPr>
    </w:p>
    <w:p>
      <w:pPr>
        <w:jc w:val="both"/>
        <w:ind w:left="1220" w:hanging="321"/>
        <w:spacing w:after="0" w:line="250" w:lineRule="auto"/>
        <w:tabs>
          <w:tab w:leader="none" w:pos="122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Prospectus, as of its date or as of the date hereto, (together with the Incorporated Documents at those dates), contained or contains an untrue statement of a material fact or omitted or omits to state a material fact necessary to make the statements therein, in the light of the circumstances under which they were made, not misleading;</w:t>
      </w:r>
    </w:p>
    <w:p>
      <w:pPr>
        <w:spacing w:after="0" w:line="200"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it being understood that we express no belief with respect to the financial statements, schedules, or other financial data included or incorporated by reference in, or omitted from, the Registration Statement, the Preliminary Prospectus, the pricing information set forth on Schedule I to this Agreement, the Prospectus or the Incorporated Documents.</w:t>
      </w:r>
    </w:p>
    <w:p>
      <w:pPr>
        <w:spacing w:after="0" w:line="237" w:lineRule="auto"/>
        <w:rPr>
          <w:sz w:val="20"/>
          <w:szCs w:val="20"/>
          <w:color w:val="auto"/>
        </w:rPr>
      </w:pPr>
      <w:r>
        <w:rPr>
          <w:rFonts w:ascii="Arial" w:cs="Arial" w:eastAsia="Arial" w:hAnsi="Arial"/>
          <w:sz w:val="22"/>
          <w:szCs w:val="22"/>
          <w:color w:val="auto"/>
        </w:rPr>
        <w:t>____________________________________</w:t>
      </w:r>
    </w:p>
    <w:p>
      <w:pPr>
        <w:spacing w:after="0" w:line="31" w:lineRule="exact"/>
        <w:rPr>
          <w:sz w:val="20"/>
          <w:szCs w:val="20"/>
          <w:color w:val="auto"/>
        </w:rPr>
      </w:pPr>
    </w:p>
    <w:p>
      <w:pPr>
        <w:ind w:firstLine="8"/>
        <w:spacing w:after="0" w:line="259" w:lineRule="auto"/>
        <w:tabs>
          <w:tab w:leader="none" w:pos="130" w:val="left"/>
        </w:tabs>
        <w:numPr>
          <w:ilvl w:val="0"/>
          <w:numId w:val="44"/>
        </w:numPr>
        <w:rPr>
          <w:rFonts w:ascii="Arial" w:cs="Arial" w:eastAsia="Arial" w:hAnsi="Arial"/>
          <w:sz w:val="24"/>
          <w:szCs w:val="24"/>
          <w:color w:val="auto"/>
          <w:vertAlign w:val="superscript"/>
        </w:rPr>
      </w:pPr>
      <w:r>
        <w:rPr>
          <w:rFonts w:ascii="Arial" w:cs="Arial" w:eastAsia="Arial" w:hAnsi="Arial"/>
          <w:sz w:val="17"/>
          <w:szCs w:val="17"/>
          <w:color w:val="auto"/>
        </w:rPr>
        <w:t>Incorporated Documents” means “the reports and proxy and registration statement filed by the Company with the Commission and, in each case giving effect to Rule 412 under the Act, incorporated in the Registration Statement, the Preliminary Prospectus, or the Prospectus by reference.”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1420"/>
          </w:cols>
          <w:pgMar w:left="240" w:top="1009"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color w:val="auto"/>
        </w:rPr>
        <w:t>ANNEX B</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OPINION OF COMPANY’S IN-HOUSE COUNSEL</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BE DELIVERED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6(c)</w:t>
      </w:r>
    </w:p>
    <w:p>
      <w:pPr>
        <w:spacing w:after="0" w:line="200" w:lineRule="exact"/>
        <w:rPr>
          <w:sz w:val="20"/>
          <w:szCs w:val="20"/>
          <w:color w:val="auto"/>
        </w:rPr>
      </w:pPr>
    </w:p>
    <w:p>
      <w:pPr>
        <w:spacing w:after="0" w:line="209" w:lineRule="exact"/>
        <w:rPr>
          <w:sz w:val="20"/>
          <w:szCs w:val="20"/>
          <w:color w:val="auto"/>
        </w:rPr>
      </w:pPr>
    </w:p>
    <w:p>
      <w:pPr>
        <w:ind w:left="340" w:hanging="332"/>
        <w:spacing w:after="0" w:line="246" w:lineRule="auto"/>
        <w:tabs>
          <w:tab w:leader="none" w:pos="227" w:val="left"/>
        </w:tabs>
        <w:numPr>
          <w:ilvl w:val="0"/>
          <w:numId w:val="45"/>
        </w:numPr>
        <w:rPr>
          <w:rFonts w:ascii="Arial" w:cs="Arial" w:eastAsia="Arial" w:hAnsi="Arial"/>
          <w:sz w:val="20"/>
          <w:szCs w:val="20"/>
          <w:color w:val="auto"/>
        </w:rPr>
      </w:pPr>
      <w:r>
        <w:rPr>
          <w:rFonts w:ascii="Arial" w:cs="Arial" w:eastAsia="Arial" w:hAnsi="Arial"/>
          <w:sz w:val="20"/>
          <w:szCs w:val="20"/>
          <w:color w:val="auto"/>
        </w:rPr>
        <w:t>To my knowledge, there is no action, suit or proceeding before or by any government, governmental instrumentality or court, domestic or foreign, now pending or threatened against or affecting the Company or any of its subsidiaries, or to which any of its properties are subject, that are of a character required to be described in the Registration Statement, the Disclosure Package or the Final Prospectus that are not so described.</w:t>
      </w:r>
    </w:p>
    <w:p>
      <w:pPr>
        <w:spacing w:after="0" w:line="191" w:lineRule="exact"/>
        <w:rPr>
          <w:rFonts w:ascii="Arial" w:cs="Arial" w:eastAsia="Arial" w:hAnsi="Arial"/>
          <w:sz w:val="20"/>
          <w:szCs w:val="20"/>
          <w:color w:val="auto"/>
        </w:rPr>
      </w:pPr>
    </w:p>
    <w:p>
      <w:pPr>
        <w:ind w:left="340" w:hanging="332"/>
        <w:spacing w:after="0" w:line="282" w:lineRule="auto"/>
        <w:tabs>
          <w:tab w:leader="none" w:pos="214"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descriptions in the Registration Statement of contracts and other documents to which the Company or any of its subsidiaries is a party are fair summaries in all material respects; and to my knowledge, there are no franchises, contracts, indentures, mortgages, loan agreements, notes, leases or other instruments required to be described or referred to in the Registration Statement or to be filed as exhibits to the Registration Statement, other than those described or referred to therein or filed or incorporated by reference as exhibits thereto.</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opinions expressed above are limited to matters governed by the federal laws of the United States of America, the laws of the State of Texas and the General Corporation Law of the State of Delaware. In addition, this opinion is subject to customary exceptions and qualifications.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1420"/>
          </w:cols>
          <w:pgMar w:left="240" w:top="847"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color w:val="auto"/>
        </w:rPr>
        <w:t>ANNEX 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OPINION OF COMPANY COUNSEL</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BE DELIVERED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6(d)</w:t>
      </w:r>
    </w:p>
    <w:p>
      <w:pPr>
        <w:spacing w:after="0" w:line="193" w:lineRule="exact"/>
        <w:rPr>
          <w:sz w:val="20"/>
          <w:szCs w:val="20"/>
          <w:color w:val="auto"/>
        </w:rPr>
      </w:pPr>
    </w:p>
    <w:p>
      <w:pPr>
        <w:jc w:val="both"/>
        <w:ind w:left="340" w:hanging="332"/>
        <w:spacing w:after="0" w:line="291"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is a public company duly incorporated with limited liability under the laws of Ireland. The Company is incorporated for an indefinite period as a separate legal entity and is subject to suit in its own name. Based upon certain public searches against the Company, no steps have been taken under the laws of Ireland to appoint a receiver, liquidator or examiner to or to wind up the Company.</w:t>
      </w:r>
    </w:p>
    <w:p>
      <w:pPr>
        <w:spacing w:after="0" w:line="165"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Company has full power to enter into the Underwriting Agreement and to exercise its rights and perform its obligations thereunder and all corporate action required to authorise the execution and delivery of the Underwriting Agreement and its performance of its obligations thereunder has been taken.</w:t>
      </w:r>
    </w:p>
    <w:p>
      <w:pPr>
        <w:spacing w:after="0" w:line="199" w:lineRule="exact"/>
        <w:rPr>
          <w:rFonts w:ascii="Arial" w:cs="Arial" w:eastAsia="Arial" w:hAnsi="Arial"/>
          <w:sz w:val="20"/>
          <w:szCs w:val="20"/>
          <w:color w:val="auto"/>
        </w:rPr>
      </w:pPr>
    </w:p>
    <w:p>
      <w:pPr>
        <w:jc w:val="both"/>
        <w:ind w:left="340" w:hanging="332"/>
        <w:spacing w:after="0" w:line="250" w:lineRule="auto"/>
        <w:tabs>
          <w:tab w:leader="none" w:pos="3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execution and delivery by the Company of the Underwriting Agreement and its exercise of its rights and performance of its obligations thereunder (including the issue of Ordinary Shares pursuant thereto) will not violate (i) any existing law or regulation of Ireland applicable to companies generally or (ii) any provision of the Company's constitution (the "Constitution").</w:t>
      </w:r>
    </w:p>
    <w:p>
      <w:pPr>
        <w:spacing w:after="0" w:line="199" w:lineRule="exact"/>
        <w:rPr>
          <w:rFonts w:ascii="Arial" w:cs="Arial" w:eastAsia="Arial" w:hAnsi="Arial"/>
          <w:sz w:val="20"/>
          <w:szCs w:val="20"/>
          <w:color w:val="auto"/>
        </w:rPr>
      </w:pPr>
    </w:p>
    <w:p>
      <w:pPr>
        <w:ind w:left="340" w:hanging="332"/>
        <w:spacing w:after="0" w:line="260" w:lineRule="auto"/>
        <w:tabs>
          <w:tab w:leader="none" w:pos="3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Underwriting Agreement has been duly executed by the Company and the Underwriting Agreement and the obligations undertaken thereunder by the Company constitute legal, valid, binding and enforceable obligations of the Company.</w:t>
      </w:r>
    </w:p>
    <w:p>
      <w:pPr>
        <w:spacing w:after="0" w:line="190" w:lineRule="exact"/>
        <w:rPr>
          <w:rFonts w:ascii="Arial" w:cs="Arial" w:eastAsia="Arial" w:hAnsi="Arial"/>
          <w:sz w:val="20"/>
          <w:szCs w:val="20"/>
          <w:color w:val="auto"/>
        </w:rPr>
      </w:pPr>
    </w:p>
    <w:p>
      <w:pPr>
        <w:jc w:val="both"/>
        <w:ind w:left="340" w:hanging="332"/>
        <w:spacing w:after="0" w:line="242" w:lineRule="auto"/>
        <w:tabs>
          <w:tab w:leader="none" w:pos="3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Company’s authorized share capital is as set forth in the Prospectus Supplement; the rights of the Ordinary Shares conform to the description thereof contained in the Prospectus Supplement under the caption “Description of Weatherford’s Ordinary Shares”; the Ordinary Shares which may be issued pursuant to the Underwriting Agreement have been duly authorized and, when paid by the Underwriters in accordance with the Underwriting Agreement and issued, will be validly issued, fully paid and non-assessable (“non-assessable” is a phrase which has no meaning under Irish law, but, for the purposes of this Opinion, shall mean the registered holders of such shares are not liable under Irish law, solely by virtue of their shareholding, for the payment of any further amounts of capital on such shares); and the holders of the issued shares of the Company are not entitled to pre-emptive or other rights to subscribe for such Ordinary Shares.</w:t>
      </w:r>
    </w:p>
    <w:p>
      <w:pPr>
        <w:spacing w:after="0" w:line="211" w:lineRule="exact"/>
        <w:rPr>
          <w:rFonts w:ascii="Arial" w:cs="Arial" w:eastAsia="Arial" w:hAnsi="Arial"/>
          <w:sz w:val="20"/>
          <w:szCs w:val="20"/>
          <w:color w:val="auto"/>
        </w:rPr>
      </w:pPr>
    </w:p>
    <w:p>
      <w:pPr>
        <w:jc w:val="both"/>
        <w:ind w:left="340" w:hanging="332"/>
        <w:spacing w:after="0" w:line="244" w:lineRule="auto"/>
        <w:tabs>
          <w:tab w:leader="none" w:pos="3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It is not necessary under the laws of Ireland in order to ensure the legality, validity, enforceability or admissibility in evidence of the Underwriting Agreement in Ireland or to permit the Company to perform its obligations under the Underwriting Agreement that any approval, consent, licence, authorisation or exemption be obtained from any court or governmental or regulatory authority in Ireland or that the Underwriting Agreement or any particulars of them be filed, registered, recorded, enrolled or notarised with, in or by any such court or authority.</w:t>
      </w:r>
    </w:p>
    <w:p>
      <w:pPr>
        <w:spacing w:after="0" w:line="208" w:lineRule="exact"/>
        <w:rPr>
          <w:rFonts w:ascii="Arial" w:cs="Arial" w:eastAsia="Arial" w:hAnsi="Arial"/>
          <w:sz w:val="20"/>
          <w:szCs w:val="20"/>
          <w:color w:val="auto"/>
        </w:rPr>
      </w:pPr>
    </w:p>
    <w:p>
      <w:pPr>
        <w:jc w:val="both"/>
        <w:ind w:left="340" w:hanging="332"/>
        <w:spacing w:after="0" w:line="263" w:lineRule="auto"/>
        <w:tabs>
          <w:tab w:leader="none" w:pos="340" w:val="left"/>
        </w:tabs>
        <w:numPr>
          <w:ilvl w:val="0"/>
          <w:numId w:val="46"/>
        </w:numPr>
        <w:rPr>
          <w:rFonts w:ascii="Arial" w:cs="Arial" w:eastAsia="Arial" w:hAnsi="Arial"/>
          <w:sz w:val="19"/>
          <w:szCs w:val="19"/>
          <w:color w:val="auto"/>
        </w:rPr>
      </w:pPr>
      <w:r>
        <w:rPr>
          <w:rFonts w:ascii="Arial" w:cs="Arial" w:eastAsia="Arial" w:hAnsi="Arial"/>
          <w:sz w:val="19"/>
          <w:szCs w:val="19"/>
          <w:color w:val="auto"/>
        </w:rPr>
        <w:t>Except as described in the Prospectus Supplement, the issuance and sale of the Ordinary Shares pursuant to the Underwriting Agreement will not be subject to stamp duty in Ireland and no registration, documentary, recording, transfer or other similar tax, fee or charge is payable in Ireland in connection with the execution, delivery, filing, registration or performance of the Underwriting Agreement or in connection with the admissibility in evidence thereof (other than ordinary court filing fees).</w:t>
      </w:r>
    </w:p>
    <w:p>
      <w:pPr>
        <w:spacing w:after="0" w:line="190" w:lineRule="exact"/>
        <w:rPr>
          <w:rFonts w:ascii="Arial" w:cs="Arial" w:eastAsia="Arial" w:hAnsi="Arial"/>
          <w:sz w:val="19"/>
          <w:szCs w:val="19"/>
          <w:color w:val="auto"/>
        </w:rPr>
      </w:pPr>
    </w:p>
    <w:p>
      <w:pPr>
        <w:jc w:val="both"/>
        <w:ind w:left="340" w:hanging="332"/>
        <w:spacing w:after="0" w:line="250" w:lineRule="auto"/>
        <w:tabs>
          <w:tab w:leader="none" w:pos="3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statements contained in the Prospectus Supplement under the caption “Certain Irish Tax Considerations” and “Description of Weatherford’s Ordinary Shares”, to the extent that they constitute statements of Irish law or summaries of any provisions of the Constitution or certain rights of the Ordinary Shares, are accurate in all material respects.</w:t>
      </w:r>
    </w:p>
    <w:p>
      <w:pPr>
        <w:spacing w:after="0" w:line="200" w:lineRule="exact"/>
        <w:rPr>
          <w:sz w:val="20"/>
          <w:szCs w:val="20"/>
          <w:color w:val="auto"/>
        </w:rPr>
      </w:pPr>
    </w:p>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20"/>
          <w:szCs w:val="20"/>
          <w:color w:val="auto"/>
        </w:rPr>
        <w:t>1</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1420"/>
          </w:cols>
          <w:pgMar w:left="240" w:top="847" w:right="239" w:bottom="1440" w:gutter="0" w:footer="0" w:header="0"/>
        </w:sectPr>
      </w:pPr>
    </w:p>
    <w:bookmarkStart w:id="45" w:name="page46"/>
    <w:bookmarkEnd w:id="45"/>
    <w:p>
      <w:pPr>
        <w:jc w:val="both"/>
        <w:ind w:left="340" w:hanging="332"/>
        <w:spacing w:after="0" w:line="244" w:lineRule="auto"/>
        <w:tabs>
          <w:tab w:leader="none" w:pos="3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In any proceedings taken in Ireland for the enforcement of the obligations of the Company under the Underwriting Agreement, the courts of Ireland would recognise the choice of the law of the State of New York applicable to contracts made and to be performed within the State of New York as the governing law of the contractual rights and obligations of the parties under the Underwriting Agreement in each case in accordance with and subject to the provisions of Council Regulations (EC) No 593/2008 on the Law Applicable to Contractual Obligations.</w:t>
      </w:r>
    </w:p>
    <w:p>
      <w:pPr>
        <w:spacing w:after="0" w:line="208" w:lineRule="exact"/>
        <w:rPr>
          <w:rFonts w:ascii="Arial" w:cs="Arial" w:eastAsia="Arial" w:hAnsi="Arial"/>
          <w:sz w:val="20"/>
          <w:szCs w:val="20"/>
          <w:color w:val="auto"/>
        </w:rPr>
      </w:pPr>
    </w:p>
    <w:p>
      <w:pPr>
        <w:ind w:left="340" w:right="20" w:hanging="332"/>
        <w:spacing w:after="0" w:line="260" w:lineRule="auto"/>
        <w:tabs>
          <w:tab w:leader="none" w:pos="3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submission in the Underwriting Agreement by the Company to the non-exclusive jurisdiction of any federal or New York State court located in the City of New York is valid and binding on the Company.</w:t>
      </w:r>
    </w:p>
    <w:p>
      <w:pPr>
        <w:spacing w:after="0" w:line="190" w:lineRule="exact"/>
        <w:rPr>
          <w:rFonts w:ascii="Arial" w:cs="Arial" w:eastAsia="Arial" w:hAnsi="Arial"/>
          <w:sz w:val="20"/>
          <w:szCs w:val="20"/>
          <w:color w:val="auto"/>
        </w:rPr>
      </w:pPr>
    </w:p>
    <w:p>
      <w:pPr>
        <w:jc w:val="both"/>
        <w:ind w:left="340" w:hanging="332"/>
        <w:spacing w:after="0" w:line="246" w:lineRule="auto"/>
        <w:tabs>
          <w:tab w:leader="none" w:pos="3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Any judgment obtained against the Company in any federal or New York State court located in the City of New York (a “Non EU/EFTA Judgment”) relating to the Underwriting Agreement should be recognised and enforced by the courts of Ireland subject to first obtaining by way of a new action an order from the Irish courts which would be granted on proper proof of the Non EU/EFTA Judgment without any retrial or examination of the merits of the case provided that:</w:t>
      </w:r>
    </w:p>
    <w:p>
      <w:pPr>
        <w:spacing w:after="0" w:line="205" w:lineRule="exact"/>
        <w:rPr>
          <w:rFonts w:ascii="Arial" w:cs="Arial" w:eastAsia="Arial" w:hAnsi="Arial"/>
          <w:sz w:val="20"/>
          <w:szCs w:val="20"/>
          <w:color w:val="auto"/>
        </w:rPr>
      </w:pPr>
    </w:p>
    <w:p>
      <w:pPr>
        <w:ind w:left="1960" w:hanging="655"/>
        <w:spacing w:after="0"/>
        <w:tabs>
          <w:tab w:leader="none" w:pos="1960" w:val="left"/>
        </w:tabs>
        <w:numPr>
          <w:ilvl w:val="1"/>
          <w:numId w:val="47"/>
        </w:numPr>
        <w:rPr>
          <w:rFonts w:ascii="Arial" w:cs="Arial" w:eastAsia="Arial" w:hAnsi="Arial"/>
          <w:sz w:val="20"/>
          <w:szCs w:val="20"/>
          <w:color w:val="auto"/>
        </w:rPr>
      </w:pPr>
      <w:r>
        <w:rPr>
          <w:rFonts w:ascii="Arial" w:cs="Arial" w:eastAsia="Arial" w:hAnsi="Arial"/>
          <w:sz w:val="20"/>
          <w:szCs w:val="20"/>
          <w:color w:val="auto"/>
        </w:rPr>
        <w:t>the Non EU/EFTA Judgment is for a definite sum of money and is final and conclusive;</w:t>
      </w:r>
    </w:p>
    <w:p>
      <w:pPr>
        <w:spacing w:after="0" w:line="229" w:lineRule="exact"/>
        <w:rPr>
          <w:rFonts w:ascii="Arial" w:cs="Arial" w:eastAsia="Arial" w:hAnsi="Arial"/>
          <w:sz w:val="20"/>
          <w:szCs w:val="20"/>
          <w:color w:val="auto"/>
        </w:rPr>
      </w:pPr>
    </w:p>
    <w:p>
      <w:pPr>
        <w:ind w:left="1960" w:hanging="655"/>
        <w:spacing w:after="0"/>
        <w:tabs>
          <w:tab w:leader="none" w:pos="1960" w:val="left"/>
        </w:tabs>
        <w:numPr>
          <w:ilvl w:val="1"/>
          <w:numId w:val="47"/>
        </w:numPr>
        <w:rPr>
          <w:rFonts w:ascii="Arial" w:cs="Arial" w:eastAsia="Arial" w:hAnsi="Arial"/>
          <w:sz w:val="20"/>
          <w:szCs w:val="20"/>
          <w:color w:val="auto"/>
        </w:rPr>
      </w:pPr>
      <w:r>
        <w:rPr>
          <w:rFonts w:ascii="Arial" w:cs="Arial" w:eastAsia="Arial" w:hAnsi="Arial"/>
          <w:sz w:val="20"/>
          <w:szCs w:val="20"/>
          <w:color w:val="auto"/>
        </w:rPr>
        <w:t>the state or federal court located in the City of New York had competent jurisdiction;</w:t>
      </w:r>
    </w:p>
    <w:p>
      <w:pPr>
        <w:spacing w:after="0" w:line="229" w:lineRule="exact"/>
        <w:rPr>
          <w:rFonts w:ascii="Arial" w:cs="Arial" w:eastAsia="Arial" w:hAnsi="Arial"/>
          <w:sz w:val="20"/>
          <w:szCs w:val="20"/>
          <w:color w:val="auto"/>
        </w:rPr>
      </w:pPr>
    </w:p>
    <w:p>
      <w:pPr>
        <w:ind w:left="1960" w:hanging="655"/>
        <w:spacing w:after="0"/>
        <w:tabs>
          <w:tab w:leader="none" w:pos="1960" w:val="left"/>
        </w:tabs>
        <w:numPr>
          <w:ilvl w:val="1"/>
          <w:numId w:val="47"/>
        </w:numPr>
        <w:rPr>
          <w:rFonts w:ascii="Arial" w:cs="Arial" w:eastAsia="Arial" w:hAnsi="Arial"/>
          <w:sz w:val="20"/>
          <w:szCs w:val="20"/>
          <w:color w:val="auto"/>
        </w:rPr>
      </w:pPr>
      <w:r>
        <w:rPr>
          <w:rFonts w:ascii="Arial" w:cs="Arial" w:eastAsia="Arial" w:hAnsi="Arial"/>
          <w:sz w:val="20"/>
          <w:szCs w:val="20"/>
          <w:color w:val="auto"/>
        </w:rPr>
        <w:t>the Non EU/EFTA Judgment has not been obtained or alleged to have been obtained by fraud;</w:t>
      </w:r>
    </w:p>
    <w:p>
      <w:pPr>
        <w:spacing w:after="0" w:line="229" w:lineRule="exact"/>
        <w:rPr>
          <w:rFonts w:ascii="Arial" w:cs="Arial" w:eastAsia="Arial" w:hAnsi="Arial"/>
          <w:sz w:val="20"/>
          <w:szCs w:val="20"/>
          <w:color w:val="auto"/>
        </w:rPr>
      </w:pPr>
    </w:p>
    <w:p>
      <w:pPr>
        <w:ind w:left="1960" w:hanging="655"/>
        <w:spacing w:after="0"/>
        <w:tabs>
          <w:tab w:leader="none" w:pos="1960" w:val="left"/>
        </w:tabs>
        <w:numPr>
          <w:ilvl w:val="1"/>
          <w:numId w:val="47"/>
        </w:numPr>
        <w:rPr>
          <w:rFonts w:ascii="Arial" w:cs="Arial" w:eastAsia="Arial" w:hAnsi="Arial"/>
          <w:sz w:val="20"/>
          <w:szCs w:val="20"/>
          <w:color w:val="auto"/>
        </w:rPr>
      </w:pPr>
      <w:r>
        <w:rPr>
          <w:rFonts w:ascii="Arial" w:cs="Arial" w:eastAsia="Arial" w:hAnsi="Arial"/>
          <w:sz w:val="20"/>
          <w:szCs w:val="20"/>
          <w:color w:val="auto"/>
        </w:rPr>
        <w:t>procedural rules of the court giving the Non EU/EFTA Judgment have been observed;</w:t>
      </w:r>
    </w:p>
    <w:p>
      <w:pPr>
        <w:spacing w:after="0" w:line="229" w:lineRule="exact"/>
        <w:rPr>
          <w:rFonts w:ascii="Arial" w:cs="Arial" w:eastAsia="Arial" w:hAnsi="Arial"/>
          <w:sz w:val="20"/>
          <w:szCs w:val="20"/>
          <w:color w:val="auto"/>
        </w:rPr>
      </w:pPr>
    </w:p>
    <w:p>
      <w:pPr>
        <w:ind w:left="1960" w:hanging="655"/>
        <w:spacing w:after="0"/>
        <w:tabs>
          <w:tab w:leader="none" w:pos="1960" w:val="left"/>
        </w:tabs>
        <w:numPr>
          <w:ilvl w:val="1"/>
          <w:numId w:val="47"/>
        </w:numPr>
        <w:rPr>
          <w:rFonts w:ascii="Arial" w:cs="Arial" w:eastAsia="Arial" w:hAnsi="Arial"/>
          <w:sz w:val="20"/>
          <w:szCs w:val="20"/>
          <w:color w:val="auto"/>
        </w:rPr>
      </w:pPr>
      <w:r>
        <w:rPr>
          <w:rFonts w:ascii="Arial" w:cs="Arial" w:eastAsia="Arial" w:hAnsi="Arial"/>
          <w:sz w:val="20"/>
          <w:szCs w:val="20"/>
          <w:color w:val="auto"/>
        </w:rPr>
        <w:t>the Non EU/EFTA Judgment is not contrary to public policy or natural or constitutional justice;</w:t>
      </w:r>
    </w:p>
    <w:p>
      <w:pPr>
        <w:spacing w:after="0" w:line="229" w:lineRule="exact"/>
        <w:rPr>
          <w:rFonts w:ascii="Arial" w:cs="Arial" w:eastAsia="Arial" w:hAnsi="Arial"/>
          <w:sz w:val="20"/>
          <w:szCs w:val="20"/>
          <w:color w:val="auto"/>
        </w:rPr>
      </w:pPr>
    </w:p>
    <w:p>
      <w:pPr>
        <w:ind w:left="1960" w:hanging="655"/>
        <w:spacing w:after="0"/>
        <w:tabs>
          <w:tab w:leader="none" w:pos="19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Non EU/EFTA Judgment is not inconsistent with a judgment of the court of Ireland in relation to the same matter;</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47"/>
        </w:numPr>
        <w:rPr>
          <w:rFonts w:ascii="Arial" w:cs="Arial" w:eastAsia="Arial" w:hAnsi="Arial"/>
          <w:sz w:val="20"/>
          <w:szCs w:val="20"/>
          <w:color w:val="auto"/>
        </w:rPr>
      </w:pPr>
      <w:r>
        <w:rPr>
          <w:rFonts w:ascii="Arial" w:cs="Arial" w:eastAsia="Arial" w:hAnsi="Arial"/>
          <w:sz w:val="20"/>
          <w:szCs w:val="20"/>
          <w:color w:val="auto"/>
        </w:rPr>
        <w:t>the Irish courts have jurisdiction over the matter; and</w:t>
      </w:r>
    </w:p>
    <w:p>
      <w:pPr>
        <w:spacing w:after="0" w:line="229" w:lineRule="exact"/>
        <w:rPr>
          <w:rFonts w:ascii="Arial" w:cs="Arial" w:eastAsia="Arial" w:hAnsi="Arial"/>
          <w:sz w:val="20"/>
          <w:szCs w:val="20"/>
          <w:color w:val="auto"/>
        </w:rPr>
      </w:pPr>
    </w:p>
    <w:p>
      <w:pPr>
        <w:ind w:left="1960" w:hanging="655"/>
        <w:spacing w:after="0" w:line="260" w:lineRule="auto"/>
        <w:tabs>
          <w:tab w:leader="none" w:pos="1960" w:val="left"/>
        </w:tabs>
        <w:numPr>
          <w:ilvl w:val="1"/>
          <w:numId w:val="47"/>
        </w:numPr>
        <w:rPr>
          <w:rFonts w:ascii="Arial" w:cs="Arial" w:eastAsia="Arial" w:hAnsi="Arial"/>
          <w:sz w:val="20"/>
          <w:szCs w:val="20"/>
          <w:color w:val="auto"/>
        </w:rPr>
      </w:pPr>
      <w:r>
        <w:rPr>
          <w:rFonts w:ascii="Arial" w:cs="Arial" w:eastAsia="Arial" w:hAnsi="Arial"/>
          <w:sz w:val="20"/>
          <w:szCs w:val="20"/>
          <w:color w:val="auto"/>
        </w:rPr>
        <w:t>enforcement proceedings are instituted in Ireland by way of the new action within six years of the date of the Non EU/EFTA Judgment.</w:t>
      </w:r>
    </w:p>
    <w:p>
      <w:pPr>
        <w:spacing w:after="0" w:line="190" w:lineRule="exact"/>
        <w:rPr>
          <w:rFonts w:ascii="Arial" w:cs="Arial" w:eastAsia="Arial" w:hAnsi="Arial"/>
          <w:sz w:val="20"/>
          <w:szCs w:val="20"/>
          <w:color w:val="auto"/>
        </w:rPr>
      </w:pPr>
    </w:p>
    <w:p>
      <w:pPr>
        <w:ind w:left="340" w:hanging="332"/>
        <w:spacing w:after="0" w:line="260" w:lineRule="auto"/>
        <w:tabs>
          <w:tab w:leader="none" w:pos="313"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There is no income or other tax of Ireland imposed by withholding or otherwise on any payment to be made by the Company to the holders of the Ordinary Shares.</w:t>
      </w:r>
    </w:p>
    <w:p>
      <w:pPr>
        <w:spacing w:after="0" w:line="176" w:lineRule="exact"/>
        <w:rPr>
          <w:rFonts w:ascii="Arial" w:cs="Arial" w:eastAsia="Arial" w:hAnsi="Arial"/>
          <w:sz w:val="20"/>
          <w:szCs w:val="20"/>
          <w:color w:val="auto"/>
        </w:rPr>
      </w:pPr>
    </w:p>
    <w:p>
      <w:pPr>
        <w:ind w:left="300" w:hanging="292"/>
        <w:spacing w:after="0"/>
        <w:tabs>
          <w:tab w:leader="none" w:pos="3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Company is not entitled to any form of immunity from legal proceedings, jurisdiction or execution of judgments.</w:t>
      </w:r>
    </w:p>
    <w:p>
      <w:pPr>
        <w:spacing w:after="0" w:line="215" w:lineRule="exact"/>
        <w:rPr>
          <w:rFonts w:ascii="Arial" w:cs="Arial" w:eastAsia="Arial" w:hAnsi="Arial"/>
          <w:sz w:val="20"/>
          <w:szCs w:val="20"/>
          <w:color w:val="auto"/>
        </w:rPr>
      </w:pPr>
    </w:p>
    <w:p>
      <w:pPr>
        <w:jc w:val="both"/>
        <w:ind w:left="340" w:hanging="332"/>
        <w:spacing w:after="0" w:line="246" w:lineRule="auto"/>
        <w:tabs>
          <w:tab w:leader="none" w:pos="343" w:val="left"/>
        </w:tabs>
        <w:numPr>
          <w:ilvl w:val="0"/>
          <w:numId w:val="47"/>
        </w:numPr>
        <w:rPr>
          <w:rFonts w:ascii="Arial" w:cs="Arial" w:eastAsia="Arial" w:hAnsi="Arial"/>
          <w:sz w:val="20"/>
          <w:szCs w:val="20"/>
          <w:color w:val="auto"/>
        </w:rPr>
      </w:pPr>
      <w:r>
        <w:rPr>
          <w:rFonts w:ascii="Arial" w:cs="Arial" w:eastAsia="Arial" w:hAnsi="Arial"/>
          <w:sz w:val="20"/>
          <w:szCs w:val="20"/>
          <w:color w:val="auto"/>
        </w:rPr>
        <w:t>On the basis of certain assumptions, to which you have agreed, the offer of the Ordinary Shares in accordance with the terms of the Underwriting Agreement does not require the publication of a prospectus pursuant to Directive 2003/71/EC (and amendments thereto, including Directive 2010/73/EU, to the extent implemented in a relevant member state of the European Economic Area) and the relevant implementing measure in Ireland.</w:t>
      </w:r>
    </w:p>
    <w:p>
      <w:pPr>
        <w:spacing w:after="0" w:line="191" w:lineRule="exact"/>
        <w:rPr>
          <w:rFonts w:ascii="Arial" w:cs="Arial" w:eastAsia="Arial" w:hAnsi="Arial"/>
          <w:sz w:val="20"/>
          <w:szCs w:val="20"/>
          <w:color w:val="auto"/>
        </w:rPr>
      </w:pPr>
    </w:p>
    <w:p>
      <w:pPr>
        <w:ind w:left="340" w:right="20" w:hanging="332"/>
        <w:spacing w:after="0" w:line="260" w:lineRule="auto"/>
        <w:tabs>
          <w:tab w:leader="none" w:pos="315"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Representatives will not be deemed to be resident, domiciled or carrying on business in Ireland for Irish tax purposes by reason only of the execution, performance and / or enforcement of the Underwriting Agreement by the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1420"/>
          </w:cols>
          <w:pgMar w:left="240" w:top="1068"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color w:val="auto"/>
        </w:rPr>
        <w:t>ANNEX D</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OPINION OF COMPANY’S SPECIAL ADVISOR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BE DELIVERED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6(e)</w:t>
      </w:r>
    </w:p>
    <w:p>
      <w:pPr>
        <w:spacing w:after="0" w:line="206" w:lineRule="exact"/>
        <w:rPr>
          <w:sz w:val="20"/>
          <w:szCs w:val="20"/>
          <w:color w:val="auto"/>
        </w:rPr>
      </w:pPr>
    </w:p>
    <w:p>
      <w:pPr>
        <w:jc w:val="both"/>
        <w:ind w:left="500" w:hanging="424"/>
        <w:spacing w:after="0" w:line="266" w:lineRule="auto"/>
        <w:tabs>
          <w:tab w:leader="none" w:pos="500" w:val="left"/>
        </w:tabs>
        <w:numPr>
          <w:ilvl w:val="0"/>
          <w:numId w:val="48"/>
        </w:numPr>
        <w:rPr>
          <w:rFonts w:ascii="Arial" w:cs="Arial" w:eastAsia="Arial" w:hAnsi="Arial"/>
          <w:sz w:val="22"/>
          <w:szCs w:val="22"/>
          <w:color w:val="auto"/>
        </w:rPr>
      </w:pPr>
      <w:r>
        <w:rPr>
          <w:rFonts w:ascii="Arial" w:cs="Arial" w:eastAsia="Arial" w:hAnsi="Arial"/>
          <w:sz w:val="20"/>
          <w:szCs w:val="20"/>
          <w:color w:val="auto"/>
        </w:rPr>
        <w:t>The Offering Documents will for the Underwriters not be subject to ad valorem stamp duty in Switzerland and no registration, documentary, recording, transfer or other similar tax, fee or charge is payable in Switzerland in connection with the execution, delivery, filing, registration or performance of the Offering Documents or in connection with the admissibility in evidence thereof (other than ordinary court filing fees).</w:t>
      </w:r>
    </w:p>
    <w:p>
      <w:pPr>
        <w:spacing w:after="0" w:line="197" w:lineRule="exact"/>
        <w:rPr>
          <w:rFonts w:ascii="Arial" w:cs="Arial" w:eastAsia="Arial" w:hAnsi="Arial"/>
          <w:sz w:val="22"/>
          <w:szCs w:val="22"/>
          <w:color w:val="auto"/>
        </w:rPr>
      </w:pPr>
    </w:p>
    <w:p>
      <w:pPr>
        <w:ind w:left="500" w:hanging="424"/>
        <w:spacing w:after="0" w:line="260" w:lineRule="auto"/>
        <w:tabs>
          <w:tab w:leader="none" w:pos="50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statements contained in the Prospectus Supplement regarding the issuance of Ordinary Shares of Weatherford International plc under the caption “Certain Swiss Tax Considerations” are accurate in all material respects.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NY2-766967</w:t>
      </w:r>
    </w:p>
    <w:p>
      <w:pPr>
        <w:sectPr>
          <w:pgSz w:w="11900" w:h="16838" w:orient="portrait"/>
          <w:cols w:equalWidth="0" w:num="1">
            <w:col w:w="11420"/>
          </w:cols>
          <w:pgMar w:left="240" w:top="1009"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457200</wp:posOffset>
            </wp:positionV>
            <wp:extent cx="2967355" cy="1046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67355"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Weatherford International plc</w:t>
      </w:r>
    </w:p>
    <w:p>
      <w:pPr>
        <w:ind w:left="40"/>
        <w:spacing w:after="0" w:line="234" w:lineRule="auto"/>
        <w:rPr>
          <w:sz w:val="20"/>
          <w:szCs w:val="20"/>
          <w:color w:val="auto"/>
        </w:rPr>
      </w:pPr>
      <w:r>
        <w:rPr>
          <w:rFonts w:ascii="Arial" w:cs="Arial" w:eastAsia="Arial" w:hAnsi="Arial"/>
          <w:sz w:val="18"/>
          <w:szCs w:val="18"/>
          <w:color w:val="auto"/>
        </w:rPr>
        <w:t>Banhofstrasse 1</w:t>
      </w:r>
    </w:p>
    <w:p>
      <w:pPr>
        <w:ind w:left="40"/>
        <w:spacing w:after="0" w:line="235" w:lineRule="auto"/>
        <w:rPr>
          <w:sz w:val="20"/>
          <w:szCs w:val="20"/>
          <w:color w:val="auto"/>
        </w:rPr>
      </w:pPr>
      <w:r>
        <w:rPr>
          <w:rFonts w:ascii="Arial" w:cs="Arial" w:eastAsia="Arial" w:hAnsi="Arial"/>
          <w:sz w:val="18"/>
          <w:szCs w:val="18"/>
          <w:color w:val="auto"/>
        </w:rPr>
        <w:t>6340 Baar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Switzerland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tabs>
          <w:tab w:leader="none" w:pos="3440" w:val="left"/>
          <w:tab w:leader="none" w:pos="8940" w:val="left"/>
        </w:tabs>
        <w:rPr>
          <w:sz w:val="20"/>
          <w:szCs w:val="20"/>
          <w:color w:val="auto"/>
        </w:rPr>
      </w:pPr>
      <w:r>
        <w:rPr>
          <w:rFonts w:ascii="Arial" w:cs="Arial" w:eastAsia="Arial" w:hAnsi="Arial"/>
          <w:sz w:val="14"/>
          <w:szCs w:val="14"/>
          <w:color w:val="auto"/>
        </w:rPr>
        <w:t>Our Ref</w:t>
      </w:r>
      <w:r>
        <w:rPr>
          <w:sz w:val="20"/>
          <w:szCs w:val="20"/>
          <w:color w:val="auto"/>
        </w:rPr>
        <w:tab/>
      </w:r>
      <w:r>
        <w:rPr>
          <w:rFonts w:ascii="Arial" w:cs="Arial" w:eastAsia="Arial" w:hAnsi="Arial"/>
          <w:sz w:val="14"/>
          <w:szCs w:val="14"/>
          <w:color w:val="auto"/>
        </w:rPr>
        <w:t>Your Ref</w:t>
      </w:r>
      <w:r>
        <w:rPr>
          <w:sz w:val="20"/>
          <w:szCs w:val="20"/>
          <w:color w:val="auto"/>
        </w:rPr>
        <w:tab/>
      </w:r>
      <w:r>
        <w:rPr>
          <w:rFonts w:ascii="Arial" w:cs="Arial" w:eastAsia="Arial" w:hAnsi="Arial"/>
          <w:sz w:val="17"/>
          <w:szCs w:val="17"/>
          <w:color w:val="auto"/>
        </w:rPr>
        <w:t>2 March 2016</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FBO 661725.9</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Weatherford International public limited company</w:t>
      </w:r>
    </w:p>
    <w:p>
      <w:pPr>
        <w:spacing w:after="0" w:line="296" w:lineRule="exact"/>
        <w:rPr>
          <w:sz w:val="20"/>
          <w:szCs w:val="20"/>
          <w:color w:val="auto"/>
        </w:rPr>
      </w:pPr>
    </w:p>
    <w:p>
      <w:pPr>
        <w:jc w:val="both"/>
        <w:spacing w:after="0" w:line="361" w:lineRule="auto"/>
        <w:rPr>
          <w:sz w:val="20"/>
          <w:szCs w:val="20"/>
          <w:color w:val="auto"/>
        </w:rPr>
      </w:pPr>
      <w:r>
        <w:rPr>
          <w:rFonts w:ascii="Arial" w:cs="Arial" w:eastAsia="Arial" w:hAnsi="Arial"/>
          <w:sz w:val="18"/>
          <w:szCs w:val="18"/>
          <w:color w:val="auto"/>
        </w:rPr>
        <w:t>We have acted on behalf of Weatherford International public limited company, a public limited company incorporated under the laws of Ireland with company number 540406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proposed offering by the Company of up to 115,000,000 ordinary shares (nominal value of US$0.001 per share) in the capital of the Company (the “</w:t>
      </w:r>
      <w:r>
        <w:rPr>
          <w:rFonts w:ascii="Arial" w:cs="Arial" w:eastAsia="Arial" w:hAnsi="Arial"/>
          <w:sz w:val="18"/>
          <w:szCs w:val="18"/>
          <w:b w:val="1"/>
          <w:bCs w:val="1"/>
          <w:color w:val="auto"/>
        </w:rPr>
        <w:t>Shares</w:t>
      </w:r>
      <w:r>
        <w:rPr>
          <w:rFonts w:ascii="Arial" w:cs="Arial" w:eastAsia="Arial" w:hAnsi="Arial"/>
          <w:sz w:val="18"/>
          <w:szCs w:val="18"/>
          <w:color w:val="auto"/>
        </w:rPr>
        <w:t>”), including up to 15,000,000 Shares that may be sold pursuant to the exercise of an option to purchase additional shares, pursuant to a post-effective amendment No. 1 to the registration statement on Form S-3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by the Company pursuant to the Securities Act of 1933 of the United States of America,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with the Securities and Exchange Commission of the United States of America (the “</w:t>
      </w:r>
      <w:r>
        <w:rPr>
          <w:rFonts w:ascii="Arial" w:cs="Arial" w:eastAsia="Arial" w:hAnsi="Arial"/>
          <w:sz w:val="18"/>
          <w:szCs w:val="18"/>
          <w:b w:val="1"/>
          <w:bCs w:val="1"/>
          <w:color w:val="auto"/>
        </w:rPr>
        <w:t>SEC</w:t>
      </w:r>
      <w:r>
        <w:rPr>
          <w:rFonts w:ascii="Arial" w:cs="Arial" w:eastAsia="Arial" w:hAnsi="Arial"/>
          <w:sz w:val="18"/>
          <w:szCs w:val="18"/>
          <w:color w:val="auto"/>
        </w:rPr>
        <w:t>”), the related prospectus dated 17 June 2014 included in the Registration Statement (the “</w:t>
      </w:r>
      <w:r>
        <w:rPr>
          <w:rFonts w:ascii="Arial" w:cs="Arial" w:eastAsia="Arial" w:hAnsi="Arial"/>
          <w:sz w:val="18"/>
          <w:szCs w:val="18"/>
          <w:b w:val="1"/>
          <w:bCs w:val="1"/>
          <w:color w:val="auto"/>
        </w:rPr>
        <w:t>Base Prospectus</w:t>
      </w:r>
      <w:r>
        <w:rPr>
          <w:rFonts w:ascii="Arial" w:cs="Arial" w:eastAsia="Arial" w:hAnsi="Arial"/>
          <w:sz w:val="18"/>
          <w:szCs w:val="18"/>
          <w:color w:val="auto"/>
        </w:rPr>
        <w:t>”), the prospectus supplement relating to the Shares to be filed with the SEC (the “</w:t>
      </w:r>
      <w:r>
        <w:rPr>
          <w:rFonts w:ascii="Arial" w:cs="Arial" w:eastAsia="Arial" w:hAnsi="Arial"/>
          <w:sz w:val="18"/>
          <w:szCs w:val="18"/>
          <w:b w:val="1"/>
          <w:bCs w:val="1"/>
          <w:color w:val="auto"/>
        </w:rPr>
        <w:t>Prospectus Supplement</w:t>
      </w:r>
      <w:r>
        <w:rPr>
          <w:rFonts w:ascii="Arial" w:cs="Arial" w:eastAsia="Arial" w:hAnsi="Arial"/>
          <w:sz w:val="18"/>
          <w:szCs w:val="18"/>
          <w:color w:val="auto"/>
        </w:rPr>
        <w:t xml:space="preserve">” and, together with the </w:t>
      </w:r>
      <w:r>
        <w:rPr>
          <w:rFonts w:ascii="Arial" w:cs="Arial" w:eastAsia="Arial" w:hAnsi="Arial"/>
          <w:sz w:val="18"/>
          <w:szCs w:val="18"/>
          <w:b w:val="1"/>
          <w:bCs w:val="1"/>
          <w:color w:val="auto"/>
        </w:rPr>
        <w:t>Base Prospectus</w:t>
      </w:r>
      <w:r>
        <w:rPr>
          <w:rFonts w:ascii="Arial" w:cs="Arial" w:eastAsia="Arial" w:hAnsi="Arial"/>
          <w:sz w:val="18"/>
          <w:szCs w:val="18"/>
          <w:color w:val="auto"/>
        </w:rPr>
        <w:t>, the “</w:t>
      </w:r>
      <w:r>
        <w:rPr>
          <w:rFonts w:ascii="Arial" w:cs="Arial" w:eastAsia="Arial" w:hAnsi="Arial"/>
          <w:sz w:val="18"/>
          <w:szCs w:val="18"/>
          <w:b w:val="1"/>
          <w:bCs w:val="1"/>
          <w:color w:val="auto"/>
        </w:rPr>
        <w:t>Prospectus</w:t>
      </w:r>
      <w:r>
        <w:rPr>
          <w:rFonts w:ascii="Arial" w:cs="Arial" w:eastAsia="Arial" w:hAnsi="Arial"/>
          <w:sz w:val="18"/>
          <w:szCs w:val="18"/>
          <w:color w:val="auto"/>
        </w:rPr>
        <w:t>”) and an underwriting agreement dated 1 March 2016 between the Company and the Underwriters (as defined therein) (the “</w:t>
      </w:r>
      <w:r>
        <w:rPr>
          <w:rFonts w:ascii="Arial" w:cs="Arial" w:eastAsia="Arial" w:hAnsi="Arial"/>
          <w:sz w:val="18"/>
          <w:szCs w:val="18"/>
          <w:b w:val="1"/>
          <w:bCs w:val="1"/>
          <w:color w:val="auto"/>
        </w:rPr>
        <w:t>Underwriting</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2" w:lineRule="exact"/>
        <w:rPr>
          <w:sz w:val="20"/>
          <w:szCs w:val="20"/>
          <w:color w:val="auto"/>
        </w:rPr>
      </w:pPr>
    </w:p>
    <w:p>
      <w:pPr>
        <w:ind w:left="620" w:hanging="612"/>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20"/>
          <w:szCs w:val="20"/>
          <w:b w:val="1"/>
          <w:bCs w:val="1"/>
          <w:color w:val="auto"/>
        </w:rPr>
        <w:t>Scope of appointment and basis of opinion</w:t>
      </w:r>
    </w:p>
    <w:p>
      <w:pPr>
        <w:spacing w:after="0" w:line="16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We have been requested by the Company to provide this opinion.</w:t>
      </w:r>
    </w:p>
    <w:p>
      <w:pPr>
        <w:spacing w:after="0" w:line="19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For the purpose of giving this opinion, we have examined:</w:t>
      </w:r>
    </w:p>
    <w:p>
      <w:pPr>
        <w:spacing w:after="0" w:line="171" w:lineRule="exact"/>
        <w:rPr>
          <w:sz w:val="20"/>
          <w:szCs w:val="20"/>
          <w:color w:val="auto"/>
        </w:rPr>
      </w:pPr>
    </w:p>
    <w:p>
      <w:pPr>
        <w:ind w:left="1260" w:hanging="644"/>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final form of the Prospectus and a copy of the Underwriting Agreement, sent to us in a pdf attachment to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186690</wp:posOffset>
            </wp:positionV>
            <wp:extent cx="4973955"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73955" cy="531495"/>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48" w:name="page49"/>
    <w:bookmarkEnd w:id="48"/>
    <w:p>
      <w:pPr>
        <w:ind w:left="1260" w:hanging="644"/>
        <w:spacing w:after="0" w:line="352" w:lineRule="auto"/>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6117590</wp:posOffset>
            </wp:positionH>
            <wp:positionV relativeFrom="page">
              <wp:posOffset>226060</wp:posOffset>
            </wp:positionV>
            <wp:extent cx="128651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286510" cy="188595"/>
                    </a:xfrm>
                    <a:prstGeom prst="rect">
                      <a:avLst/>
                    </a:prstGeom>
                    <a:noFill/>
                  </pic:spPr>
                </pic:pic>
              </a:graphicData>
            </a:graphic>
          </wp:anchor>
        </w:drawing>
        <w:t>a copy of the Memorandum and Articles of Association of the Company (as set out in Exhibit 3.1 to the Company’s Current Report on Form 8-K filed with the SEC on 17 June 2014);</w:t>
      </w:r>
    </w:p>
    <w:p>
      <w:pPr>
        <w:jc w:val="both"/>
        <w:ind w:left="1260" w:hanging="644"/>
        <w:spacing w:after="0" w:line="360" w:lineRule="auto"/>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copy of resolutions of the board of directors’ of the Company passed on 29 February 2016, certified by an assistant secretary of the Company to be a true and complete copy of those resolutions of the board and that the resolutions contained therein have not since been amended or rescinded;</w:t>
      </w:r>
    </w:p>
    <w:p>
      <w:pPr>
        <w:spacing w:after="0" w:line="13" w:lineRule="exact"/>
        <w:rPr>
          <w:rFonts w:ascii="Arial" w:cs="Arial" w:eastAsia="Arial" w:hAnsi="Arial"/>
          <w:sz w:val="18"/>
          <w:szCs w:val="18"/>
          <w:color w:val="auto"/>
        </w:rPr>
      </w:pPr>
    </w:p>
    <w:p>
      <w:pPr>
        <w:jc w:val="both"/>
        <w:ind w:left="1260" w:hanging="644"/>
        <w:spacing w:after="0" w:line="347" w:lineRule="auto"/>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copy of written resolutions of the shareholders of Company passed on 16 June 2014, certified by an assistant secretary of the Company to be a true and complete copy of those shareholders’ resolutions which have not since been amended or rescinded;</w:t>
      </w:r>
    </w:p>
    <w:p>
      <w:pPr>
        <w:ind w:left="1260" w:hanging="644"/>
        <w:spacing w:after="0" w:line="365" w:lineRule="auto"/>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certificate of an assistant secretary of the Company (the “</w:t>
      </w:r>
      <w:r>
        <w:rPr>
          <w:rFonts w:ascii="Arial" w:cs="Arial" w:eastAsia="Arial" w:hAnsi="Arial"/>
          <w:sz w:val="18"/>
          <w:szCs w:val="18"/>
          <w:b w:val="1"/>
          <w:bCs w:val="1"/>
          <w:color w:val="auto"/>
        </w:rPr>
        <w:t>Certificate</w:t>
      </w:r>
      <w:r>
        <w:rPr>
          <w:rFonts w:ascii="Arial" w:cs="Arial" w:eastAsia="Arial" w:hAnsi="Arial"/>
          <w:sz w:val="18"/>
          <w:szCs w:val="18"/>
          <w:color w:val="auto"/>
        </w:rPr>
        <w:t>”), certifying the matters referred to in the preceding sub-paragraphs (c) and (d); and</w:t>
      </w:r>
    </w:p>
    <w:p>
      <w:pPr>
        <w:spacing w:after="0" w:line="13" w:lineRule="exact"/>
        <w:rPr>
          <w:rFonts w:ascii="Arial" w:cs="Arial" w:eastAsia="Arial" w:hAnsi="Arial"/>
          <w:sz w:val="18"/>
          <w:szCs w:val="18"/>
          <w:color w:val="auto"/>
        </w:rPr>
      </w:pPr>
    </w:p>
    <w:p>
      <w:pPr>
        <w:jc w:val="both"/>
        <w:ind w:left="1260" w:hanging="644"/>
        <w:spacing w:after="0" w:line="365" w:lineRule="auto"/>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email transmission copy of the results of searches made on 2 March 2016 at the Irish Companies Registration Office, in the Register of Winding Up Petitions at the Central Office of the High Court of Ireland and at the Judgments’ Office in the Central Office of the High Court of Ireland against the Company (together the “</w:t>
      </w:r>
      <w:r>
        <w:rPr>
          <w:rFonts w:ascii="Arial" w:cs="Arial" w:eastAsia="Arial" w:hAnsi="Arial"/>
          <w:sz w:val="18"/>
          <w:szCs w:val="18"/>
          <w:b w:val="1"/>
          <w:bCs w:val="1"/>
          <w:color w:val="auto"/>
        </w:rPr>
        <w:t>Searches</w:t>
      </w:r>
      <w:r>
        <w:rPr>
          <w:rFonts w:ascii="Arial" w:cs="Arial" w:eastAsia="Arial" w:hAnsi="Arial"/>
          <w:sz w:val="18"/>
          <w:szCs w:val="18"/>
          <w:color w:val="auto"/>
        </w:rPr>
        <w:t>”).</w:t>
      </w:r>
    </w:p>
    <w:p>
      <w:pPr>
        <w:spacing w:after="0" w:line="285" w:lineRule="exact"/>
        <w:rPr>
          <w:sz w:val="20"/>
          <w:szCs w:val="20"/>
          <w:color w:val="auto"/>
        </w:rPr>
      </w:pPr>
    </w:p>
    <w:p>
      <w:pPr>
        <w:jc w:val="both"/>
        <w:ind w:left="620" w:hanging="620"/>
        <w:spacing w:after="0" w:line="365" w:lineRule="auto"/>
        <w:tabs>
          <w:tab w:leader="none" w:pos="6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We have made no searches or enquiries concerning, and we have not examined any contracts, instruments or documents entered into by or affecting the Company or any other person, or any corporate records of the aforesaid, save for those searches, enquiries, contracts, instruments, documents or corporate records specified as being made or examined in this opinion.</w:t>
      </w:r>
    </w:p>
    <w:p>
      <w:pPr>
        <w:spacing w:after="0" w:line="298" w:lineRule="exact"/>
        <w:rPr>
          <w:sz w:val="20"/>
          <w:szCs w:val="20"/>
          <w:color w:val="auto"/>
        </w:rPr>
      </w:pPr>
    </w:p>
    <w:p>
      <w:pPr>
        <w:jc w:val="both"/>
        <w:ind w:left="620" w:hanging="620"/>
        <w:spacing w:after="0" w:line="364" w:lineRule="auto"/>
        <w:tabs>
          <w:tab w:leader="none" w:pos="6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We express no opinion and make no representation or warranty as to any matter of fact. Furthermore, we have not been responsible for the investigation or verification of the facts or the reasonableness of any assumption or statements of opinion contained or represented by the Company in the Prospectus, the Underwriting Agreement or the Registration Statement nor have we attempted to determine whether any material facts have been omitted therefrom.</w:t>
      </w:r>
    </w:p>
    <w:p>
      <w:pPr>
        <w:spacing w:after="0" w:line="297" w:lineRule="exact"/>
        <w:rPr>
          <w:sz w:val="20"/>
          <w:szCs w:val="20"/>
          <w:color w:val="auto"/>
        </w:rPr>
      </w:pPr>
    </w:p>
    <w:p>
      <w:pPr>
        <w:jc w:val="both"/>
        <w:ind w:left="620" w:hanging="620"/>
        <w:spacing w:after="0" w:line="365" w:lineRule="auto"/>
        <w:tabs>
          <w:tab w:leader="none" w:pos="6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We have not investigated the laws of any country other than Ireland and this opinion is given only with respect to the laws of Ireland in effect at the date of this opinion. We have assumed, without enquiry, that there is nothing in the laws of any other jurisdiction which would or might affect the opinions as stated herein.</w:t>
      </w:r>
    </w:p>
    <w:p>
      <w:pPr>
        <w:spacing w:after="0" w:line="298" w:lineRule="exact"/>
        <w:rPr>
          <w:sz w:val="20"/>
          <w:szCs w:val="20"/>
          <w:color w:val="auto"/>
        </w:rPr>
      </w:pPr>
    </w:p>
    <w:p>
      <w:pPr>
        <w:jc w:val="both"/>
        <w:ind w:left="620" w:hanging="620"/>
        <w:spacing w:after="0" w:line="373" w:lineRule="auto"/>
        <w:tabs>
          <w:tab w:leader="none" w:pos="6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This opinion is to be construed in accordance with, and governed by, the laws of Ireland, and is given solely on the basis that any issues of interpretation or liability arising hereunder may only be brought before the Irish courts, which will have exclusive jurisdiction in respect of such matters.</w:t>
      </w:r>
    </w:p>
    <w:p>
      <w:pPr>
        <w:spacing w:after="0" w:line="277" w:lineRule="exact"/>
        <w:rPr>
          <w:sz w:val="20"/>
          <w:szCs w:val="20"/>
          <w:color w:val="auto"/>
        </w:rPr>
      </w:pPr>
    </w:p>
    <w:p>
      <w:pPr>
        <w:jc w:val="both"/>
        <w:ind w:left="620" w:hanging="620"/>
        <w:spacing w:after="0" w:line="365" w:lineRule="auto"/>
        <w:tabs>
          <w:tab w:leader="none" w:pos="6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This opinion is delivered in connection with the filing of the Prospectus Supplement with the SEC and is strictly limited to the matters stated herein and does not extend to, and is not to be read as extending by implication to, any other matter. We hereby consent to the filing of this opinion as an exhibit to the Prospectus Supplement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949" w:right="239" w:bottom="1440" w:gutter="0" w:footer="0" w:header="0"/>
        </w:sectPr>
      </w:pPr>
    </w:p>
    <w:bookmarkStart w:id="49" w:name="page50"/>
    <w:bookmarkEnd w:id="49"/>
    <w:p>
      <w:pPr>
        <w:ind w:left="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6117590</wp:posOffset>
            </wp:positionH>
            <wp:positionV relativeFrom="page">
              <wp:posOffset>226060</wp:posOffset>
            </wp:positionV>
            <wp:extent cx="128651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86510" cy="188595"/>
                    </a:xfrm>
                    <a:prstGeom prst="rect">
                      <a:avLst/>
                    </a:prstGeom>
                    <a:noFill/>
                  </pic:spPr>
                </pic:pic>
              </a:graphicData>
            </a:graphic>
          </wp:anchor>
        </w:drawing>
        <w:t>and to the use of our name therein. In giving this consent, we do not hereby admit that we come within the category of persons whose</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consent is required under section 7 of the Securities Act or the rules and regulations of the SEC promulgated thereunder. This opinion</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is furnished to you and the persons entitled to rely upon it pursuant to the applicable provisions of the Securities Act for use in</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connection with the filing of the Prospectus Supplement and is not to be use, circulated, quoted or otherwise referred to for any other</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purpose without our express written consent.</w:t>
      </w:r>
    </w:p>
    <w:p>
      <w:pPr>
        <w:spacing w:after="0" w:line="200" w:lineRule="exact"/>
        <w:rPr>
          <w:sz w:val="20"/>
          <w:szCs w:val="20"/>
          <w:color w:val="auto"/>
        </w:rPr>
      </w:pPr>
    </w:p>
    <w:p>
      <w:pPr>
        <w:spacing w:after="0" w:line="22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7"/>
          <w:szCs w:val="17"/>
          <w:color w:val="auto"/>
        </w:rPr>
        <w:t>We assume no obligation to update the opinions set forth in this letter.</w:t>
      </w:r>
    </w:p>
    <w:p>
      <w:pPr>
        <w:spacing w:after="0" w:line="200" w:lineRule="exact"/>
        <w:rPr>
          <w:sz w:val="20"/>
          <w:szCs w:val="20"/>
          <w:color w:val="auto"/>
        </w:rPr>
      </w:pPr>
    </w:p>
    <w:p>
      <w:pPr>
        <w:spacing w:after="0" w:line="201" w:lineRule="exact"/>
        <w:rPr>
          <w:sz w:val="20"/>
          <w:szCs w:val="20"/>
          <w:color w:val="auto"/>
        </w:rPr>
      </w:pPr>
    </w:p>
    <w:p>
      <w:pPr>
        <w:ind w:left="620" w:hanging="612"/>
        <w:spacing w:after="0"/>
        <w:tabs>
          <w:tab w:leader="none" w:pos="620" w:val="left"/>
        </w:tabs>
        <w:numPr>
          <w:ilvl w:val="0"/>
          <w:numId w:val="52"/>
        </w:numPr>
        <w:rPr>
          <w:rFonts w:ascii="Arial" w:cs="Arial" w:eastAsia="Arial" w:hAnsi="Arial"/>
          <w:sz w:val="18"/>
          <w:szCs w:val="18"/>
          <w:color w:val="auto"/>
        </w:rPr>
      </w:pPr>
      <w:r>
        <w:rPr>
          <w:rFonts w:ascii="Arial" w:cs="Arial" w:eastAsia="Arial" w:hAnsi="Arial"/>
          <w:sz w:val="20"/>
          <w:szCs w:val="20"/>
          <w:b w:val="1"/>
          <w:bCs w:val="1"/>
          <w:color w:val="auto"/>
        </w:rPr>
        <w:t>Assumptions</w:t>
      </w:r>
    </w:p>
    <w:p>
      <w:pPr>
        <w:spacing w:after="0" w:line="309"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For the purpose of giving this opinion we have assumed:</w:t>
      </w:r>
    </w:p>
    <w:p>
      <w:pPr>
        <w:spacing w:after="0" w:line="279" w:lineRule="exact"/>
        <w:rPr>
          <w:rFonts w:ascii="Arial" w:cs="Arial" w:eastAsia="Arial" w:hAnsi="Arial"/>
          <w:sz w:val="18"/>
          <w:szCs w:val="18"/>
          <w:color w:val="auto"/>
        </w:rPr>
      </w:pPr>
    </w:p>
    <w:p>
      <w:pPr>
        <w:ind w:left="1260" w:hanging="644"/>
        <w:spacing w:after="0"/>
        <w:tabs>
          <w:tab w:leader="none" w:pos="12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authenticity and completeness of all documents submitted to us as originals;</w:t>
      </w:r>
    </w:p>
    <w:p>
      <w:pPr>
        <w:spacing w:after="0" w:line="103" w:lineRule="exact"/>
        <w:rPr>
          <w:rFonts w:ascii="Arial" w:cs="Arial" w:eastAsia="Arial" w:hAnsi="Arial"/>
          <w:sz w:val="18"/>
          <w:szCs w:val="18"/>
          <w:color w:val="auto"/>
        </w:rPr>
      </w:pPr>
    </w:p>
    <w:p>
      <w:pPr>
        <w:ind w:left="1260" w:hanging="644"/>
        <w:spacing w:after="0" w:line="352" w:lineRule="auto"/>
        <w:tabs>
          <w:tab w:leader="none" w:pos="12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completeness and conformity to originals of all documents supplied to us as certified, conformed or photostatic copies or received by us by facsimile or email transmission and the authenticity and completeness of the originals of such documents;</w:t>
      </w:r>
    </w:p>
    <w:p>
      <w:pPr>
        <w:spacing w:after="0" w:line="14" w:lineRule="exact"/>
        <w:rPr>
          <w:rFonts w:ascii="Arial" w:cs="Arial" w:eastAsia="Arial" w:hAnsi="Arial"/>
          <w:sz w:val="18"/>
          <w:szCs w:val="18"/>
          <w:color w:val="auto"/>
        </w:rPr>
      </w:pPr>
    </w:p>
    <w:p>
      <w:pPr>
        <w:ind w:left="1260" w:hanging="644"/>
        <w:spacing w:after="0"/>
        <w:tabs>
          <w:tab w:leader="none" w:pos="12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genuineness of the signatures and seals on all original and copy documents which we have examined;</w:t>
      </w:r>
    </w:p>
    <w:p>
      <w:pPr>
        <w:spacing w:after="0" w:line="103" w:lineRule="exact"/>
        <w:rPr>
          <w:rFonts w:ascii="Arial" w:cs="Arial" w:eastAsia="Arial" w:hAnsi="Arial"/>
          <w:sz w:val="18"/>
          <w:szCs w:val="18"/>
          <w:color w:val="auto"/>
        </w:rPr>
      </w:pPr>
    </w:p>
    <w:p>
      <w:pPr>
        <w:jc w:val="both"/>
        <w:ind w:left="1260" w:hanging="644"/>
        <w:spacing w:after="0" w:line="354" w:lineRule="auto"/>
        <w:tabs>
          <w:tab w:leader="none" w:pos="12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that the resolutions passed by the board of directors of the Company described in the extracts referred to above, and examined for the purposes of this opinion, were duly passed and adopted at meetings of the said board of directors, those meetings were properly convened, constituted and held and that the said resolutions have not since been amended or rescinded;</w:t>
      </w:r>
    </w:p>
    <w:p>
      <w:pPr>
        <w:spacing w:after="0" w:line="15" w:lineRule="exact"/>
        <w:rPr>
          <w:rFonts w:ascii="Arial" w:cs="Arial" w:eastAsia="Arial" w:hAnsi="Arial"/>
          <w:sz w:val="18"/>
          <w:szCs w:val="18"/>
          <w:color w:val="auto"/>
        </w:rPr>
      </w:pPr>
    </w:p>
    <w:p>
      <w:pPr>
        <w:jc w:val="both"/>
        <w:ind w:left="1260" w:hanging="644"/>
        <w:spacing w:after="0" w:line="354" w:lineRule="auto"/>
        <w:tabs>
          <w:tab w:leader="none" w:pos="12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that the resolutions passed by the shareholders of the Company described in the extract referred to above, and examined for the purposes of this opinion, was duly and adopted at meetings of the said shareholders, that meeting was properly convened, constituted and held and that the said resolutions have not since been amended or rescinded;</w:t>
      </w:r>
    </w:p>
    <w:p>
      <w:pPr>
        <w:spacing w:after="0" w:line="2" w:lineRule="exact"/>
        <w:rPr>
          <w:rFonts w:ascii="Arial" w:cs="Arial" w:eastAsia="Arial" w:hAnsi="Arial"/>
          <w:sz w:val="18"/>
          <w:szCs w:val="18"/>
          <w:color w:val="auto"/>
        </w:rPr>
      </w:pPr>
    </w:p>
    <w:p>
      <w:pPr>
        <w:ind w:left="1260" w:right="20" w:hanging="644"/>
        <w:spacing w:after="0" w:line="360" w:lineRule="auto"/>
        <w:tabs>
          <w:tab w:leader="none" w:pos="12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that, at the time of the allotment and issuance of any Shares, the Prospectus and the Registration Statement will be effective and continue to be effective;</w:t>
      </w:r>
    </w:p>
    <w:p>
      <w:pPr>
        <w:spacing w:after="0" w:line="13" w:lineRule="exact"/>
        <w:rPr>
          <w:rFonts w:ascii="Arial" w:cs="Arial" w:eastAsia="Arial" w:hAnsi="Arial"/>
          <w:sz w:val="18"/>
          <w:szCs w:val="18"/>
          <w:color w:val="auto"/>
        </w:rPr>
      </w:pPr>
    </w:p>
    <w:p>
      <w:pPr>
        <w:jc w:val="both"/>
        <w:ind w:left="1260" w:hanging="644"/>
        <w:spacing w:after="0" w:line="357" w:lineRule="auto"/>
        <w:tabs>
          <w:tab w:leader="none" w:pos="12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that any Shares allotted and issued in accordance with the Prospectus, the Registration Statement and the Underwriting Agreement will be paid-up in consideration of the receipt by the Company from the party to whom the Shares are to be issued, prior to, or simultaneously with the issue of such Shares, of cash and other consideration at least equal to the nominal value of such Shares and, to the extent that any of the consideration for such Shares is payable otherwise than in cash, that the provisions of sections 1028 to 1035 of the 2014 Act have been complied with;</w:t>
      </w:r>
    </w:p>
    <w:p>
      <w:pPr>
        <w:spacing w:after="0" w:line="13" w:lineRule="exact"/>
        <w:rPr>
          <w:rFonts w:ascii="Arial" w:cs="Arial" w:eastAsia="Arial" w:hAnsi="Arial"/>
          <w:sz w:val="18"/>
          <w:szCs w:val="18"/>
          <w:color w:val="auto"/>
        </w:rPr>
      </w:pPr>
    </w:p>
    <w:p>
      <w:pPr>
        <w:jc w:val="both"/>
        <w:ind w:left="1260" w:hanging="644"/>
        <w:spacing w:after="0" w:line="365" w:lineRule="auto"/>
        <w:tabs>
          <w:tab w:leader="none" w:pos="12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that no Shares will be allotted and issued: (i) for consideration of an undertaking from an person that he or another will do work or perform services for the Company or for any other person; (ii) for consideration otherwise than in cash that includes an undertaking which is to be or may be performed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976" w:right="239" w:bottom="1440" w:gutter="0" w:footer="0" w:header="0"/>
        </w:sectPr>
      </w:pPr>
    </w:p>
    <w:bookmarkStart w:id="50" w:name="page51"/>
    <w:bookmarkEnd w:id="50"/>
    <w:p>
      <w:pPr>
        <w:ind w:left="644"/>
        <w:spacing w:after="0" w:line="39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6117590</wp:posOffset>
            </wp:positionH>
            <wp:positionV relativeFrom="page">
              <wp:posOffset>226060</wp:posOffset>
            </wp:positionV>
            <wp:extent cx="128651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286510" cy="188595"/>
                    </a:xfrm>
                    <a:prstGeom prst="rect">
                      <a:avLst/>
                    </a:prstGeom>
                    <a:noFill/>
                  </pic:spPr>
                </pic:pic>
              </a:graphicData>
            </a:graphic>
          </wp:anchor>
        </w:drawing>
        <w:t>more than five years after the date of allotment; or (iii) for other consideration which, from time to time, is not considered good or adequate consideration;</w:t>
      </w:r>
    </w:p>
    <w:p>
      <w:pPr>
        <w:spacing w:after="0" w:line="14" w:lineRule="exact"/>
        <w:rPr>
          <w:sz w:val="20"/>
          <w:szCs w:val="20"/>
          <w:color w:val="auto"/>
        </w:rPr>
      </w:pPr>
    </w:p>
    <w:p>
      <w:pPr>
        <w:jc w:val="both"/>
        <w:ind w:left="644" w:hanging="644"/>
        <w:spacing w:after="0" w:line="354" w:lineRule="auto"/>
        <w:tabs>
          <w:tab w:leader="none" w:pos="64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that no Shares will be allotted and issued other than pursuant to a resolution of the board of directors of the Company (or duly authorised committee thereof) that has been validly and sufficiently proposed and passed in accordance with the articles of association of the Company;</w:t>
      </w:r>
    </w:p>
    <w:p>
      <w:pPr>
        <w:spacing w:after="0" w:line="15" w:lineRule="exact"/>
        <w:rPr>
          <w:rFonts w:ascii="Arial" w:cs="Arial" w:eastAsia="Arial" w:hAnsi="Arial"/>
          <w:sz w:val="18"/>
          <w:szCs w:val="18"/>
          <w:color w:val="auto"/>
        </w:rPr>
      </w:pPr>
    </w:p>
    <w:p>
      <w:pPr>
        <w:jc w:val="both"/>
        <w:ind w:left="644" w:hanging="644"/>
        <w:spacing w:after="0" w:line="358" w:lineRule="auto"/>
        <w:tabs>
          <w:tab w:leader="none" w:pos="64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that the offering or sale (including the marketing) of any Shares will be made, effected and conducted in accordance with and will not violate: (i) the memorandum or articles of association, from time to time, of the Company; (ii) any applicable laws and regulations (including, without limitation, (A) the securities laws and regulations of any jurisdiction (including Ireland) or supra-national authority which impose any restrictions, or mandatory requirements, in relation to the offering or sale of any shares to the public in any jurisdiction (including Ireland) and any prospectus (or analogous disclosure document) prepared in connection therewith; and (B) the competition, anti-trust or merger control laws and regulations of any jurisdiction (including Ireland) or supra-national authority); and (iii) any requirement or restriction imposed by any court, governmental body or supra-national authority having jurisdiction over the Company or the members of its group;</w:t>
      </w:r>
    </w:p>
    <w:p>
      <w:pPr>
        <w:spacing w:after="0" w:line="14" w:lineRule="exact"/>
        <w:rPr>
          <w:rFonts w:ascii="Arial" w:cs="Arial" w:eastAsia="Arial" w:hAnsi="Arial"/>
          <w:sz w:val="18"/>
          <w:szCs w:val="18"/>
          <w:color w:val="auto"/>
        </w:rPr>
      </w:pPr>
    </w:p>
    <w:p>
      <w:pPr>
        <w:jc w:val="both"/>
        <w:ind w:left="644" w:hanging="644"/>
        <w:spacing w:after="0" w:line="358" w:lineRule="auto"/>
        <w:tabs>
          <w:tab w:leader="none" w:pos="64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that, at the time of the issuance and sale of any Shares: (i) the sale of and payment for any Shares will be in accordance with the Registration Statement, Prospectus and the Underwriting Agreement (including the prospectus set forth in the Registration Statement and any applicable supplements and amendments thereto); (ii) in any underwritten offering, a definitive purchase, underwriting or similar agreement with respect to any Shares will be duly authorised and validly executed and delivered by the Company and the other parties thereto; and (iii) the issuance and sale (including the marketing) of any Shares will not violate the Company’s memorandum and articles of association, any applicable law or any requirement or restriction imposed by any court or governmental body having jurisdiction over the Company or result in a default under or breach of any agreement or instrument binding on the Company;</w:t>
      </w:r>
    </w:p>
    <w:p>
      <w:pPr>
        <w:spacing w:after="0" w:line="14" w:lineRule="exact"/>
        <w:rPr>
          <w:rFonts w:ascii="Arial" w:cs="Arial" w:eastAsia="Arial" w:hAnsi="Arial"/>
          <w:sz w:val="18"/>
          <w:szCs w:val="18"/>
          <w:color w:val="auto"/>
        </w:rPr>
      </w:pPr>
    </w:p>
    <w:p>
      <w:pPr>
        <w:ind w:left="644" w:right="20" w:hanging="644"/>
        <w:spacing w:after="0" w:line="352" w:lineRule="auto"/>
        <w:tabs>
          <w:tab w:leader="none" w:pos="64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that Shares will be issued by the entry of the name of the registered owner thereof in the register of members of the Company confirming that such Shares have been issued credited as fully paid;</w:t>
      </w:r>
    </w:p>
    <w:p>
      <w:pPr>
        <w:spacing w:after="0" w:line="14" w:lineRule="exact"/>
        <w:rPr>
          <w:rFonts w:ascii="Arial" w:cs="Arial" w:eastAsia="Arial" w:hAnsi="Arial"/>
          <w:sz w:val="18"/>
          <w:szCs w:val="18"/>
          <w:color w:val="auto"/>
        </w:rPr>
      </w:pPr>
    </w:p>
    <w:p>
      <w:pPr>
        <w:jc w:val="both"/>
        <w:ind w:left="644" w:hanging="644"/>
        <w:spacing w:after="0" w:line="356" w:lineRule="auto"/>
        <w:tabs>
          <w:tab w:leader="none" w:pos="64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that the Company has not given, nor shall it give, directly or indirectly, and whether by means of a loan, guarantee, the provision of security or otherwise, any financial assistance, as contemplated by section 82 of the 2014 Act, for the purpose of, or in connection with, the purchase or subscription by any person of or for any Shares save as permitted by, or pursuant to an exemption to, the said section 82;</w:t>
      </w:r>
    </w:p>
    <w:p>
      <w:pPr>
        <w:spacing w:after="0" w:line="14" w:lineRule="exact"/>
        <w:rPr>
          <w:rFonts w:ascii="Arial" w:cs="Arial" w:eastAsia="Arial" w:hAnsi="Arial"/>
          <w:sz w:val="18"/>
          <w:szCs w:val="18"/>
          <w:color w:val="auto"/>
        </w:rPr>
      </w:pPr>
    </w:p>
    <w:p>
      <w:pPr>
        <w:ind w:left="644" w:hanging="644"/>
        <w:spacing w:after="0" w:line="352" w:lineRule="auto"/>
        <w:tabs>
          <w:tab w:leader="none" w:pos="64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that there is or are no factual information or documents possessed or discoverable by persons other than ourselves of which we are not aware but of which we should be aware for the purposes of this opinion;</w:t>
      </w:r>
    </w:p>
    <w:p>
      <w:pPr>
        <w:spacing w:after="0" w:line="14" w:lineRule="exact"/>
        <w:rPr>
          <w:rFonts w:ascii="Arial" w:cs="Arial" w:eastAsia="Arial" w:hAnsi="Arial"/>
          <w:sz w:val="18"/>
          <w:szCs w:val="18"/>
          <w:color w:val="auto"/>
        </w:rPr>
      </w:pPr>
    </w:p>
    <w:p>
      <w:pPr>
        <w:ind w:left="644" w:hanging="644"/>
        <w:spacing w:after="0" w:line="371" w:lineRule="auto"/>
        <w:tabs>
          <w:tab w:leader="none" w:pos="64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accuracy and completeness as to factual matters of the representations and warranties of the Company contained in the Prospectus, the Registration Statement and the Underwriting Agreement and the accuracy of the Certificate;</w:t>
      </w:r>
    </w:p>
    <w:p>
      <w:pPr>
        <w:spacing w:after="0" w:line="157" w:lineRule="exact"/>
        <w:rPr>
          <w:sz w:val="20"/>
          <w:szCs w:val="20"/>
          <w:color w:val="auto"/>
        </w:rPr>
      </w:pPr>
    </w:p>
    <w:p>
      <w:pPr>
        <w:ind w:left="504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04"/>
          </w:cols>
          <w:pgMar w:left="856" w:top="976" w:right="239" w:bottom="1440" w:gutter="0" w:footer="0" w:header="0"/>
        </w:sectPr>
      </w:pPr>
    </w:p>
    <w:bookmarkStart w:id="51" w:name="page52"/>
    <w:bookmarkEnd w:id="51"/>
    <w:p>
      <w:pPr>
        <w:jc w:val="both"/>
        <w:ind w:left="1260" w:hanging="644"/>
        <w:spacing w:after="0" w:line="354" w:lineRule="auto"/>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6117590</wp:posOffset>
            </wp:positionH>
            <wp:positionV relativeFrom="page">
              <wp:posOffset>226060</wp:posOffset>
            </wp:positionV>
            <wp:extent cx="128651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86510" cy="188595"/>
                    </a:xfrm>
                    <a:prstGeom prst="rect">
                      <a:avLst/>
                    </a:prstGeom>
                    <a:noFill/>
                  </pic:spPr>
                </pic:pic>
              </a:graphicData>
            </a:graphic>
          </wp:anchor>
        </w:drawing>
        <w:t>that there are no agreements or arrangements in existence which in any way amend or vary or are inconsistent with the terms of the Prospectus, the Registration Statement and the Underwriting Agreement or in any way bear upon, or are inconsistent with, the contents of this opinion;</w:t>
      </w:r>
    </w:p>
    <w:p>
      <w:pPr>
        <w:spacing w:after="0" w:line="15" w:lineRule="exact"/>
        <w:rPr>
          <w:rFonts w:ascii="Arial" w:cs="Arial" w:eastAsia="Arial" w:hAnsi="Arial"/>
          <w:sz w:val="18"/>
          <w:szCs w:val="18"/>
          <w:color w:val="auto"/>
        </w:rPr>
      </w:pPr>
    </w:p>
    <w:p>
      <w:pPr>
        <w:jc w:val="both"/>
        <w:ind w:left="1260" w:hanging="644"/>
        <w:spacing w:after="0" w:line="356" w:lineRule="auto"/>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that, in approving the filing by the Company of the Prospectus and the Registration Statement and the execution and delivery by the Company of the Underwriting Agreement, the directors of the Company have acted in a manner they consider, in good faith, to be in the best interests of the Company for its legitimate business purposes and would be most likely to promote the success of the Company for the benefit of its members as a whole;</w:t>
      </w:r>
    </w:p>
    <w:p>
      <w:pPr>
        <w:spacing w:after="0" w:line="14" w:lineRule="exact"/>
        <w:rPr>
          <w:rFonts w:ascii="Arial" w:cs="Arial" w:eastAsia="Arial" w:hAnsi="Arial"/>
          <w:sz w:val="18"/>
          <w:szCs w:val="18"/>
          <w:color w:val="auto"/>
        </w:rPr>
      </w:pPr>
    </w:p>
    <w:p>
      <w:pPr>
        <w:ind w:left="1260" w:hanging="644"/>
        <w:spacing w:after="0" w:line="352" w:lineRule="auto"/>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absence of fraud and the presence of good faith on the part of all parties to the Underwriting Agreement and their respective officers, employees, agents and advisers;</w:t>
      </w:r>
    </w:p>
    <w:p>
      <w:pPr>
        <w:spacing w:after="0" w:line="14" w:lineRule="exact"/>
        <w:rPr>
          <w:rFonts w:ascii="Arial" w:cs="Arial" w:eastAsia="Arial" w:hAnsi="Arial"/>
          <w:sz w:val="18"/>
          <w:szCs w:val="18"/>
          <w:color w:val="auto"/>
        </w:rPr>
      </w:pPr>
    </w:p>
    <w:p>
      <w:pPr>
        <w:jc w:val="both"/>
        <w:ind w:left="1260" w:hanging="644"/>
        <w:spacing w:after="0" w:line="356" w:lineRule="auto"/>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that the information disclosed by the Searches was accurate at the date the Searches were made and has not been altered and that the Searches did not fail to disclose any information which had been delivered for registration but did not appear from the information available at the time the Searches were made or which ought to have been delivered for registration at that time but had not been so delivered and that no additional matters would have been disclosed by searches carried out since that time;</w:t>
      </w:r>
    </w:p>
    <w:p>
      <w:pPr>
        <w:spacing w:after="0" w:line="14" w:lineRule="exact"/>
        <w:rPr>
          <w:rFonts w:ascii="Arial" w:cs="Arial" w:eastAsia="Arial" w:hAnsi="Arial"/>
          <w:sz w:val="18"/>
          <w:szCs w:val="18"/>
          <w:color w:val="auto"/>
        </w:rPr>
      </w:pPr>
    </w:p>
    <w:p>
      <w:pPr>
        <w:jc w:val="both"/>
        <w:ind w:left="1260" w:right="20" w:hanging="644"/>
        <w:spacing w:after="0" w:line="360" w:lineRule="auto"/>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that: (i) the Company was, and will be, fully solvent (A) at the time of, and immediately after, the filing of the Prospectus and the Registration Statement, (B) at the time of, and immediately after, the execution and delivery of the Underwriting Agreement and</w:t>
      </w:r>
    </w:p>
    <w:p>
      <w:pPr>
        <w:jc w:val="both"/>
        <w:ind w:left="1260" w:firstLine="4"/>
        <w:spacing w:after="0" w:line="357" w:lineRule="auto"/>
        <w:tabs>
          <w:tab w:leader="none" w:pos="1585" w:val="left"/>
        </w:tabs>
        <w:numPr>
          <w:ilvl w:val="1"/>
          <w:numId w:val="54"/>
        </w:numPr>
        <w:rPr>
          <w:rFonts w:ascii="Arial" w:cs="Arial" w:eastAsia="Arial" w:hAnsi="Arial"/>
          <w:sz w:val="18"/>
          <w:szCs w:val="18"/>
          <w:color w:val="auto"/>
        </w:rPr>
      </w:pPr>
      <w:r>
        <w:rPr>
          <w:rFonts w:ascii="Arial" w:cs="Arial" w:eastAsia="Arial" w:hAnsi="Arial"/>
          <w:sz w:val="18"/>
          <w:szCs w:val="18"/>
          <w:color w:val="auto"/>
        </w:rPr>
        <w:t>at the date hereof; (ii) the Company would not, as a consequence of doing any act or thing which the Prospectus, the Registration Statement or the Underwriting Agreement contemplates, permits or requires the Company to do, be insolvent; and (iii) no steps have been taken or, to the best of the knowledge, information and belief of the directors of the Company, are being taken to appoint a receiver, liquidator or an examiner over the Company or any part of its undertaking or assets, or to strike the Company off the Register of Companies or to otherwise dissolve or wind up the Company; and</w:t>
      </w:r>
    </w:p>
    <w:p>
      <w:pPr>
        <w:spacing w:after="0" w:line="13" w:lineRule="exact"/>
        <w:rPr>
          <w:rFonts w:ascii="Arial" w:cs="Arial" w:eastAsia="Arial" w:hAnsi="Arial"/>
          <w:sz w:val="18"/>
          <w:szCs w:val="18"/>
          <w:color w:val="auto"/>
        </w:rPr>
      </w:pPr>
    </w:p>
    <w:p>
      <w:pPr>
        <w:ind w:left="1260" w:hanging="644"/>
        <w:spacing w:after="0" w:line="371" w:lineRule="auto"/>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truth of all representations and information given to us in reply to any queries we have made which we have considered necessary for the purposes of giving this opinion.</w:t>
      </w:r>
    </w:p>
    <w:p>
      <w:pPr>
        <w:spacing w:after="0" w:line="265" w:lineRule="exact"/>
        <w:rPr>
          <w:sz w:val="20"/>
          <w:szCs w:val="20"/>
          <w:color w:val="auto"/>
        </w:rPr>
      </w:pPr>
    </w:p>
    <w:p>
      <w:pPr>
        <w:ind w:left="620" w:hanging="612"/>
        <w:spacing w:after="0"/>
        <w:tabs>
          <w:tab w:leader="none" w:pos="620" w:val="left"/>
        </w:tabs>
        <w:numPr>
          <w:ilvl w:val="0"/>
          <w:numId w:val="55"/>
        </w:numPr>
        <w:rPr>
          <w:rFonts w:ascii="Arial" w:cs="Arial" w:eastAsia="Arial" w:hAnsi="Arial"/>
          <w:sz w:val="18"/>
          <w:szCs w:val="18"/>
          <w:color w:val="auto"/>
        </w:rPr>
      </w:pPr>
      <w:r>
        <w:rPr>
          <w:rFonts w:ascii="Arial" w:cs="Arial" w:eastAsia="Arial" w:hAnsi="Arial"/>
          <w:sz w:val="20"/>
          <w:szCs w:val="20"/>
          <w:b w:val="1"/>
          <w:bCs w:val="1"/>
          <w:color w:val="auto"/>
        </w:rPr>
        <w:t>Opinion</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jc w:val="both"/>
        <w:ind w:left="620"/>
        <w:spacing w:after="0" w:line="255" w:lineRule="auto"/>
        <w:rPr>
          <w:rFonts w:ascii="Arial" w:cs="Arial" w:eastAsia="Arial" w:hAnsi="Arial"/>
          <w:sz w:val="18"/>
          <w:szCs w:val="18"/>
          <w:color w:val="auto"/>
        </w:rPr>
      </w:pPr>
      <w:r>
        <w:rPr>
          <w:rFonts w:ascii="Arial" w:cs="Arial" w:eastAsia="Arial" w:hAnsi="Arial"/>
          <w:sz w:val="18"/>
          <w:szCs w:val="18"/>
          <w:color w:val="auto"/>
        </w:rPr>
        <w:t>Based upon, and subject to, the foregoing and subject to the qualifications set out in this letter and any matter not disclosed to us, we are of the opinion that, so far as the laws of Ireland are concerned, upon the issuance of Shares in accordance with, and subject to any conditions contained in, the terms of the Registration Statement and the Prospectus, subject to receipt by the Company of the full consideration payable in respect thereof, such Shares will be validly issued, fully-paid and non-assessable (which term means that no shareholder shall be obliged to pay or contribute further amounts to the capital of the Company in connection with the issue of such shares).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949" w:right="239" w:bottom="1440" w:gutter="0" w:footer="0" w:header="0"/>
        </w:sectPr>
      </w:pPr>
    </w:p>
    <w:bookmarkStart w:id="52" w:name="page53"/>
    <w:bookmarkEnd w:id="52"/>
    <w:p>
      <w:pPr>
        <w:ind w:left="620" w:hanging="612"/>
        <w:spacing w:after="0"/>
        <w:tabs>
          <w:tab w:leader="none" w:pos="620" w:val="left"/>
        </w:tabs>
        <w:numPr>
          <w:ilvl w:val="0"/>
          <w:numId w:val="56"/>
        </w:numPr>
        <w:rPr>
          <w:rFonts w:ascii="Arial" w:cs="Arial" w:eastAsia="Arial" w:hAnsi="Arial"/>
          <w:sz w:val="18"/>
          <w:szCs w:val="18"/>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6117590</wp:posOffset>
            </wp:positionH>
            <wp:positionV relativeFrom="page">
              <wp:posOffset>226060</wp:posOffset>
            </wp:positionV>
            <wp:extent cx="128651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86510" cy="188595"/>
                    </a:xfrm>
                    <a:prstGeom prst="rect">
                      <a:avLst/>
                    </a:prstGeom>
                    <a:noFill/>
                  </pic:spPr>
                </pic:pic>
              </a:graphicData>
            </a:graphic>
          </wp:anchor>
        </w:drawing>
        <w:t>Qualifications</w:t>
      </w:r>
    </w:p>
    <w:p>
      <w:pPr>
        <w:spacing w:after="0" w:line="13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The opinions set forth in this opinion letter are given subject to the following qualifications:</w:t>
      </w:r>
    </w:p>
    <w:p>
      <w:pPr>
        <w:spacing w:after="0" w:line="319" w:lineRule="exact"/>
        <w:rPr>
          <w:rFonts w:ascii="Arial" w:cs="Arial" w:eastAsia="Arial" w:hAnsi="Arial"/>
          <w:sz w:val="18"/>
          <w:szCs w:val="18"/>
          <w:color w:val="auto"/>
        </w:rPr>
      </w:pPr>
    </w:p>
    <w:p>
      <w:pPr>
        <w:ind w:left="1540" w:hanging="911"/>
        <w:spacing w:after="0" w:line="352" w:lineRule="auto"/>
        <w:tabs>
          <w:tab w:leader="none" w:pos="1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 search at the Companies Registration Office is not capable of revealing whether or not a winding up petition or a petition for the appointment of an examiner has been presented; and</w:t>
      </w:r>
    </w:p>
    <w:p>
      <w:pPr>
        <w:spacing w:after="0" w:line="14" w:lineRule="exact"/>
        <w:rPr>
          <w:rFonts w:ascii="Arial" w:cs="Arial" w:eastAsia="Arial" w:hAnsi="Arial"/>
          <w:sz w:val="18"/>
          <w:szCs w:val="18"/>
          <w:color w:val="auto"/>
        </w:rPr>
      </w:pPr>
    </w:p>
    <w:p>
      <w:pPr>
        <w:ind w:left="1540" w:hanging="911"/>
        <w:spacing w:after="0" w:line="360" w:lineRule="auto"/>
        <w:tabs>
          <w:tab w:leader="none" w:pos="1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 search at the Registry of Winding up Petitions at the Central Office of the High Court is not capable of revealing whether or not a receiver has been appointed.</w:t>
      </w:r>
    </w:p>
    <w:p>
      <w:pPr>
        <w:jc w:val="both"/>
        <w:ind w:left="620"/>
        <w:spacing w:after="0" w:line="365" w:lineRule="auto"/>
        <w:rPr>
          <w:sz w:val="20"/>
          <w:szCs w:val="20"/>
          <w:color w:val="auto"/>
        </w:rPr>
      </w:pPr>
      <w:r>
        <w:rPr>
          <w:rFonts w:ascii="Arial" w:cs="Arial" w:eastAsia="Arial" w:hAnsi="Arial"/>
          <w:sz w:val="18"/>
          <w:szCs w:val="18"/>
          <w:color w:val="auto"/>
        </w:rPr>
        <w:t>Whilst each of the making of a winding up order, the making of an order for the appointment of an examiner and the appointment of a receiver may be revealed by a search at the Companies Registration Office it may not be filed at the Companies Registration Office immediately and, therefore, our searches at the Companies Registration Office may not have revealed such matters.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MATHESON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922"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272020" cy="7245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724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News Release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Weatherford Announces Public Offering of 80,000,000 Ordinary Shares</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 xml:space="preserve">Baar, Switzerland, March 1, 2016 </w:t>
      </w:r>
      <w:r>
        <w:rPr>
          <w:rFonts w:ascii="Arial" w:cs="Arial" w:eastAsia="Arial" w:hAnsi="Arial"/>
          <w:sz w:val="22"/>
          <w:szCs w:val="22"/>
          <w:b w:val="1"/>
          <w:bCs w:val="1"/>
          <w:color w:val="auto"/>
        </w:rPr>
        <w:t>-</w:t>
      </w:r>
      <w:r>
        <w:rPr>
          <w:rFonts w:ascii="Arial" w:cs="Arial" w:eastAsia="Arial" w:hAnsi="Arial"/>
          <w:sz w:val="22"/>
          <w:szCs w:val="22"/>
          <w:color w:val="auto"/>
        </w:rPr>
        <w:t xml:space="preserve"> Weatherford International plc (NYSE: WFT) (the “Company” or “Weatherford”) announced today the launch of an underwritten public offering of 80,000,000 ordinary shares of the Company (the “Offering”). In connection with the Offering, the Company intends to grant the underwriters a 30-day option to purchase up to 12,000,000 additional ordinary shares. The Company intends to use the net proceeds from the Offering for general corporate purposes, including the repayment of existing indebtedness.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J.P. Morgan and Morgan Stanley will act as joint book-running managers of the Offering.</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Offering is being made pursuant to an effective registration statement previously filed with the U.S. Securities &amp; Exchange Commission (the “SEC”). A prospectus supplement and accompanying prospectus describing the terms of the Offering will be filed with the SEC, and when available, may be obtained free of charge at the SEC’s website at www.sec.gov or from the underwriters of the Offering as follows:</w:t>
      </w:r>
    </w:p>
    <w:p>
      <w:pPr>
        <w:spacing w:after="0" w:line="337" w:lineRule="exact"/>
        <w:rPr>
          <w:sz w:val="20"/>
          <w:szCs w:val="20"/>
          <w:color w:val="auto"/>
        </w:rPr>
      </w:pPr>
    </w:p>
    <w:p>
      <w:pPr>
        <w:ind w:left="40"/>
        <w:spacing w:after="0"/>
        <w:rPr>
          <w:sz w:val="20"/>
          <w:szCs w:val="20"/>
          <w:color w:val="auto"/>
        </w:rPr>
      </w:pPr>
      <w:r>
        <w:rPr>
          <w:rFonts w:ascii="Arial" w:cs="Arial" w:eastAsia="Arial" w:hAnsi="Arial"/>
          <w:sz w:val="22"/>
          <w:szCs w:val="22"/>
          <w:color w:val="auto"/>
        </w:rPr>
        <w:t>J.P. Morgan Securities LLC</w:t>
      </w:r>
    </w:p>
    <w:p>
      <w:pPr>
        <w:ind w:left="40"/>
        <w:spacing w:after="0" w:line="238" w:lineRule="auto"/>
        <w:rPr>
          <w:sz w:val="20"/>
          <w:szCs w:val="20"/>
          <w:color w:val="auto"/>
        </w:rPr>
      </w:pPr>
      <w:r>
        <w:rPr>
          <w:rFonts w:ascii="Arial" w:cs="Arial" w:eastAsia="Arial" w:hAnsi="Arial"/>
          <w:sz w:val="22"/>
          <w:szCs w:val="22"/>
          <w:color w:val="auto"/>
        </w:rPr>
        <w:t>c/o Broadridge Financial Solutions</w:t>
      </w:r>
    </w:p>
    <w:p>
      <w:pPr>
        <w:ind w:left="40"/>
        <w:spacing w:after="0" w:line="230" w:lineRule="auto"/>
        <w:rPr>
          <w:sz w:val="20"/>
          <w:szCs w:val="20"/>
          <w:color w:val="auto"/>
        </w:rPr>
      </w:pPr>
      <w:r>
        <w:rPr>
          <w:rFonts w:ascii="Arial" w:cs="Arial" w:eastAsia="Arial" w:hAnsi="Arial"/>
          <w:sz w:val="22"/>
          <w:szCs w:val="22"/>
          <w:color w:val="auto"/>
        </w:rPr>
        <w:t>1155 Long Island Avenue</w:t>
      </w:r>
    </w:p>
    <w:p>
      <w:pPr>
        <w:ind w:left="40"/>
        <w:spacing w:after="0" w:line="231" w:lineRule="auto"/>
        <w:rPr>
          <w:sz w:val="20"/>
          <w:szCs w:val="20"/>
          <w:color w:val="auto"/>
        </w:rPr>
      </w:pPr>
      <w:r>
        <w:rPr>
          <w:rFonts w:ascii="Arial" w:cs="Arial" w:eastAsia="Arial" w:hAnsi="Arial"/>
          <w:sz w:val="22"/>
          <w:szCs w:val="22"/>
          <w:color w:val="auto"/>
        </w:rPr>
        <w:t>Edgewood, New York 11717</w:t>
      </w:r>
    </w:p>
    <w:p>
      <w:pPr>
        <w:ind w:left="40"/>
        <w:spacing w:after="0" w:line="231" w:lineRule="auto"/>
        <w:rPr>
          <w:sz w:val="20"/>
          <w:szCs w:val="20"/>
          <w:color w:val="auto"/>
        </w:rPr>
      </w:pPr>
      <w:r>
        <w:rPr>
          <w:rFonts w:ascii="Arial" w:cs="Arial" w:eastAsia="Arial" w:hAnsi="Arial"/>
          <w:sz w:val="22"/>
          <w:szCs w:val="22"/>
          <w:color w:val="auto"/>
        </w:rPr>
        <w:t>Telephone: (888) 803-9204</w:t>
      </w:r>
    </w:p>
    <w:p>
      <w:pPr>
        <w:ind w:left="40"/>
        <w:spacing w:after="0"/>
        <w:rPr>
          <w:sz w:val="20"/>
          <w:szCs w:val="20"/>
          <w:color w:val="auto"/>
        </w:rPr>
      </w:pPr>
      <w:r>
        <w:rPr>
          <w:rFonts w:ascii="Arial" w:cs="Arial" w:eastAsia="Arial" w:hAnsi="Arial"/>
          <w:sz w:val="22"/>
          <w:szCs w:val="22"/>
          <w:color w:val="auto"/>
        </w:rPr>
        <w:t>Email: prospectus-eq_fi@jpmchase.com</w:t>
      </w:r>
    </w:p>
    <w:p>
      <w:pPr>
        <w:spacing w:after="0" w:line="269" w:lineRule="exact"/>
        <w:rPr>
          <w:sz w:val="20"/>
          <w:szCs w:val="20"/>
          <w:color w:val="auto"/>
        </w:rPr>
      </w:pPr>
    </w:p>
    <w:p>
      <w:pPr>
        <w:ind w:left="40"/>
        <w:spacing w:after="0"/>
        <w:rPr>
          <w:sz w:val="20"/>
          <w:szCs w:val="20"/>
          <w:color w:val="auto"/>
        </w:rPr>
      </w:pPr>
      <w:r>
        <w:rPr>
          <w:rFonts w:ascii="Arial" w:cs="Arial" w:eastAsia="Arial" w:hAnsi="Arial"/>
          <w:sz w:val="22"/>
          <w:szCs w:val="22"/>
          <w:color w:val="auto"/>
        </w:rPr>
        <w:t>Morgan Stanley &amp; Co. LLC</w:t>
      </w:r>
    </w:p>
    <w:p>
      <w:pPr>
        <w:ind w:left="40"/>
        <w:spacing w:after="0" w:line="238" w:lineRule="auto"/>
        <w:rPr>
          <w:sz w:val="20"/>
          <w:szCs w:val="20"/>
          <w:color w:val="auto"/>
        </w:rPr>
      </w:pPr>
      <w:r>
        <w:rPr>
          <w:rFonts w:ascii="Arial" w:cs="Arial" w:eastAsia="Arial" w:hAnsi="Arial"/>
          <w:sz w:val="22"/>
          <w:szCs w:val="22"/>
          <w:color w:val="auto"/>
        </w:rPr>
        <w:t>Attn: Prospectus Department</w:t>
      </w:r>
    </w:p>
    <w:p>
      <w:pPr>
        <w:ind w:left="40"/>
        <w:spacing w:after="0" w:line="230" w:lineRule="auto"/>
        <w:rPr>
          <w:sz w:val="20"/>
          <w:szCs w:val="20"/>
          <w:color w:val="auto"/>
        </w:rPr>
      </w:pPr>
      <w:r>
        <w:rPr>
          <w:rFonts w:ascii="Arial" w:cs="Arial" w:eastAsia="Arial" w:hAnsi="Arial"/>
          <w:sz w:val="22"/>
          <w:szCs w:val="22"/>
          <w:color w:val="auto"/>
        </w:rPr>
        <w:t>180 Varick Street, 2nd Floor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New York, NY 10014</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press release shall not constitute an offer to sell or a solicitation of an offer to buy any securities, nor shall there be any sale of these securities in any state or jurisdiction in which such offer, solicitation or sale would be unlawful prior to registration or qualification under the securities laws of such state or jurisdiction.</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Weatherford International plc</w:t>
      </w:r>
    </w:p>
    <w:p>
      <w:pPr>
        <w:spacing w:after="0" w:line="28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Weatherford is one of the largest multinational oilfield service companies providing innovative solutions, technology and services to the oil and gas industry. The Company operates in over 100 countries and has a network of approximately 1,200 locations, including manufacturing, service, research and development, and training facilities and employs approximately 37,000 people.</w:t>
      </w:r>
    </w:p>
    <w:p>
      <w:pPr>
        <w:sectPr>
          <w:pgSz w:w="11900" w:h="16838" w:orient="portrait"/>
          <w:cols w:equalWidth="0" w:num="1">
            <w:col w:w="11420"/>
          </w:cols>
          <w:pgMar w:left="240" w:top="585" w:right="239" w:bottom="1440" w:gutter="0" w:footer="0" w:header="0"/>
        </w:sectPr>
      </w:pPr>
    </w:p>
    <w:bookmarkStart w:id="54" w:name="page55"/>
    <w:bookmarkEnd w:id="54"/>
    <w:p>
      <w:pPr>
        <w:spacing w:after="0"/>
        <w:rPr>
          <w:sz w:val="20"/>
          <w:szCs w:val="20"/>
          <w:color w:val="auto"/>
        </w:rPr>
      </w:pPr>
      <w:r>
        <w:rPr>
          <w:rFonts w:ascii="Arial" w:cs="Arial" w:eastAsia="Arial" w:hAnsi="Arial"/>
          <w:sz w:val="22"/>
          <w:szCs w:val="22"/>
          <w:b w:val="1"/>
          <w:bCs w:val="1"/>
          <w:color w:val="auto"/>
        </w:rPr>
        <w:t>Forward-Looking Statements</w:t>
      </w:r>
    </w:p>
    <w:p>
      <w:pPr>
        <w:spacing w:after="0" w:line="226"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This press release includes forward-looking statements as defined under federal law, including those related to the Company’s potential securities offering. These forward-looking statements are generally identified by the words “believe,” “expect,” “anticipate,” “estimate,” “intend,” “plan,” “may,” “should,” “could,” “will,” “would,” and “will be,” and similar expressions, although not all forward-looking statements contain these identifying words. Such statements are subject to significant risks, assumptions and uncertainties. Known material factors that could cause the Company’s actual results to differ materially from the results contemplated by such forward-looking statements are described in the prospectus as supplemented, which is a part of the Registration Statement, and the risk factors described in the Company’s Annual Report on Form 10-K for the fiscal year ended December 31, 2015 and those risk factors set forth from time-to-time in other filings with the SEC. Weatherford undertakes no obligation to correct or update any forward-looking statement, whether as a result of new information, future events, or otherwise, except to the extent required under federal securities laws.</w:t>
      </w:r>
    </w:p>
    <w:p>
      <w:pPr>
        <w:spacing w:after="0" w:line="30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Investor Contacts:</w:t>
      </w:r>
    </w:p>
    <w:p>
      <w:pPr>
        <w:spacing w:after="0" w:line="200" w:lineRule="exact"/>
        <w:rPr>
          <w:sz w:val="20"/>
          <w:szCs w:val="20"/>
          <w:color w:val="auto"/>
        </w:rPr>
      </w:pP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5420" w:type="dxa"/>
            <w:vAlign w:val="bottom"/>
          </w:tcPr>
          <w:p>
            <w:pPr>
              <w:spacing w:after="0"/>
              <w:rPr>
                <w:sz w:val="20"/>
                <w:szCs w:val="20"/>
                <w:color w:val="auto"/>
              </w:rPr>
            </w:pPr>
            <w:r>
              <w:rPr>
                <w:rFonts w:ascii="Arial" w:cs="Arial" w:eastAsia="Arial" w:hAnsi="Arial"/>
                <w:sz w:val="22"/>
                <w:szCs w:val="22"/>
                <w:color w:val="auto"/>
              </w:rPr>
              <w:t>Krishna Shivram</w:t>
            </w:r>
          </w:p>
        </w:tc>
        <w:tc>
          <w:tcPr>
            <w:tcW w:w="5400" w:type="dxa"/>
            <w:vAlign w:val="bottom"/>
          </w:tcPr>
          <w:p>
            <w:pPr>
              <w:jc w:val="right"/>
              <w:spacing w:after="0"/>
              <w:rPr>
                <w:sz w:val="20"/>
                <w:szCs w:val="20"/>
                <w:color w:val="auto"/>
              </w:rPr>
            </w:pPr>
            <w:r>
              <w:rPr>
                <w:rFonts w:ascii="Arial" w:cs="Arial" w:eastAsia="Arial" w:hAnsi="Arial"/>
                <w:sz w:val="22"/>
                <w:szCs w:val="22"/>
                <w:color w:val="auto"/>
              </w:rPr>
              <w:t>+1.713.836.4610</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22"/>
          <w:szCs w:val="22"/>
          <w:color w:val="auto"/>
        </w:rPr>
        <w:t>Executive Vice President and Chief Financial Officer</w:t>
      </w:r>
    </w:p>
    <w:p>
      <w:pPr>
        <w:spacing w:after="0" w:line="260" w:lineRule="exact"/>
        <w:rPr>
          <w:sz w:val="20"/>
          <w:szCs w:val="20"/>
          <w:color w:val="auto"/>
        </w:rPr>
      </w:pPr>
    </w:p>
    <w:p>
      <w:pPr>
        <w:ind w:left="9400"/>
        <w:spacing w:after="0"/>
        <w:rPr>
          <w:sz w:val="20"/>
          <w:szCs w:val="20"/>
          <w:color w:val="auto"/>
        </w:rPr>
      </w:pPr>
      <w:r>
        <w:rPr>
          <w:rFonts w:ascii="Arial" w:cs="Arial" w:eastAsia="Arial" w:hAnsi="Arial"/>
          <w:sz w:val="22"/>
          <w:szCs w:val="22"/>
          <w:color w:val="auto"/>
        </w:rPr>
        <w:t>+1.713.836.7430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Karen David-Green</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Vice President - Investor Relations and Corporate Marketing and Communications</w:t>
      </w:r>
    </w:p>
    <w:p>
      <w:pPr>
        <w:sectPr>
          <w:pgSz w:w="11900" w:h="16838" w:orient="portrait"/>
          <w:cols w:equalWidth="0" w:num="1">
            <w:col w:w="11420"/>
          </w:cols>
          <w:pgMar w:left="240" w:top="58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272020" cy="7245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724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News Release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Weatherford Prices Public Offering of 100,000,000 Ordinary Shares</w:t>
      </w:r>
    </w:p>
    <w:p>
      <w:pPr>
        <w:spacing w:after="0" w:line="260" w:lineRule="exact"/>
        <w:rPr>
          <w:sz w:val="20"/>
          <w:szCs w:val="20"/>
          <w:color w:val="auto"/>
        </w:rPr>
      </w:pPr>
    </w:p>
    <w:p>
      <w:pPr>
        <w:jc w:val="both"/>
        <w:spacing w:after="0" w:line="295" w:lineRule="auto"/>
        <w:rPr>
          <w:sz w:val="20"/>
          <w:szCs w:val="20"/>
          <w:color w:val="auto"/>
        </w:rPr>
      </w:pPr>
      <w:r>
        <w:rPr>
          <w:rFonts w:ascii="Arial" w:cs="Arial" w:eastAsia="Arial" w:hAnsi="Arial"/>
          <w:sz w:val="19"/>
          <w:szCs w:val="19"/>
          <w:color w:val="auto"/>
        </w:rPr>
        <w:t xml:space="preserve">Baar, Switzerland, March 1, 2016 </w:t>
      </w:r>
      <w:r>
        <w:rPr>
          <w:rFonts w:ascii="Arial" w:cs="Arial" w:eastAsia="Arial" w:hAnsi="Arial"/>
          <w:sz w:val="19"/>
          <w:szCs w:val="19"/>
          <w:b w:val="1"/>
          <w:bCs w:val="1"/>
          <w:color w:val="auto"/>
        </w:rPr>
        <w:t>–</w:t>
      </w:r>
      <w:r>
        <w:rPr>
          <w:rFonts w:ascii="Arial" w:cs="Arial" w:eastAsia="Arial" w:hAnsi="Arial"/>
          <w:sz w:val="19"/>
          <w:szCs w:val="19"/>
          <w:color w:val="auto"/>
        </w:rPr>
        <w:t xml:space="preserve"> Weatherford International plc (NYSE: WFT) (the “Company” or “Weatherford”) announced today the pricing of its previously announced underwritten public offering of 100,000,000 ordinary shares at $5.65 per ordinary share (the “Offering”). The total aggregate proceeds from the Offering are approximately $565 million before deducting underwriting discounts and commissions and the estimated offering expenses. The underwriters have been granted a 30-day option to purchase up to an additional 15,000,000 ordinary shares from the Company at the public offering price less the underwriting discount. The Offering is scheduled to close on March 7, 2016, subject to customary closing conditions.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Company intends to use the net proceeds from the Offering for general corporate purposes, including the repayment of existing indebtedness.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J.P. Morgan and Morgan Stanley are acting as joint book-running managers of the Offering.</w:t>
      </w:r>
    </w:p>
    <w:p>
      <w:pPr>
        <w:spacing w:after="0" w:line="2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Offering is being made pursuant to an effective registration statement previously filed with the U.S. Securities &amp; Exchange Commission (the “SEC”). A prospectus supplement and accompanying prospectus describing the terms of the Offering will be filed with the SEC, and when available, may be obtained free of charge at the SEC’s website at www.sec.gov or from the underwriters of the Offering as follows:</w:t>
      </w:r>
    </w:p>
    <w:p>
      <w:pPr>
        <w:spacing w:after="0" w:line="37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J.P. Morgan Securities LLC</w:t>
      </w:r>
    </w:p>
    <w:p>
      <w:pPr>
        <w:ind w:left="40"/>
        <w:spacing w:after="0" w:line="238" w:lineRule="auto"/>
        <w:rPr>
          <w:sz w:val="20"/>
          <w:szCs w:val="20"/>
          <w:color w:val="auto"/>
        </w:rPr>
      </w:pPr>
      <w:r>
        <w:rPr>
          <w:rFonts w:ascii="Arial" w:cs="Arial" w:eastAsia="Arial" w:hAnsi="Arial"/>
          <w:sz w:val="22"/>
          <w:szCs w:val="22"/>
          <w:color w:val="auto"/>
        </w:rPr>
        <w:t>c/o Broadridge Financial Solutions</w:t>
      </w:r>
    </w:p>
    <w:p>
      <w:pPr>
        <w:ind w:left="40"/>
        <w:spacing w:after="0" w:line="230" w:lineRule="auto"/>
        <w:rPr>
          <w:sz w:val="20"/>
          <w:szCs w:val="20"/>
          <w:color w:val="auto"/>
        </w:rPr>
      </w:pPr>
      <w:r>
        <w:rPr>
          <w:rFonts w:ascii="Arial" w:cs="Arial" w:eastAsia="Arial" w:hAnsi="Arial"/>
          <w:sz w:val="22"/>
          <w:szCs w:val="22"/>
          <w:color w:val="auto"/>
        </w:rPr>
        <w:t>1155 Long Island Avenue</w:t>
      </w:r>
    </w:p>
    <w:p>
      <w:pPr>
        <w:ind w:left="40"/>
        <w:spacing w:after="0" w:line="231" w:lineRule="auto"/>
        <w:rPr>
          <w:sz w:val="20"/>
          <w:szCs w:val="20"/>
          <w:color w:val="auto"/>
        </w:rPr>
      </w:pPr>
      <w:r>
        <w:rPr>
          <w:rFonts w:ascii="Arial" w:cs="Arial" w:eastAsia="Arial" w:hAnsi="Arial"/>
          <w:sz w:val="22"/>
          <w:szCs w:val="22"/>
          <w:color w:val="auto"/>
        </w:rPr>
        <w:t>Edgewood, New York 11717</w:t>
      </w:r>
    </w:p>
    <w:p>
      <w:pPr>
        <w:ind w:left="40"/>
        <w:spacing w:after="0" w:line="231" w:lineRule="auto"/>
        <w:rPr>
          <w:sz w:val="20"/>
          <w:szCs w:val="20"/>
          <w:color w:val="auto"/>
        </w:rPr>
      </w:pPr>
      <w:r>
        <w:rPr>
          <w:rFonts w:ascii="Arial" w:cs="Arial" w:eastAsia="Arial" w:hAnsi="Arial"/>
          <w:sz w:val="22"/>
          <w:szCs w:val="22"/>
          <w:color w:val="auto"/>
        </w:rPr>
        <w:t>Telephone: (888) 803-9204</w:t>
      </w:r>
    </w:p>
    <w:p>
      <w:pPr>
        <w:ind w:left="40"/>
        <w:spacing w:after="0"/>
        <w:rPr>
          <w:sz w:val="20"/>
          <w:szCs w:val="20"/>
          <w:color w:val="auto"/>
        </w:rPr>
      </w:pPr>
      <w:r>
        <w:rPr>
          <w:rFonts w:ascii="Arial" w:cs="Arial" w:eastAsia="Arial" w:hAnsi="Arial"/>
          <w:sz w:val="22"/>
          <w:szCs w:val="22"/>
          <w:color w:val="auto"/>
        </w:rPr>
        <w:t>Email: prospectus-eq_fi@jpmchase.com</w:t>
      </w:r>
    </w:p>
    <w:p>
      <w:pPr>
        <w:spacing w:after="0" w:line="269" w:lineRule="exact"/>
        <w:rPr>
          <w:sz w:val="20"/>
          <w:szCs w:val="20"/>
          <w:color w:val="auto"/>
        </w:rPr>
      </w:pPr>
    </w:p>
    <w:p>
      <w:pPr>
        <w:ind w:left="40"/>
        <w:spacing w:after="0"/>
        <w:rPr>
          <w:sz w:val="20"/>
          <w:szCs w:val="20"/>
          <w:color w:val="auto"/>
        </w:rPr>
      </w:pPr>
      <w:r>
        <w:rPr>
          <w:rFonts w:ascii="Arial" w:cs="Arial" w:eastAsia="Arial" w:hAnsi="Arial"/>
          <w:sz w:val="22"/>
          <w:szCs w:val="22"/>
          <w:color w:val="auto"/>
        </w:rPr>
        <w:t>Morgan Stanley &amp; Co. LLC</w:t>
      </w:r>
    </w:p>
    <w:p>
      <w:pPr>
        <w:ind w:left="40"/>
        <w:spacing w:after="0" w:line="238" w:lineRule="auto"/>
        <w:rPr>
          <w:sz w:val="20"/>
          <w:szCs w:val="20"/>
          <w:color w:val="auto"/>
        </w:rPr>
      </w:pPr>
      <w:r>
        <w:rPr>
          <w:rFonts w:ascii="Arial" w:cs="Arial" w:eastAsia="Arial" w:hAnsi="Arial"/>
          <w:sz w:val="22"/>
          <w:szCs w:val="22"/>
          <w:color w:val="auto"/>
        </w:rPr>
        <w:t>Attn: Prospectus Department</w:t>
      </w:r>
    </w:p>
    <w:p>
      <w:pPr>
        <w:ind w:left="40"/>
        <w:spacing w:after="0" w:line="230" w:lineRule="auto"/>
        <w:rPr>
          <w:sz w:val="20"/>
          <w:szCs w:val="20"/>
          <w:color w:val="auto"/>
        </w:rPr>
      </w:pPr>
      <w:r>
        <w:rPr>
          <w:rFonts w:ascii="Arial" w:cs="Arial" w:eastAsia="Arial" w:hAnsi="Arial"/>
          <w:sz w:val="22"/>
          <w:szCs w:val="22"/>
          <w:color w:val="auto"/>
        </w:rPr>
        <w:t>180 Varick Street, 2nd Floor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New York, NY 10014</w:t>
      </w:r>
    </w:p>
    <w:p>
      <w:pPr>
        <w:spacing w:after="0" w:line="26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press release shall not constitute an offer to sell or a solicitation of an offer to buy any securities, nor shall there be any sale of these securities in any state or jurisdiction in which such offer, solicitation or sale would be unlawful prior to registration or qualification under the securities laws of such state or jurisdiction.</w:t>
      </w:r>
    </w:p>
    <w:p>
      <w:pPr>
        <w:sectPr>
          <w:pgSz w:w="11900" w:h="16838" w:orient="portrait"/>
          <w:cols w:equalWidth="0" w:num="1">
            <w:col w:w="11420"/>
          </w:cols>
          <w:pgMar w:left="240" w:top="585" w:right="239" w:bottom="1440" w:gutter="0" w:footer="0" w:header="0"/>
        </w:sectPr>
      </w:pPr>
    </w:p>
    <w:bookmarkStart w:id="56" w:name="page57"/>
    <w:bookmarkEnd w:id="56"/>
    <w:p>
      <w:pPr>
        <w:spacing w:after="0"/>
        <w:rPr>
          <w:sz w:val="20"/>
          <w:szCs w:val="20"/>
          <w:color w:val="auto"/>
        </w:rPr>
      </w:pPr>
      <w:r>
        <w:rPr>
          <w:rFonts w:ascii="Arial" w:cs="Arial" w:eastAsia="Arial" w:hAnsi="Arial"/>
          <w:sz w:val="22"/>
          <w:szCs w:val="22"/>
          <w:b w:val="1"/>
          <w:bCs w:val="1"/>
          <w:color w:val="auto"/>
        </w:rPr>
        <w:t>About Weatherford International plc</w:t>
      </w:r>
    </w:p>
    <w:p>
      <w:pPr>
        <w:spacing w:after="0" w:line="266" w:lineRule="exact"/>
        <w:rPr>
          <w:sz w:val="20"/>
          <w:szCs w:val="20"/>
          <w:color w:val="auto"/>
        </w:rPr>
      </w:pPr>
    </w:p>
    <w:p>
      <w:pPr>
        <w:jc w:val="both"/>
        <w:ind w:right="20"/>
        <w:spacing w:after="0" w:line="312" w:lineRule="auto"/>
        <w:rPr>
          <w:sz w:val="20"/>
          <w:szCs w:val="20"/>
          <w:color w:val="auto"/>
        </w:rPr>
      </w:pPr>
      <w:r>
        <w:rPr>
          <w:rFonts w:ascii="Arial" w:cs="Arial" w:eastAsia="Arial" w:hAnsi="Arial"/>
          <w:sz w:val="19"/>
          <w:szCs w:val="19"/>
          <w:color w:val="auto"/>
        </w:rPr>
        <w:t>Weatherford is one of the largest multinational oilfield service companies providing innovative solutions, technology and services to the oil and gas industry. The Company operates in over 100 countries and has a network of approximately 1,200 locations, including manufacturing, service, research and development, and training facilities and employs approximately 37,000 people.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66"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This press release includes forward-looking statements as defined under federal law, including those related to the Company’s securities offering. These forward-looking statements are generally identified by the words “believe,” “expect,” “anticipate,” “estimate,” “intend,” “plan,” “may,” “should,” “could,” “will,” “would,” and “will be,” and similar expressions, although not all forward-looking statements contain these identifying words. Such statements are subject to significant risks, assumptions and uncertainties. Known material factors that could cause the Company’s actual results to differ materially from the results contemplated by such forward-looking statements are described in the prospectus as supplemented, which is a part of the Registration Statement, and the risk factors described in the Company’s Annual Report on Form 10-K for the fiscal year ended December 31, 2015 and those risk factors set forth from time-to-time in other filings with the SEC. Weatherford undertakes no obligation to correct or update any forward-looking statement, whether as a result of new information, future events, or otherwise, except to the extent required under federal securities laws.</w:t>
      </w:r>
    </w:p>
    <w:p>
      <w:pPr>
        <w:spacing w:after="0" w:line="343" w:lineRule="exact"/>
        <w:rPr>
          <w:sz w:val="20"/>
          <w:szCs w:val="20"/>
          <w:color w:val="auto"/>
        </w:rPr>
      </w:pPr>
    </w:p>
    <w:tbl>
      <w:tblPr>
        <w:tblLayout w:type="fixed"/>
        <w:tblInd w:w="60" w:type="dxa"/>
        <w:tblCellMar>
          <w:top w:w="0" w:type="dxa"/>
          <w:left w:w="0" w:type="dxa"/>
          <w:bottom w:w="0" w:type="dxa"/>
          <w:right w:w="0" w:type="dxa"/>
        </w:tblCellMar>
      </w:tblPr>
      <w:tr>
        <w:trPr>
          <w:trHeight w:val="281"/>
        </w:trPr>
        <w:tc>
          <w:tcPr>
            <w:tcW w:w="5520" w:type="dxa"/>
            <w:vAlign w:val="bottom"/>
          </w:tcPr>
          <w:p>
            <w:pPr>
              <w:spacing w:after="0"/>
              <w:rPr>
                <w:sz w:val="20"/>
                <w:szCs w:val="20"/>
                <w:color w:val="auto"/>
              </w:rPr>
            </w:pPr>
            <w:r>
              <w:rPr>
                <w:rFonts w:ascii="Arial" w:cs="Arial" w:eastAsia="Arial" w:hAnsi="Arial"/>
                <w:sz w:val="22"/>
                <w:szCs w:val="22"/>
                <w:b w:val="1"/>
                <w:bCs w:val="1"/>
                <w:color w:val="auto"/>
              </w:rPr>
              <w:t>Investor Contacts:</w:t>
            </w:r>
          </w:p>
        </w:tc>
        <w:tc>
          <w:tcPr>
            <w:tcW w:w="5280" w:type="dxa"/>
            <w:vAlign w:val="bottom"/>
          </w:tcPr>
          <w:p>
            <w:pPr>
              <w:spacing w:after="0"/>
              <w:rPr>
                <w:sz w:val="24"/>
                <w:szCs w:val="24"/>
                <w:color w:val="auto"/>
              </w:rPr>
            </w:pPr>
          </w:p>
        </w:tc>
      </w:tr>
      <w:tr>
        <w:trPr>
          <w:trHeight w:val="621"/>
        </w:trPr>
        <w:tc>
          <w:tcPr>
            <w:tcW w:w="5520" w:type="dxa"/>
            <w:vAlign w:val="bottom"/>
          </w:tcPr>
          <w:p>
            <w:pPr>
              <w:spacing w:after="0"/>
              <w:rPr>
                <w:sz w:val="20"/>
                <w:szCs w:val="20"/>
                <w:color w:val="auto"/>
              </w:rPr>
            </w:pPr>
            <w:r>
              <w:rPr>
                <w:rFonts w:ascii="Arial" w:cs="Arial" w:eastAsia="Arial" w:hAnsi="Arial"/>
                <w:sz w:val="22"/>
                <w:szCs w:val="22"/>
                <w:color w:val="auto"/>
              </w:rPr>
              <w:t>Krishna Shivram</w:t>
            </w:r>
          </w:p>
        </w:tc>
        <w:tc>
          <w:tcPr>
            <w:tcW w:w="5280" w:type="dxa"/>
            <w:vAlign w:val="bottom"/>
          </w:tcPr>
          <w:p>
            <w:pPr>
              <w:jc w:val="right"/>
              <w:spacing w:after="0"/>
              <w:rPr>
                <w:sz w:val="20"/>
                <w:szCs w:val="20"/>
                <w:color w:val="auto"/>
              </w:rPr>
            </w:pPr>
            <w:r>
              <w:rPr>
                <w:rFonts w:ascii="Arial" w:cs="Arial" w:eastAsia="Arial" w:hAnsi="Arial"/>
                <w:sz w:val="22"/>
                <w:szCs w:val="22"/>
                <w:color w:val="auto"/>
              </w:rPr>
              <w:t>+1.713.836.4610</w:t>
            </w:r>
          </w:p>
        </w:tc>
      </w:tr>
    </w:tbl>
    <w:p>
      <w:pPr>
        <w:spacing w:after="0" w:line="23" w:lineRule="exact"/>
        <w:rPr>
          <w:sz w:val="20"/>
          <w:szCs w:val="20"/>
          <w:color w:val="auto"/>
        </w:rPr>
      </w:pPr>
    </w:p>
    <w:p>
      <w:pPr>
        <w:ind w:left="60"/>
        <w:spacing w:after="0"/>
        <w:rPr>
          <w:sz w:val="20"/>
          <w:szCs w:val="20"/>
          <w:color w:val="auto"/>
        </w:rPr>
      </w:pPr>
      <w:r>
        <w:rPr>
          <w:rFonts w:ascii="Arial" w:cs="Arial" w:eastAsia="Arial" w:hAnsi="Arial"/>
          <w:sz w:val="22"/>
          <w:szCs w:val="22"/>
          <w:color w:val="auto"/>
        </w:rPr>
        <w:t>Executive Vice President and Chief Financial Officer</w:t>
      </w:r>
    </w:p>
    <w:p>
      <w:pPr>
        <w:spacing w:after="0" w:line="44" w:lineRule="exact"/>
        <w:rPr>
          <w:sz w:val="20"/>
          <w:szCs w:val="20"/>
          <w:color w:val="auto"/>
        </w:rPr>
      </w:pPr>
    </w:p>
    <w:p>
      <w:pPr>
        <w:ind w:left="9380"/>
        <w:spacing w:after="0"/>
        <w:rPr>
          <w:sz w:val="20"/>
          <w:szCs w:val="20"/>
          <w:color w:val="auto"/>
        </w:rPr>
      </w:pPr>
      <w:r>
        <w:rPr>
          <w:rFonts w:ascii="Arial" w:cs="Arial" w:eastAsia="Arial" w:hAnsi="Arial"/>
          <w:sz w:val="22"/>
          <w:szCs w:val="22"/>
          <w:color w:val="auto"/>
        </w:rPr>
        <w:t>+1.713.836.7430</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Karen David-Green</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Vice President - Investor Relations and Corporate Marketing and Communications</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1"/>
      <w:numFmt w:val="lowerLetter"/>
      <w:start w:val="1"/>
    </w:lvl>
    <w:lvl w:ilvl="1">
      <w:lvlJc w:val="left"/>
      <w:lvlText w:val="(%2)"/>
      <w:numFmt w:val="lowerLetter"/>
      <w:start w:val="1"/>
    </w:lvl>
  </w:abstractNum>
  <w:abstractNum w:abstractNumId="2">
    <w:nsid w:val="3A95F874"/>
    <w:multiLevelType w:val="hybridMultilevel"/>
    <w:lvl w:ilvl="0">
      <w:lvlJc w:val="left"/>
      <w:lvlText w:val="(%1)"/>
      <w:numFmt w:val="lowerLetter"/>
      <w:start w:val="35"/>
    </w:lvl>
    <w:lvl w:ilvl="1">
      <w:lvlJc w:val="left"/>
      <w:lvlText w:val="%2"/>
      <w:numFmt w:val="lowerLetter"/>
      <w:start w:val="1"/>
    </w:lvl>
  </w:abstractNum>
  <w:abstractNum w:abstractNumId="3">
    <w:nsid w:val="8138641"/>
    <w:multiLevelType w:val="hybridMultilevel"/>
    <w:lvl w:ilvl="0">
      <w:lvlJc w:val="left"/>
      <w:lvlText w:val="(%1)"/>
      <w:numFmt w:val="lowerLetter"/>
      <w:start w:val="4"/>
    </w:lvl>
  </w:abstractNum>
  <w:abstractNum w:abstractNumId="4">
    <w:nsid w:val="1E7FF521"/>
    <w:multiLevelType w:val="hybridMultilevel"/>
    <w:lvl w:ilvl="0">
      <w:lvlJc w:val="left"/>
      <w:lvlText w:val="(%1)"/>
      <w:numFmt w:val="lowerLetter"/>
      <w:start w:val="8"/>
    </w:lvl>
  </w:abstractNum>
  <w:abstractNum w:abstractNumId="5">
    <w:nsid w:val="7C3DBD3D"/>
    <w:multiLevelType w:val="hybridMultilevel"/>
    <w:lvl w:ilvl="0">
      <w:lvlJc w:val="left"/>
      <w:lvlText w:val="(%1)"/>
      <w:numFmt w:val="lowerLetter"/>
      <w:start w:val="13"/>
    </w:lvl>
  </w:abstractNum>
  <w:abstractNum w:abstractNumId="6">
    <w:nsid w:val="737B8DDC"/>
    <w:multiLevelType w:val="hybridMultilevel"/>
    <w:lvl w:ilvl="0">
      <w:lvlJc w:val="left"/>
      <w:lvlText w:val="(%1)"/>
      <w:numFmt w:val="lowerLetter"/>
      <w:start w:val="16"/>
    </w:lvl>
  </w:abstractNum>
  <w:abstractNum w:abstractNumId="7">
    <w:nsid w:val="6CEAF087"/>
    <w:multiLevelType w:val="hybridMultilevel"/>
    <w:lvl w:ilvl="0">
      <w:lvlJc w:val="left"/>
      <w:lvlText w:val="(%1)"/>
      <w:numFmt w:val="lowerLetter"/>
      <w:start w:val="20"/>
    </w:lvl>
  </w:abstractNum>
  <w:abstractNum w:abstractNumId="8">
    <w:nsid w:val="22221A70"/>
    <w:multiLevelType w:val="hybridMultilevel"/>
    <w:lvl w:ilvl="0">
      <w:lvlJc w:val="left"/>
      <w:lvlText w:val="%1"/>
      <w:numFmt w:val="upperLetter"/>
      <w:start w:val="1"/>
    </w:lvl>
    <w:lvl w:ilvl="1">
      <w:lvlJc w:val="left"/>
      <w:lvlText w:val="(%2)"/>
      <w:numFmt w:val="lowerLetter"/>
      <w:start w:val="24"/>
    </w:lvl>
  </w:abstractNum>
  <w:abstractNum w:abstractNumId="9">
    <w:nsid w:val="4516DDE9"/>
    <w:multiLevelType w:val="hybridMultilevel"/>
    <w:lvl w:ilvl="0">
      <w:lvlJc w:val="left"/>
      <w:lvlText w:val="(%1)"/>
      <w:numFmt w:val="upperLetter"/>
      <w:start w:val="2"/>
    </w:lvl>
    <w:lvl w:ilvl="1">
      <w:lvlJc w:val="left"/>
      <w:lvlText w:val="(%2)"/>
      <w:numFmt w:val="lowerLetter"/>
      <w:start w:val="26"/>
    </w:lvl>
  </w:abstractNum>
  <w:abstractNum w:abstractNumId="10">
    <w:nsid w:val="3006C83E"/>
    <w:multiLevelType w:val="hybridMultilevel"/>
    <w:lvl w:ilvl="0">
      <w:lvlJc w:val="left"/>
      <w:lvlText w:val="(%1)"/>
      <w:numFmt w:val="lowerLetter"/>
      <w:start w:val="27"/>
    </w:lvl>
  </w:abstractNum>
  <w:abstractNum w:abstractNumId="11">
    <w:nsid w:val="614FD4A1"/>
    <w:multiLevelType w:val="hybridMultilevel"/>
    <w:lvl w:ilvl="0">
      <w:lvlJc w:val="left"/>
      <w:lvlText w:val="(%1)"/>
      <w:numFmt w:val="lowerLetter"/>
      <w:start w:val="28"/>
    </w:lvl>
  </w:abstractNum>
  <w:abstractNum w:abstractNumId="12">
    <w:nsid w:val="419AC241"/>
    <w:multiLevelType w:val="hybridMultilevel"/>
    <w:lvl w:ilvl="0">
      <w:lvlJc w:val="left"/>
      <w:lvlText w:val="(%1)"/>
      <w:numFmt w:val="lowerLetter"/>
      <w:start w:val="32"/>
    </w:lvl>
  </w:abstractNum>
  <w:abstractNum w:abstractNumId="13">
    <w:nsid w:val="5577F8E1"/>
    <w:multiLevelType w:val="hybridMultilevel"/>
    <w:lvl w:ilvl="0">
      <w:lvlJc w:val="left"/>
      <w:lvlText w:val="(%1)"/>
      <w:numFmt w:val="lowerLetter"/>
      <w:start w:val="37"/>
    </w:lvl>
  </w:abstractNum>
  <w:abstractNum w:abstractNumId="14">
    <w:nsid w:val="440BADFC"/>
    <w:multiLevelType w:val="hybridMultilevel"/>
    <w:lvl w:ilvl="0">
      <w:lvlJc w:val="left"/>
      <w:lvlText w:val="(%1)"/>
      <w:numFmt w:val="lowerLetter"/>
      <w:start w:val="41"/>
    </w:lvl>
  </w:abstractNum>
  <w:abstractNum w:abstractNumId="15">
    <w:nsid w:val="5072367"/>
    <w:multiLevelType w:val="hybridMultilevel"/>
    <w:lvl w:ilvl="0">
      <w:lvlJc w:val="left"/>
      <w:lvlText w:val="%1."/>
      <w:numFmt w:val="decimal"/>
      <w:start w:val="2"/>
    </w:lvl>
  </w:abstractNum>
  <w:abstractNum w:abstractNumId="16">
    <w:nsid w:val="3804823E"/>
    <w:multiLevelType w:val="hybridMultilevel"/>
    <w:lvl w:ilvl="0">
      <w:lvlJc w:val="left"/>
      <w:lvlText w:val="(%1)"/>
      <w:numFmt w:val="lowerLetter"/>
      <w:start w:val="2"/>
    </w:lvl>
  </w:abstractNum>
  <w:abstractNum w:abstractNumId="17">
    <w:nsid w:val="77465F01"/>
    <w:multiLevelType w:val="hybridMultilevel"/>
    <w:lvl w:ilvl="0">
      <w:lvlJc w:val="left"/>
      <w:lvlText w:val="%1."/>
      <w:numFmt w:val="decimal"/>
      <w:start w:val="3"/>
    </w:lvl>
  </w:abstractNum>
  <w:abstractNum w:abstractNumId="18">
    <w:nsid w:val="7724C67E"/>
    <w:multiLevelType w:val="hybridMultilevel"/>
    <w:lvl w:ilvl="0">
      <w:lvlJc w:val="left"/>
      <w:lvlText w:val="%1."/>
      <w:numFmt w:val="decimal"/>
      <w:start w:val="4"/>
    </w:lvl>
  </w:abstractNum>
  <w:abstractNum w:abstractNumId="19">
    <w:nsid w:val="5C482A97"/>
    <w:multiLevelType w:val="hybridMultilevel"/>
    <w:lvl w:ilvl="0">
      <w:lvlJc w:val="left"/>
      <w:lvlText w:val="(%1)"/>
      <w:numFmt w:val="lowerLetter"/>
      <w:start w:val="1"/>
    </w:lvl>
  </w:abstractNum>
  <w:abstractNum w:abstractNumId="20">
    <w:nsid w:val="2463B9EA"/>
    <w:multiLevelType w:val="hybridMultilevel"/>
    <w:lvl w:ilvl="0">
      <w:lvlJc w:val="left"/>
      <w:lvlText w:val="(%1)"/>
      <w:numFmt w:val="lowerLetter"/>
      <w:start w:val="1"/>
    </w:lvl>
    <w:lvl w:ilvl="1">
      <w:lvlJc w:val="left"/>
      <w:lvlText w:val="(%2)"/>
      <w:numFmt w:val="lowerLetter"/>
      <w:start w:val="5"/>
    </w:lvl>
  </w:abstractNum>
  <w:abstractNum w:abstractNumId="21">
    <w:nsid w:val="5E884ADC"/>
    <w:multiLevelType w:val="hybridMultilevel"/>
    <w:lvl w:ilvl="0">
      <w:lvlJc w:val="left"/>
      <w:lvlText w:val="%1"/>
      <w:numFmt w:val="lowerRoman"/>
      <w:start w:val="1"/>
    </w:lvl>
    <w:lvl w:ilvl="1">
      <w:lvlJc w:val="left"/>
      <w:lvlText w:val="(%2)"/>
      <w:numFmt w:val="lowerLetter"/>
      <w:start w:val="10"/>
    </w:lvl>
  </w:abstractNum>
  <w:abstractNum w:abstractNumId="22">
    <w:nsid w:val="51EAD36B"/>
    <w:multiLevelType w:val="hybridMultilevel"/>
    <w:lvl w:ilvl="0">
      <w:lvlJc w:val="left"/>
      <w:lvlText w:val="(%1)"/>
      <w:numFmt w:val="lowerRoman"/>
      <w:start w:val="3"/>
    </w:lvl>
    <w:lvl w:ilvl="1">
      <w:lvlJc w:val="left"/>
      <w:lvlText w:val="%2"/>
      <w:numFmt w:val="lowerLetter"/>
      <w:start w:val="1"/>
    </w:lvl>
  </w:abstractNum>
  <w:abstractNum w:abstractNumId="23">
    <w:nsid w:val="2D517796"/>
    <w:multiLevelType w:val="hybridMultilevel"/>
    <w:lvl w:ilvl="0">
      <w:lvlJc w:val="left"/>
      <w:lvlText w:val="%1."/>
      <w:numFmt w:val="decimal"/>
      <w:start w:val="6"/>
    </w:lvl>
  </w:abstractNum>
  <w:abstractNum w:abstractNumId="24">
    <w:nsid w:val="580BD78F"/>
    <w:multiLevelType w:val="hybridMultilevel"/>
    <w:lvl w:ilvl="0">
      <w:lvlJc w:val="left"/>
      <w:lvlText w:val="(%1)"/>
      <w:numFmt w:val="lowerLetter"/>
      <w:start w:val="1"/>
    </w:lvl>
  </w:abstractNum>
  <w:abstractNum w:abstractNumId="25">
    <w:nsid w:val="153EA438"/>
    <w:multiLevelType w:val="hybridMultilevel"/>
    <w:lvl w:ilvl="0">
      <w:lvlJc w:val="left"/>
      <w:lvlText w:val="(%1)"/>
      <w:numFmt w:val="lowerLetter"/>
      <w:start w:val="5"/>
    </w:lvl>
    <w:lvl w:ilvl="1">
      <w:lvlJc w:val="left"/>
      <w:lvlText w:val="(%2)"/>
      <w:numFmt w:val="lowerRoman"/>
      <w:start w:val="1"/>
    </w:lvl>
  </w:abstractNum>
  <w:abstractNum w:abstractNumId="26">
    <w:nsid w:val="3855585C"/>
    <w:multiLevelType w:val="hybridMultilevel"/>
    <w:lvl w:ilvl="0">
      <w:lvlJc w:val="left"/>
      <w:lvlText w:val="(%1)"/>
      <w:numFmt w:val="lowerLetter"/>
      <w:start w:val="9"/>
    </w:lvl>
  </w:abstractNum>
  <w:abstractNum w:abstractNumId="27">
    <w:nsid w:val="70A64E2A"/>
    <w:multiLevelType w:val="hybridMultilevel"/>
    <w:lvl w:ilvl="0">
      <w:lvlJc w:val="left"/>
      <w:lvlText w:val="(%1)"/>
      <w:numFmt w:val="lowerLetter"/>
      <w:start w:val="14"/>
    </w:lvl>
  </w:abstractNum>
  <w:abstractNum w:abstractNumId="28">
    <w:nsid w:val="6A2342EC"/>
    <w:multiLevelType w:val="hybridMultilevel"/>
    <w:lvl w:ilvl="0">
      <w:lvlJc w:val="left"/>
      <w:lvlText w:val="%1."/>
      <w:numFmt w:val="decimal"/>
      <w:start w:val="7"/>
    </w:lvl>
  </w:abstractNum>
  <w:abstractNum w:abstractNumId="29">
    <w:nsid w:val="2A487CB0"/>
    <w:multiLevelType w:val="hybridMultilevel"/>
    <w:lvl w:ilvl="0">
      <w:lvlJc w:val="left"/>
      <w:lvlText w:val="(%1)"/>
      <w:numFmt w:val="lowerLetter"/>
      <w:start w:val="2"/>
    </w:lvl>
  </w:abstractNum>
  <w:abstractNum w:abstractNumId="30">
    <w:nsid w:val="1D4ED43B"/>
    <w:multiLevelType w:val="hybridMultilevel"/>
    <w:lvl w:ilvl="0">
      <w:lvlJc w:val="left"/>
      <w:lvlText w:val="(%1)"/>
      <w:numFmt w:val="lowerLetter"/>
      <w:start w:val="4"/>
    </w:lvl>
  </w:abstractNum>
  <w:abstractNum w:abstractNumId="31">
    <w:nsid w:val="725A06FB"/>
    <w:multiLevelType w:val="hybridMultilevel"/>
    <w:lvl w:ilvl="0">
      <w:lvlJc w:val="left"/>
      <w:lvlText w:val="%1."/>
      <w:numFmt w:val="decimal"/>
      <w:start w:val="9"/>
    </w:lvl>
  </w:abstractNum>
  <w:abstractNum w:abstractNumId="32">
    <w:nsid w:val="2CD89A32"/>
    <w:multiLevelType w:val="hybridMultilevel"/>
    <w:lvl w:ilvl="0">
      <w:lvlJc w:val="left"/>
      <w:lvlText w:val="%1"/>
      <w:numFmt w:val="lowerRoman"/>
      <w:start w:val="1"/>
    </w:lvl>
    <w:lvl w:ilvl="1">
      <w:lvlJc w:val="left"/>
      <w:lvlText w:val="%2."/>
      <w:numFmt w:val="decimal"/>
      <w:start w:val="10"/>
    </w:lvl>
  </w:abstractNum>
  <w:abstractNum w:abstractNumId="33">
    <w:nsid w:val="57E4CCAF"/>
    <w:multiLevelType w:val="hybridMultilevel"/>
    <w:lvl w:ilvl="0">
      <w:lvlJc w:val="left"/>
      <w:lvlText w:val="(%1)"/>
      <w:numFmt w:val="lowerRoman"/>
      <w:start w:val="3"/>
    </w:lvl>
    <w:lvl w:ilvl="1">
      <w:lvlJc w:val="left"/>
      <w:lvlText w:val="%2."/>
      <w:numFmt w:val="decimal"/>
      <w:start w:val="11"/>
    </w:lvl>
  </w:abstractNum>
  <w:abstractNum w:abstractNumId="34">
    <w:nsid w:val="7A6D8D3C"/>
    <w:multiLevelType w:val="hybridMultilevel"/>
    <w:lvl w:ilvl="0">
      <w:lvlJc w:val="left"/>
      <w:lvlText w:val="%1."/>
      <w:numFmt w:val="decimal"/>
      <w:start w:val="15"/>
    </w:lvl>
  </w:abstractNum>
  <w:abstractNum w:abstractNumId="35">
    <w:nsid w:val="4B588F54"/>
    <w:multiLevelType w:val="hybridMultilevel"/>
    <w:lvl w:ilvl="0">
      <w:lvlJc w:val="left"/>
      <w:lvlText w:val="%1."/>
      <w:numFmt w:val="decimal"/>
      <w:start w:val="18"/>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lowerRoman"/>
      <w:start w:val="1"/>
    </w:lvl>
  </w:abstractNum>
  <w:abstractNum w:abstractNumId="38">
    <w:nsid w:val="38437FDB"/>
    <w:multiLevelType w:val="hybridMultilevel"/>
    <w:lvl w:ilvl="0">
      <w:lvlJc w:val="left"/>
      <w:lvlText w:val="%1"/>
      <w:numFmt w:val="decimal"/>
      <w:start w:val="1"/>
    </w:lvl>
    <w:lvl w:ilvl="1">
      <w:lvlJc w:val="left"/>
      <w:lvlText w:val="%2"/>
      <w:numFmt w:val="decimal"/>
      <w:start w:val="1"/>
    </w:lvl>
    <w:lvl w:ilvl="2">
      <w:lvlJc w:val="left"/>
      <w:lvlText w:val="(%3)"/>
      <w:numFmt w:val="lowerRoman"/>
      <w:start w:val="2"/>
    </w:lvl>
    <w:lvl w:ilvl="3">
      <w:lvlJc w:val="left"/>
      <w:lvlText w:val="(%4)"/>
      <w:numFmt w:val="lowerRoman"/>
      <w:start w:val="3"/>
    </w:lvl>
  </w:abstractNum>
  <w:abstractNum w:abstractNumId="39">
    <w:nsid w:val="7644A45C"/>
    <w:multiLevelType w:val="hybridMultilevel"/>
    <w:lvl w:ilvl="0">
      <w:lvlJc w:val="left"/>
      <w:lvlText w:val="%1."/>
      <w:numFmt w:val="decimal"/>
      <w:start w:val="2"/>
    </w:lvl>
    <w:lvl w:ilvl="1">
      <w:lvlJc w:val="left"/>
      <w:lvlText w:val="%2."/>
      <w:numFmt w:val="decimal"/>
      <w:start w:val="3"/>
    </w:lvl>
    <w:lvl w:ilvl="2">
      <w:lvlJc w:val="left"/>
      <w:lvlText w:val="%3"/>
      <w:numFmt w:val="lowerRoman"/>
      <w:start w:val="1"/>
    </w:lvl>
    <w:lvl w:ilvl="3">
      <w:lvlJc w:val="left"/>
      <w:lvlText w:val="%4"/>
      <w:numFmt w:val="lowerRoman"/>
      <w:start w:val="1"/>
    </w:lvl>
  </w:abstractNum>
  <w:abstractNum w:abstractNumId="40">
    <w:nsid w:val="32FFF902"/>
    <w:multiLevelType w:val="hybridMultilevel"/>
    <w:lvl w:ilvl="0">
      <w:lvlJc w:val="left"/>
      <w:lvlText w:val="%1."/>
      <w:numFmt w:val="decimal"/>
      <w:start w:val="4"/>
    </w:lvl>
  </w:abstractNum>
  <w:abstractNum w:abstractNumId="41">
    <w:nsid w:val="684A481A"/>
    <w:multiLevelType w:val="hybridMultilevel"/>
    <w:lvl w:ilvl="0">
      <w:lvlJc w:val="left"/>
      <w:lvlText w:val="1"/>
      <w:numFmt w:val="bullet"/>
      <w:start w:val="1"/>
    </w:lvl>
  </w:abstractNum>
  <w:abstractNum w:abstractNumId="42">
    <w:nsid w:val="579478FE"/>
    <w:multiLevelType w:val="hybridMultilevel"/>
    <w:lvl w:ilvl="0">
      <w:lvlJc w:val="left"/>
      <w:lvlText w:val="(%1)"/>
      <w:numFmt w:val="lowerLetter"/>
      <w:start w:val="1"/>
    </w:lvl>
  </w:abstractNum>
  <w:abstractNum w:abstractNumId="43">
    <w:nsid w:val="749ABB43"/>
    <w:multiLevelType w:val="hybridMultilevel"/>
    <w:lvl w:ilvl="0">
      <w:lvlJc w:val="left"/>
      <w:lvlText w:val="2"/>
      <w:numFmt w:val="bullet"/>
      <w:start w:val="1"/>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1."/>
      <w:numFmt w:val="decimal"/>
      <w:start w:val="9"/>
    </w:lvl>
    <w:lvl w:ilvl="1">
      <w:lvlJc w:val="left"/>
      <w:lvlText w:val="(%2)"/>
      <w:numFmt w:val="lowerLetter"/>
      <w:start w:val="1"/>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1"/>
      <w:numFmt w:val="bullet"/>
      <w:start w:val="1"/>
    </w:lvl>
  </w:abstractNum>
  <w:abstractNum w:abstractNumId="49">
    <w:nsid w:val="70C6A529"/>
    <w:multiLevelType w:val="hybridMultilevel"/>
    <w:lvl w:ilvl="0">
      <w:lvlJc w:val="left"/>
      <w:lvlText w:val="(%1)"/>
      <w:numFmt w:val="lowerLetter"/>
      <w:start w:val="1"/>
    </w:lvl>
  </w:abstractNum>
  <w:abstractNum w:abstractNumId="50">
    <w:nsid w:val="520EEDD1"/>
    <w:multiLevelType w:val="hybridMultilevel"/>
    <w:lvl w:ilvl="0">
      <w:lvlJc w:val="left"/>
      <w:lvlText w:val="(%1)"/>
      <w:numFmt w:val="lowerLetter"/>
      <w:start w:val="2"/>
    </w:lvl>
  </w:abstractNum>
  <w:abstractNum w:abstractNumId="51">
    <w:nsid w:val="374A3FE6"/>
    <w:multiLevelType w:val="hybridMultilevel"/>
    <w:lvl w:ilvl="0">
      <w:lvlJc w:val="left"/>
      <w:lvlText w:val="2"/>
      <w:numFmt w:val="bullet"/>
      <w:start w:val="1"/>
    </w:lvl>
    <w:lvl w:ilvl="1">
      <w:lvlJc w:val="left"/>
      <w:lvlText w:val="(%2)"/>
      <w:numFmt w:val="lowerLetter"/>
      <w:start w:val="1"/>
    </w:lvl>
  </w:abstractNum>
  <w:abstractNum w:abstractNumId="52">
    <w:nsid w:val="4F4EF005"/>
    <w:multiLevelType w:val="hybridMultilevel"/>
    <w:lvl w:ilvl="0">
      <w:lvlJc w:val="left"/>
      <w:lvlText w:val="(%1)"/>
      <w:numFmt w:val="lowerLetter"/>
      <w:start w:val="9"/>
    </w:lvl>
  </w:abstractNum>
  <w:abstractNum w:abstractNumId="53">
    <w:nsid w:val="23F9C13C"/>
    <w:multiLevelType w:val="hybridMultilevel"/>
    <w:lvl w:ilvl="0">
      <w:lvlJc w:val="left"/>
      <w:lvlText w:val="(%1)"/>
      <w:numFmt w:val="lowerLetter"/>
      <w:start w:val="16"/>
    </w:lvl>
    <w:lvl w:ilvl="1">
      <w:lvlJc w:val="left"/>
      <w:lvlText w:val="(%2)"/>
      <w:numFmt w:val="upperLetter"/>
      <w:start w:val="3"/>
    </w:lvl>
  </w:abstractNum>
  <w:abstractNum w:abstractNumId="54">
    <w:nsid w:val="649BB77C"/>
    <w:multiLevelType w:val="hybridMultilevel"/>
    <w:lvl w:ilvl="0">
      <w:lvlJc w:val="left"/>
      <w:lvlText w:val="3"/>
      <w:numFmt w:val="bullet"/>
      <w:start w:val="1"/>
    </w:lvl>
  </w:abstractNum>
  <w:abstractNum w:abstractNumId="55">
    <w:nsid w:val="275AC794"/>
    <w:multiLevelType w:val="hybridMultilevel"/>
    <w:lvl w:ilvl="0">
      <w:lvlJc w:val="left"/>
      <w:lvlText w:val="4"/>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2019-12-09T01:21:18Z</dcterms:created>
  <dcterms:modified xsi:type="dcterms:W3CDTF">2019-12-09T01:21:18Z</dcterms:modified>
</cp:coreProperties>
</file>