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5, 2018</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0"/>
          <w:szCs w:val="40"/>
          <w:b w:val="1"/>
          <w:bCs w:val="1"/>
          <w:u w:val="single" w:color="auto"/>
          <w:color w:val="auto"/>
        </w:rPr>
        <w:t>Weatherford International public limited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Ireland</w:t>
            </w:r>
          </w:p>
        </w:tc>
        <w:tc>
          <w:tcPr>
            <w:tcW w:w="364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001-36504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3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3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79"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922" w:right="239" w:bottom="1440" w:gutter="0" w:footer="0" w:header="0"/>
        </w:sectPr>
      </w:pPr>
    </w:p>
    <w:bookmarkStart w:id="1" w:name="page2"/>
    <w:bookmarkEnd w:id="1"/>
    <w:p>
      <w:pPr>
        <w:ind w:left="8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800" w:space="720"/>
            <w:col w:w="9900"/>
          </w:cols>
          <w:pgMar w:left="240" w:top="742" w:right="239" w:bottom="1440" w:gutter="0" w:footer="0" w:header="0"/>
        </w:sectPr>
      </w:pPr>
    </w:p>
    <w:p>
      <w:pPr>
        <w:jc w:val="both"/>
        <w:spacing w:after="0" w:line="255" w:lineRule="auto"/>
        <w:rPr>
          <w:sz w:val="20"/>
          <w:szCs w:val="20"/>
          <w:color w:val="auto"/>
        </w:rPr>
      </w:pPr>
      <w:r>
        <w:rPr>
          <w:rFonts w:ascii="Arial" w:cs="Arial" w:eastAsia="Arial" w:hAnsi="Arial"/>
          <w:sz w:val="18"/>
          <w:szCs w:val="18"/>
          <w:color w:val="auto"/>
        </w:rPr>
        <w:t>Effective April 15, 2018, Weatherford International plc (the “Company”) is appointing Stuart Fraser as Chief Accounting Officer and Corporate Controller. Mr. Fraser, 50, joined the Company in March 2015 as Vice President and Corporate Controller. In April 2016 he assumed the role of Vice President of Finance and Purchasing, Sourcing and Logistics for Global Operations. Prior to joining the Company, Mr. Fraser held a number of positions with increasing responsibility in the areas of finance, accounting and corporate tax with Schlumberger Limited and its affiliates, beginning in 1996. Mr. Fraser is a chartered accountant with 20 years of financial experience in the oilfield service industry and holds a Bachelors of Business degree in accounting from Edith Cowan University in Perth, Australia.</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Fraser’s annual base salary is $425,000 and Mr. Fraser will be eligible to participate in the Company’s Executive Non-Equity Incentive Compensation Plan with a target bonus of 75% of his annual base salary.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and one of its primary subsidiaries will enter into customary officer indemnification agreements (deeds of indemnity) with Mr. Fraser. The Company will also enter into its standard Change in Control Agreement with Mr. Fraser that has a term of two years, automatically renewing, and with severance payment based on a multiple of two.</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are no family relationships between Mr. Fraser and any director, executive officer or person nominated or chosen by the Company to become a director or executive officer. Additionally, there have been no transactions involving Mr. Fraser that would require disclosure under Item 404(a) of Regulation S-K.</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April 15, 2018, Douglas M. Mills, Vice President and Chief Accounting Officer will be departing the Company. Prior to his departure, Mr. Mills will assist with the transition of his duties to Mr. Fraser. In connection with his departure, Mr. Mills will receive the benefits set forth in his Executive Employment Agreement, a copy of which is filed as Exhibit 10.1 to the Company’s Quarterly Report on Form 10-Q for the quarter ended June 30, 2013 and filed July 31, 2013.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Mr. Mills’ departure is not the result of any issue or concern with the Company’s accounting, financial reporting or internal control over financial reporting.</w:t>
      </w:r>
    </w:p>
    <w:p>
      <w:pPr>
        <w:sectPr>
          <w:pgSz w:w="11900" w:h="16838" w:orient="portrait"/>
          <w:cols w:equalWidth="0" w:num="1">
            <w:col w:w="11420"/>
          </w:cols>
          <w:pgMar w:left="240" w:top="742" w:right="239" w:bottom="1440" w:gutter="0" w:footer="0" w:header="0"/>
          <w:type w:val="continuous"/>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Weatherford International plc</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March 9,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48895</wp:posOffset>
            </wp:positionV>
            <wp:extent cx="4090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8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Christoph Bausch</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0600"/>
      </w:cols>
      <w:pgMar w:left="240" w:top="60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2019-12-08T10:53:27Z</dcterms:created>
  <dcterms:modified xsi:type="dcterms:W3CDTF">2019-12-08T10:53:27Z</dcterms:modified>
</cp:coreProperties>
</file>