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13G</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__)*</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Weatherford International plc</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Ordinary Shares</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G48833118</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March 31, 2020</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(Date of Event Which Requires Filing of this Statement)</w:t>
      </w:r>
    </w:p>
    <w:p>
      <w:pPr>
        <w:spacing w:after="0" w:line="250"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ectPr>
          <w:pgSz w:w="11900" w:h="16838" w:orient="portrait"/>
          <w:cols w:equalWidth="0" w:num="1">
            <w:col w:w="11240"/>
          </w:cols>
          <w:pgMar w:left="320" w:top="220" w:right="339" w:bottom="1440" w:gutter="0" w:footer="0" w:header="0"/>
        </w:sectPr>
      </w:pPr>
    </w:p>
    <w:p>
      <w:pPr>
        <w:spacing w:after="0" w:line="214" w:lineRule="exact"/>
        <w:rPr>
          <w:sz w:val="24"/>
          <w:szCs w:val="24"/>
          <w:color w:val="auto"/>
        </w:rPr>
      </w:pPr>
    </w:p>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spacing w:after="0"/>
        <w:rPr>
          <w:sz w:val="20"/>
          <w:szCs w:val="20"/>
          <w:color w:val="auto"/>
        </w:rPr>
      </w:pPr>
      <w:r>
        <w:rPr>
          <w:rFonts w:ascii="Arial" w:cs="Arial" w:eastAsia="Arial" w:hAnsi="Arial"/>
          <w:sz w:val="19"/>
          <w:szCs w:val="19"/>
          <w:color w:val="auto"/>
        </w:rPr>
        <w:t>Rule 13d-1(b)</w:t>
      </w:r>
    </w:p>
    <w:p>
      <w:pPr>
        <w:spacing w:after="0" w:line="200" w:lineRule="exact"/>
        <w:rPr>
          <w:sz w:val="24"/>
          <w:szCs w:val="24"/>
          <w:color w:val="auto"/>
        </w:rPr>
      </w:pPr>
    </w:p>
    <w:p>
      <w:pPr>
        <w:sectPr>
          <w:pgSz w:w="11900" w:h="16838" w:orient="portrait"/>
          <w:cols w:equalWidth="0" w:num="2">
            <w:col w:w="1420" w:space="720"/>
            <w:col w:w="9100"/>
          </w:cols>
          <w:pgMar w:left="320" w:top="220" w:right="339" w:bottom="1440" w:gutter="0" w:footer="0" w:header="0"/>
          <w:type w:val="continuous"/>
        </w:sectPr>
      </w:pPr>
    </w:p>
    <w:p>
      <w:pPr>
        <w:spacing w:after="0" w:line="14" w:lineRule="exact"/>
        <w:rPr>
          <w:sz w:val="24"/>
          <w:szCs w:val="24"/>
          <w:color w:val="auto"/>
        </w:rPr>
      </w:pPr>
    </w:p>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200" w:lineRule="exact"/>
        <w:rPr>
          <w:sz w:val="24"/>
          <w:szCs w:val="24"/>
          <w:color w:val="auto"/>
        </w:rPr>
      </w:pPr>
    </w:p>
    <w:p>
      <w:pPr>
        <w:sectPr>
          <w:pgSz w:w="11900" w:h="16838" w:orient="portrait"/>
          <w:cols w:equalWidth="0" w:num="2">
            <w:col w:w="1420" w:space="720"/>
            <w:col w:w="9100"/>
          </w:cols>
          <w:pgMar w:left="320" w:top="220" w:right="339" w:bottom="1440" w:gutter="0" w:footer="0" w:header="0"/>
          <w:type w:val="continuous"/>
        </w:sectPr>
      </w:pPr>
    </w:p>
    <w:p>
      <w:pPr>
        <w:spacing w:after="0" w:line="14" w:lineRule="exact"/>
        <w:rPr>
          <w:sz w:val="24"/>
          <w:szCs w:val="24"/>
          <w:color w:val="auto"/>
        </w:rPr>
      </w:pPr>
    </w:p>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9"/>
          <w:szCs w:val="19"/>
          <w:color w:val="auto"/>
        </w:rPr>
        <w:t>Rule 13d-1(d)</w:t>
      </w:r>
    </w:p>
    <w:p>
      <w:pPr>
        <w:spacing w:after="0" w:line="200" w:lineRule="exact"/>
        <w:rPr>
          <w:sz w:val="24"/>
          <w:szCs w:val="24"/>
          <w:color w:val="auto"/>
        </w:rPr>
      </w:pPr>
    </w:p>
    <w:p>
      <w:pPr>
        <w:sectPr>
          <w:pgSz w:w="11900" w:h="16838" w:orient="portrait"/>
          <w:cols w:equalWidth="0" w:num="2">
            <w:col w:w="1420" w:space="720"/>
            <w:col w:w="9100"/>
          </w:cols>
          <w:pgMar w:left="320" w:top="220" w:right="339" w:bottom="1440" w:gutter="0" w:footer="0" w:header="0"/>
          <w:type w:val="continuous"/>
        </w:sectPr>
      </w:pPr>
    </w:p>
    <w:p>
      <w:pPr>
        <w:spacing w:after="0" w:line="41" w:lineRule="exact"/>
        <w:rPr>
          <w:sz w:val="24"/>
          <w:szCs w:val="24"/>
          <w:color w:val="auto"/>
        </w:rPr>
      </w:pPr>
    </w:p>
    <w:p>
      <w:pPr>
        <w:jc w:val="both"/>
        <w:ind w:firstLine="8"/>
        <w:spacing w:after="0"/>
        <w:tabs>
          <w:tab w:leader="none" w:pos="217"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CUSIP No. G48833118</w:t>
      </w:r>
    </w:p>
    <w:p>
      <w:pPr>
        <w:ind w:left="1360" w:hanging="1190"/>
        <w:spacing w:after="0" w:line="185" w:lineRule="auto"/>
        <w:tabs>
          <w:tab w:leader="none" w:pos="1360" w:val="left"/>
        </w:tabs>
        <w:numPr>
          <w:ilvl w:val="0"/>
          <w:numId w:val="2"/>
        </w:numPr>
        <w:rPr>
          <w:rFonts w:ascii="Arial" w:cs="Arial" w:eastAsia="Arial" w:hAnsi="Arial"/>
          <w:sz w:val="50"/>
          <w:szCs w:val="50"/>
          <w:b w:val="1"/>
          <w:bCs w:val="1"/>
          <w:color w:val="auto"/>
          <w:vertAlign w:val="subscript"/>
        </w:rPr>
      </w:pPr>
      <w:r>
        <w:rPr>
          <w:rFonts w:ascii="Arial" w:cs="Arial" w:eastAsia="Arial" w:hAnsi="Arial"/>
          <w:sz w:val="14"/>
          <w:szCs w:val="14"/>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46805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680585"/>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136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Yacktman Asset Management LP</w:t>
            </w:r>
          </w:p>
        </w:tc>
        <w:tc>
          <w:tcPr>
            <w:tcW w:w="2820" w:type="dxa"/>
            <w:vAlign w:val="bottom"/>
            <w:tcBorders>
              <w:bottom w:val="single" w:sz="8" w:color="auto"/>
            </w:tcBorders>
          </w:tcPr>
          <w:p>
            <w:pPr>
              <w:spacing w:after="0"/>
              <w:rPr>
                <w:sz w:val="24"/>
                <w:szCs w:val="24"/>
                <w:color w:val="auto"/>
              </w:rPr>
            </w:pPr>
          </w:p>
        </w:tc>
      </w:tr>
      <w:tr>
        <w:trPr>
          <w:trHeight w:val="160"/>
        </w:trPr>
        <w:tc>
          <w:tcPr>
            <w:tcW w:w="1360" w:type="dxa"/>
            <w:vAlign w:val="bottom"/>
          </w:tcPr>
          <w:p>
            <w:pPr>
              <w:jc w:val="right"/>
              <w:ind w:right="971"/>
              <w:spacing w:after="0" w:line="161" w:lineRule="exact"/>
              <w:rPr>
                <w:sz w:val="20"/>
                <w:szCs w:val="20"/>
                <w:color w:val="auto"/>
              </w:rPr>
            </w:pPr>
            <w:r>
              <w:rPr>
                <w:rFonts w:ascii="Arial" w:cs="Arial" w:eastAsia="Arial" w:hAnsi="Arial"/>
                <w:sz w:val="18"/>
                <w:szCs w:val="18"/>
                <w:b w:val="1"/>
                <w:bCs w:val="1"/>
                <w:color w:val="auto"/>
              </w:rPr>
              <w:t>2</w:t>
            </w:r>
          </w:p>
        </w:tc>
        <w:tc>
          <w:tcPr>
            <w:tcW w:w="7060" w:type="dxa"/>
            <w:vAlign w:val="bottom"/>
          </w:tcPr>
          <w:p>
            <w:pPr>
              <w:spacing w:after="0"/>
              <w:rPr>
                <w:sz w:val="20"/>
                <w:szCs w:val="20"/>
                <w:color w:val="auto"/>
              </w:rPr>
            </w:pPr>
            <w:r>
              <w:rPr>
                <w:rFonts w:ascii="Arial" w:cs="Arial" w:eastAsia="Arial" w:hAnsi="Arial"/>
                <w:sz w:val="14"/>
                <w:szCs w:val="14"/>
                <w:color w:val="auto"/>
              </w:rPr>
              <w:t>CHECK THE APPROPRIATE BOX IF A MEMBER OF A GROUP (SEE INSTRUCTIONS)</w:t>
            </w:r>
          </w:p>
        </w:tc>
        <w:tc>
          <w:tcPr>
            <w:tcW w:w="2820" w:type="dxa"/>
            <w:vAlign w:val="bottom"/>
          </w:tcPr>
          <w:p>
            <w:pPr>
              <w:ind w:left="1640"/>
              <w:spacing w:after="0" w:line="161" w:lineRule="exact"/>
              <w:rPr>
                <w:sz w:val="20"/>
                <w:szCs w:val="20"/>
                <w:color w:val="auto"/>
              </w:rPr>
            </w:pPr>
            <w:r>
              <w:rPr>
                <w:rFonts w:ascii="Arial" w:cs="Arial" w:eastAsia="Arial" w:hAnsi="Arial"/>
                <w:sz w:val="14"/>
                <w:szCs w:val="14"/>
                <w:color w:val="auto"/>
              </w:rPr>
              <w:t xml:space="preserve">(a) </w:t>
            </w:r>
            <w:r>
              <w:rPr>
                <w:rFonts w:ascii="MS PGothic" w:cs="MS PGothic" w:eastAsia="MS PGothic" w:hAnsi="MS PGothic"/>
                <w:sz w:val="14"/>
                <w:szCs w:val="14"/>
                <w:color w:val="auto"/>
              </w:rPr>
              <w:t>☐</w:t>
            </w:r>
          </w:p>
        </w:tc>
      </w:tr>
      <w:tr>
        <w:trPr>
          <w:trHeight w:val="226"/>
        </w:trPr>
        <w:tc>
          <w:tcPr>
            <w:tcW w:w="136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2820" w:type="dxa"/>
            <w:vAlign w:val="bottom"/>
          </w:tcPr>
          <w:p>
            <w:pPr>
              <w:ind w:left="1640"/>
              <w:spacing w:after="0" w:line="161" w:lineRule="exact"/>
              <w:rPr>
                <w:sz w:val="20"/>
                <w:szCs w:val="20"/>
                <w:color w:val="auto"/>
              </w:rPr>
            </w:pPr>
            <w:r>
              <w:rPr>
                <w:rFonts w:ascii="Arial" w:cs="Arial" w:eastAsia="Arial" w:hAnsi="Arial"/>
                <w:sz w:val="14"/>
                <w:szCs w:val="14"/>
                <w:color w:val="auto"/>
              </w:rPr>
              <w:t xml:space="preserve">(b) </w:t>
            </w:r>
            <w:r>
              <w:rPr>
                <w:rFonts w:ascii="MS PGothic" w:cs="MS PGothic" w:eastAsia="MS PGothic" w:hAnsi="MS PGothic"/>
                <w:sz w:val="14"/>
                <w:szCs w:val="14"/>
                <w:color w:val="auto"/>
              </w:rPr>
              <w:t>☒</w:t>
            </w:r>
          </w:p>
        </w:tc>
      </w:tr>
    </w:tbl>
    <w:p>
      <w:pPr>
        <w:ind w:left="1360" w:hanging="1190"/>
        <w:spacing w:after="0" w:line="183" w:lineRule="auto"/>
        <w:tabs>
          <w:tab w:leader="none" w:pos="1360" w:val="left"/>
        </w:tabs>
        <w:numPr>
          <w:ilvl w:val="0"/>
          <w:numId w:val="3"/>
        </w:numPr>
        <w:rPr>
          <w:rFonts w:ascii="Arial" w:cs="Arial" w:eastAsia="Arial" w:hAnsi="Arial"/>
          <w:sz w:val="42"/>
          <w:szCs w:val="42"/>
          <w:b w:val="1"/>
          <w:bCs w:val="1"/>
          <w:color w:val="auto"/>
          <w:vertAlign w:val="subscript"/>
        </w:rPr>
      </w:pPr>
      <w:r>
        <w:rPr>
          <w:rFonts w:ascii="Arial" w:cs="Arial" w:eastAsia="Arial" w:hAnsi="Arial"/>
          <w:sz w:val="14"/>
          <w:szCs w:val="14"/>
          <w:color w:val="auto"/>
        </w:rPr>
        <w:t>SEC USE ONLY</w:t>
      </w:r>
    </w:p>
    <w:p>
      <w:pPr>
        <w:ind w:left="1360" w:hanging="1190"/>
        <w:spacing w:after="0" w:line="182" w:lineRule="auto"/>
        <w:tabs>
          <w:tab w:leader="none" w:pos="1360" w:val="left"/>
        </w:tabs>
        <w:numPr>
          <w:ilvl w:val="0"/>
          <w:numId w:val="4"/>
        </w:numPr>
        <w:rPr>
          <w:rFonts w:ascii="Arial" w:cs="Arial" w:eastAsia="Arial" w:hAnsi="Arial"/>
          <w:sz w:val="37"/>
          <w:szCs w:val="37"/>
          <w:b w:val="1"/>
          <w:bCs w:val="1"/>
          <w:color w:val="auto"/>
          <w:vertAlign w:val="subscript"/>
        </w:rPr>
      </w:pPr>
      <w:r>
        <w:rPr>
          <w:rFonts w:ascii="Arial" w:cs="Arial" w:eastAsia="Arial" w:hAnsi="Arial"/>
          <w:sz w:val="13"/>
          <w:szCs w:val="13"/>
          <w:color w:val="auto"/>
        </w:rPr>
        <w:t>CITIZENSHIP OR PLACE OF ORGANIZATION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Delaware</w:t>
            </w:r>
          </w:p>
        </w:tc>
        <w:tc>
          <w:tcPr>
            <w:tcW w:w="1040" w:type="dxa"/>
            <w:vAlign w:val="bottom"/>
            <w:tcBorders>
              <w:bottom w:val="single" w:sz="8" w:color="auto"/>
            </w:tcBorders>
          </w:tcPr>
          <w:p>
            <w:pPr>
              <w:spacing w:after="0"/>
              <w:rPr>
                <w:sz w:val="23"/>
                <w:szCs w:val="23"/>
                <w:color w:val="auto"/>
              </w:rPr>
            </w:pPr>
          </w:p>
        </w:tc>
        <w:tc>
          <w:tcPr>
            <w:tcW w:w="64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Borders>
              <w:right w:val="single" w:sz="8" w:color="auto"/>
            </w:tcBorders>
            <w:vMerge w:val="restart"/>
          </w:tcPr>
          <w:p>
            <w:pPr>
              <w:jc w:val="right"/>
              <w:ind w:right="549"/>
              <w:spacing w:after="0"/>
              <w:rPr>
                <w:sz w:val="20"/>
                <w:szCs w:val="20"/>
                <w:color w:val="auto"/>
              </w:rPr>
            </w:pPr>
            <w:r>
              <w:rPr>
                <w:rFonts w:ascii="Arial" w:cs="Arial" w:eastAsia="Arial" w:hAnsi="Arial"/>
                <w:sz w:val="25"/>
                <w:szCs w:val="25"/>
                <w:b w:val="1"/>
                <w:bCs w:val="1"/>
                <w:color w:val="auto"/>
              </w:rPr>
              <w:t>5</w:t>
            </w:r>
          </w:p>
        </w:tc>
        <w:tc>
          <w:tcPr>
            <w:tcW w:w="6400" w:type="dxa"/>
            <w:vAlign w:val="bottom"/>
          </w:tcPr>
          <w:p>
            <w:pPr>
              <w:spacing w:after="0"/>
              <w:rPr>
                <w:sz w:val="20"/>
                <w:szCs w:val="20"/>
                <w:color w:val="auto"/>
              </w:rPr>
            </w:pPr>
            <w:r>
              <w:rPr>
                <w:rFonts w:ascii="Arial" w:cs="Arial" w:eastAsia="Arial" w:hAnsi="Arial"/>
                <w:sz w:val="14"/>
                <w:szCs w:val="14"/>
                <w:color w:val="auto"/>
              </w:rPr>
              <w:t>SOLE VOTING POWER</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6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480" w:type="dxa"/>
            <w:vAlign w:val="bottom"/>
          </w:tcPr>
          <w:p>
            <w:pPr>
              <w:spacing w:after="0"/>
              <w:rPr>
                <w:sz w:val="24"/>
                <w:szCs w:val="24"/>
                <w:color w:val="auto"/>
              </w:rPr>
            </w:pPr>
          </w:p>
        </w:tc>
        <w:tc>
          <w:tcPr>
            <w:tcW w:w="2200" w:type="dxa"/>
            <w:vAlign w:val="bottom"/>
            <w:tcBorders>
              <w:right w:val="single" w:sz="8" w:color="auto"/>
            </w:tcBorders>
            <w:gridSpan w:val="2"/>
          </w:tcPr>
          <w:p>
            <w:pPr>
              <w:jc w:val="center"/>
              <w:ind w:right="369"/>
              <w:spacing w:after="0"/>
              <w:rPr>
                <w:sz w:val="20"/>
                <w:szCs w:val="20"/>
                <w:color w:val="auto"/>
              </w:rPr>
            </w:pPr>
            <w:r>
              <w:rPr>
                <w:rFonts w:ascii="Arial" w:cs="Arial" w:eastAsia="Arial" w:hAnsi="Arial"/>
                <w:sz w:val="18"/>
                <w:szCs w:val="18"/>
                <w:b w:val="1"/>
                <w:bCs w:val="1"/>
                <w:color w:val="auto"/>
              </w:rPr>
              <w:t>NUMBER OF</w:t>
            </w:r>
          </w:p>
        </w:tc>
        <w:tc>
          <w:tcPr>
            <w:tcW w:w="30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6400" w:type="dxa"/>
            <w:vAlign w:val="bottom"/>
          </w:tcPr>
          <w:p>
            <w:pPr>
              <w:spacing w:after="0"/>
              <w:rPr>
                <w:sz w:val="20"/>
                <w:szCs w:val="20"/>
                <w:color w:val="auto"/>
              </w:rPr>
            </w:pPr>
            <w:r>
              <w:rPr>
                <w:rFonts w:ascii="Arial" w:cs="Arial" w:eastAsia="Arial" w:hAnsi="Arial"/>
                <w:sz w:val="22"/>
                <w:szCs w:val="22"/>
                <w:color w:val="auto"/>
              </w:rPr>
              <w:t>2,762,545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200" w:type="dxa"/>
            <w:vAlign w:val="bottom"/>
            <w:tcBorders>
              <w:right w:val="single" w:sz="8" w:color="auto"/>
            </w:tcBorders>
            <w:gridSpan w:val="2"/>
          </w:tcPr>
          <w:p>
            <w:pPr>
              <w:jc w:val="center"/>
              <w:ind w:right="389"/>
              <w:spacing w:after="0" w:line="27" w:lineRule="exact"/>
              <w:rPr>
                <w:sz w:val="20"/>
                <w:szCs w:val="20"/>
                <w:color w:val="auto"/>
              </w:rPr>
            </w:pPr>
            <w:r>
              <w:rPr>
                <w:rFonts w:ascii="Arial" w:cs="Arial" w:eastAsia="Arial" w:hAnsi="Arial"/>
                <w:sz w:val="3"/>
                <w:szCs w:val="3"/>
                <w:b w:val="1"/>
                <w:bCs w:val="1"/>
                <w:color w:val="auto"/>
              </w:rPr>
              <w:t>SHARES</w:t>
            </w:r>
          </w:p>
        </w:tc>
        <w:tc>
          <w:tcPr>
            <w:tcW w:w="3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jc w:val="right"/>
              <w:ind w:right="549"/>
              <w:spacing w:after="0" w:line="27" w:lineRule="exact"/>
              <w:rPr>
                <w:sz w:val="20"/>
                <w:szCs w:val="20"/>
                <w:color w:val="auto"/>
              </w:rPr>
            </w:pPr>
            <w:r>
              <w:rPr>
                <w:rFonts w:ascii="Arial" w:cs="Arial" w:eastAsia="Arial" w:hAnsi="Arial"/>
                <w:sz w:val="3"/>
                <w:szCs w:val="3"/>
                <w:b w:val="1"/>
                <w:bCs w:val="1"/>
                <w:color w:val="auto"/>
              </w:rPr>
              <w:t>6</w:t>
            </w:r>
          </w:p>
        </w:tc>
        <w:tc>
          <w:tcPr>
            <w:tcW w:w="6400" w:type="dxa"/>
            <w:vAlign w:val="bottom"/>
            <w:tcBorders>
              <w:right w:val="single" w:sz="8" w:color="auto"/>
            </w:tcBorders>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6400" w:type="dxa"/>
            <w:vAlign w:val="bottom"/>
          </w:tcPr>
          <w:p>
            <w:pPr>
              <w:spacing w:after="0"/>
              <w:rPr>
                <w:sz w:val="20"/>
                <w:szCs w:val="20"/>
                <w:color w:val="auto"/>
              </w:rPr>
            </w:pPr>
            <w:r>
              <w:rPr>
                <w:rFonts w:ascii="Arial" w:cs="Arial" w:eastAsia="Arial" w:hAnsi="Arial"/>
                <w:sz w:val="14"/>
                <w:szCs w:val="14"/>
                <w:color w:val="auto"/>
              </w:rPr>
              <w:t>SHARED VOTING POWER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Arial" w:cs="Arial" w:eastAsia="Arial" w:hAnsi="Arial"/>
                <w:sz w:val="18"/>
                <w:szCs w:val="18"/>
                <w:b w:val="1"/>
                <w:bCs w:val="1"/>
                <w:color w:val="auto"/>
              </w:rPr>
              <w:t>BENEFICIALLY</w:t>
            </w:r>
          </w:p>
        </w:tc>
        <w:tc>
          <w:tcPr>
            <w:tcW w:w="3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6400" w:type="dxa"/>
            <w:vAlign w:val="bottom"/>
            <w:vMerge w:val="restart"/>
          </w:tcPr>
          <w:p>
            <w:pPr>
              <w:spacing w:after="0"/>
              <w:rPr>
                <w:sz w:val="20"/>
                <w:szCs w:val="20"/>
                <w:color w:val="auto"/>
              </w:rPr>
            </w:pPr>
            <w:r>
              <w:rPr>
                <w:rFonts w:ascii="Arial" w:cs="Arial" w:eastAsia="Arial" w:hAnsi="Arial"/>
                <w:sz w:val="22"/>
                <w:szCs w:val="22"/>
                <w:color w:val="auto"/>
              </w:rPr>
              <w:t>5,443,901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Arial" w:cs="Arial" w:eastAsia="Arial" w:hAnsi="Arial"/>
                <w:sz w:val="18"/>
                <w:szCs w:val="18"/>
                <w:b w:val="1"/>
                <w:bCs w:val="1"/>
                <w:color w:val="auto"/>
              </w:rPr>
              <w:t>OWNED BY</w:t>
            </w:r>
          </w:p>
        </w:tc>
        <w:tc>
          <w:tcPr>
            <w:tcW w:w="3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640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200" w:type="dxa"/>
            <w:vAlign w:val="bottom"/>
            <w:tcBorders>
              <w:right w:val="single" w:sz="8" w:color="auto"/>
            </w:tcBorders>
            <w:gridSpan w:val="2"/>
          </w:tcPr>
          <w:p>
            <w:pPr>
              <w:jc w:val="center"/>
              <w:ind w:right="389"/>
              <w:spacing w:after="0" w:line="27" w:lineRule="exact"/>
              <w:rPr>
                <w:sz w:val="20"/>
                <w:szCs w:val="20"/>
                <w:color w:val="auto"/>
              </w:rPr>
            </w:pPr>
            <w:r>
              <w:rPr>
                <w:rFonts w:ascii="Arial" w:cs="Arial" w:eastAsia="Arial" w:hAnsi="Arial"/>
                <w:sz w:val="3"/>
                <w:szCs w:val="3"/>
                <w:b w:val="1"/>
                <w:bCs w:val="1"/>
                <w:color w:val="auto"/>
              </w:rPr>
              <w:t>EACH</w:t>
            </w:r>
          </w:p>
        </w:tc>
        <w:tc>
          <w:tcPr>
            <w:tcW w:w="3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jc w:val="right"/>
              <w:ind w:right="549"/>
              <w:spacing w:after="0" w:line="27" w:lineRule="exact"/>
              <w:rPr>
                <w:sz w:val="20"/>
                <w:szCs w:val="20"/>
                <w:color w:val="auto"/>
              </w:rPr>
            </w:pPr>
            <w:r>
              <w:rPr>
                <w:rFonts w:ascii="Arial" w:cs="Arial" w:eastAsia="Arial" w:hAnsi="Arial"/>
                <w:sz w:val="3"/>
                <w:szCs w:val="3"/>
                <w:b w:val="1"/>
                <w:bCs w:val="1"/>
                <w:color w:val="auto"/>
              </w:rPr>
              <w:t>7</w:t>
            </w:r>
          </w:p>
        </w:tc>
        <w:tc>
          <w:tcPr>
            <w:tcW w:w="6400" w:type="dxa"/>
            <w:vAlign w:val="bottom"/>
            <w:tcBorders>
              <w:right w:val="single" w:sz="8" w:color="auto"/>
            </w:tcBorders>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4"/>
                <w:szCs w:val="14"/>
                <w:color w:val="auto"/>
              </w:rPr>
              <w:t>SOLE DISPOSITIVE POWER</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Arial" w:cs="Arial" w:eastAsia="Arial" w:hAnsi="Arial"/>
                <w:sz w:val="18"/>
                <w:szCs w:val="18"/>
                <w:b w:val="1"/>
                <w:bCs w:val="1"/>
                <w:color w:val="auto"/>
              </w:rPr>
              <w:t>REPORTING</w:t>
            </w:r>
          </w:p>
        </w:tc>
        <w:tc>
          <w:tcPr>
            <w:tcW w:w="3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6400" w:type="dxa"/>
            <w:vAlign w:val="bottom"/>
            <w:vMerge w:val="restart"/>
          </w:tcPr>
          <w:p>
            <w:pPr>
              <w:spacing w:after="0"/>
              <w:rPr>
                <w:sz w:val="20"/>
                <w:szCs w:val="20"/>
                <w:color w:val="auto"/>
              </w:rPr>
            </w:pPr>
            <w:r>
              <w:rPr>
                <w:rFonts w:ascii="Arial" w:cs="Arial" w:eastAsia="Arial" w:hAnsi="Arial"/>
                <w:sz w:val="22"/>
                <w:szCs w:val="22"/>
                <w:color w:val="auto"/>
              </w:rPr>
              <w:t>2,762,545</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Arial" w:cs="Arial" w:eastAsia="Arial" w:hAnsi="Arial"/>
                <w:sz w:val="18"/>
                <w:szCs w:val="18"/>
                <w:b w:val="1"/>
                <w:bCs w:val="1"/>
                <w:color w:val="auto"/>
                <w:w w:val="94"/>
              </w:rPr>
              <w:t>PERSON</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64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2200" w:type="dxa"/>
            <w:vAlign w:val="bottom"/>
            <w:tcBorders>
              <w:right w:val="single" w:sz="8" w:color="auto"/>
            </w:tcBorders>
            <w:gridSpan w:val="2"/>
            <w:vMerge w:val="restart"/>
          </w:tcPr>
          <w:p>
            <w:pPr>
              <w:jc w:val="center"/>
              <w:ind w:right="389"/>
              <w:spacing w:after="0"/>
              <w:rPr>
                <w:sz w:val="20"/>
                <w:szCs w:val="20"/>
                <w:color w:val="auto"/>
              </w:rPr>
            </w:pPr>
            <w:r>
              <w:rPr>
                <w:rFonts w:ascii="Arial" w:cs="Arial" w:eastAsia="Arial" w:hAnsi="Arial"/>
                <w:sz w:val="18"/>
                <w:szCs w:val="18"/>
                <w:b w:val="1"/>
                <w:bCs w:val="1"/>
                <w:color w:val="auto"/>
              </w:rPr>
              <w:t>WITH</w:t>
            </w:r>
          </w:p>
        </w:tc>
        <w:tc>
          <w:tcPr>
            <w:tcW w:w="300" w:type="dxa"/>
            <w:vAlign w:val="bottom"/>
          </w:tcPr>
          <w:p>
            <w:pPr>
              <w:spacing w:after="0"/>
              <w:rPr>
                <w:sz w:val="15"/>
                <w:szCs w:val="15"/>
                <w:color w:val="auto"/>
              </w:rPr>
            </w:pPr>
          </w:p>
        </w:tc>
        <w:tc>
          <w:tcPr>
            <w:tcW w:w="1040" w:type="dxa"/>
            <w:vAlign w:val="bottom"/>
            <w:tcBorders>
              <w:right w:val="single" w:sz="8" w:color="auto"/>
            </w:tcBorders>
            <w:vMerge w:val="restart"/>
          </w:tcPr>
          <w:p>
            <w:pPr>
              <w:jc w:val="right"/>
              <w:ind w:right="549"/>
              <w:spacing w:after="0"/>
              <w:rPr>
                <w:sz w:val="20"/>
                <w:szCs w:val="20"/>
                <w:color w:val="auto"/>
              </w:rPr>
            </w:pPr>
            <w:r>
              <w:rPr>
                <w:rFonts w:ascii="Arial" w:cs="Arial" w:eastAsia="Arial" w:hAnsi="Arial"/>
                <w:sz w:val="25"/>
                <w:szCs w:val="25"/>
                <w:b w:val="1"/>
                <w:bCs w:val="1"/>
                <w:color w:val="auto"/>
              </w:rPr>
              <w:t>8</w:t>
            </w:r>
          </w:p>
        </w:tc>
        <w:tc>
          <w:tcPr>
            <w:tcW w:w="6400" w:type="dxa"/>
            <w:vAlign w:val="bottom"/>
          </w:tcPr>
          <w:p>
            <w:pPr>
              <w:spacing w:after="0"/>
              <w:rPr>
                <w:sz w:val="20"/>
                <w:szCs w:val="20"/>
                <w:color w:val="auto"/>
              </w:rPr>
            </w:pPr>
            <w:r>
              <w:rPr>
                <w:rFonts w:ascii="Arial" w:cs="Arial" w:eastAsia="Arial" w:hAnsi="Arial"/>
                <w:sz w:val="14"/>
                <w:szCs w:val="14"/>
                <w:color w:val="auto"/>
              </w:rPr>
              <w:t>SHARED DISPOSITIVE POWER</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2200" w:type="dxa"/>
            <w:vAlign w:val="bottom"/>
            <w:tcBorders>
              <w:right w:val="single" w:sz="8" w:color="auto"/>
            </w:tcBorders>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6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5,443,901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0" w:type="dxa"/>
            <w:vAlign w:val="bottom"/>
            <w:vMerge w:val="restart"/>
          </w:tcPr>
          <w:p>
            <w:pPr>
              <w:jc w:val="right"/>
              <w:ind w:right="54"/>
              <w:spacing w:after="0"/>
              <w:rPr>
                <w:sz w:val="20"/>
                <w:szCs w:val="20"/>
                <w:color w:val="auto"/>
              </w:rPr>
            </w:pPr>
            <w:r>
              <w:rPr>
                <w:rFonts w:ascii="Arial" w:cs="Arial" w:eastAsia="Arial" w:hAnsi="Arial"/>
                <w:sz w:val="25"/>
                <w:szCs w:val="25"/>
                <w:b w:val="1"/>
                <w:bCs w:val="1"/>
                <w:color w:val="auto"/>
              </w:rPr>
              <w:t>9</w:t>
            </w:r>
          </w:p>
        </w:tc>
        <w:tc>
          <w:tcPr>
            <w:tcW w:w="880" w:type="dxa"/>
            <w:vAlign w:val="bottom"/>
            <w:tcBorders>
              <w:right w:val="single" w:sz="8" w:color="auto"/>
            </w:tcBorders>
          </w:tcPr>
          <w:p>
            <w:pPr>
              <w:spacing w:after="0"/>
              <w:rPr>
                <w:sz w:val="15"/>
                <w:szCs w:val="15"/>
                <w:color w:val="auto"/>
              </w:rPr>
            </w:pPr>
          </w:p>
        </w:tc>
        <w:tc>
          <w:tcPr>
            <w:tcW w:w="9060" w:type="dxa"/>
            <w:vAlign w:val="bottom"/>
            <w:gridSpan w:val="4"/>
          </w:tcPr>
          <w:p>
            <w:pPr>
              <w:spacing w:after="0"/>
              <w:rPr>
                <w:sz w:val="20"/>
                <w:szCs w:val="20"/>
                <w:color w:val="auto"/>
              </w:rPr>
            </w:pPr>
            <w:r>
              <w:rPr>
                <w:rFonts w:ascii="Arial" w:cs="Arial" w:eastAsia="Arial" w:hAnsi="Arial"/>
                <w:sz w:val="14"/>
                <w:szCs w:val="14"/>
                <w:color w:val="auto"/>
              </w:rPr>
              <w:t>AGGREGATE AMOUNT BENEFICIALLY OWNED BY EACH REPORTING PERSON</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8,206,446</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80" w:type="dxa"/>
            <w:vAlign w:val="bottom"/>
          </w:tcPr>
          <w:p>
            <w:pPr>
              <w:ind w:left="40"/>
              <w:spacing w:after="0"/>
              <w:rPr>
                <w:sz w:val="20"/>
                <w:szCs w:val="20"/>
                <w:color w:val="auto"/>
              </w:rPr>
            </w:pPr>
            <w:r>
              <w:rPr>
                <w:rFonts w:ascii="Arial" w:cs="Arial" w:eastAsia="Arial" w:hAnsi="Arial"/>
                <w:sz w:val="25"/>
                <w:szCs w:val="25"/>
                <w:b w:val="1"/>
                <w:bCs w:val="1"/>
                <w:color w:val="auto"/>
              </w:rPr>
              <w:t>10</w:t>
            </w:r>
          </w:p>
        </w:tc>
        <w:tc>
          <w:tcPr>
            <w:tcW w:w="880" w:type="dxa"/>
            <w:vAlign w:val="bottom"/>
            <w:tcBorders>
              <w:right w:val="single" w:sz="8" w:color="auto"/>
            </w:tcBorders>
          </w:tcPr>
          <w:p>
            <w:pPr>
              <w:spacing w:after="0"/>
              <w:rPr>
                <w:sz w:val="24"/>
                <w:szCs w:val="24"/>
                <w:color w:val="auto"/>
              </w:rPr>
            </w:pPr>
          </w:p>
        </w:tc>
        <w:tc>
          <w:tcPr>
            <w:tcW w:w="9060" w:type="dxa"/>
            <w:vAlign w:val="bottom"/>
            <w:tcBorders>
              <w:right w:val="single" w:sz="8" w:color="auto"/>
            </w:tcBorders>
            <w:gridSpan w:val="4"/>
          </w:tcPr>
          <w:p>
            <w:pPr>
              <w:spacing w:after="0"/>
              <w:rPr>
                <w:sz w:val="20"/>
                <w:szCs w:val="20"/>
                <w:color w:val="auto"/>
              </w:rPr>
            </w:pPr>
            <w:r>
              <w:rPr>
                <w:rFonts w:ascii="Arial" w:cs="Arial" w:eastAsia="Arial" w:hAnsi="Arial"/>
                <w:sz w:val="14"/>
                <w:szCs w:val="14"/>
                <w:color w:val="auto"/>
              </w:rPr>
              <w:t>CHECK BOX IF THE AGGREGATE AMOUNT IN ROW (9) EXCLUDES CERTAIN SHARES (SEE INSTRUCTIONS</w:t>
            </w:r>
            <w:r>
              <w:rPr>
                <w:rFonts w:ascii="Arial" w:cs="Arial" w:eastAsia="Arial" w:hAnsi="Arial"/>
                <w:sz w:val="17"/>
                <w:szCs w:val="17"/>
                <w:color w:val="auto"/>
              </w:rPr>
              <w:t>)</w:t>
            </w:r>
          </w:p>
        </w:tc>
        <w:tc>
          <w:tcPr>
            <w:tcW w:w="8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4"/>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Not Applicable</w:t>
            </w:r>
          </w:p>
        </w:tc>
        <w:tc>
          <w:tcPr>
            <w:tcW w:w="1040" w:type="dxa"/>
            <w:vAlign w:val="bottom"/>
            <w:tcBorders>
              <w:bottom w:val="single" w:sz="8" w:color="auto"/>
            </w:tcBorders>
          </w:tcPr>
          <w:p>
            <w:pPr>
              <w:spacing w:after="0"/>
              <w:rPr>
                <w:sz w:val="24"/>
                <w:szCs w:val="24"/>
                <w:color w:val="auto"/>
              </w:rPr>
            </w:pPr>
          </w:p>
        </w:tc>
        <w:tc>
          <w:tcPr>
            <w:tcW w:w="6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0" w:type="dxa"/>
            <w:vAlign w:val="bottom"/>
            <w:vMerge w:val="restart"/>
          </w:tcPr>
          <w:p>
            <w:pPr>
              <w:ind w:left="40"/>
              <w:spacing w:after="0"/>
              <w:rPr>
                <w:sz w:val="20"/>
                <w:szCs w:val="20"/>
                <w:color w:val="auto"/>
              </w:rPr>
            </w:pPr>
            <w:r>
              <w:rPr>
                <w:rFonts w:ascii="Arial" w:cs="Arial" w:eastAsia="Arial" w:hAnsi="Arial"/>
                <w:sz w:val="25"/>
                <w:szCs w:val="25"/>
                <w:b w:val="1"/>
                <w:bCs w:val="1"/>
                <w:color w:val="auto"/>
              </w:rPr>
              <w:t>11</w:t>
            </w:r>
          </w:p>
        </w:tc>
        <w:tc>
          <w:tcPr>
            <w:tcW w:w="880" w:type="dxa"/>
            <w:vAlign w:val="bottom"/>
            <w:tcBorders>
              <w:right w:val="single" w:sz="8" w:color="auto"/>
            </w:tcBorders>
          </w:tcPr>
          <w:p>
            <w:pPr>
              <w:spacing w:after="0"/>
              <w:rPr>
                <w:sz w:val="15"/>
                <w:szCs w:val="15"/>
                <w:color w:val="auto"/>
              </w:rPr>
            </w:pPr>
          </w:p>
        </w:tc>
        <w:tc>
          <w:tcPr>
            <w:tcW w:w="9060" w:type="dxa"/>
            <w:vAlign w:val="bottom"/>
            <w:gridSpan w:val="4"/>
          </w:tcPr>
          <w:p>
            <w:pPr>
              <w:spacing w:after="0"/>
              <w:rPr>
                <w:sz w:val="20"/>
                <w:szCs w:val="20"/>
                <w:color w:val="auto"/>
              </w:rPr>
            </w:pPr>
            <w:r>
              <w:rPr>
                <w:rFonts w:ascii="Arial" w:cs="Arial" w:eastAsia="Arial" w:hAnsi="Arial"/>
                <w:sz w:val="14"/>
                <w:szCs w:val="14"/>
                <w:color w:val="auto"/>
              </w:rPr>
              <w:t>PERCENT OF CLASS REPRESENTED BY AMOUNT IN ROW (9)</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line="280" w:lineRule="exact"/>
              <w:rPr>
                <w:sz w:val="20"/>
                <w:szCs w:val="20"/>
                <w:color w:val="auto"/>
              </w:rPr>
            </w:pPr>
            <w:r>
              <w:rPr>
                <w:rFonts w:ascii="Arial" w:cs="Arial" w:eastAsia="Arial" w:hAnsi="Arial"/>
                <w:sz w:val="20"/>
                <w:szCs w:val="20"/>
                <w:color w:val="auto"/>
              </w:rPr>
              <w:t xml:space="preserve">11.72% </w:t>
            </w:r>
            <w:r>
              <w:rPr>
                <w:rFonts w:ascii="Arial" w:cs="Arial" w:eastAsia="Arial" w:hAnsi="Arial"/>
                <w:sz w:val="32"/>
                <w:szCs w:val="32"/>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0" w:type="dxa"/>
            <w:vAlign w:val="bottom"/>
            <w:vMerge w:val="restart"/>
          </w:tcPr>
          <w:p>
            <w:pPr>
              <w:ind w:left="40"/>
              <w:spacing w:after="0"/>
              <w:rPr>
                <w:sz w:val="20"/>
                <w:szCs w:val="20"/>
                <w:color w:val="auto"/>
              </w:rPr>
            </w:pPr>
            <w:r>
              <w:rPr>
                <w:rFonts w:ascii="Arial" w:cs="Arial" w:eastAsia="Arial" w:hAnsi="Arial"/>
                <w:sz w:val="25"/>
                <w:szCs w:val="25"/>
                <w:b w:val="1"/>
                <w:bCs w:val="1"/>
                <w:color w:val="auto"/>
              </w:rPr>
              <w:t>12</w:t>
            </w:r>
          </w:p>
        </w:tc>
        <w:tc>
          <w:tcPr>
            <w:tcW w:w="880" w:type="dxa"/>
            <w:vAlign w:val="bottom"/>
            <w:tcBorders>
              <w:right w:val="single" w:sz="8" w:color="auto"/>
            </w:tcBorders>
          </w:tcPr>
          <w:p>
            <w:pPr>
              <w:spacing w:after="0"/>
              <w:rPr>
                <w:sz w:val="15"/>
                <w:szCs w:val="15"/>
                <w:color w:val="auto"/>
              </w:rPr>
            </w:pPr>
          </w:p>
        </w:tc>
        <w:tc>
          <w:tcPr>
            <w:tcW w:w="9060" w:type="dxa"/>
            <w:vAlign w:val="bottom"/>
            <w:gridSpan w:val="4"/>
          </w:tcPr>
          <w:p>
            <w:pPr>
              <w:spacing w:after="0"/>
              <w:rPr>
                <w:sz w:val="20"/>
                <w:szCs w:val="20"/>
                <w:color w:val="auto"/>
              </w:rPr>
            </w:pPr>
            <w:r>
              <w:rPr>
                <w:rFonts w:ascii="Arial" w:cs="Arial" w:eastAsia="Arial" w:hAnsi="Arial"/>
                <w:sz w:val="14"/>
                <w:szCs w:val="14"/>
                <w:color w:val="auto"/>
              </w:rPr>
              <w:t>TYPE OF REPORTING PERSON (SEE INSTRUCTIONS)</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IA</w:t>
            </w:r>
          </w:p>
        </w:tc>
        <w:tc>
          <w:tcPr>
            <w:tcW w:w="10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80" w:hanging="491"/>
        <w:spacing w:after="0"/>
        <w:tabs>
          <w:tab w:leader="none" w:pos="580" w:val="left"/>
        </w:tabs>
        <w:numPr>
          <w:ilvl w:val="0"/>
          <w:numId w:val="5"/>
        </w:numPr>
        <w:rPr>
          <w:rFonts w:ascii="Arial" w:cs="Arial" w:eastAsia="Arial" w:hAnsi="Arial"/>
          <w:sz w:val="19"/>
          <w:szCs w:val="19"/>
          <w:color w:val="auto"/>
        </w:rPr>
      </w:pPr>
      <w:r>
        <w:rPr>
          <w:rFonts w:ascii="Arial" w:cs="Arial" w:eastAsia="Arial" w:hAnsi="Arial"/>
          <w:sz w:val="19"/>
          <w:szCs w:val="19"/>
          <w:color w:val="auto"/>
        </w:rPr>
        <w:t>Based upon a total of 69,999,966 shares outstanding as of March 12, 2020, as reported on the Issuer’s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G48833118</w:t>
      </w:r>
    </w:p>
    <w:p>
      <w:pPr>
        <w:ind w:left="1360" w:hanging="1190"/>
        <w:spacing w:after="0" w:line="185" w:lineRule="auto"/>
        <w:tabs>
          <w:tab w:leader="none" w:pos="1360" w:val="left"/>
        </w:tabs>
        <w:numPr>
          <w:ilvl w:val="0"/>
          <w:numId w:val="6"/>
        </w:numPr>
        <w:rPr>
          <w:rFonts w:ascii="Arial" w:cs="Arial" w:eastAsia="Arial" w:hAnsi="Arial"/>
          <w:sz w:val="50"/>
          <w:szCs w:val="50"/>
          <w:b w:val="1"/>
          <w:bCs w:val="1"/>
          <w:color w:val="auto"/>
          <w:vertAlign w:val="subscript"/>
        </w:rPr>
      </w:pPr>
      <w:r>
        <w:rPr>
          <w:rFonts w:ascii="Arial" w:cs="Arial" w:eastAsia="Arial" w:hAnsi="Arial"/>
          <w:sz w:val="14"/>
          <w:szCs w:val="14"/>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4680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680585"/>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136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AMG Yacktman Fund</w:t>
            </w:r>
          </w:p>
        </w:tc>
        <w:tc>
          <w:tcPr>
            <w:tcW w:w="2820" w:type="dxa"/>
            <w:vAlign w:val="bottom"/>
            <w:tcBorders>
              <w:bottom w:val="single" w:sz="8" w:color="auto"/>
            </w:tcBorders>
          </w:tcPr>
          <w:p>
            <w:pPr>
              <w:spacing w:after="0"/>
              <w:rPr>
                <w:sz w:val="24"/>
                <w:szCs w:val="24"/>
                <w:color w:val="auto"/>
              </w:rPr>
            </w:pPr>
          </w:p>
        </w:tc>
      </w:tr>
      <w:tr>
        <w:trPr>
          <w:trHeight w:val="160"/>
        </w:trPr>
        <w:tc>
          <w:tcPr>
            <w:tcW w:w="1360" w:type="dxa"/>
            <w:vAlign w:val="bottom"/>
          </w:tcPr>
          <w:p>
            <w:pPr>
              <w:jc w:val="right"/>
              <w:ind w:right="971"/>
              <w:spacing w:after="0" w:line="161" w:lineRule="exact"/>
              <w:rPr>
                <w:sz w:val="20"/>
                <w:szCs w:val="20"/>
                <w:color w:val="auto"/>
              </w:rPr>
            </w:pPr>
            <w:r>
              <w:rPr>
                <w:rFonts w:ascii="Arial" w:cs="Arial" w:eastAsia="Arial" w:hAnsi="Arial"/>
                <w:sz w:val="18"/>
                <w:szCs w:val="18"/>
                <w:b w:val="1"/>
                <w:bCs w:val="1"/>
                <w:color w:val="auto"/>
              </w:rPr>
              <w:t>2</w:t>
            </w:r>
          </w:p>
        </w:tc>
        <w:tc>
          <w:tcPr>
            <w:tcW w:w="7060" w:type="dxa"/>
            <w:vAlign w:val="bottom"/>
          </w:tcPr>
          <w:p>
            <w:pPr>
              <w:spacing w:after="0"/>
              <w:rPr>
                <w:sz w:val="20"/>
                <w:szCs w:val="20"/>
                <w:color w:val="auto"/>
              </w:rPr>
            </w:pPr>
            <w:r>
              <w:rPr>
                <w:rFonts w:ascii="Arial" w:cs="Arial" w:eastAsia="Arial" w:hAnsi="Arial"/>
                <w:sz w:val="14"/>
                <w:szCs w:val="14"/>
                <w:color w:val="auto"/>
              </w:rPr>
              <w:t>CHECK THE APPROPRIATE BOX IF A MEMBER OF A GROUP (SEE INSTRUCTIONS)</w:t>
            </w:r>
          </w:p>
        </w:tc>
        <w:tc>
          <w:tcPr>
            <w:tcW w:w="2820" w:type="dxa"/>
            <w:vAlign w:val="bottom"/>
          </w:tcPr>
          <w:p>
            <w:pPr>
              <w:ind w:left="1640"/>
              <w:spacing w:after="0" w:line="161" w:lineRule="exact"/>
              <w:rPr>
                <w:sz w:val="20"/>
                <w:szCs w:val="20"/>
                <w:color w:val="auto"/>
              </w:rPr>
            </w:pPr>
            <w:r>
              <w:rPr>
                <w:rFonts w:ascii="Arial" w:cs="Arial" w:eastAsia="Arial" w:hAnsi="Arial"/>
                <w:sz w:val="14"/>
                <w:szCs w:val="14"/>
                <w:color w:val="auto"/>
              </w:rPr>
              <w:t xml:space="preserve">(a) </w:t>
            </w:r>
            <w:r>
              <w:rPr>
                <w:rFonts w:ascii="MS PGothic" w:cs="MS PGothic" w:eastAsia="MS PGothic" w:hAnsi="MS PGothic"/>
                <w:sz w:val="14"/>
                <w:szCs w:val="14"/>
                <w:color w:val="auto"/>
              </w:rPr>
              <w:t>☐</w:t>
            </w:r>
          </w:p>
        </w:tc>
      </w:tr>
      <w:tr>
        <w:trPr>
          <w:trHeight w:val="226"/>
        </w:trPr>
        <w:tc>
          <w:tcPr>
            <w:tcW w:w="136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2820" w:type="dxa"/>
            <w:vAlign w:val="bottom"/>
          </w:tcPr>
          <w:p>
            <w:pPr>
              <w:ind w:left="1640"/>
              <w:spacing w:after="0" w:line="161" w:lineRule="exact"/>
              <w:rPr>
                <w:sz w:val="20"/>
                <w:szCs w:val="20"/>
                <w:color w:val="auto"/>
              </w:rPr>
            </w:pPr>
            <w:r>
              <w:rPr>
                <w:rFonts w:ascii="Arial" w:cs="Arial" w:eastAsia="Arial" w:hAnsi="Arial"/>
                <w:sz w:val="14"/>
                <w:szCs w:val="14"/>
                <w:color w:val="auto"/>
              </w:rPr>
              <w:t xml:space="preserve">(b) </w:t>
            </w:r>
            <w:r>
              <w:rPr>
                <w:rFonts w:ascii="MS PGothic" w:cs="MS PGothic" w:eastAsia="MS PGothic" w:hAnsi="MS PGothic"/>
                <w:sz w:val="14"/>
                <w:szCs w:val="14"/>
                <w:color w:val="auto"/>
              </w:rPr>
              <w:t>☒</w:t>
            </w:r>
          </w:p>
        </w:tc>
      </w:tr>
    </w:tbl>
    <w:p>
      <w:pPr>
        <w:ind w:left="1360" w:hanging="1190"/>
        <w:spacing w:after="0" w:line="183" w:lineRule="auto"/>
        <w:tabs>
          <w:tab w:leader="none" w:pos="1360" w:val="left"/>
        </w:tabs>
        <w:numPr>
          <w:ilvl w:val="0"/>
          <w:numId w:val="7"/>
        </w:numPr>
        <w:rPr>
          <w:rFonts w:ascii="Arial" w:cs="Arial" w:eastAsia="Arial" w:hAnsi="Arial"/>
          <w:sz w:val="42"/>
          <w:szCs w:val="42"/>
          <w:b w:val="1"/>
          <w:bCs w:val="1"/>
          <w:color w:val="auto"/>
          <w:vertAlign w:val="subscript"/>
        </w:rPr>
      </w:pPr>
      <w:r>
        <w:rPr>
          <w:rFonts w:ascii="Arial" w:cs="Arial" w:eastAsia="Arial" w:hAnsi="Arial"/>
          <w:sz w:val="14"/>
          <w:szCs w:val="14"/>
          <w:color w:val="auto"/>
        </w:rPr>
        <w:t>SEC USE ONLY</w:t>
      </w:r>
    </w:p>
    <w:p>
      <w:pPr>
        <w:ind w:left="1360" w:hanging="1190"/>
        <w:spacing w:after="0" w:line="182" w:lineRule="auto"/>
        <w:tabs>
          <w:tab w:leader="none" w:pos="1360" w:val="left"/>
        </w:tabs>
        <w:numPr>
          <w:ilvl w:val="0"/>
          <w:numId w:val="8"/>
        </w:numPr>
        <w:rPr>
          <w:rFonts w:ascii="Arial" w:cs="Arial" w:eastAsia="Arial" w:hAnsi="Arial"/>
          <w:sz w:val="37"/>
          <w:szCs w:val="37"/>
          <w:b w:val="1"/>
          <w:bCs w:val="1"/>
          <w:color w:val="auto"/>
          <w:vertAlign w:val="subscript"/>
        </w:rPr>
      </w:pPr>
      <w:r>
        <w:rPr>
          <w:rFonts w:ascii="Arial" w:cs="Arial" w:eastAsia="Arial" w:hAnsi="Arial"/>
          <w:sz w:val="13"/>
          <w:szCs w:val="13"/>
          <w:color w:val="auto"/>
        </w:rPr>
        <w:t>CITIZENSHIP OR PLACE OF ORGANIZATION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Delaware</w:t>
            </w:r>
          </w:p>
        </w:tc>
        <w:tc>
          <w:tcPr>
            <w:tcW w:w="1040" w:type="dxa"/>
            <w:vAlign w:val="bottom"/>
            <w:tcBorders>
              <w:bottom w:val="single" w:sz="8" w:color="auto"/>
            </w:tcBorders>
          </w:tcPr>
          <w:p>
            <w:pPr>
              <w:spacing w:after="0"/>
              <w:rPr>
                <w:sz w:val="23"/>
                <w:szCs w:val="23"/>
                <w:color w:val="auto"/>
              </w:rPr>
            </w:pPr>
          </w:p>
        </w:tc>
        <w:tc>
          <w:tcPr>
            <w:tcW w:w="64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Borders>
              <w:right w:val="single" w:sz="8" w:color="auto"/>
            </w:tcBorders>
            <w:vMerge w:val="restart"/>
          </w:tcPr>
          <w:p>
            <w:pPr>
              <w:jc w:val="right"/>
              <w:ind w:right="549"/>
              <w:spacing w:after="0"/>
              <w:rPr>
                <w:sz w:val="20"/>
                <w:szCs w:val="20"/>
                <w:color w:val="auto"/>
              </w:rPr>
            </w:pPr>
            <w:r>
              <w:rPr>
                <w:rFonts w:ascii="Arial" w:cs="Arial" w:eastAsia="Arial" w:hAnsi="Arial"/>
                <w:sz w:val="25"/>
                <w:szCs w:val="25"/>
                <w:b w:val="1"/>
                <w:bCs w:val="1"/>
                <w:color w:val="auto"/>
              </w:rPr>
              <w:t>5</w:t>
            </w:r>
          </w:p>
        </w:tc>
        <w:tc>
          <w:tcPr>
            <w:tcW w:w="6400" w:type="dxa"/>
            <w:vAlign w:val="bottom"/>
          </w:tcPr>
          <w:p>
            <w:pPr>
              <w:spacing w:after="0"/>
              <w:rPr>
                <w:sz w:val="20"/>
                <w:szCs w:val="20"/>
                <w:color w:val="auto"/>
              </w:rPr>
            </w:pPr>
            <w:r>
              <w:rPr>
                <w:rFonts w:ascii="Arial" w:cs="Arial" w:eastAsia="Arial" w:hAnsi="Arial"/>
                <w:sz w:val="14"/>
                <w:szCs w:val="14"/>
                <w:color w:val="auto"/>
              </w:rPr>
              <w:t>SOLE VOTING POWER</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6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480" w:type="dxa"/>
            <w:vAlign w:val="bottom"/>
          </w:tcPr>
          <w:p>
            <w:pPr>
              <w:spacing w:after="0"/>
              <w:rPr>
                <w:sz w:val="24"/>
                <w:szCs w:val="24"/>
                <w:color w:val="auto"/>
              </w:rPr>
            </w:pPr>
          </w:p>
        </w:tc>
        <w:tc>
          <w:tcPr>
            <w:tcW w:w="2200" w:type="dxa"/>
            <w:vAlign w:val="bottom"/>
            <w:tcBorders>
              <w:right w:val="single" w:sz="8" w:color="auto"/>
            </w:tcBorders>
            <w:gridSpan w:val="2"/>
          </w:tcPr>
          <w:p>
            <w:pPr>
              <w:jc w:val="center"/>
              <w:ind w:right="369"/>
              <w:spacing w:after="0"/>
              <w:rPr>
                <w:sz w:val="20"/>
                <w:szCs w:val="20"/>
                <w:color w:val="auto"/>
              </w:rPr>
            </w:pPr>
            <w:r>
              <w:rPr>
                <w:rFonts w:ascii="Arial" w:cs="Arial" w:eastAsia="Arial" w:hAnsi="Arial"/>
                <w:sz w:val="18"/>
                <w:szCs w:val="18"/>
                <w:b w:val="1"/>
                <w:bCs w:val="1"/>
                <w:color w:val="auto"/>
              </w:rPr>
              <w:t>NUMBER OF</w:t>
            </w:r>
          </w:p>
        </w:tc>
        <w:tc>
          <w:tcPr>
            <w:tcW w:w="30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6400" w:type="dxa"/>
            <w:vAlign w:val="bottom"/>
          </w:tcPr>
          <w:p>
            <w:pPr>
              <w:spacing w:after="0"/>
              <w:rPr>
                <w:sz w:val="20"/>
                <w:szCs w:val="20"/>
                <w:color w:val="auto"/>
              </w:rPr>
            </w:pPr>
            <w:r>
              <w:rPr>
                <w:rFonts w:ascii="Arial" w:cs="Arial" w:eastAsia="Arial" w:hAnsi="Arial"/>
                <w:sz w:val="22"/>
                <w:szCs w:val="22"/>
                <w:color w:val="auto"/>
              </w:rPr>
              <w:t>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200" w:type="dxa"/>
            <w:vAlign w:val="bottom"/>
            <w:tcBorders>
              <w:right w:val="single" w:sz="8" w:color="auto"/>
            </w:tcBorders>
            <w:gridSpan w:val="2"/>
          </w:tcPr>
          <w:p>
            <w:pPr>
              <w:jc w:val="center"/>
              <w:ind w:right="389"/>
              <w:spacing w:after="0" w:line="27" w:lineRule="exact"/>
              <w:rPr>
                <w:sz w:val="20"/>
                <w:szCs w:val="20"/>
                <w:color w:val="auto"/>
              </w:rPr>
            </w:pPr>
            <w:r>
              <w:rPr>
                <w:rFonts w:ascii="Arial" w:cs="Arial" w:eastAsia="Arial" w:hAnsi="Arial"/>
                <w:sz w:val="3"/>
                <w:szCs w:val="3"/>
                <w:b w:val="1"/>
                <w:bCs w:val="1"/>
                <w:color w:val="auto"/>
              </w:rPr>
              <w:t>SHARES</w:t>
            </w:r>
          </w:p>
        </w:tc>
        <w:tc>
          <w:tcPr>
            <w:tcW w:w="3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jc w:val="right"/>
              <w:ind w:right="549"/>
              <w:spacing w:after="0" w:line="27" w:lineRule="exact"/>
              <w:rPr>
                <w:sz w:val="20"/>
                <w:szCs w:val="20"/>
                <w:color w:val="auto"/>
              </w:rPr>
            </w:pPr>
            <w:r>
              <w:rPr>
                <w:rFonts w:ascii="Arial" w:cs="Arial" w:eastAsia="Arial" w:hAnsi="Arial"/>
                <w:sz w:val="3"/>
                <w:szCs w:val="3"/>
                <w:b w:val="1"/>
                <w:bCs w:val="1"/>
                <w:color w:val="auto"/>
              </w:rPr>
              <w:t>6</w:t>
            </w:r>
          </w:p>
        </w:tc>
        <w:tc>
          <w:tcPr>
            <w:tcW w:w="6400" w:type="dxa"/>
            <w:vAlign w:val="bottom"/>
            <w:tcBorders>
              <w:right w:val="single" w:sz="8" w:color="auto"/>
            </w:tcBorders>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6400" w:type="dxa"/>
            <w:vAlign w:val="bottom"/>
          </w:tcPr>
          <w:p>
            <w:pPr>
              <w:spacing w:after="0"/>
              <w:rPr>
                <w:sz w:val="20"/>
                <w:szCs w:val="20"/>
                <w:color w:val="auto"/>
              </w:rPr>
            </w:pPr>
            <w:r>
              <w:rPr>
                <w:rFonts w:ascii="Arial" w:cs="Arial" w:eastAsia="Arial" w:hAnsi="Arial"/>
                <w:sz w:val="14"/>
                <w:szCs w:val="14"/>
                <w:color w:val="auto"/>
              </w:rPr>
              <w:t>SHARED VOTING POWER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Arial" w:cs="Arial" w:eastAsia="Arial" w:hAnsi="Arial"/>
                <w:sz w:val="18"/>
                <w:szCs w:val="18"/>
                <w:b w:val="1"/>
                <w:bCs w:val="1"/>
                <w:color w:val="auto"/>
              </w:rPr>
              <w:t>BENEFICIALLY</w:t>
            </w:r>
          </w:p>
        </w:tc>
        <w:tc>
          <w:tcPr>
            <w:tcW w:w="3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6400" w:type="dxa"/>
            <w:vAlign w:val="bottom"/>
            <w:vMerge w:val="restart"/>
          </w:tcPr>
          <w:p>
            <w:pPr>
              <w:spacing w:after="0"/>
              <w:rPr>
                <w:sz w:val="20"/>
                <w:szCs w:val="20"/>
                <w:color w:val="auto"/>
              </w:rPr>
            </w:pPr>
            <w:r>
              <w:rPr>
                <w:rFonts w:ascii="Arial" w:cs="Arial" w:eastAsia="Arial" w:hAnsi="Arial"/>
                <w:sz w:val="22"/>
                <w:szCs w:val="22"/>
                <w:color w:val="auto"/>
              </w:rPr>
              <w:t>5,443,901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Arial" w:cs="Arial" w:eastAsia="Arial" w:hAnsi="Arial"/>
                <w:sz w:val="18"/>
                <w:szCs w:val="18"/>
                <w:b w:val="1"/>
                <w:bCs w:val="1"/>
                <w:color w:val="auto"/>
              </w:rPr>
              <w:t>OWNED BY</w:t>
            </w:r>
          </w:p>
        </w:tc>
        <w:tc>
          <w:tcPr>
            <w:tcW w:w="3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640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200" w:type="dxa"/>
            <w:vAlign w:val="bottom"/>
            <w:tcBorders>
              <w:right w:val="single" w:sz="8" w:color="auto"/>
            </w:tcBorders>
            <w:gridSpan w:val="2"/>
          </w:tcPr>
          <w:p>
            <w:pPr>
              <w:jc w:val="center"/>
              <w:ind w:right="389"/>
              <w:spacing w:after="0" w:line="27" w:lineRule="exact"/>
              <w:rPr>
                <w:sz w:val="20"/>
                <w:szCs w:val="20"/>
                <w:color w:val="auto"/>
              </w:rPr>
            </w:pPr>
            <w:r>
              <w:rPr>
                <w:rFonts w:ascii="Arial" w:cs="Arial" w:eastAsia="Arial" w:hAnsi="Arial"/>
                <w:sz w:val="3"/>
                <w:szCs w:val="3"/>
                <w:b w:val="1"/>
                <w:bCs w:val="1"/>
                <w:color w:val="auto"/>
              </w:rPr>
              <w:t>EACH</w:t>
            </w:r>
          </w:p>
        </w:tc>
        <w:tc>
          <w:tcPr>
            <w:tcW w:w="3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jc w:val="right"/>
              <w:ind w:right="549"/>
              <w:spacing w:after="0" w:line="27" w:lineRule="exact"/>
              <w:rPr>
                <w:sz w:val="20"/>
                <w:szCs w:val="20"/>
                <w:color w:val="auto"/>
              </w:rPr>
            </w:pPr>
            <w:r>
              <w:rPr>
                <w:rFonts w:ascii="Arial" w:cs="Arial" w:eastAsia="Arial" w:hAnsi="Arial"/>
                <w:sz w:val="3"/>
                <w:szCs w:val="3"/>
                <w:b w:val="1"/>
                <w:bCs w:val="1"/>
                <w:color w:val="auto"/>
              </w:rPr>
              <w:t>7</w:t>
            </w:r>
          </w:p>
        </w:tc>
        <w:tc>
          <w:tcPr>
            <w:tcW w:w="6400" w:type="dxa"/>
            <w:vAlign w:val="bottom"/>
            <w:tcBorders>
              <w:right w:val="single" w:sz="8" w:color="auto"/>
            </w:tcBorders>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4"/>
                <w:szCs w:val="14"/>
                <w:color w:val="auto"/>
              </w:rPr>
              <w:t>SOLE DISPOSITIVE POWER</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Arial" w:cs="Arial" w:eastAsia="Arial" w:hAnsi="Arial"/>
                <w:sz w:val="18"/>
                <w:szCs w:val="18"/>
                <w:b w:val="1"/>
                <w:bCs w:val="1"/>
                <w:color w:val="auto"/>
              </w:rPr>
              <w:t>REPORTING</w:t>
            </w:r>
          </w:p>
        </w:tc>
        <w:tc>
          <w:tcPr>
            <w:tcW w:w="3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6400" w:type="dxa"/>
            <w:vAlign w:val="bottom"/>
            <w:vMerge w:val="restart"/>
          </w:tcPr>
          <w:p>
            <w:pPr>
              <w:spacing w:after="0"/>
              <w:rPr>
                <w:sz w:val="20"/>
                <w:szCs w:val="20"/>
                <w:color w:val="auto"/>
              </w:rPr>
            </w:pPr>
            <w:r>
              <w:rPr>
                <w:rFonts w:ascii="Arial" w:cs="Arial" w:eastAsia="Arial" w:hAnsi="Arial"/>
                <w:sz w:val="22"/>
                <w:szCs w:val="22"/>
                <w:color w:val="auto"/>
              </w:rPr>
              <w:t>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89"/>
              <w:spacing w:after="0"/>
              <w:rPr>
                <w:sz w:val="20"/>
                <w:szCs w:val="20"/>
                <w:color w:val="auto"/>
              </w:rPr>
            </w:pPr>
            <w:r>
              <w:rPr>
                <w:rFonts w:ascii="Arial" w:cs="Arial" w:eastAsia="Arial" w:hAnsi="Arial"/>
                <w:sz w:val="18"/>
                <w:szCs w:val="18"/>
                <w:b w:val="1"/>
                <w:bCs w:val="1"/>
                <w:color w:val="auto"/>
                <w:w w:val="94"/>
              </w:rPr>
              <w:t>PERSON</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64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2200" w:type="dxa"/>
            <w:vAlign w:val="bottom"/>
            <w:tcBorders>
              <w:right w:val="single" w:sz="8" w:color="auto"/>
            </w:tcBorders>
            <w:gridSpan w:val="2"/>
            <w:vMerge w:val="restart"/>
          </w:tcPr>
          <w:p>
            <w:pPr>
              <w:jc w:val="center"/>
              <w:ind w:right="389"/>
              <w:spacing w:after="0"/>
              <w:rPr>
                <w:sz w:val="20"/>
                <w:szCs w:val="20"/>
                <w:color w:val="auto"/>
              </w:rPr>
            </w:pPr>
            <w:r>
              <w:rPr>
                <w:rFonts w:ascii="Arial" w:cs="Arial" w:eastAsia="Arial" w:hAnsi="Arial"/>
                <w:sz w:val="18"/>
                <w:szCs w:val="18"/>
                <w:b w:val="1"/>
                <w:bCs w:val="1"/>
                <w:color w:val="auto"/>
              </w:rPr>
              <w:t>WITH</w:t>
            </w:r>
          </w:p>
        </w:tc>
        <w:tc>
          <w:tcPr>
            <w:tcW w:w="300" w:type="dxa"/>
            <w:vAlign w:val="bottom"/>
          </w:tcPr>
          <w:p>
            <w:pPr>
              <w:spacing w:after="0"/>
              <w:rPr>
                <w:sz w:val="15"/>
                <w:szCs w:val="15"/>
                <w:color w:val="auto"/>
              </w:rPr>
            </w:pPr>
          </w:p>
        </w:tc>
        <w:tc>
          <w:tcPr>
            <w:tcW w:w="1040" w:type="dxa"/>
            <w:vAlign w:val="bottom"/>
            <w:tcBorders>
              <w:right w:val="single" w:sz="8" w:color="auto"/>
            </w:tcBorders>
            <w:vMerge w:val="restart"/>
          </w:tcPr>
          <w:p>
            <w:pPr>
              <w:jc w:val="right"/>
              <w:ind w:right="549"/>
              <w:spacing w:after="0"/>
              <w:rPr>
                <w:sz w:val="20"/>
                <w:szCs w:val="20"/>
                <w:color w:val="auto"/>
              </w:rPr>
            </w:pPr>
            <w:r>
              <w:rPr>
                <w:rFonts w:ascii="Arial" w:cs="Arial" w:eastAsia="Arial" w:hAnsi="Arial"/>
                <w:sz w:val="25"/>
                <w:szCs w:val="25"/>
                <w:b w:val="1"/>
                <w:bCs w:val="1"/>
                <w:color w:val="auto"/>
              </w:rPr>
              <w:t>8</w:t>
            </w:r>
          </w:p>
        </w:tc>
        <w:tc>
          <w:tcPr>
            <w:tcW w:w="6400" w:type="dxa"/>
            <w:vAlign w:val="bottom"/>
          </w:tcPr>
          <w:p>
            <w:pPr>
              <w:spacing w:after="0"/>
              <w:rPr>
                <w:sz w:val="20"/>
                <w:szCs w:val="20"/>
                <w:color w:val="auto"/>
              </w:rPr>
            </w:pPr>
            <w:r>
              <w:rPr>
                <w:rFonts w:ascii="Arial" w:cs="Arial" w:eastAsia="Arial" w:hAnsi="Arial"/>
                <w:sz w:val="14"/>
                <w:szCs w:val="14"/>
                <w:color w:val="auto"/>
              </w:rPr>
              <w:t>SHARED DISPOSITIVE POWER</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2200" w:type="dxa"/>
            <w:vAlign w:val="bottom"/>
            <w:tcBorders>
              <w:right w:val="single" w:sz="8" w:color="auto"/>
            </w:tcBorders>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6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5,443,901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0" w:type="dxa"/>
            <w:vAlign w:val="bottom"/>
            <w:vMerge w:val="restart"/>
          </w:tcPr>
          <w:p>
            <w:pPr>
              <w:jc w:val="right"/>
              <w:ind w:right="54"/>
              <w:spacing w:after="0"/>
              <w:rPr>
                <w:sz w:val="20"/>
                <w:szCs w:val="20"/>
                <w:color w:val="auto"/>
              </w:rPr>
            </w:pPr>
            <w:r>
              <w:rPr>
                <w:rFonts w:ascii="Arial" w:cs="Arial" w:eastAsia="Arial" w:hAnsi="Arial"/>
                <w:sz w:val="25"/>
                <w:szCs w:val="25"/>
                <w:b w:val="1"/>
                <w:bCs w:val="1"/>
                <w:color w:val="auto"/>
              </w:rPr>
              <w:t>9</w:t>
            </w:r>
          </w:p>
        </w:tc>
        <w:tc>
          <w:tcPr>
            <w:tcW w:w="880" w:type="dxa"/>
            <w:vAlign w:val="bottom"/>
            <w:tcBorders>
              <w:right w:val="single" w:sz="8" w:color="auto"/>
            </w:tcBorders>
          </w:tcPr>
          <w:p>
            <w:pPr>
              <w:spacing w:after="0"/>
              <w:rPr>
                <w:sz w:val="15"/>
                <w:szCs w:val="15"/>
                <w:color w:val="auto"/>
              </w:rPr>
            </w:pPr>
          </w:p>
        </w:tc>
        <w:tc>
          <w:tcPr>
            <w:tcW w:w="9060" w:type="dxa"/>
            <w:vAlign w:val="bottom"/>
            <w:gridSpan w:val="4"/>
          </w:tcPr>
          <w:p>
            <w:pPr>
              <w:spacing w:after="0"/>
              <w:rPr>
                <w:sz w:val="20"/>
                <w:szCs w:val="20"/>
                <w:color w:val="auto"/>
              </w:rPr>
            </w:pPr>
            <w:r>
              <w:rPr>
                <w:rFonts w:ascii="Arial" w:cs="Arial" w:eastAsia="Arial" w:hAnsi="Arial"/>
                <w:sz w:val="14"/>
                <w:szCs w:val="14"/>
                <w:color w:val="auto"/>
              </w:rPr>
              <w:t>AGGREGATE AMOUNT BENEFICIALLY OWNED BY EACH REPORTING PERSON</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5,443,901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80" w:type="dxa"/>
            <w:vAlign w:val="bottom"/>
          </w:tcPr>
          <w:p>
            <w:pPr>
              <w:ind w:left="40"/>
              <w:spacing w:after="0"/>
              <w:rPr>
                <w:sz w:val="20"/>
                <w:szCs w:val="20"/>
                <w:color w:val="auto"/>
              </w:rPr>
            </w:pPr>
            <w:r>
              <w:rPr>
                <w:rFonts w:ascii="Arial" w:cs="Arial" w:eastAsia="Arial" w:hAnsi="Arial"/>
                <w:sz w:val="25"/>
                <w:szCs w:val="25"/>
                <w:b w:val="1"/>
                <w:bCs w:val="1"/>
                <w:color w:val="auto"/>
              </w:rPr>
              <w:t>10</w:t>
            </w:r>
          </w:p>
        </w:tc>
        <w:tc>
          <w:tcPr>
            <w:tcW w:w="880" w:type="dxa"/>
            <w:vAlign w:val="bottom"/>
            <w:tcBorders>
              <w:right w:val="single" w:sz="8" w:color="auto"/>
            </w:tcBorders>
          </w:tcPr>
          <w:p>
            <w:pPr>
              <w:spacing w:after="0"/>
              <w:rPr>
                <w:sz w:val="24"/>
                <w:szCs w:val="24"/>
                <w:color w:val="auto"/>
              </w:rPr>
            </w:pPr>
          </w:p>
        </w:tc>
        <w:tc>
          <w:tcPr>
            <w:tcW w:w="9060" w:type="dxa"/>
            <w:vAlign w:val="bottom"/>
            <w:tcBorders>
              <w:right w:val="single" w:sz="8" w:color="auto"/>
            </w:tcBorders>
            <w:gridSpan w:val="4"/>
          </w:tcPr>
          <w:p>
            <w:pPr>
              <w:spacing w:after="0"/>
              <w:rPr>
                <w:sz w:val="20"/>
                <w:szCs w:val="20"/>
                <w:color w:val="auto"/>
              </w:rPr>
            </w:pPr>
            <w:r>
              <w:rPr>
                <w:rFonts w:ascii="Arial" w:cs="Arial" w:eastAsia="Arial" w:hAnsi="Arial"/>
                <w:sz w:val="14"/>
                <w:szCs w:val="14"/>
                <w:color w:val="auto"/>
              </w:rPr>
              <w:t>CHECK BOX IF THE AGGREGATE AMOUNT IN ROW (9) EXCLUDES CERTAIN SHARES (SEE INSTRUCTIONS</w:t>
            </w:r>
            <w:r>
              <w:rPr>
                <w:rFonts w:ascii="Arial" w:cs="Arial" w:eastAsia="Arial" w:hAnsi="Arial"/>
                <w:sz w:val="17"/>
                <w:szCs w:val="17"/>
                <w:color w:val="auto"/>
              </w:rPr>
              <w:t>)</w:t>
            </w:r>
          </w:p>
        </w:tc>
        <w:tc>
          <w:tcPr>
            <w:tcW w:w="8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4"/>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Not Applicable</w:t>
            </w:r>
          </w:p>
        </w:tc>
        <w:tc>
          <w:tcPr>
            <w:tcW w:w="1040" w:type="dxa"/>
            <w:vAlign w:val="bottom"/>
            <w:tcBorders>
              <w:bottom w:val="single" w:sz="8" w:color="auto"/>
            </w:tcBorders>
          </w:tcPr>
          <w:p>
            <w:pPr>
              <w:spacing w:after="0"/>
              <w:rPr>
                <w:sz w:val="24"/>
                <w:szCs w:val="24"/>
                <w:color w:val="auto"/>
              </w:rPr>
            </w:pPr>
          </w:p>
        </w:tc>
        <w:tc>
          <w:tcPr>
            <w:tcW w:w="6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0" w:type="dxa"/>
            <w:vAlign w:val="bottom"/>
            <w:vMerge w:val="restart"/>
          </w:tcPr>
          <w:p>
            <w:pPr>
              <w:ind w:left="40"/>
              <w:spacing w:after="0"/>
              <w:rPr>
                <w:sz w:val="20"/>
                <w:szCs w:val="20"/>
                <w:color w:val="auto"/>
              </w:rPr>
            </w:pPr>
            <w:r>
              <w:rPr>
                <w:rFonts w:ascii="Arial" w:cs="Arial" w:eastAsia="Arial" w:hAnsi="Arial"/>
                <w:sz w:val="25"/>
                <w:szCs w:val="25"/>
                <w:b w:val="1"/>
                <w:bCs w:val="1"/>
                <w:color w:val="auto"/>
              </w:rPr>
              <w:t>11</w:t>
            </w:r>
          </w:p>
        </w:tc>
        <w:tc>
          <w:tcPr>
            <w:tcW w:w="880" w:type="dxa"/>
            <w:vAlign w:val="bottom"/>
            <w:tcBorders>
              <w:right w:val="single" w:sz="8" w:color="auto"/>
            </w:tcBorders>
          </w:tcPr>
          <w:p>
            <w:pPr>
              <w:spacing w:after="0"/>
              <w:rPr>
                <w:sz w:val="15"/>
                <w:szCs w:val="15"/>
                <w:color w:val="auto"/>
              </w:rPr>
            </w:pPr>
          </w:p>
        </w:tc>
        <w:tc>
          <w:tcPr>
            <w:tcW w:w="9060" w:type="dxa"/>
            <w:vAlign w:val="bottom"/>
            <w:gridSpan w:val="4"/>
          </w:tcPr>
          <w:p>
            <w:pPr>
              <w:spacing w:after="0"/>
              <w:rPr>
                <w:sz w:val="20"/>
                <w:szCs w:val="20"/>
                <w:color w:val="auto"/>
              </w:rPr>
            </w:pPr>
            <w:r>
              <w:rPr>
                <w:rFonts w:ascii="Arial" w:cs="Arial" w:eastAsia="Arial" w:hAnsi="Arial"/>
                <w:sz w:val="14"/>
                <w:szCs w:val="14"/>
                <w:color w:val="auto"/>
              </w:rPr>
              <w:t>PERCENT OF CLASS REPRESENTED BY AMOUNT IN ROW (9)</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line="280" w:lineRule="exact"/>
              <w:rPr>
                <w:sz w:val="20"/>
                <w:szCs w:val="20"/>
                <w:color w:val="auto"/>
              </w:rPr>
            </w:pPr>
            <w:r>
              <w:rPr>
                <w:rFonts w:ascii="Arial" w:cs="Arial" w:eastAsia="Arial" w:hAnsi="Arial"/>
                <w:sz w:val="20"/>
                <w:szCs w:val="20"/>
                <w:color w:val="auto"/>
              </w:rPr>
              <w:t xml:space="preserve">7.78% </w:t>
            </w:r>
            <w:r>
              <w:rPr>
                <w:rFonts w:ascii="Arial" w:cs="Arial" w:eastAsia="Arial" w:hAnsi="Arial"/>
                <w:sz w:val="32"/>
                <w:szCs w:val="32"/>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0" w:type="dxa"/>
            <w:vAlign w:val="bottom"/>
            <w:vMerge w:val="restart"/>
          </w:tcPr>
          <w:p>
            <w:pPr>
              <w:ind w:left="40"/>
              <w:spacing w:after="0"/>
              <w:rPr>
                <w:sz w:val="20"/>
                <w:szCs w:val="20"/>
                <w:color w:val="auto"/>
              </w:rPr>
            </w:pPr>
            <w:r>
              <w:rPr>
                <w:rFonts w:ascii="Arial" w:cs="Arial" w:eastAsia="Arial" w:hAnsi="Arial"/>
                <w:sz w:val="25"/>
                <w:szCs w:val="25"/>
                <w:b w:val="1"/>
                <w:bCs w:val="1"/>
                <w:color w:val="auto"/>
              </w:rPr>
              <w:t>12</w:t>
            </w:r>
          </w:p>
        </w:tc>
        <w:tc>
          <w:tcPr>
            <w:tcW w:w="880" w:type="dxa"/>
            <w:vAlign w:val="bottom"/>
            <w:tcBorders>
              <w:right w:val="single" w:sz="8" w:color="auto"/>
            </w:tcBorders>
          </w:tcPr>
          <w:p>
            <w:pPr>
              <w:spacing w:after="0"/>
              <w:rPr>
                <w:sz w:val="15"/>
                <w:szCs w:val="15"/>
                <w:color w:val="auto"/>
              </w:rPr>
            </w:pPr>
          </w:p>
        </w:tc>
        <w:tc>
          <w:tcPr>
            <w:tcW w:w="9060" w:type="dxa"/>
            <w:vAlign w:val="bottom"/>
            <w:gridSpan w:val="4"/>
          </w:tcPr>
          <w:p>
            <w:pPr>
              <w:spacing w:after="0"/>
              <w:rPr>
                <w:sz w:val="20"/>
                <w:szCs w:val="20"/>
                <w:color w:val="auto"/>
              </w:rPr>
            </w:pPr>
            <w:r>
              <w:rPr>
                <w:rFonts w:ascii="Arial" w:cs="Arial" w:eastAsia="Arial" w:hAnsi="Arial"/>
                <w:sz w:val="14"/>
                <w:szCs w:val="14"/>
                <w:color w:val="auto"/>
              </w:rPr>
              <w:t>TYPE OF REPORTING PERSON (SEE INSTRUCTIONS)</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IA</w:t>
            </w:r>
          </w:p>
        </w:tc>
        <w:tc>
          <w:tcPr>
            <w:tcW w:w="10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80" w:hanging="491"/>
        <w:spacing w:after="0"/>
        <w:tabs>
          <w:tab w:leader="none" w:pos="580" w:val="left"/>
        </w:tabs>
        <w:numPr>
          <w:ilvl w:val="0"/>
          <w:numId w:val="9"/>
        </w:numPr>
        <w:rPr>
          <w:rFonts w:ascii="Arial" w:cs="Arial" w:eastAsia="Arial" w:hAnsi="Arial"/>
          <w:sz w:val="19"/>
          <w:szCs w:val="19"/>
          <w:color w:val="auto"/>
        </w:rPr>
      </w:pPr>
      <w:r>
        <w:rPr>
          <w:rFonts w:ascii="Arial" w:cs="Arial" w:eastAsia="Arial" w:hAnsi="Arial"/>
          <w:sz w:val="19"/>
          <w:szCs w:val="19"/>
          <w:color w:val="auto"/>
        </w:rPr>
        <w:t>Based upon a total of 69,999,966 shares outstanding as of March 12, 2020, as reported on the Issuer’s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G48833118</w:t>
      </w:r>
    </w:p>
    <w:p>
      <w:pPr>
        <w:spacing w:after="0" w:line="234"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Item 1(a).</w:t>
      </w:r>
      <w:r>
        <w:rPr>
          <w:sz w:val="20"/>
          <w:szCs w:val="20"/>
          <w:color w:val="auto"/>
        </w:rPr>
        <w:tab/>
      </w:r>
      <w:r>
        <w:rPr>
          <w:rFonts w:ascii="Arial" w:cs="Arial" w:eastAsia="Arial" w:hAnsi="Arial"/>
          <w:sz w:val="19"/>
          <w:szCs w:val="19"/>
          <w:u w:val="single" w:color="auto"/>
          <w:color w:val="auto"/>
        </w:rPr>
        <w:t>Name of Issuer</w:t>
      </w:r>
      <w:r>
        <w:rPr>
          <w:rFonts w:ascii="Arial" w:cs="Arial" w:eastAsia="Arial" w:hAnsi="Arial"/>
          <w:sz w:val="19"/>
          <w:szCs w:val="19"/>
          <w:color w:val="auto"/>
        </w:rPr>
        <w:t>:</w:t>
      </w:r>
    </w:p>
    <w:p>
      <w:pPr>
        <w:spacing w:after="0" w:line="233" w:lineRule="exact"/>
        <w:rPr>
          <w:sz w:val="20"/>
          <w:szCs w:val="20"/>
          <w:color w:val="auto"/>
        </w:rPr>
      </w:pPr>
    </w:p>
    <w:p>
      <w:pPr>
        <w:jc w:val="center"/>
        <w:ind w:right="5760"/>
        <w:spacing w:after="0"/>
        <w:rPr>
          <w:sz w:val="20"/>
          <w:szCs w:val="20"/>
          <w:color w:val="auto"/>
        </w:rPr>
      </w:pPr>
      <w:r>
        <w:rPr>
          <w:rFonts w:ascii="Arial" w:cs="Arial" w:eastAsia="Arial" w:hAnsi="Arial"/>
          <w:sz w:val="22"/>
          <w:szCs w:val="22"/>
          <w:color w:val="auto"/>
        </w:rPr>
        <w:t>Weatherford International plc</w:t>
      </w:r>
    </w:p>
    <w:p>
      <w:pPr>
        <w:spacing w:after="0" w:line="23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Item 1(b).</w:t>
      </w:r>
      <w:r>
        <w:rPr>
          <w:sz w:val="20"/>
          <w:szCs w:val="20"/>
          <w:color w:val="auto"/>
        </w:rPr>
        <w:tab/>
      </w:r>
      <w:r>
        <w:rPr>
          <w:rFonts w:ascii="Arial" w:cs="Arial" w:eastAsia="Arial" w:hAnsi="Arial"/>
          <w:sz w:val="19"/>
          <w:szCs w:val="19"/>
          <w:u w:val="single" w:color="auto"/>
          <w:color w:val="auto"/>
        </w:rPr>
        <w:t>Address of Issuer’s Principal Executive Offices</w:t>
      </w:r>
      <w:r>
        <w:rPr>
          <w:rFonts w:ascii="Arial" w:cs="Arial" w:eastAsia="Arial" w:hAnsi="Arial"/>
          <w:sz w:val="19"/>
          <w:szCs w:val="19"/>
          <w:color w:val="auto"/>
        </w:rPr>
        <w:t>:</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2000 St. James Place</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Houston, TX 77056</w:t>
      </w:r>
    </w:p>
    <w:p>
      <w:pPr>
        <w:spacing w:after="0" w:line="215"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Item 2(a).</w:t>
      </w:r>
      <w:r>
        <w:rPr>
          <w:sz w:val="20"/>
          <w:szCs w:val="20"/>
          <w:color w:val="auto"/>
        </w:rPr>
        <w:tab/>
      </w:r>
      <w:r>
        <w:rPr>
          <w:rFonts w:ascii="Arial" w:cs="Arial" w:eastAsia="Arial" w:hAnsi="Arial"/>
          <w:sz w:val="19"/>
          <w:szCs w:val="19"/>
          <w:u w:val="single" w:color="auto"/>
          <w:color w:val="auto"/>
        </w:rPr>
        <w:t>Name of Person Filing</w:t>
      </w:r>
      <w:r>
        <w:rPr>
          <w:rFonts w:ascii="Arial" w:cs="Arial" w:eastAsia="Arial" w:hAnsi="Arial"/>
          <w:sz w:val="19"/>
          <w:szCs w:val="19"/>
          <w:color w:val="auto"/>
        </w:rPr>
        <w:t>:</w:t>
      </w:r>
    </w:p>
    <w:p>
      <w:pPr>
        <w:spacing w:after="0" w:line="233" w:lineRule="exact"/>
        <w:rPr>
          <w:sz w:val="20"/>
          <w:szCs w:val="20"/>
          <w:color w:val="auto"/>
        </w:rPr>
      </w:pPr>
    </w:p>
    <w:p>
      <w:pPr>
        <w:ind w:left="1460"/>
        <w:spacing w:after="0" w:line="235" w:lineRule="auto"/>
        <w:rPr>
          <w:sz w:val="20"/>
          <w:szCs w:val="20"/>
          <w:color w:val="auto"/>
        </w:rPr>
      </w:pPr>
      <w:r>
        <w:rPr>
          <w:rFonts w:ascii="Arial" w:cs="Arial" w:eastAsia="Arial" w:hAnsi="Arial"/>
          <w:sz w:val="22"/>
          <w:szCs w:val="22"/>
          <w:color w:val="auto"/>
        </w:rPr>
        <w:t>The persons filing this Schedule 13G are (i) Yacktman Asset Management LP, an investment adviser registered under Section 203 of the Investment Advisers Act of 1940 (the “</w:t>
      </w:r>
      <w:r>
        <w:rPr>
          <w:rFonts w:ascii="Arial" w:cs="Arial" w:eastAsia="Arial" w:hAnsi="Arial"/>
          <w:sz w:val="22"/>
          <w:szCs w:val="22"/>
          <w:u w:val="single" w:color="auto"/>
          <w:color w:val="auto"/>
        </w:rPr>
        <w:t>Adviser</w:t>
      </w:r>
      <w:r>
        <w:rPr>
          <w:rFonts w:ascii="Arial" w:cs="Arial" w:eastAsia="Arial" w:hAnsi="Arial"/>
          <w:sz w:val="22"/>
          <w:szCs w:val="22"/>
          <w:color w:val="auto"/>
        </w:rPr>
        <w:t>”); and (ii) AMG Yacktman Fund, a series of AMG Funds. AMG Funds is an investment company registered under the Investment Company Act of 1940 (the “</w:t>
      </w:r>
      <w:r>
        <w:rPr>
          <w:rFonts w:ascii="Arial" w:cs="Arial" w:eastAsia="Arial" w:hAnsi="Arial"/>
          <w:sz w:val="22"/>
          <w:szCs w:val="22"/>
          <w:u w:val="single" w:color="auto"/>
          <w:color w:val="auto"/>
        </w:rPr>
        <w:t>Trust</w:t>
      </w:r>
      <w:r>
        <w:rPr>
          <w:rFonts w:ascii="Arial" w:cs="Arial" w:eastAsia="Arial" w:hAnsi="Arial"/>
          <w:sz w:val="22"/>
          <w:szCs w:val="22"/>
          <w:color w:val="auto"/>
          <w:highlight w:val="white"/>
        </w:rPr>
        <w:t>”)</w:t>
      </w:r>
      <w:r>
        <w:rPr>
          <w:rFonts w:ascii="Arial" w:cs="Arial" w:eastAsia="Arial" w:hAnsi="Arial"/>
          <w:sz w:val="22"/>
          <w:szCs w:val="22"/>
          <w:color w:val="auto"/>
        </w:rPr>
        <w:t>. Attached as Exhibit 1 hereto, which is incorporated by reference herein, is an agreement between Yacktman Asset Management LP and AMG Yacktman Fund that this Schedule 13G is filed on behalf of each of them.</w:t>
      </w:r>
    </w:p>
    <w:p>
      <w:pPr>
        <w:spacing w:after="0" w:line="215"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Item 2(b).</w:t>
      </w:r>
      <w:r>
        <w:rPr>
          <w:sz w:val="20"/>
          <w:szCs w:val="20"/>
          <w:color w:val="auto"/>
        </w:rPr>
        <w:tab/>
      </w:r>
      <w:r>
        <w:rPr>
          <w:rFonts w:ascii="Arial" w:cs="Arial" w:eastAsia="Arial" w:hAnsi="Arial"/>
          <w:sz w:val="19"/>
          <w:szCs w:val="19"/>
          <w:u w:val="single" w:color="auto"/>
          <w:color w:val="auto"/>
        </w:rPr>
        <w:t>Address of Principal Business Office or, if none, Residence</w:t>
      </w:r>
      <w:r>
        <w:rPr>
          <w:rFonts w:ascii="Arial" w:cs="Arial" w:eastAsia="Arial" w:hAnsi="Arial"/>
          <w:sz w:val="19"/>
          <w:szCs w:val="19"/>
          <w:color w:val="auto"/>
        </w:rPr>
        <w:t>:</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6300 Bridgepoint Parkway</w:t>
      </w:r>
    </w:p>
    <w:p>
      <w:pPr>
        <w:ind w:left="1460"/>
        <w:spacing w:after="0" w:line="238" w:lineRule="auto"/>
        <w:rPr>
          <w:sz w:val="20"/>
          <w:szCs w:val="20"/>
          <w:color w:val="auto"/>
        </w:rPr>
      </w:pPr>
      <w:r>
        <w:rPr>
          <w:rFonts w:ascii="Arial" w:cs="Arial" w:eastAsia="Arial" w:hAnsi="Arial"/>
          <w:sz w:val="22"/>
          <w:szCs w:val="22"/>
          <w:color w:val="auto"/>
        </w:rPr>
        <w:t>Building One, Suite 500</w:t>
      </w:r>
    </w:p>
    <w:p>
      <w:pPr>
        <w:ind w:left="1460"/>
        <w:spacing w:after="0"/>
        <w:rPr>
          <w:sz w:val="20"/>
          <w:szCs w:val="20"/>
          <w:color w:val="auto"/>
        </w:rPr>
      </w:pPr>
      <w:r>
        <w:rPr>
          <w:rFonts w:ascii="Arial" w:cs="Arial" w:eastAsia="Arial" w:hAnsi="Arial"/>
          <w:sz w:val="22"/>
          <w:szCs w:val="22"/>
          <w:color w:val="auto"/>
        </w:rPr>
        <w:t>Austin, TX 78730</w:t>
      </w:r>
    </w:p>
    <w:p>
      <w:pPr>
        <w:spacing w:after="0" w:line="215"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Item 2(c).</w:t>
      </w:r>
      <w:r>
        <w:rPr>
          <w:sz w:val="20"/>
          <w:szCs w:val="20"/>
          <w:color w:val="auto"/>
        </w:rPr>
        <w:tab/>
      </w:r>
      <w:r>
        <w:rPr>
          <w:rFonts w:ascii="Arial" w:cs="Arial" w:eastAsia="Arial" w:hAnsi="Arial"/>
          <w:sz w:val="19"/>
          <w:szCs w:val="19"/>
          <w:u w:val="single" w:color="auto"/>
          <w:color w:val="auto"/>
        </w:rPr>
        <w:t>Citizenship</w:t>
      </w:r>
      <w:r>
        <w:rPr>
          <w:rFonts w:ascii="Arial" w:cs="Arial" w:eastAsia="Arial" w:hAnsi="Arial"/>
          <w:sz w:val="19"/>
          <w:szCs w:val="19"/>
          <w:color w:val="auto"/>
        </w:rPr>
        <w:t>:</w:t>
      </w:r>
    </w:p>
    <w:p>
      <w:pPr>
        <w:spacing w:after="0" w:line="233" w:lineRule="exact"/>
        <w:rPr>
          <w:sz w:val="20"/>
          <w:szCs w:val="20"/>
          <w:color w:val="auto"/>
        </w:rPr>
      </w:pPr>
    </w:p>
    <w:p>
      <w:pPr>
        <w:ind w:left="1460" w:right="240"/>
        <w:spacing w:after="0" w:line="250" w:lineRule="auto"/>
        <w:rPr>
          <w:sz w:val="20"/>
          <w:szCs w:val="20"/>
          <w:color w:val="auto"/>
        </w:rPr>
      </w:pPr>
      <w:r>
        <w:rPr>
          <w:rFonts w:ascii="Arial" w:cs="Arial" w:eastAsia="Arial" w:hAnsi="Arial"/>
          <w:sz w:val="22"/>
          <w:szCs w:val="22"/>
          <w:color w:val="auto"/>
        </w:rPr>
        <w:t>The Adviser is a Delaware limited partnership. AMG Yacktman Fund is a series of the Trust, a Massachusetts business trust.</w:t>
      </w:r>
    </w:p>
    <w:p>
      <w:pPr>
        <w:spacing w:after="0" w:line="202"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Item 2(d).</w:t>
      </w:r>
      <w:r>
        <w:rPr>
          <w:sz w:val="20"/>
          <w:szCs w:val="20"/>
          <w:color w:val="auto"/>
        </w:rPr>
        <w:tab/>
      </w:r>
      <w:r>
        <w:rPr>
          <w:rFonts w:ascii="Arial" w:cs="Arial" w:eastAsia="Arial" w:hAnsi="Arial"/>
          <w:sz w:val="19"/>
          <w:szCs w:val="19"/>
          <w:u w:val="single" w:color="auto"/>
          <w:color w:val="auto"/>
        </w:rPr>
        <w:t>Title of Class of Securities</w:t>
      </w:r>
      <w:r>
        <w:rPr>
          <w:rFonts w:ascii="Arial" w:cs="Arial" w:eastAsia="Arial" w:hAnsi="Arial"/>
          <w:sz w:val="19"/>
          <w:szCs w:val="19"/>
          <w:color w:val="auto"/>
        </w:rPr>
        <w:t>:</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Ordinary Shares</w:t>
      </w:r>
    </w:p>
    <w:p>
      <w:pPr>
        <w:spacing w:after="0" w:line="23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Item 2(e).</w:t>
      </w:r>
      <w:r>
        <w:rPr>
          <w:sz w:val="20"/>
          <w:szCs w:val="20"/>
          <w:color w:val="auto"/>
        </w:rPr>
        <w:tab/>
      </w:r>
      <w:r>
        <w:rPr>
          <w:rFonts w:ascii="Arial" w:cs="Arial" w:eastAsia="Arial" w:hAnsi="Arial"/>
          <w:sz w:val="19"/>
          <w:szCs w:val="19"/>
          <w:u w:val="single" w:color="auto"/>
          <w:color w:val="auto"/>
        </w:rPr>
        <w:t>CUSIP Number</w:t>
      </w:r>
      <w:r>
        <w:rPr>
          <w:rFonts w:ascii="Arial" w:cs="Arial" w:eastAsia="Arial" w:hAnsi="Arial"/>
          <w:sz w:val="19"/>
          <w:szCs w:val="19"/>
          <w:color w:val="auto"/>
        </w:rPr>
        <w:t>:</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G48833118</w:t>
      </w:r>
    </w:p>
    <w:p>
      <w:pPr>
        <w:spacing w:after="0" w:line="233" w:lineRule="exact"/>
        <w:rPr>
          <w:sz w:val="20"/>
          <w:szCs w:val="20"/>
          <w:color w:val="auto"/>
        </w:rPr>
      </w:pPr>
    </w:p>
    <w:p>
      <w:pPr>
        <w:ind w:left="1460" w:right="460" w:hanging="1457"/>
        <w:spacing w:after="0" w:line="250" w:lineRule="auto"/>
        <w:tabs>
          <w:tab w:leader="none" w:pos="144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22"/>
          <w:szCs w:val="22"/>
          <w:u w:val="single" w:color="auto"/>
          <w:color w:val="auto"/>
        </w:rPr>
        <w:t>If this statement is filed pursuant to sections 240.13d-1(b), or 240.13d-2(b) or (c), check whether the person filing is a</w:t>
      </w:r>
      <w:r>
        <w:rPr>
          <w:rFonts w:ascii="Arial" w:cs="Arial" w:eastAsia="Arial" w:hAnsi="Arial"/>
          <w:sz w:val="22"/>
          <w:szCs w:val="22"/>
          <w:color w:val="auto"/>
        </w:rPr>
        <w:t>:</w:t>
      </w:r>
    </w:p>
    <w:p>
      <w:pPr>
        <w:spacing w:after="0" w:line="215" w:lineRule="exact"/>
        <w:rPr>
          <w:sz w:val="20"/>
          <w:szCs w:val="20"/>
          <w:color w:val="auto"/>
        </w:rPr>
      </w:pPr>
    </w:p>
    <w:p>
      <w:pPr>
        <w:ind w:left="1960" w:right="220" w:hanging="8"/>
        <w:spacing w:after="0" w:line="250" w:lineRule="auto"/>
        <w:tabs>
          <w:tab w:leader="none" w:pos="2419" w:val="left"/>
        </w:tabs>
        <w:numPr>
          <w:ilvl w:val="0"/>
          <w:numId w:val="10"/>
        </w:numPr>
        <w:rPr>
          <w:rFonts w:ascii="MS PGothic" w:cs="MS PGothic" w:eastAsia="MS PGothic" w:hAnsi="MS PGothic"/>
          <w:sz w:val="22"/>
          <w:szCs w:val="22"/>
          <w:color w:val="auto"/>
        </w:rPr>
      </w:pPr>
      <w:r>
        <w:rPr>
          <w:rFonts w:ascii="Arial" w:cs="Arial" w:eastAsia="Arial" w:hAnsi="Arial"/>
          <w:sz w:val="22"/>
          <w:szCs w:val="22"/>
          <w:color w:val="auto"/>
        </w:rPr>
        <w:t>Investment company registered under section 8 of the Investment Company Act of 1940 (15 U.S.C. 80a-8).</w:t>
      </w:r>
    </w:p>
    <w:p>
      <w:pPr>
        <w:spacing w:after="0" w:line="215" w:lineRule="exact"/>
        <w:rPr>
          <w:rFonts w:ascii="MS PGothic" w:cs="MS PGothic" w:eastAsia="MS PGothic" w:hAnsi="MS PGothic"/>
          <w:sz w:val="22"/>
          <w:szCs w:val="22"/>
          <w:color w:val="auto"/>
        </w:rPr>
      </w:pPr>
    </w:p>
    <w:p>
      <w:pPr>
        <w:ind w:left="2420" w:hanging="468"/>
        <w:spacing w:after="0"/>
        <w:tabs>
          <w:tab w:leader="none" w:pos="2420" w:val="left"/>
        </w:tabs>
        <w:numPr>
          <w:ilvl w:val="0"/>
          <w:numId w:val="10"/>
        </w:numPr>
        <w:rPr>
          <w:rFonts w:ascii="MS PGothic" w:cs="MS PGothic" w:eastAsia="MS PGothic" w:hAnsi="MS PGothic"/>
          <w:sz w:val="22"/>
          <w:szCs w:val="22"/>
          <w:color w:val="auto"/>
        </w:rPr>
      </w:pPr>
      <w:r>
        <w:rPr>
          <w:rFonts w:ascii="Arial" w:cs="Arial" w:eastAsia="Arial" w:hAnsi="Arial"/>
          <w:sz w:val="22"/>
          <w:szCs w:val="22"/>
          <w:color w:val="auto"/>
        </w:rPr>
        <w:t>An investment adviser in accordance with section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G48833118</w:t>
      </w:r>
    </w:p>
    <w:p>
      <w:pPr>
        <w:spacing w:after="0" w:line="234"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u w:val="single" w:color="auto"/>
          <w:color w:val="auto"/>
        </w:rPr>
        <w:t>Ownership</w:t>
      </w:r>
      <w:r>
        <w:rPr>
          <w:rFonts w:ascii="Arial" w:cs="Arial" w:eastAsia="Arial" w:hAnsi="Arial"/>
          <w:sz w:val="19"/>
          <w:szCs w:val="19"/>
          <w:color w:val="auto"/>
        </w:rPr>
        <w:t>:</w:t>
      </w:r>
    </w:p>
    <w:p>
      <w:pPr>
        <w:spacing w:after="0" w:line="227" w:lineRule="exact"/>
        <w:rPr>
          <w:sz w:val="20"/>
          <w:szCs w:val="20"/>
          <w:color w:val="auto"/>
        </w:rPr>
      </w:pPr>
    </w:p>
    <w:p>
      <w:pPr>
        <w:ind w:left="1460"/>
        <w:spacing w:after="0"/>
        <w:rPr>
          <w:sz w:val="20"/>
          <w:szCs w:val="20"/>
          <w:color w:val="auto"/>
        </w:rPr>
      </w:pPr>
      <w:r>
        <w:rPr>
          <w:rFonts w:ascii="Arial" w:cs="Arial" w:eastAsia="Arial" w:hAnsi="Arial"/>
          <w:sz w:val="22"/>
          <w:szCs w:val="22"/>
          <w:b w:val="1"/>
          <w:bCs w:val="1"/>
          <w:color w:val="auto"/>
        </w:rPr>
        <w:t>Yacktman Asset Management LP</w:t>
      </w:r>
    </w:p>
    <w:p>
      <w:pPr>
        <w:spacing w:after="0" w:line="239" w:lineRule="exact"/>
        <w:rPr>
          <w:sz w:val="20"/>
          <w:szCs w:val="20"/>
          <w:color w:val="auto"/>
        </w:rPr>
      </w:pPr>
    </w:p>
    <w:p>
      <w:pPr>
        <w:ind w:left="1960" w:hanging="494"/>
        <w:spacing w:after="0"/>
        <w:tabs>
          <w:tab w:leader="none" w:pos="19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Amount Beneficially Owned: 8,206,446</w:t>
      </w:r>
    </w:p>
    <w:p>
      <w:pPr>
        <w:spacing w:after="0" w:line="233" w:lineRule="exact"/>
        <w:rPr>
          <w:rFonts w:ascii="Arial" w:cs="Arial" w:eastAsia="Arial" w:hAnsi="Arial"/>
          <w:sz w:val="22"/>
          <w:szCs w:val="22"/>
          <w:color w:val="auto"/>
        </w:rPr>
      </w:pPr>
    </w:p>
    <w:p>
      <w:pPr>
        <w:ind w:left="1960" w:hanging="494"/>
        <w:spacing w:after="0"/>
        <w:tabs>
          <w:tab w:leader="none" w:pos="19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Percent of Class: 11.72%</w:t>
      </w:r>
    </w:p>
    <w:p>
      <w:pPr>
        <w:spacing w:after="0" w:line="233" w:lineRule="exact"/>
        <w:rPr>
          <w:rFonts w:ascii="Arial" w:cs="Arial" w:eastAsia="Arial" w:hAnsi="Arial"/>
          <w:sz w:val="22"/>
          <w:szCs w:val="22"/>
          <w:color w:val="auto"/>
        </w:rPr>
      </w:pPr>
    </w:p>
    <w:p>
      <w:pPr>
        <w:ind w:left="1960" w:hanging="494"/>
        <w:spacing w:after="0"/>
        <w:tabs>
          <w:tab w:leader="none" w:pos="19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233" w:lineRule="exact"/>
        <w:rPr>
          <w:rFonts w:ascii="Arial" w:cs="Arial" w:eastAsia="Arial" w:hAnsi="Arial"/>
          <w:sz w:val="22"/>
          <w:szCs w:val="22"/>
          <w:color w:val="auto"/>
        </w:rPr>
      </w:pPr>
    </w:p>
    <w:p>
      <w:pPr>
        <w:ind w:left="2360" w:hanging="408"/>
        <w:spacing w:after="0"/>
        <w:tabs>
          <w:tab w:leader="none" w:pos="236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sole power to vote or to direct the vote: 2,762,545</w:t>
      </w:r>
    </w:p>
    <w:p>
      <w:pPr>
        <w:spacing w:after="0" w:line="233" w:lineRule="exact"/>
        <w:rPr>
          <w:rFonts w:ascii="Arial" w:cs="Arial" w:eastAsia="Arial" w:hAnsi="Arial"/>
          <w:sz w:val="22"/>
          <w:szCs w:val="22"/>
          <w:color w:val="auto"/>
        </w:rPr>
      </w:pPr>
    </w:p>
    <w:p>
      <w:pPr>
        <w:ind w:left="2360" w:hanging="408"/>
        <w:spacing w:after="0"/>
        <w:tabs>
          <w:tab w:leader="none" w:pos="236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shared power to vote or to direct the vote: 5,443,901</w:t>
      </w:r>
    </w:p>
    <w:p>
      <w:pPr>
        <w:spacing w:after="0" w:line="233" w:lineRule="exact"/>
        <w:rPr>
          <w:rFonts w:ascii="Arial" w:cs="Arial" w:eastAsia="Arial" w:hAnsi="Arial"/>
          <w:sz w:val="22"/>
          <w:szCs w:val="22"/>
          <w:color w:val="auto"/>
        </w:rPr>
      </w:pPr>
    </w:p>
    <w:p>
      <w:pPr>
        <w:ind w:left="2360" w:hanging="408"/>
        <w:spacing w:after="0"/>
        <w:tabs>
          <w:tab w:leader="none" w:pos="236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2,762,545</w:t>
      </w:r>
    </w:p>
    <w:p>
      <w:pPr>
        <w:spacing w:after="0" w:line="233" w:lineRule="exact"/>
        <w:rPr>
          <w:rFonts w:ascii="Arial" w:cs="Arial" w:eastAsia="Arial" w:hAnsi="Arial"/>
          <w:sz w:val="22"/>
          <w:szCs w:val="22"/>
          <w:color w:val="auto"/>
        </w:rPr>
      </w:pPr>
    </w:p>
    <w:p>
      <w:pPr>
        <w:ind w:left="2360" w:hanging="408"/>
        <w:spacing w:after="0"/>
        <w:tabs>
          <w:tab w:leader="none" w:pos="236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5,443,901</w:t>
      </w:r>
    </w:p>
    <w:p>
      <w:pPr>
        <w:spacing w:after="0" w:line="227" w:lineRule="exact"/>
        <w:rPr>
          <w:sz w:val="20"/>
          <w:szCs w:val="20"/>
          <w:color w:val="auto"/>
        </w:rPr>
      </w:pPr>
    </w:p>
    <w:p>
      <w:pPr>
        <w:ind w:left="1460"/>
        <w:spacing w:after="0"/>
        <w:rPr>
          <w:sz w:val="20"/>
          <w:szCs w:val="20"/>
          <w:color w:val="auto"/>
        </w:rPr>
      </w:pPr>
      <w:r>
        <w:rPr>
          <w:rFonts w:ascii="Arial" w:cs="Arial" w:eastAsia="Arial" w:hAnsi="Arial"/>
          <w:sz w:val="22"/>
          <w:szCs w:val="22"/>
          <w:b w:val="1"/>
          <w:bCs w:val="1"/>
          <w:color w:val="auto"/>
        </w:rPr>
        <w:t>AMG Yacktman Fund</w:t>
      </w:r>
    </w:p>
    <w:p>
      <w:pPr>
        <w:spacing w:after="0" w:line="239" w:lineRule="exact"/>
        <w:rPr>
          <w:sz w:val="20"/>
          <w:szCs w:val="20"/>
          <w:color w:val="auto"/>
        </w:rPr>
      </w:pPr>
    </w:p>
    <w:p>
      <w:pPr>
        <w:ind w:left="1960" w:hanging="494"/>
        <w:spacing w:after="0"/>
        <w:tabs>
          <w:tab w:leader="none" w:pos="19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Amount Beneficially Owned: 5,443,901</w:t>
      </w:r>
    </w:p>
    <w:p>
      <w:pPr>
        <w:spacing w:after="0" w:line="233" w:lineRule="exact"/>
        <w:rPr>
          <w:rFonts w:ascii="Arial" w:cs="Arial" w:eastAsia="Arial" w:hAnsi="Arial"/>
          <w:sz w:val="22"/>
          <w:szCs w:val="22"/>
          <w:color w:val="auto"/>
        </w:rPr>
      </w:pPr>
    </w:p>
    <w:p>
      <w:pPr>
        <w:ind w:left="1960" w:hanging="494"/>
        <w:spacing w:after="0"/>
        <w:tabs>
          <w:tab w:leader="none" w:pos="19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7.78%</w:t>
      </w:r>
    </w:p>
    <w:p>
      <w:pPr>
        <w:spacing w:after="0" w:line="233" w:lineRule="exact"/>
        <w:rPr>
          <w:rFonts w:ascii="Arial" w:cs="Arial" w:eastAsia="Arial" w:hAnsi="Arial"/>
          <w:sz w:val="22"/>
          <w:szCs w:val="22"/>
          <w:color w:val="auto"/>
        </w:rPr>
      </w:pPr>
    </w:p>
    <w:p>
      <w:pPr>
        <w:ind w:left="1960" w:hanging="494"/>
        <w:spacing w:after="0"/>
        <w:tabs>
          <w:tab w:leader="none" w:pos="19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233" w:lineRule="exact"/>
        <w:rPr>
          <w:rFonts w:ascii="Arial" w:cs="Arial" w:eastAsia="Arial" w:hAnsi="Arial"/>
          <w:sz w:val="22"/>
          <w:szCs w:val="22"/>
          <w:color w:val="auto"/>
        </w:rPr>
      </w:pPr>
    </w:p>
    <w:p>
      <w:pPr>
        <w:ind w:left="2360" w:hanging="408"/>
        <w:spacing w:after="0"/>
        <w:tabs>
          <w:tab w:leader="none" w:pos="23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spacing w:after="0" w:line="233" w:lineRule="exact"/>
        <w:rPr>
          <w:rFonts w:ascii="Arial" w:cs="Arial" w:eastAsia="Arial" w:hAnsi="Arial"/>
          <w:sz w:val="22"/>
          <w:szCs w:val="22"/>
          <w:color w:val="auto"/>
        </w:rPr>
      </w:pPr>
    </w:p>
    <w:p>
      <w:pPr>
        <w:ind w:left="2360" w:hanging="408"/>
        <w:spacing w:after="0"/>
        <w:tabs>
          <w:tab w:leader="none" w:pos="23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vote or to direct the vote: 5,443,901</w:t>
      </w:r>
    </w:p>
    <w:p>
      <w:pPr>
        <w:spacing w:after="0" w:line="233" w:lineRule="exact"/>
        <w:rPr>
          <w:rFonts w:ascii="Arial" w:cs="Arial" w:eastAsia="Arial" w:hAnsi="Arial"/>
          <w:sz w:val="22"/>
          <w:szCs w:val="22"/>
          <w:color w:val="auto"/>
        </w:rPr>
      </w:pPr>
    </w:p>
    <w:p>
      <w:pPr>
        <w:ind w:left="2360" w:hanging="408"/>
        <w:spacing w:after="0"/>
        <w:tabs>
          <w:tab w:leader="none" w:pos="23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line="233" w:lineRule="exact"/>
        <w:rPr>
          <w:rFonts w:ascii="Arial" w:cs="Arial" w:eastAsia="Arial" w:hAnsi="Arial"/>
          <w:sz w:val="22"/>
          <w:szCs w:val="22"/>
          <w:color w:val="auto"/>
        </w:rPr>
      </w:pPr>
    </w:p>
    <w:p>
      <w:pPr>
        <w:ind w:left="2360" w:hanging="408"/>
        <w:spacing w:after="0"/>
        <w:tabs>
          <w:tab w:leader="none" w:pos="23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5,443,901</w:t>
      </w:r>
    </w:p>
    <w:p>
      <w:pPr>
        <w:spacing w:after="0" w:line="233" w:lineRule="exact"/>
        <w:rPr>
          <w:rFonts w:ascii="Arial" w:cs="Arial" w:eastAsia="Arial" w:hAnsi="Arial"/>
          <w:sz w:val="22"/>
          <w:szCs w:val="22"/>
          <w:color w:val="auto"/>
        </w:rPr>
      </w:pPr>
    </w:p>
    <w:p>
      <w:pPr>
        <w:ind w:left="1460" w:right="5780" w:hanging="1458"/>
        <w:spacing w:after="0" w:line="461" w:lineRule="auto"/>
        <w:rPr>
          <w:rFonts w:ascii="Arial" w:cs="Arial" w:eastAsia="Arial" w:hAnsi="Arial"/>
          <w:sz w:val="22"/>
          <w:szCs w:val="22"/>
          <w:color w:val="auto"/>
        </w:rPr>
      </w:pPr>
      <w:r>
        <w:rPr>
          <w:rFonts w:ascii="Arial" w:cs="Arial" w:eastAsia="Arial" w:hAnsi="Arial"/>
          <w:sz w:val="22"/>
          <w:szCs w:val="22"/>
          <w:color w:val="auto"/>
        </w:rPr>
        <w:t>Item 5.</w:t>
      </w:r>
      <w:r>
        <w:rPr>
          <w:rFonts w:ascii="Arial" w:cs="Arial" w:eastAsia="Arial" w:hAnsi="Arial"/>
          <w:sz w:val="22"/>
          <w:szCs w:val="22"/>
          <w:u w:val="single" w:color="auto"/>
          <w:color w:val="auto"/>
        </w:rPr>
        <w:t>Ownership of Five Percent or Less of a Class</w:t>
      </w:r>
      <w:r>
        <w:rPr>
          <w:rFonts w:ascii="Arial" w:cs="Arial" w:eastAsia="Arial" w:hAnsi="Arial"/>
          <w:sz w:val="22"/>
          <w:szCs w:val="22"/>
          <w:color w:val="auto"/>
        </w:rPr>
        <w:t>:</w:t>
      </w:r>
      <w:r>
        <w:rPr>
          <w:rFonts w:ascii="Arial" w:cs="Arial" w:eastAsia="Arial" w:hAnsi="Arial"/>
          <w:sz w:val="22"/>
          <w:szCs w:val="22"/>
          <w:u w:val="single" w:color="auto"/>
          <w:color w:val="auto"/>
        </w:rPr>
        <w:t xml:space="preserve"> </w:t>
      </w:r>
      <w:r>
        <w:rPr>
          <w:rFonts w:ascii="Arial" w:cs="Arial" w:eastAsia="Arial" w:hAnsi="Arial"/>
          <w:sz w:val="22"/>
          <w:szCs w:val="22"/>
          <w:color w:val="auto"/>
        </w:rPr>
        <w:t>N/A</w:t>
      </w:r>
    </w:p>
    <w:p>
      <w:pPr>
        <w:spacing w:after="0"/>
        <w:tabs>
          <w:tab w:leader="none" w:pos="144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u w:val="single" w:color="auto"/>
          <w:color w:val="auto"/>
        </w:rPr>
        <w:t>Ownership of More than Five Percent on Behalf of Another Person</w:t>
      </w:r>
      <w:r>
        <w:rPr>
          <w:rFonts w:ascii="Arial" w:cs="Arial" w:eastAsia="Arial" w:hAnsi="Arial"/>
          <w:sz w:val="19"/>
          <w:szCs w:val="19"/>
          <w:color w:val="auto"/>
        </w:rPr>
        <w:t>:</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N/A</w:t>
      </w:r>
    </w:p>
    <w:p>
      <w:pPr>
        <w:spacing w:after="0" w:line="233" w:lineRule="exact"/>
        <w:rPr>
          <w:sz w:val="20"/>
          <w:szCs w:val="20"/>
          <w:color w:val="auto"/>
        </w:rPr>
      </w:pPr>
    </w:p>
    <w:p>
      <w:pPr>
        <w:ind w:left="1460" w:hanging="1457"/>
        <w:spacing w:after="0" w:line="250" w:lineRule="auto"/>
        <w:tabs>
          <w:tab w:leader="none" w:pos="1440" w:val="left"/>
        </w:tabs>
        <w:rPr>
          <w:sz w:val="20"/>
          <w:szCs w:val="20"/>
          <w:color w:val="auto"/>
        </w:rPr>
      </w:pPr>
      <w:r>
        <w:rPr>
          <w:rFonts w:ascii="Arial" w:cs="Arial" w:eastAsia="Arial" w:hAnsi="Arial"/>
          <w:sz w:val="22"/>
          <w:szCs w:val="22"/>
          <w:color w:val="auto"/>
        </w:rPr>
        <w:t>Item 7.</w:t>
      </w:r>
      <w:r>
        <w:rPr>
          <w:sz w:val="20"/>
          <w:szCs w:val="20"/>
          <w:color w:val="auto"/>
        </w:rPr>
        <w:tab/>
      </w:r>
      <w:r>
        <w:rPr>
          <w:rFonts w:ascii="Arial" w:cs="Arial" w:eastAsia="Arial" w:hAnsi="Arial"/>
          <w:sz w:val="22"/>
          <w:szCs w:val="22"/>
          <w:u w:val="single" w:color="auto"/>
          <w:color w:val="auto"/>
        </w:rPr>
        <w:t>Identification and Classification of the Subsidiary Which Acquired the Security Being Reported on by the Parent Holding Company or Control Person</w:t>
      </w:r>
      <w:r>
        <w:rPr>
          <w:rFonts w:ascii="Arial" w:cs="Arial" w:eastAsia="Arial" w:hAnsi="Arial"/>
          <w:sz w:val="22"/>
          <w:szCs w:val="22"/>
          <w:color w:val="auto"/>
        </w:rPr>
        <w:t>:</w:t>
      </w:r>
    </w:p>
    <w:p>
      <w:pPr>
        <w:spacing w:after="0" w:line="202"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N/A</w:t>
      </w:r>
    </w:p>
    <w:p>
      <w:pPr>
        <w:spacing w:after="0" w:line="23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Item 8.</w:t>
      </w:r>
      <w:r>
        <w:rPr>
          <w:sz w:val="20"/>
          <w:szCs w:val="20"/>
          <w:color w:val="auto"/>
        </w:rPr>
        <w:tab/>
      </w:r>
      <w:r>
        <w:rPr>
          <w:rFonts w:ascii="Arial" w:cs="Arial" w:eastAsia="Arial" w:hAnsi="Arial"/>
          <w:sz w:val="19"/>
          <w:szCs w:val="19"/>
          <w:u w:val="single" w:color="auto"/>
          <w:color w:val="auto"/>
        </w:rPr>
        <w:t>Identification and Classification of Members of the Group</w:t>
      </w:r>
      <w:r>
        <w:rPr>
          <w:rFonts w:ascii="Arial" w:cs="Arial" w:eastAsia="Arial" w:hAnsi="Arial"/>
          <w:sz w:val="19"/>
          <w:szCs w:val="19"/>
          <w:color w:val="auto"/>
        </w:rPr>
        <w:t>:</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N/A</w:t>
      </w:r>
    </w:p>
    <w:p>
      <w:pPr>
        <w:spacing w:after="0" w:line="23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Item 9.</w:t>
      </w:r>
      <w:r>
        <w:rPr>
          <w:sz w:val="20"/>
          <w:szCs w:val="20"/>
          <w:color w:val="auto"/>
        </w:rPr>
        <w:tab/>
      </w:r>
      <w:r>
        <w:rPr>
          <w:rFonts w:ascii="Arial" w:cs="Arial" w:eastAsia="Arial" w:hAnsi="Arial"/>
          <w:sz w:val="19"/>
          <w:szCs w:val="19"/>
          <w:u w:val="single" w:color="auto"/>
          <w:color w:val="auto"/>
        </w:rPr>
        <w:t>Notice of Dissolution of Group</w:t>
      </w:r>
      <w:r>
        <w:rPr>
          <w:rFonts w:ascii="Arial" w:cs="Arial" w:eastAsia="Arial" w:hAnsi="Arial"/>
          <w:sz w:val="19"/>
          <w:szCs w:val="19"/>
          <w:color w:val="auto"/>
        </w:rPr>
        <w:t>:</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G48833118</w:t>
      </w:r>
    </w:p>
    <w:p>
      <w:pPr>
        <w:spacing w:after="0" w:line="234"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Item 10.</w:t>
      </w:r>
      <w:r>
        <w:rPr>
          <w:sz w:val="20"/>
          <w:szCs w:val="20"/>
          <w:color w:val="auto"/>
        </w:rPr>
        <w:tab/>
      </w:r>
      <w:r>
        <w:rPr>
          <w:rFonts w:ascii="Arial" w:cs="Arial" w:eastAsia="Arial" w:hAnsi="Arial"/>
          <w:sz w:val="19"/>
          <w:szCs w:val="19"/>
          <w:u w:val="single" w:color="auto"/>
          <w:color w:val="auto"/>
        </w:rPr>
        <w:t>Certification</w:t>
      </w:r>
      <w:r>
        <w:rPr>
          <w:rFonts w:ascii="Arial" w:cs="Arial" w:eastAsia="Arial" w:hAnsi="Arial"/>
          <w:sz w:val="19"/>
          <w:szCs w:val="19"/>
          <w:color w:val="auto"/>
        </w:rPr>
        <w:t>:</w:t>
      </w:r>
    </w:p>
    <w:p>
      <w:pPr>
        <w:spacing w:after="0" w:line="233" w:lineRule="exact"/>
        <w:rPr>
          <w:sz w:val="20"/>
          <w:szCs w:val="20"/>
          <w:color w:val="auto"/>
        </w:rPr>
      </w:pPr>
    </w:p>
    <w:p>
      <w:pPr>
        <w:ind w:left="1460" w:right="18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0" w:lineRule="exact"/>
        <w:rPr>
          <w:sz w:val="20"/>
          <w:szCs w:val="20"/>
          <w:color w:val="auto"/>
        </w:rPr>
      </w:pPr>
    </w:p>
    <w:p>
      <w:pPr>
        <w:ind w:left="1460"/>
        <w:spacing w:after="0"/>
        <w:rPr>
          <w:sz w:val="20"/>
          <w:szCs w:val="20"/>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233" w:lineRule="exact"/>
        <w:rPr>
          <w:sz w:val="20"/>
          <w:szCs w:val="20"/>
          <w:color w:val="auto"/>
        </w:rPr>
      </w:pPr>
    </w:p>
    <w:p>
      <w:pPr>
        <w:ind w:left="1960" w:hanging="494"/>
        <w:spacing w:after="0"/>
        <w:tabs>
          <w:tab w:leader="none" w:pos="19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Agreement to file Schedule 13G jointly.</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1296"/>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April 7, 2020</w:t>
      </w:r>
    </w:p>
    <w:p>
      <w:pPr>
        <w:spacing w:after="0" w:line="200" w:lineRule="exact"/>
        <w:rPr>
          <w:sz w:val="20"/>
          <w:szCs w:val="20"/>
          <w:color w:val="auto"/>
        </w:rPr>
      </w:pPr>
    </w:p>
    <w:p>
      <w:pPr>
        <w:spacing w:after="0" w:line="27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YACKTMAN ASSET MANAGEMENT LP</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22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2380" w:type="dxa"/>
            <w:vAlign w:val="bottom"/>
            <w:gridSpan w:val="2"/>
          </w:tcPr>
          <w:p>
            <w:pPr>
              <w:spacing w:after="0"/>
              <w:rPr>
                <w:sz w:val="20"/>
                <w:szCs w:val="20"/>
                <w:color w:val="auto"/>
              </w:rPr>
            </w:pPr>
            <w:r>
              <w:rPr>
                <w:rFonts w:ascii="Arial" w:cs="Arial" w:eastAsia="Arial" w:hAnsi="Arial"/>
                <w:sz w:val="22"/>
                <w:szCs w:val="22"/>
                <w:color w:val="auto"/>
              </w:rPr>
              <w:t>/s/ Russell G. Wilkins</w:t>
            </w:r>
          </w:p>
        </w:tc>
      </w:tr>
      <w:tr>
        <w:trPr>
          <w:trHeight w:val="20"/>
        </w:trPr>
        <w:tc>
          <w:tcPr>
            <w:tcW w:w="8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74"/>
        </w:trPr>
        <w:tc>
          <w:tcPr>
            <w:tcW w:w="800" w:type="dxa"/>
            <w:vAlign w:val="bottom"/>
          </w:tcPr>
          <w:p>
            <w:pPr>
              <w:spacing w:after="0"/>
              <w:rPr>
                <w:sz w:val="23"/>
                <w:szCs w:val="23"/>
                <w:color w:val="auto"/>
              </w:rPr>
            </w:pPr>
          </w:p>
        </w:tc>
        <w:tc>
          <w:tcPr>
            <w:tcW w:w="2380" w:type="dxa"/>
            <w:vAlign w:val="bottom"/>
            <w:gridSpan w:val="2"/>
          </w:tcPr>
          <w:p>
            <w:pPr>
              <w:ind w:left="20"/>
              <w:spacing w:after="0"/>
              <w:rPr>
                <w:sz w:val="20"/>
                <w:szCs w:val="20"/>
                <w:color w:val="auto"/>
              </w:rPr>
            </w:pPr>
            <w:r>
              <w:rPr>
                <w:rFonts w:ascii="Arial" w:cs="Arial" w:eastAsia="Arial" w:hAnsi="Arial"/>
                <w:sz w:val="22"/>
                <w:szCs w:val="22"/>
                <w:color w:val="auto"/>
                <w:w w:val="89"/>
              </w:rPr>
              <w:t>Russell G. Wilkins, Partner</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AMG FUNDS ON BEHALF OF ITS SERIES</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AMG YACKTMAN FUND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20" w:type="dxa"/>
            <w:vAlign w:val="bottom"/>
          </w:tcPr>
          <w:p>
            <w:pPr>
              <w:ind w:left="4220"/>
              <w:spacing w:after="0"/>
              <w:rPr>
                <w:sz w:val="20"/>
                <w:szCs w:val="20"/>
                <w:color w:val="auto"/>
              </w:rPr>
            </w:pPr>
            <w:r>
              <w:rPr>
                <w:rFonts w:ascii="Arial" w:cs="Arial" w:eastAsia="Arial" w:hAnsi="Arial"/>
                <w:sz w:val="22"/>
                <w:szCs w:val="22"/>
                <w:color w:val="auto"/>
              </w:rPr>
              <w:t>By:</w:t>
            </w:r>
          </w:p>
        </w:tc>
        <w:tc>
          <w:tcPr>
            <w:tcW w:w="17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/s/ Patrick Spellman</w:t>
            </w:r>
          </w:p>
        </w:tc>
        <w:tc>
          <w:tcPr>
            <w:tcW w:w="4480" w:type="dxa"/>
            <w:vAlign w:val="bottom"/>
          </w:tcPr>
          <w:p>
            <w:pPr>
              <w:spacing w:after="0"/>
              <w:rPr>
                <w:sz w:val="21"/>
                <w:szCs w:val="21"/>
                <w:color w:val="auto"/>
              </w:rPr>
            </w:pPr>
          </w:p>
        </w:tc>
      </w:tr>
      <w:tr>
        <w:trPr>
          <w:trHeight w:val="274"/>
        </w:trPr>
        <w:tc>
          <w:tcPr>
            <w:tcW w:w="5020" w:type="dxa"/>
            <w:vAlign w:val="bottom"/>
          </w:tcPr>
          <w:p>
            <w:pPr>
              <w:spacing w:after="0"/>
              <w:rPr>
                <w:sz w:val="23"/>
                <w:szCs w:val="23"/>
                <w:color w:val="auto"/>
              </w:rPr>
            </w:pPr>
          </w:p>
        </w:tc>
        <w:tc>
          <w:tcPr>
            <w:tcW w:w="6220" w:type="dxa"/>
            <w:vAlign w:val="bottom"/>
            <w:gridSpan w:val="2"/>
          </w:tcPr>
          <w:p>
            <w:pPr>
              <w:ind w:left="20"/>
              <w:spacing w:after="0"/>
              <w:rPr>
                <w:sz w:val="20"/>
                <w:szCs w:val="20"/>
                <w:color w:val="auto"/>
              </w:rPr>
            </w:pPr>
            <w:r>
              <w:rPr>
                <w:rFonts w:ascii="Arial" w:cs="Arial" w:eastAsia="Arial" w:hAnsi="Arial"/>
                <w:sz w:val="22"/>
                <w:szCs w:val="22"/>
                <w:color w:val="auto"/>
              </w:rPr>
              <w:t>Patrick Spellman, Chief Compliance Officer</w:t>
            </w:r>
          </w:p>
        </w:tc>
      </w:tr>
      <w:tr>
        <w:trPr>
          <w:trHeight w:val="172"/>
        </w:trPr>
        <w:tc>
          <w:tcPr>
            <w:tcW w:w="50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448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1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EXHIBIT 1</w:t>
      </w:r>
    </w:p>
    <w:p>
      <w:pPr>
        <w:spacing w:after="0" w:line="213" w:lineRule="exact"/>
        <w:rPr>
          <w:sz w:val="20"/>
          <w:szCs w:val="20"/>
          <w:color w:val="auto"/>
        </w:rPr>
      </w:pPr>
    </w:p>
    <w:p>
      <w:pPr>
        <w:jc w:val="both"/>
        <w:ind w:right="20" w:firstLine="1296"/>
        <w:spacing w:after="0" w:line="274" w:lineRule="auto"/>
        <w:rPr>
          <w:sz w:val="20"/>
          <w:szCs w:val="20"/>
          <w:color w:val="auto"/>
        </w:rPr>
      </w:pPr>
      <w:r>
        <w:rPr>
          <w:rFonts w:ascii="Arial" w:cs="Arial" w:eastAsia="Arial" w:hAnsi="Arial"/>
          <w:sz w:val="21"/>
          <w:szCs w:val="21"/>
          <w:color w:val="auto"/>
        </w:rPr>
        <w:t>AGREEMENT, dated as of April 7, 2020, by and among Yacktman Asset Management LP, a Delaware limited partnership, and AMG Funds, a Massachusetts business trust, on behalf of its series AMG Yacktman Fund.</w:t>
      </w:r>
    </w:p>
    <w:p>
      <w:pPr>
        <w:spacing w:after="0" w:line="151"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WHEREAS, in accordance with Rule 13d-1(k) of the Securities Exchange Act of 1934 (the “</w:t>
      </w:r>
      <w:r>
        <w:rPr>
          <w:rFonts w:ascii="Arial" w:cs="Arial" w:eastAsia="Arial" w:hAnsi="Arial"/>
          <w:sz w:val="19"/>
          <w:szCs w:val="19"/>
          <w:u w:val="single" w:color="auto"/>
          <w:color w:val="auto"/>
        </w:rPr>
        <w:t>Act</w:t>
      </w:r>
      <w:r>
        <w:rPr>
          <w:rFonts w:ascii="Arial" w:cs="Arial" w:eastAsia="Arial" w:hAnsi="Arial"/>
          <w:sz w:val="19"/>
          <w:szCs w:val="19"/>
          <w:color w:val="auto"/>
        </w:rPr>
        <w:t>”), only one such statement need be filed whenever two or more persons are required to file a statement pursuant to Section 13(d) of the Act with respect to the same securities, provided that said persons agree in writing that such statement is filed on behalf of each of them.</w:t>
      </w:r>
    </w:p>
    <w:p>
      <w:pPr>
        <w:spacing w:after="0" w:line="13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NOW, THEREFORE, in consideration of the premises and mutual agreements herein contained, the parties hereto agree as follows:</w:t>
      </w:r>
    </w:p>
    <w:p>
      <w:pPr>
        <w:spacing w:after="0" w:line="17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1"/>
          <w:szCs w:val="21"/>
          <w:color w:val="auto"/>
        </w:rPr>
        <w:t>Yacktman Asset Management LP and AMG Funds, on behalf of its series AMG Yacktman Fund, hereby agree, in accordance with Rule 13d-1(k) under the Act, to file one statement on Schedule 13G relating to their ownership of the Common Stock of Weatherford International plc and hereby further agree that said statement shall be filed on behalf of Yacktman Asset Management LP and AMG Yacktman Fund Nothing herein shall be deemed to be an admission that the parties hereto, or any of them, are members of a “group” (within the meaning of Section 13(d) of the Act and the rules promulgated thereunder) with respect to any securities of Weatherford International plc.</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WITNESS WHEREOF, the parties have executed this agreement as of the date first written above.</w:t>
      </w:r>
    </w:p>
    <w:p>
      <w:pPr>
        <w:spacing w:after="0" w:line="20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YACKTMAN ASSET MANAGEMENT LP</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22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2380" w:type="dxa"/>
            <w:vAlign w:val="bottom"/>
            <w:gridSpan w:val="2"/>
          </w:tcPr>
          <w:p>
            <w:pPr>
              <w:spacing w:after="0"/>
              <w:rPr>
                <w:sz w:val="20"/>
                <w:szCs w:val="20"/>
                <w:color w:val="auto"/>
              </w:rPr>
            </w:pPr>
            <w:r>
              <w:rPr>
                <w:rFonts w:ascii="Arial" w:cs="Arial" w:eastAsia="Arial" w:hAnsi="Arial"/>
                <w:sz w:val="22"/>
                <w:szCs w:val="22"/>
                <w:color w:val="auto"/>
              </w:rPr>
              <w:t>/s/ Russell G. Wilkins</w:t>
            </w:r>
          </w:p>
        </w:tc>
      </w:tr>
      <w:tr>
        <w:trPr>
          <w:trHeight w:val="20"/>
        </w:trPr>
        <w:tc>
          <w:tcPr>
            <w:tcW w:w="8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73"/>
        </w:trPr>
        <w:tc>
          <w:tcPr>
            <w:tcW w:w="800" w:type="dxa"/>
            <w:vAlign w:val="bottom"/>
          </w:tcPr>
          <w:p>
            <w:pPr>
              <w:spacing w:after="0"/>
              <w:rPr>
                <w:sz w:val="23"/>
                <w:szCs w:val="23"/>
                <w:color w:val="auto"/>
              </w:rPr>
            </w:pPr>
          </w:p>
        </w:tc>
        <w:tc>
          <w:tcPr>
            <w:tcW w:w="2380" w:type="dxa"/>
            <w:vAlign w:val="bottom"/>
            <w:gridSpan w:val="2"/>
          </w:tcPr>
          <w:p>
            <w:pPr>
              <w:ind w:left="20"/>
              <w:spacing w:after="0"/>
              <w:rPr>
                <w:sz w:val="20"/>
                <w:szCs w:val="20"/>
                <w:color w:val="auto"/>
              </w:rPr>
            </w:pPr>
            <w:r>
              <w:rPr>
                <w:rFonts w:ascii="Arial" w:cs="Arial" w:eastAsia="Arial" w:hAnsi="Arial"/>
                <w:sz w:val="22"/>
                <w:szCs w:val="22"/>
                <w:color w:val="auto"/>
                <w:w w:val="89"/>
              </w:rPr>
              <w:t>Russell G. Wilkins, Partner</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AMG FUNDS ON BEHALF OF ITS SERIES</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AMG YACKTMAN FUND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22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17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/s/ Patrick Spellman</w:t>
            </w:r>
          </w:p>
        </w:tc>
        <w:tc>
          <w:tcPr>
            <w:tcW w:w="2120" w:type="dxa"/>
            <w:vAlign w:val="bottom"/>
          </w:tcPr>
          <w:p>
            <w:pPr>
              <w:spacing w:after="0"/>
              <w:rPr>
                <w:sz w:val="21"/>
                <w:szCs w:val="21"/>
                <w:color w:val="auto"/>
              </w:rPr>
            </w:pPr>
          </w:p>
        </w:tc>
      </w:tr>
      <w:tr>
        <w:trPr>
          <w:trHeight w:val="273"/>
        </w:trPr>
        <w:tc>
          <w:tcPr>
            <w:tcW w:w="800" w:type="dxa"/>
            <w:vAlign w:val="bottom"/>
          </w:tcPr>
          <w:p>
            <w:pPr>
              <w:spacing w:after="0"/>
              <w:rPr>
                <w:sz w:val="23"/>
                <w:szCs w:val="23"/>
                <w:color w:val="auto"/>
              </w:rPr>
            </w:pPr>
          </w:p>
        </w:tc>
        <w:tc>
          <w:tcPr>
            <w:tcW w:w="3860" w:type="dxa"/>
            <w:vAlign w:val="bottom"/>
            <w:gridSpan w:val="2"/>
          </w:tcPr>
          <w:p>
            <w:pPr>
              <w:ind w:left="20"/>
              <w:spacing w:after="0"/>
              <w:rPr>
                <w:sz w:val="20"/>
                <w:szCs w:val="20"/>
                <w:color w:val="auto"/>
              </w:rPr>
            </w:pPr>
            <w:r>
              <w:rPr>
                <w:rFonts w:ascii="Arial" w:cs="Arial" w:eastAsia="Arial" w:hAnsi="Arial"/>
                <w:sz w:val="22"/>
                <w:szCs w:val="22"/>
                <w:color w:val="auto"/>
                <w:w w:val="90"/>
              </w:rPr>
              <w:t>Patrick Spellman, Chief Compliance Officer</w:t>
            </w:r>
          </w:p>
        </w:tc>
      </w:tr>
    </w:tbl>
    <w:p>
      <w:pPr>
        <w:spacing w:after="0" w:line="1" w:lineRule="exact"/>
        <w:rPr>
          <w:sz w:val="20"/>
          <w:szCs w:val="20"/>
          <w:color w:val="auto"/>
        </w:rPr>
      </w:pP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4"/>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lowerLetter"/>
      <w:start w:val="1"/>
    </w:lvl>
    <w:lvl w:ilvl="1">
      <w:lvlJc w:val="left"/>
      <w:lvlText w:val="(%2)"/>
      <w:numFmt w:val="lowerRoman"/>
      <w:start w:val="1"/>
    </w:lvl>
  </w:abstractNum>
  <w:abstractNum w:abstractNumId="11">
    <w:nsid w:val="140E0F76"/>
    <w:multiLevelType w:val="hybridMultilevel"/>
    <w:lvl w:ilvl="0">
      <w:lvlJc w:val="left"/>
      <w:lvlText w:val="(%1)"/>
      <w:numFmt w:val="lowerLetter"/>
      <w:start w:val="1"/>
    </w:lvl>
    <w:lvl w:ilvl="1">
      <w:lvlJc w:val="left"/>
      <w:lvlText w:val="(%2)"/>
      <w:numFmt w:val="lowerRoman"/>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2020-04-08T15:42:08Z</dcterms:created>
  <dcterms:modified xsi:type="dcterms:W3CDTF">2020-04-08T15:42:08Z</dcterms:modified>
</cp:coreProperties>
</file>