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226060</wp:posOffset>
            </wp:positionH>
            <wp:positionV relativeFrom="page">
              <wp:posOffset>671830</wp:posOffset>
            </wp:positionV>
            <wp:extent cx="711771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7715" cy="8890"/>
                    </a:xfrm>
                    <a:prstGeom prst="rect">
                      <a:avLst/>
                    </a:prstGeom>
                    <a:noFill/>
                  </pic:spPr>
                </pic:pic>
              </a:graphicData>
            </a:graphic>
          </wp:anchor>
        </w:drawing>
        <w:t>UNITED STATES</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spacing w:after="0" w:line="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84" w:lineRule="exact"/>
        <w:rPr>
          <w:sz w:val="24"/>
          <w:szCs w:val="24"/>
          <w:color w:val="auto"/>
        </w:rPr>
      </w:pPr>
    </w:p>
    <w:p>
      <w:pPr>
        <w:ind w:left="120"/>
        <w:spacing w:after="0"/>
        <w:tabs>
          <w:tab w:leader="none" w:pos="5080" w:val="left"/>
        </w:tabs>
        <w:rPr>
          <w:sz w:val="20"/>
          <w:szCs w:val="20"/>
          <w:color w:val="auto"/>
        </w:rPr>
      </w:pPr>
      <w:r>
        <w:rPr>
          <w:rFonts w:ascii="Arial" w:cs="Arial" w:eastAsia="Arial" w:hAnsi="Arial"/>
          <w:sz w:val="18"/>
          <w:szCs w:val="18"/>
          <w:color w:val="auto"/>
        </w:rPr>
        <w:t>(Mark One)</w:t>
      </w:r>
      <w:r>
        <w:rPr>
          <w:sz w:val="20"/>
          <w:szCs w:val="20"/>
          <w:color w:val="auto"/>
        </w:rPr>
        <w:tab/>
      </w:r>
      <w:r>
        <w:rPr>
          <w:rFonts w:ascii="Arial" w:cs="Arial" w:eastAsia="Arial" w:hAnsi="Arial"/>
          <w:sz w:val="23"/>
          <w:szCs w:val="23"/>
          <w:b w:val="1"/>
          <w:bCs w:val="1"/>
          <w:color w:val="auto"/>
        </w:rPr>
        <w:t>Form 10-Q</w:t>
      </w:r>
    </w:p>
    <w:p>
      <w:pPr>
        <w:spacing w:after="0" w:line="226" w:lineRule="exact"/>
        <w:rPr>
          <w:sz w:val="24"/>
          <w:szCs w:val="24"/>
          <w:color w:val="auto"/>
        </w:rPr>
      </w:pPr>
    </w:p>
    <w:p>
      <w:pPr>
        <w:ind w:left="380" w:right="1880" w:hanging="345"/>
        <w:spacing w:after="0" w:line="315" w:lineRule="auto"/>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2018</w:t>
      </w:r>
    </w:p>
    <w:p>
      <w:pPr>
        <w:spacing w:after="0" w:line="1" w:lineRule="exact"/>
        <w:rPr>
          <w:sz w:val="24"/>
          <w:szCs w:val="24"/>
          <w:color w:val="auto"/>
        </w:rPr>
      </w:pPr>
    </w:p>
    <w:p>
      <w:pPr>
        <w:ind w:left="6000"/>
        <w:spacing w:after="0"/>
        <w:rPr>
          <w:sz w:val="20"/>
          <w:szCs w:val="20"/>
          <w:color w:val="auto"/>
        </w:rPr>
      </w:pPr>
      <w:r>
        <w:rPr>
          <w:rFonts w:ascii="Arial" w:cs="Arial" w:eastAsia="Arial" w:hAnsi="Arial"/>
          <w:sz w:val="18"/>
          <w:szCs w:val="18"/>
          <w:color w:val="auto"/>
        </w:rPr>
        <w:t>or</w:t>
      </w:r>
    </w:p>
    <w:p>
      <w:pPr>
        <w:spacing w:after="0" w:line="59" w:lineRule="exact"/>
        <w:rPr>
          <w:sz w:val="24"/>
          <w:szCs w:val="24"/>
          <w:color w:val="auto"/>
        </w:rPr>
      </w:pPr>
    </w:p>
    <w:p>
      <w:pPr>
        <w:ind w:left="380" w:right="1880" w:hanging="345"/>
        <w:spacing w:after="0" w:line="334" w:lineRule="auto"/>
        <w:tabs>
          <w:tab w:leader="none" w:pos="38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 xml:space="preserve">TRANSITION REPORT PURSUANT TO SECTION 13 OR 15(d) OF THE SECURITIES EXCHANGE ACT OF 1934 </w:t>
      </w:r>
      <w:r>
        <w:rPr>
          <w:rFonts w:ascii="Arial" w:cs="Arial" w:eastAsia="Arial" w:hAnsi="Arial"/>
          <w:sz w:val="17"/>
          <w:szCs w:val="17"/>
          <w:color w:val="auto"/>
        </w:rPr>
        <w:t>For the transition period from __________________________________to __________________________________</w:t>
      </w:r>
    </w:p>
    <w:p>
      <w:pPr>
        <w:jc w:val="center"/>
        <w:ind w:left="260"/>
        <w:spacing w:after="0"/>
        <w:rPr>
          <w:sz w:val="20"/>
          <w:szCs w:val="20"/>
          <w:color w:val="auto"/>
        </w:rPr>
      </w:pPr>
      <w:r>
        <w:rPr>
          <w:rFonts w:ascii="Arial" w:cs="Arial" w:eastAsia="Arial" w:hAnsi="Arial"/>
          <w:sz w:val="18"/>
          <w:szCs w:val="18"/>
          <w:color w:val="auto"/>
        </w:rPr>
        <w:t>Commission file number 001-36504</w:t>
      </w:r>
    </w:p>
    <w:p>
      <w:pPr>
        <w:spacing w:after="0" w:line="306"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Weatherford International public limited company</w:t>
      </w:r>
    </w:p>
    <w:p>
      <w:pPr>
        <w:spacing w:after="0" w:line="117" w:lineRule="exact"/>
        <w:rPr>
          <w:sz w:val="24"/>
          <w:szCs w:val="24"/>
          <w:color w:val="auto"/>
        </w:rPr>
      </w:pPr>
    </w:p>
    <w:p>
      <w:pPr>
        <w:jc w:val="center"/>
        <w:ind w:left="340"/>
        <w:spacing w:after="0"/>
        <w:rPr>
          <w:sz w:val="20"/>
          <w:szCs w:val="20"/>
          <w:color w:val="auto"/>
        </w:rPr>
      </w:pPr>
      <w:r>
        <w:rPr>
          <w:rFonts w:ascii="Arial" w:cs="Arial" w:eastAsia="Arial" w:hAnsi="Arial"/>
          <w:sz w:val="18"/>
          <w:szCs w:val="18"/>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94"/>
              </w:rPr>
              <w:t>Ireland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89"/>
              </w:rPr>
              <w:t>98-0606750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4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567"/>
        </w:trPr>
        <w:tc>
          <w:tcPr>
            <w:tcW w:w="640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Weststrasse 1, 6340 Baar, Switzerland</w:t>
            </w:r>
          </w:p>
        </w:tc>
        <w:tc>
          <w:tcPr>
            <w:tcW w:w="4820" w:type="dxa"/>
            <w:vAlign w:val="bottom"/>
          </w:tcPr>
          <w:p>
            <w:pPr>
              <w:jc w:val="center"/>
              <w:spacing w:after="0"/>
              <w:rPr>
                <w:sz w:val="20"/>
                <w:szCs w:val="20"/>
                <w:color w:val="auto"/>
              </w:rPr>
            </w:pPr>
            <w:r>
              <w:rPr>
                <w:rFonts w:ascii="Arial" w:cs="Arial" w:eastAsia="Arial" w:hAnsi="Arial"/>
                <w:sz w:val="18"/>
                <w:szCs w:val="18"/>
                <w:b w:val="1"/>
                <w:bCs w:val="1"/>
                <w:color w:val="auto"/>
                <w:w w:val="95"/>
              </w:rPr>
              <w:t>CH 6340</w:t>
            </w:r>
          </w:p>
        </w:tc>
      </w:tr>
      <w:tr>
        <w:trPr>
          <w:trHeight w:val="27"/>
        </w:trPr>
        <w:tc>
          <w:tcPr>
            <w:tcW w:w="5960" w:type="dxa"/>
            <w:vAlign w:val="bottom"/>
            <w:tcBorders>
              <w:bottom w:val="single" w:sz="8" w:color="auto"/>
            </w:tcBorders>
          </w:tcPr>
          <w:p>
            <w:pPr>
              <w:spacing w:after="0"/>
              <w:rPr>
                <w:sz w:val="2"/>
                <w:szCs w:val="2"/>
                <w:color w:val="auto"/>
              </w:rPr>
            </w:pPr>
          </w:p>
        </w:tc>
        <w:tc>
          <w:tcPr>
            <w:tcW w:w="440" w:type="dxa"/>
            <w:vAlign w:val="bottom"/>
          </w:tcPr>
          <w:p>
            <w:pPr>
              <w:spacing w:after="0"/>
              <w:rPr>
                <w:sz w:val="2"/>
                <w:szCs w:val="2"/>
                <w:color w:val="auto"/>
              </w:rPr>
            </w:pPr>
          </w:p>
        </w:tc>
        <w:tc>
          <w:tcPr>
            <w:tcW w:w="4820" w:type="dxa"/>
            <w:vAlign w:val="bottom"/>
            <w:tcBorders>
              <w:bottom w:val="single" w:sz="8" w:color="auto"/>
            </w:tcBorders>
          </w:tcPr>
          <w:p>
            <w:pPr>
              <w:spacing w:after="0"/>
              <w:rPr>
                <w:sz w:val="2"/>
                <w:szCs w:val="2"/>
                <w:color w:val="auto"/>
              </w:rPr>
            </w:pPr>
          </w:p>
        </w:tc>
      </w:tr>
      <w:tr>
        <w:trPr>
          <w:trHeight w:val="237"/>
        </w:trPr>
        <w:tc>
          <w:tcPr>
            <w:tcW w:w="6400" w:type="dxa"/>
            <w:vAlign w:val="bottom"/>
            <w:gridSpan w:val="2"/>
          </w:tcPr>
          <w:p>
            <w:pPr>
              <w:jc w:val="center"/>
              <w:ind w:right="460"/>
              <w:spacing w:after="0"/>
              <w:rPr>
                <w:sz w:val="20"/>
                <w:szCs w:val="20"/>
                <w:color w:val="auto"/>
              </w:rPr>
            </w:pPr>
            <w:r>
              <w:rPr>
                <w:rFonts w:ascii="Arial" w:cs="Arial" w:eastAsia="Arial" w:hAnsi="Arial"/>
                <w:sz w:val="18"/>
                <w:szCs w:val="18"/>
                <w:color w:val="auto"/>
                <w:w w:val="93"/>
              </w:rPr>
              <w:t>(Address of Principal Executive Offices including Zip Code)</w:t>
            </w:r>
          </w:p>
        </w:tc>
        <w:tc>
          <w:tcPr>
            <w:tcW w:w="4820" w:type="dxa"/>
            <w:vAlign w:val="bottom"/>
          </w:tcPr>
          <w:p>
            <w:pPr>
              <w:jc w:val="center"/>
              <w:spacing w:after="0"/>
              <w:rPr>
                <w:sz w:val="20"/>
                <w:szCs w:val="20"/>
                <w:color w:val="auto"/>
              </w:rPr>
            </w:pPr>
            <w:r>
              <w:rPr>
                <w:rFonts w:ascii="Arial" w:cs="Arial" w:eastAsia="Arial" w:hAnsi="Arial"/>
                <w:sz w:val="18"/>
                <w:szCs w:val="18"/>
                <w:color w:val="auto"/>
                <w:w w:val="94"/>
              </w:rPr>
              <w:t>(Zip Code)</w:t>
            </w:r>
          </w:p>
        </w:tc>
      </w:tr>
    </w:tbl>
    <w:p>
      <w:pPr>
        <w:spacing w:after="0" w:line="117" w:lineRule="exact"/>
        <w:rPr>
          <w:sz w:val="24"/>
          <w:szCs w:val="24"/>
          <w:color w:val="auto"/>
        </w:rPr>
      </w:pPr>
    </w:p>
    <w:p>
      <w:pPr>
        <w:ind w:left="314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71" w:lineRule="exact"/>
        <w:rPr>
          <w:sz w:val="24"/>
          <w:szCs w:val="24"/>
          <w:color w:val="auto"/>
        </w:rPr>
      </w:pPr>
    </w:p>
    <w:p>
      <w:pPr>
        <w:ind w:left="5560"/>
        <w:spacing w:after="0"/>
        <w:rPr>
          <w:sz w:val="20"/>
          <w:szCs w:val="20"/>
          <w:color w:val="auto"/>
        </w:rPr>
      </w:pPr>
      <w:r>
        <w:rPr>
          <w:rFonts w:ascii="Arial" w:cs="Arial" w:eastAsia="Arial" w:hAnsi="Arial"/>
          <w:sz w:val="18"/>
          <w:szCs w:val="18"/>
          <w:b w:val="1"/>
          <w:bCs w:val="1"/>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433705</wp:posOffset>
            </wp:positionH>
            <wp:positionV relativeFrom="paragraph">
              <wp:posOffset>34290</wp:posOffset>
            </wp:positionV>
            <wp:extent cx="63976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97625" cy="8890"/>
                    </a:xfrm>
                    <a:prstGeom prst="rect">
                      <a:avLst/>
                    </a:prstGeom>
                    <a:noFill/>
                  </pic:spPr>
                </pic:pic>
              </a:graphicData>
            </a:graphic>
          </wp:anchor>
        </w:drawing>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6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140" w:type="dxa"/>
        <w:tblCellMar>
          <w:top w:w="0" w:type="dxa"/>
          <w:left w:w="0" w:type="dxa"/>
          <w:bottom w:w="0" w:type="dxa"/>
          <w:right w:w="0" w:type="dxa"/>
        </w:tblCellMar>
      </w:tblPr>
      <w:tr>
        <w:trPr>
          <w:trHeight w:val="216"/>
        </w:trPr>
        <w:tc>
          <w:tcPr>
            <w:tcW w:w="35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Non-accelerated filer (Do</w:t>
            </w: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not check if a smaller</w:t>
            </w:r>
          </w:p>
        </w:tc>
        <w:tc>
          <w:tcPr>
            <w:tcW w:w="24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vMerge w:val="restart"/>
          </w:tcPr>
          <w:p>
            <w:pPr>
              <w:spacing w:after="0" w:line="207" w:lineRule="exact"/>
              <w:rPr>
                <w:sz w:val="20"/>
                <w:szCs w:val="20"/>
                <w:color w:val="auto"/>
              </w:rPr>
            </w:pPr>
            <w:r>
              <w:rPr>
                <w:rFonts w:ascii="Arial" w:cs="Arial" w:eastAsia="Arial" w:hAnsi="Arial"/>
                <w:sz w:val="18"/>
                <w:szCs w:val="18"/>
                <w:color w:val="auto"/>
                <w:w w:val="99"/>
              </w:rPr>
              <w:t xml:space="preserve">Large accelerated filer </w:t>
            </w:r>
            <w:r>
              <w:rPr>
                <w:rFonts w:ascii="MS PGothic" w:cs="MS PGothic" w:eastAsia="MS PGothic" w:hAnsi="MS PGothic"/>
                <w:sz w:val="18"/>
                <w:szCs w:val="18"/>
                <w:color w:val="auto"/>
                <w:w w:val="99"/>
              </w:rPr>
              <w:t>☑</w:t>
            </w:r>
            <w:r>
              <w:rPr>
                <w:rFonts w:ascii="Arial" w:cs="Arial" w:eastAsia="Arial" w:hAnsi="Arial"/>
                <w:sz w:val="18"/>
                <w:szCs w:val="18"/>
                <w:color w:val="auto"/>
                <w:w w:val="99"/>
              </w:rPr>
              <w:t xml:space="preserve">  Accelerated filer o</w:t>
            </w: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reporting company)</w:t>
            </w:r>
          </w:p>
        </w:tc>
        <w:tc>
          <w:tcPr>
            <w:tcW w:w="2460" w:type="dxa"/>
            <w:vAlign w:val="bottom"/>
          </w:tcPr>
          <w:p>
            <w:pPr>
              <w:jc w:val="center"/>
              <w:spacing w:after="0"/>
              <w:rPr>
                <w:sz w:val="20"/>
                <w:szCs w:val="20"/>
                <w:color w:val="auto"/>
              </w:rPr>
            </w:pPr>
            <w:r>
              <w:rPr>
                <w:rFonts w:ascii="Arial" w:cs="Arial" w:eastAsia="Arial" w:hAnsi="Arial"/>
                <w:sz w:val="18"/>
                <w:szCs w:val="18"/>
                <w:color w:val="auto"/>
                <w:w w:val="91"/>
              </w:rPr>
              <w:t>Smaller reporting company</w:t>
            </w:r>
          </w:p>
        </w:tc>
        <w:tc>
          <w:tcPr>
            <w:tcW w:w="2260" w:type="dxa"/>
            <w:vAlign w:val="bottom"/>
          </w:tcPr>
          <w:p>
            <w:pPr>
              <w:jc w:val="center"/>
              <w:ind w:left="210"/>
              <w:spacing w:after="0"/>
              <w:rPr>
                <w:sz w:val="20"/>
                <w:szCs w:val="20"/>
                <w:color w:val="auto"/>
              </w:rPr>
            </w:pPr>
            <w:r>
              <w:rPr>
                <w:rFonts w:ascii="Arial" w:cs="Arial" w:eastAsia="Arial" w:hAnsi="Arial"/>
                <w:sz w:val="18"/>
                <w:szCs w:val="18"/>
                <w:color w:val="auto"/>
                <w:w w:val="91"/>
              </w:rPr>
              <w:t>Emerging growth company</w:t>
            </w:r>
          </w:p>
        </w:tc>
        <w:tc>
          <w:tcPr>
            <w:tcW w:w="0" w:type="dxa"/>
            <w:vAlign w:val="bottom"/>
          </w:tcPr>
          <w:p>
            <w:pPr>
              <w:spacing w:after="0"/>
              <w:rPr>
                <w:sz w:val="1"/>
                <w:szCs w:val="1"/>
                <w:color w:val="auto"/>
              </w:rPr>
            </w:pPr>
          </w:p>
        </w:tc>
      </w:tr>
      <w:tr>
        <w:trPr>
          <w:trHeight w:val="250"/>
        </w:trPr>
        <w:tc>
          <w:tcPr>
            <w:tcW w:w="3540" w:type="dxa"/>
            <w:vAlign w:val="bottom"/>
            <w:vMerge w:val="continue"/>
          </w:tcPr>
          <w:p>
            <w:pPr>
              <w:spacing w:after="0"/>
              <w:rPr>
                <w:sz w:val="21"/>
                <w:szCs w:val="21"/>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460" w:type="dxa"/>
            <w:vAlign w:val="bottom"/>
          </w:tcPr>
          <w:p>
            <w:pPr>
              <w:jc w:val="center"/>
              <w:spacing w:after="0"/>
              <w:rPr>
                <w:sz w:val="20"/>
                <w:szCs w:val="20"/>
                <w:color w:val="auto"/>
              </w:rPr>
            </w:pPr>
            <w:r>
              <w:rPr>
                <w:rFonts w:ascii="Arial" w:cs="Arial" w:eastAsia="Arial" w:hAnsi="Arial"/>
                <w:sz w:val="18"/>
                <w:szCs w:val="18"/>
                <w:color w:val="auto"/>
                <w:w w:val="79"/>
              </w:rPr>
              <w:t>o</w:t>
            </w:r>
          </w:p>
        </w:tc>
        <w:tc>
          <w:tcPr>
            <w:tcW w:w="2260" w:type="dxa"/>
            <w:vAlign w:val="bottom"/>
          </w:tcPr>
          <w:p>
            <w:pPr>
              <w:jc w:val="center"/>
              <w:ind w:left="210"/>
              <w:spacing w:after="0"/>
              <w:rPr>
                <w:sz w:val="20"/>
                <w:szCs w:val="20"/>
                <w:color w:val="auto"/>
              </w:rPr>
            </w:pPr>
            <w:r>
              <w:rPr>
                <w:rFonts w:ascii="Arial" w:cs="Arial" w:eastAsia="Arial" w:hAnsi="Arial"/>
                <w:sz w:val="18"/>
                <w:szCs w:val="18"/>
                <w:color w:val="auto"/>
                <w:w w:val="79"/>
              </w:rPr>
              <w:t>o</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4" w:lineRule="exact"/>
        <w:rPr>
          <w:sz w:val="24"/>
          <w:szCs w:val="24"/>
          <w:color w:val="auto"/>
        </w:rPr>
      </w:pPr>
    </w:p>
    <w:p>
      <w:pPr>
        <w:ind w:left="340"/>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117" w:lineRule="exact"/>
        <w:rPr>
          <w:sz w:val="24"/>
          <w:szCs w:val="24"/>
          <w:color w:val="auto"/>
        </w:rPr>
      </w:pPr>
    </w:p>
    <w:p>
      <w:pPr>
        <w:ind w:left="340"/>
        <w:spacing w:after="0"/>
        <w:rPr>
          <w:sz w:val="20"/>
          <w:szCs w:val="20"/>
          <w:color w:val="auto"/>
        </w:rPr>
      </w:pPr>
      <w:r>
        <w:rPr>
          <w:rFonts w:ascii="Arial" w:cs="Arial" w:eastAsia="Arial" w:hAnsi="Arial"/>
          <w:sz w:val="18"/>
          <w:szCs w:val="18"/>
          <w:color w:val="auto"/>
        </w:rPr>
        <w:t>As of August 3, 2018, there were 997,083,591 Weatherford ordinary shares, $0.001 par value per share, outstanding.</w:t>
      </w:r>
    </w:p>
    <w:p>
      <w:pPr>
        <w:sectPr>
          <w:pgSz w:w="11900" w:h="16838" w:orient="portrait"/>
          <w:cols w:equalWidth="0" w:num="1">
            <w:col w:w="11420"/>
          </w:cols>
          <w:pgMar w:left="240" w:top="1071" w:right="239" w:bottom="1440" w:gutter="0" w:footer="0" w:header="0"/>
        </w:sectPr>
      </w:pPr>
    </w:p>
    <w:bookmarkStart w:id="1" w:name="page2"/>
    <w:bookmarkEnd w:id="1"/>
    <w:p>
      <w:pPr>
        <w:jc w:val="center"/>
        <w:ind w:left="340"/>
        <w:spacing w:after="0"/>
        <w:rPr>
          <w:sz w:val="20"/>
          <w:szCs w:val="20"/>
          <w:color w:val="auto"/>
        </w:rPr>
      </w:pPr>
      <w:r>
        <w:rPr>
          <w:rFonts w:ascii="Arial" w:cs="Arial" w:eastAsia="Arial" w:hAnsi="Arial"/>
          <w:sz w:val="18"/>
          <w:szCs w:val="18"/>
          <w:b w:val="1"/>
          <w:bCs w:val="1"/>
          <w:color w:val="auto"/>
        </w:rPr>
        <w:t>Weatherford International public limited company</w:t>
      </w:r>
    </w:p>
    <w:p>
      <w:pPr>
        <w:spacing w:after="0" w:line="11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Form 10-Q for the Second Quarter and Six Months Ended June 30, 2018</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0" w:type="dxa"/>
            <w:vAlign w:val="bottom"/>
            <w:gridSpan w:val="4"/>
          </w:tcPr>
          <w:p>
            <w:pPr>
              <w:ind w:left="920"/>
              <w:spacing w:after="0"/>
              <w:rPr>
                <w:sz w:val="20"/>
                <w:szCs w:val="20"/>
                <w:color w:val="auto"/>
              </w:rPr>
            </w:pPr>
            <w:r>
              <w:rPr>
                <w:rFonts w:ascii="Arial" w:cs="Arial" w:eastAsia="Arial" w:hAnsi="Arial"/>
                <w:sz w:val="18"/>
                <w:szCs w:val="18"/>
                <w:b w:val="1"/>
                <w:bCs w:val="1"/>
                <w:color w:val="auto"/>
              </w:rPr>
              <w:t>TABLE OF CONTENTS</w:t>
            </w:r>
          </w:p>
        </w:tc>
        <w:tc>
          <w:tcPr>
            <w:tcW w:w="2600" w:type="dxa"/>
            <w:vAlign w:val="bottom"/>
            <w:gridSpan w:val="5"/>
          </w:tcPr>
          <w:p>
            <w:pPr>
              <w:ind w:left="1720"/>
              <w:spacing w:after="0"/>
              <w:rPr>
                <w:sz w:val="20"/>
                <w:szCs w:val="20"/>
                <w:color w:val="auto"/>
              </w:rPr>
            </w:pPr>
            <w:r>
              <w:rPr>
                <w:rFonts w:ascii="Arial" w:cs="Arial" w:eastAsia="Arial" w:hAnsi="Arial"/>
                <w:sz w:val="18"/>
                <w:szCs w:val="18"/>
                <w:b w:val="1"/>
                <w:bCs w:val="1"/>
                <w:color w:val="auto"/>
              </w:rPr>
              <w:t>PAGE</w:t>
            </w:r>
          </w:p>
        </w:tc>
      </w:tr>
      <w:tr>
        <w:trPr>
          <w:trHeight w:val="27"/>
        </w:trPr>
        <w:tc>
          <w:tcPr>
            <w:tcW w:w="4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 FINANCIAL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99"/>
              </w:rPr>
            </w:pPr>
            <w:hyperlink w:anchor="page3">
              <w:r>
                <w:rPr>
                  <w:rFonts w:ascii="Arial" w:cs="Arial" w:eastAsia="Arial" w:hAnsi="Arial"/>
                  <w:sz w:val="18"/>
                  <w:szCs w:val="18"/>
                  <w:color w:val="0000EE"/>
                  <w:w w:val="99"/>
                </w:rPr>
                <w:t>2</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2. Management's Discussion and Analysis of Financial Condition and Results of Operations.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35</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0000EE"/>
            </w:tcBorders>
            <w:shd w:val="clear" w:color="auto" w:fill="CCEEFF"/>
          </w:tcPr>
          <w:p>
            <w:pPr>
              <w:spacing w:after="0"/>
              <w:rPr>
                <w:sz w:val="4"/>
                <w:szCs w:val="4"/>
                <w:color w:val="auto"/>
              </w:rPr>
            </w:pPr>
          </w:p>
        </w:tc>
        <w:tc>
          <w:tcPr>
            <w:tcW w:w="17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80" w:type="dxa"/>
            <w:vAlign w:val="bottom"/>
            <w:tcBorders>
              <w:top w:val="single" w:sz="8" w:color="0000EE"/>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3. Quantitative and Qualitative Disclosures About Market Risk.</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8">
              <w:r>
                <w:rPr>
                  <w:rFonts w:ascii="Arial" w:cs="Arial" w:eastAsia="Arial" w:hAnsi="Arial"/>
                  <w:sz w:val="18"/>
                  <w:szCs w:val="18"/>
                  <w:color w:val="0000EE"/>
                </w:rPr>
                <w:t>Item 4. Controls and Procedures.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8">
              <w:r>
                <w:rPr>
                  <w:rFonts w:ascii="Arial" w:cs="Arial" w:eastAsia="Arial" w:hAnsi="Arial"/>
                  <w:sz w:val="18"/>
                  <w:szCs w:val="18"/>
                  <w:color w:val="0000EE"/>
                  <w:w w:val="89"/>
                </w:rPr>
                <w:t>46</w:t>
              </w:r>
            </w:hyperlink>
          </w:p>
        </w:tc>
        <w:tc>
          <w:tcPr>
            <w:tcW w:w="540" w:type="dxa"/>
            <w:vAlign w:val="bottom"/>
            <w:shd w:val="clear" w:color="auto" w:fill="CCEEFF"/>
          </w:tcPr>
          <w:p>
            <w:pPr>
              <w:spacing w:after="0"/>
              <w:rPr>
                <w:sz w:val="21"/>
                <w:szCs w:val="21"/>
                <w:color w:val="auto"/>
              </w:rPr>
            </w:pPr>
          </w:p>
        </w:tc>
      </w:tr>
      <w:tr>
        <w:trPr>
          <w:trHeight w:val="297"/>
        </w:trPr>
        <w:tc>
          <w:tcPr>
            <w:tcW w:w="40" w:type="dxa"/>
            <w:vAlign w:val="bottom"/>
            <w:tcBorders>
              <w:top w:val="single" w:sz="8" w:color="CCEEFF"/>
            </w:tcBorders>
          </w:tcPr>
          <w:p>
            <w:pPr>
              <w:spacing w:after="0"/>
              <w:rPr>
                <w:sz w:val="24"/>
                <w:szCs w:val="24"/>
                <w:color w:val="auto"/>
              </w:rPr>
            </w:pPr>
          </w:p>
        </w:tc>
        <w:tc>
          <w:tcPr>
            <w:tcW w:w="1100" w:type="dxa"/>
            <w:vAlign w:val="bottom"/>
            <w:tcBorders>
              <w:top w:val="single" w:sz="8" w:color="0000EE"/>
            </w:tcBorders>
            <w:gridSpan w:val="2"/>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c>
          <w:tcPr>
            <w:tcW w:w="17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80" w:type="dxa"/>
            <w:vAlign w:val="bottom"/>
            <w:tcBorders>
              <w:top w:val="single" w:sz="8" w:color="CCEEFF"/>
            </w:tcBorders>
          </w:tcPr>
          <w:p>
            <w:pPr>
              <w:spacing w:after="0"/>
              <w:rPr>
                <w:sz w:val="24"/>
                <w:szCs w:val="24"/>
                <w:color w:val="auto"/>
              </w:rPr>
            </w:pP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b w:val="1"/>
                <w:bCs w:val="1"/>
                <w:color w:val="0000EE"/>
              </w:rPr>
            </w:pPr>
            <w:hyperlink w:anchor="page48">
              <w:r>
                <w:rPr>
                  <w:rFonts w:ascii="Arial" w:cs="Arial" w:eastAsia="Arial" w:hAnsi="Arial"/>
                  <w:sz w:val="18"/>
                  <w:szCs w:val="18"/>
                  <w:b w:val="1"/>
                  <w:bCs w:val="1"/>
                  <w:color w:val="0000EE"/>
                </w:rPr>
                <w:t>PART II – OTHER INFORMATION</w:t>
              </w:r>
            </w:hyperlink>
          </w:p>
        </w:tc>
        <w:tc>
          <w:tcPr>
            <w:tcW w:w="1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1. Legal Proceedings.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1A. Risk Factors.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8800" w:type="dxa"/>
            <w:vAlign w:val="bottom"/>
            <w:gridSpan w:val="17"/>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Item 2. Unregistered Sales of Equity Securities and Use of Proceeds.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7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3.</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Defaults Upon Senior Securities.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22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4.</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Mine Safety Disclosures</w:t>
              </w:r>
            </w:hyperlink>
            <w:r>
              <w:rPr>
                <w:rFonts w:ascii="Arial" w:cs="Arial" w:eastAsia="Arial" w:hAnsi="Arial"/>
                <w:sz w:val="18"/>
                <w:szCs w:val="18"/>
                <w:color w:val="000000"/>
              </w:rPr>
              <w:t>.</w:t>
            </w:r>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03"/>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49">
              <w:r>
                <w:rPr>
                  <w:rFonts w:ascii="Arial" w:cs="Arial" w:eastAsia="Arial" w:hAnsi="Arial"/>
                  <w:sz w:val="18"/>
                  <w:szCs w:val="18"/>
                  <w:color w:val="0000EE"/>
                  <w:w w:val="90"/>
                </w:rPr>
                <w:t>Item 5.</w:t>
              </w:r>
            </w:hyperlink>
          </w:p>
        </w:tc>
        <w:tc>
          <w:tcPr>
            <w:tcW w:w="8240" w:type="dxa"/>
            <w:vAlign w:val="bottom"/>
            <w:gridSpan w:val="15"/>
            <w:shd w:val="clear" w:color="auto" w:fill="CCEEFF"/>
          </w:tcPr>
          <w:p>
            <w:pPr>
              <w:ind w:left="40"/>
              <w:spacing w:after="0" w:line="202" w:lineRule="exact"/>
              <w:rPr>
                <w:rFonts w:ascii="Arial" w:cs="Arial" w:eastAsia="Arial" w:hAnsi="Arial"/>
                <w:sz w:val="18"/>
                <w:szCs w:val="18"/>
                <w:color w:val="0000EE"/>
              </w:rPr>
            </w:pPr>
            <w:hyperlink w:anchor="page49">
              <w:r>
                <w:rPr>
                  <w:rFonts w:ascii="Arial" w:cs="Arial" w:eastAsia="Arial" w:hAnsi="Arial"/>
                  <w:sz w:val="18"/>
                  <w:szCs w:val="18"/>
                  <w:color w:val="0000EE"/>
                </w:rPr>
                <w:t>Other Information.</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49">
              <w:r>
                <w:rPr>
                  <w:rFonts w:ascii="Arial" w:cs="Arial" w:eastAsia="Arial" w:hAnsi="Arial"/>
                  <w:sz w:val="18"/>
                  <w:szCs w:val="18"/>
                  <w:color w:val="0000EE"/>
                  <w:w w:val="89"/>
                </w:rPr>
                <w:t>47</w:t>
              </w:r>
            </w:hyperlink>
          </w:p>
        </w:tc>
        <w:tc>
          <w:tcPr>
            <w:tcW w:w="5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7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720" w:type="dxa"/>
            <w:vAlign w:val="bottom"/>
            <w:tcBorders>
              <w:top w:val="single" w:sz="8" w:color="CCEEFF"/>
            </w:tcBorders>
            <w:shd w:val="clear" w:color="auto" w:fill="CCEEFF"/>
          </w:tcPr>
          <w:p>
            <w:pPr>
              <w:spacing w:after="0"/>
              <w:rPr>
                <w:sz w:val="4"/>
                <w:szCs w:val="4"/>
                <w:color w:val="auto"/>
              </w:rPr>
            </w:pPr>
          </w:p>
        </w:tc>
        <w:tc>
          <w:tcPr>
            <w:tcW w:w="18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540" w:type="dxa"/>
            <w:vAlign w:val="bottom"/>
            <w:tcBorders>
              <w:top w:val="single" w:sz="8" w:color="CCEEFF"/>
            </w:tcBorders>
            <w:shd w:val="clear" w:color="auto" w:fill="CCEEFF"/>
          </w:tcPr>
          <w:p>
            <w:pPr>
              <w:spacing w:after="0"/>
              <w:rPr>
                <w:sz w:val="4"/>
                <w:szCs w:val="4"/>
                <w:color w:val="auto"/>
              </w:rPr>
            </w:pPr>
          </w:p>
        </w:tc>
      </w:tr>
      <w:tr>
        <w:trPr>
          <w:trHeight w:val="203"/>
        </w:trPr>
        <w:tc>
          <w:tcPr>
            <w:tcW w:w="560" w:type="dxa"/>
            <w:vAlign w:val="bottom"/>
            <w:gridSpan w:val="2"/>
          </w:tcPr>
          <w:p>
            <w:pPr>
              <w:ind w:left="40"/>
              <w:spacing w:after="0" w:line="202" w:lineRule="exact"/>
              <w:rPr>
                <w:rFonts w:ascii="Arial" w:cs="Arial" w:eastAsia="Arial" w:hAnsi="Arial"/>
                <w:sz w:val="18"/>
                <w:szCs w:val="18"/>
                <w:color w:val="0000EE"/>
                <w:w w:val="90"/>
              </w:rPr>
            </w:pPr>
            <w:hyperlink w:anchor="page50">
              <w:r>
                <w:rPr>
                  <w:rFonts w:ascii="Arial" w:cs="Arial" w:eastAsia="Arial" w:hAnsi="Arial"/>
                  <w:sz w:val="18"/>
                  <w:szCs w:val="18"/>
                  <w:color w:val="0000EE"/>
                  <w:w w:val="90"/>
                </w:rPr>
                <w:t>Item 6.</w:t>
              </w:r>
            </w:hyperlink>
          </w:p>
        </w:tc>
        <w:tc>
          <w:tcPr>
            <w:tcW w:w="8240" w:type="dxa"/>
            <w:vAlign w:val="bottom"/>
            <w:gridSpan w:val="15"/>
          </w:tcPr>
          <w:p>
            <w:pPr>
              <w:ind w:left="40"/>
              <w:spacing w:after="0" w:line="202" w:lineRule="exact"/>
              <w:rPr>
                <w:rFonts w:ascii="Arial" w:cs="Arial" w:eastAsia="Arial" w:hAnsi="Arial"/>
                <w:sz w:val="18"/>
                <w:szCs w:val="18"/>
                <w:color w:val="0000EE"/>
              </w:rPr>
            </w:pPr>
            <w:hyperlink w:anchor="page50">
              <w:r>
                <w:rPr>
                  <w:rFonts w:ascii="Arial" w:cs="Arial" w:eastAsia="Arial" w:hAnsi="Arial"/>
                  <w:sz w:val="18"/>
                  <w:szCs w:val="18"/>
                  <w:color w:val="0000EE"/>
                </w:rPr>
                <w:t>Exhibits.</w:t>
              </w:r>
            </w:hyperlink>
          </w:p>
        </w:tc>
        <w:tc>
          <w:tcPr>
            <w:tcW w:w="2060" w:type="dxa"/>
            <w:vAlign w:val="bottom"/>
            <w:gridSpan w:val="4"/>
          </w:tcPr>
          <w:p>
            <w:pPr>
              <w:jc w:val="center"/>
              <w:ind w:left="1790"/>
              <w:spacing w:after="0" w:line="202" w:lineRule="exact"/>
              <w:rPr>
                <w:rFonts w:ascii="Arial" w:cs="Arial" w:eastAsia="Arial" w:hAnsi="Arial"/>
                <w:sz w:val="18"/>
                <w:szCs w:val="18"/>
                <w:color w:val="0000EE"/>
                <w:w w:val="89"/>
              </w:rPr>
            </w:pPr>
            <w:hyperlink w:anchor="page50">
              <w:r>
                <w:rPr>
                  <w:rFonts w:ascii="Arial" w:cs="Arial" w:eastAsia="Arial" w:hAnsi="Arial"/>
                  <w:sz w:val="18"/>
                  <w:szCs w:val="18"/>
                  <w:color w:val="0000EE"/>
                  <w:w w:val="89"/>
                </w:rPr>
                <w:t>48</w:t>
              </w:r>
            </w:hyperlink>
          </w:p>
        </w:tc>
        <w:tc>
          <w:tcPr>
            <w:tcW w:w="5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7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720" w:type="dxa"/>
            <w:vAlign w:val="bottom"/>
          </w:tcPr>
          <w:p>
            <w:pPr>
              <w:spacing w:after="0"/>
              <w:rPr>
                <w:sz w:val="4"/>
                <w:szCs w:val="4"/>
                <w:color w:val="auto"/>
              </w:rPr>
            </w:pPr>
          </w:p>
        </w:tc>
        <w:tc>
          <w:tcPr>
            <w:tcW w:w="188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540" w:type="dxa"/>
            <w:vAlign w:val="bottom"/>
          </w:tcPr>
          <w:p>
            <w:pPr>
              <w:spacing w:after="0"/>
              <w:rPr>
                <w:sz w:val="4"/>
                <w:szCs w:val="4"/>
                <w:color w:val="auto"/>
              </w:rPr>
            </w:pPr>
          </w:p>
        </w:tc>
      </w:tr>
      <w:tr>
        <w:trPr>
          <w:trHeight w:val="250"/>
        </w:trPr>
        <w:tc>
          <w:tcPr>
            <w:tcW w:w="8800" w:type="dxa"/>
            <w:vAlign w:val="bottom"/>
            <w:gridSpan w:val="17"/>
            <w:shd w:val="clear" w:color="auto" w:fill="CCEEFF"/>
          </w:tcPr>
          <w:p>
            <w:pPr>
              <w:ind w:left="40"/>
              <w:spacing w:after="0" w:line="202" w:lineRule="exact"/>
              <w:rPr>
                <w:rFonts w:ascii="Arial" w:cs="Arial" w:eastAsia="Arial" w:hAnsi="Arial"/>
                <w:sz w:val="18"/>
                <w:szCs w:val="18"/>
                <w:color w:val="0000EE"/>
              </w:rPr>
            </w:pPr>
            <w:hyperlink w:anchor="page51">
              <w:r>
                <w:rPr>
                  <w:rFonts w:ascii="Arial" w:cs="Arial" w:eastAsia="Arial" w:hAnsi="Arial"/>
                  <w:sz w:val="18"/>
                  <w:szCs w:val="18"/>
                  <w:color w:val="0000EE"/>
                </w:rPr>
                <w:t>SIGNATURES</w:t>
              </w:r>
            </w:hyperlink>
          </w:p>
        </w:tc>
        <w:tc>
          <w:tcPr>
            <w:tcW w:w="2060" w:type="dxa"/>
            <w:vAlign w:val="bottom"/>
            <w:gridSpan w:val="4"/>
            <w:shd w:val="clear" w:color="auto" w:fill="CCEEFF"/>
          </w:tcPr>
          <w:p>
            <w:pPr>
              <w:jc w:val="center"/>
              <w:ind w:left="1790"/>
              <w:spacing w:after="0" w:line="202" w:lineRule="exact"/>
              <w:rPr>
                <w:rFonts w:ascii="Arial" w:cs="Arial" w:eastAsia="Arial" w:hAnsi="Arial"/>
                <w:sz w:val="18"/>
                <w:szCs w:val="18"/>
                <w:color w:val="0000EE"/>
                <w:w w:val="89"/>
              </w:rPr>
            </w:pPr>
            <w:hyperlink w:anchor="page51">
              <w:r>
                <w:rPr>
                  <w:rFonts w:ascii="Arial" w:cs="Arial" w:eastAsia="Arial" w:hAnsi="Arial"/>
                  <w:sz w:val="18"/>
                  <w:szCs w:val="18"/>
                  <w:color w:val="0000EE"/>
                  <w:w w:val="89"/>
                </w:rPr>
                <w:t>49</w:t>
              </w:r>
            </w:hyperlink>
          </w:p>
        </w:tc>
        <w:tc>
          <w:tcPr>
            <w:tcW w:w="540" w:type="dxa"/>
            <w:vAlign w:val="bottom"/>
            <w:shd w:val="clear" w:color="auto" w:fill="CCEEFF"/>
          </w:tcPr>
          <w:p>
            <w:pPr>
              <w:spacing w:after="0"/>
              <w:rPr>
                <w:sz w:val="21"/>
                <w:szCs w:val="21"/>
                <w:color w:val="auto"/>
              </w:rPr>
            </w:pPr>
          </w:p>
        </w:tc>
      </w:tr>
      <w:tr>
        <w:trPr>
          <w:trHeight w:val="783"/>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5940" w:type="dxa"/>
            <w:vAlign w:val="bottom"/>
            <w:tcBorders>
              <w:top w:val="single" w:sz="8" w:color="CCEEFF"/>
            </w:tcBorders>
            <w:gridSpan w:val="13"/>
          </w:tcPr>
          <w:p>
            <w:pPr>
              <w:jc w:val="right"/>
              <w:ind w:right="1160"/>
              <w:spacing w:after="0"/>
              <w:rPr>
                <w:sz w:val="20"/>
                <w:szCs w:val="20"/>
                <w:color w:val="auto"/>
              </w:rPr>
            </w:pPr>
            <w:r>
              <w:rPr>
                <w:rFonts w:ascii="Arial" w:cs="Arial" w:eastAsia="Arial" w:hAnsi="Arial"/>
                <w:sz w:val="18"/>
                <w:szCs w:val="18"/>
                <w:color w:val="auto"/>
              </w:rPr>
              <w:t>1</w:t>
            </w:r>
          </w:p>
        </w:tc>
        <w:tc>
          <w:tcPr>
            <w:tcW w:w="1720" w:type="dxa"/>
            <w:vAlign w:val="bottom"/>
            <w:tcBorders>
              <w:top w:val="single" w:sz="8" w:color="CCEEFF"/>
            </w:tcBorders>
          </w:tcPr>
          <w:p>
            <w:pPr>
              <w:spacing w:after="0"/>
              <w:rPr>
                <w:sz w:val="24"/>
                <w:szCs w:val="24"/>
                <w:color w:val="auto"/>
              </w:rPr>
            </w:pPr>
          </w:p>
        </w:tc>
        <w:tc>
          <w:tcPr>
            <w:tcW w:w="1880" w:type="dxa"/>
            <w:vAlign w:val="bottom"/>
            <w:tcBorders>
              <w:top w:val="single" w:sz="8" w:color="CCEEFF"/>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540" w:type="dxa"/>
            <w:vAlign w:val="bottom"/>
            <w:tcBorders>
              <w:top w:val="single" w:sz="8" w:color="CCEEFF"/>
            </w:tcBorders>
          </w:tcPr>
          <w:p>
            <w:pPr>
              <w:spacing w:after="0"/>
              <w:rPr>
                <w:sz w:val="24"/>
                <w:szCs w:val="24"/>
                <w:color w:val="auto"/>
              </w:rPr>
            </w:pPr>
          </w:p>
        </w:tc>
      </w:tr>
    </w:tbl>
    <w:p>
      <w:pPr>
        <w:sectPr>
          <w:pgSz w:w="11900" w:h="16838" w:orient="portrait"/>
          <w:cols w:equalWidth="0" w:num="1">
            <w:col w:w="11400"/>
          </w:cols>
          <w:pgMar w:left="240" w:top="418"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45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480"/>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200" w:type="dxa"/>
            <w:vAlign w:val="bottom"/>
            <w:gridSpan w:val="5"/>
          </w:tcPr>
          <w:p>
            <w:pPr>
              <w:jc w:val="center"/>
              <w:ind w:left="2270"/>
              <w:spacing w:after="0"/>
              <w:rPr>
                <w:sz w:val="20"/>
                <w:szCs w:val="20"/>
                <w:color w:val="auto"/>
              </w:rPr>
            </w:pPr>
            <w:r>
              <w:rPr>
                <w:rFonts w:ascii="Arial" w:cs="Arial" w:eastAsia="Arial" w:hAnsi="Arial"/>
                <w:sz w:val="18"/>
                <w:szCs w:val="18"/>
                <w:b w:val="1"/>
                <w:bCs w:val="1"/>
                <w:color w:val="auto"/>
              </w:rPr>
              <w:t xml:space="preserve">PART I </w:t>
            </w:r>
            <w:r>
              <w:rPr>
                <w:rFonts w:ascii="Arial" w:cs="Arial" w:eastAsia="Arial" w:hAnsi="Arial"/>
                <w:sz w:val="18"/>
                <w:szCs w:val="18"/>
                <w:color w:val="auto"/>
              </w:rPr>
              <w:t>–</w:t>
            </w:r>
            <w:r>
              <w:rPr>
                <w:rFonts w:ascii="Arial" w:cs="Arial" w:eastAsia="Arial" w:hAnsi="Arial"/>
                <w:sz w:val="18"/>
                <w:szCs w:val="18"/>
                <w:b w:val="1"/>
                <w:bCs w:val="1"/>
                <w:color w:val="auto"/>
              </w:rPr>
              <w:t xml:space="preserve"> FINANCIAL INFORMATION</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24"/>
        </w:trPr>
        <w:tc>
          <w:tcPr>
            <w:tcW w:w="340" w:type="dxa"/>
            <w:vAlign w:val="bottom"/>
          </w:tcPr>
          <w:p>
            <w:pPr>
              <w:spacing w:after="0"/>
              <w:rPr>
                <w:sz w:val="24"/>
                <w:szCs w:val="24"/>
                <w:color w:val="auto"/>
              </w:rPr>
            </w:pPr>
          </w:p>
        </w:tc>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Item 1. Financial Statements.</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41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440" w:type="dxa"/>
            <w:vAlign w:val="bottom"/>
            <w:gridSpan w:val="8"/>
          </w:tcPr>
          <w:p>
            <w:pPr>
              <w:jc w:val="center"/>
              <w:ind w:left="103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440" w:type="dxa"/>
            <w:vAlign w:val="bottom"/>
            <w:gridSpan w:val="8"/>
          </w:tcPr>
          <w:p>
            <w:pPr>
              <w:jc w:val="center"/>
              <w:ind w:left="1010"/>
              <w:spacing w:after="0"/>
              <w:rPr>
                <w:sz w:val="20"/>
                <w:szCs w:val="20"/>
                <w:color w:val="auto"/>
              </w:rPr>
            </w:pPr>
            <w:r>
              <w:rPr>
                <w:rFonts w:ascii="Arial" w:cs="Arial" w:eastAsia="Arial" w:hAnsi="Arial"/>
                <w:sz w:val="18"/>
                <w:szCs w:val="18"/>
                <w:b w:val="1"/>
                <w:bCs w:val="1"/>
                <w:color w:val="auto"/>
                <w:w w:val="98"/>
              </w:rPr>
              <w:t>CONDENSED CONSOLIDATED STATEMENTS OF OPERATIONS</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860" w:type="dxa"/>
            <w:vAlign w:val="bottom"/>
            <w:gridSpan w:val="2"/>
          </w:tcPr>
          <w:p>
            <w:pPr>
              <w:jc w:val="center"/>
              <w:spacing w:after="0"/>
              <w:rPr>
                <w:sz w:val="20"/>
                <w:szCs w:val="20"/>
                <w:color w:val="auto"/>
              </w:rPr>
            </w:pPr>
            <w:r>
              <w:rPr>
                <w:rFonts w:ascii="Arial" w:cs="Arial" w:eastAsia="Arial" w:hAnsi="Arial"/>
                <w:sz w:val="18"/>
                <w:szCs w:val="18"/>
                <w:b w:val="1"/>
                <w:bCs w:val="1"/>
                <w:color w:val="auto"/>
              </w:rPr>
              <w:t>(UNAUDITED)</w:t>
            </w: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4"/>
                <w:szCs w:val="24"/>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per share amounts)</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Products</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963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999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Services</w:t>
            </w:r>
          </w:p>
        </w:tc>
        <w:tc>
          <w:tcPr>
            <w:tcW w:w="1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986</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1,750</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Revenues</w:t>
            </w:r>
          </w:p>
        </w:tc>
        <w:tc>
          <w:tcPr>
            <w:tcW w:w="16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2,749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Cost of Products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Cost of Services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729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716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1,409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1,436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Selling, General and Administrative Attributable to Segments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399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441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Corporate General and Administrative</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66</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w w:val="98"/>
              </w:rPr>
              <w:t>Long-Lived Asset Impairments, Asset Write-Downs and Other</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2C2C2C"/>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2C2C2C"/>
              </w:rPr>
              <w:t>25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Transformation Charges</w:t>
            </w:r>
          </w:p>
        </w:tc>
        <w:tc>
          <w:tcPr>
            <w:tcW w:w="1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106</w:t>
            </w:r>
          </w:p>
        </w:tc>
      </w:tr>
      <w:tr>
        <w:trPr>
          <w:trHeight w:val="237"/>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Total Costs and Expenses</w:t>
            </w:r>
          </w:p>
        </w:tc>
        <w:tc>
          <w:tcPr>
            <w:tcW w:w="16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1,521</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1,508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2,983</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3,108</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318"/>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8"/>
                <w:szCs w:val="18"/>
                <w:color w:val="auto"/>
              </w:rPr>
              <w:t>Operating Loss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4920" w:type="dxa"/>
            <w:vAlign w:val="bottom"/>
            <w:gridSpan w:val="3"/>
          </w:tcPr>
          <w:p>
            <w:pPr>
              <w:ind w:left="40"/>
              <w:spacing w:after="0"/>
              <w:rPr>
                <w:sz w:val="20"/>
                <w:szCs w:val="20"/>
                <w:color w:val="auto"/>
              </w:rPr>
            </w:pPr>
            <w:r>
              <w:rPr>
                <w:rFonts w:ascii="Arial" w:cs="Arial" w:eastAsia="Arial" w:hAnsi="Arial"/>
                <w:sz w:val="17"/>
                <w:szCs w:val="17"/>
                <w:b w:val="1"/>
                <w:bCs w:val="1"/>
                <w:color w:val="auto"/>
              </w:rPr>
              <w:t>Other Income (Expense):</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Interest Expense, Net</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Warrant Fair Value Adjustment</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Bond Tender and Call Premium</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Currency Devaluation Charges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Other Income (Expense), Net</w:t>
            </w:r>
          </w:p>
        </w:tc>
        <w:tc>
          <w:tcPr>
            <w:tcW w:w="16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2C2C2C"/>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2C2C2C"/>
              </w:rPr>
              <w:t>15</w:t>
            </w:r>
          </w:p>
        </w:tc>
      </w:tr>
      <w:tr>
        <w:trPr>
          <w:trHeight w:val="31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Loss Before Income Taxes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(558)</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Income Tax Provision</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Net Loss</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Net Income Attributable to Noncontrolling Interests</w:t>
            </w:r>
          </w:p>
        </w:tc>
        <w:tc>
          <w:tcPr>
            <w:tcW w:w="1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32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Net Loss Attributable to Weatherford</w:t>
            </w:r>
          </w:p>
        </w:tc>
        <w:tc>
          <w:tcPr>
            <w:tcW w:w="186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33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49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7"/>
                <w:szCs w:val="17"/>
                <w:color w:val="auto"/>
              </w:rPr>
              <w:t>Loss Per Share Attributable to Weatherford:</w:t>
            </w:r>
          </w:p>
        </w:tc>
        <w:tc>
          <w:tcPr>
            <w:tcW w:w="16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Basic &amp; Diluted</w:t>
            </w:r>
          </w:p>
        </w:tc>
        <w:tc>
          <w:tcPr>
            <w:tcW w:w="186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(0.26)</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(0.63)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324"/>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320" w:type="dxa"/>
            <w:vAlign w:val="bottom"/>
            <w:shd w:val="clear" w:color="auto" w:fill="CCEEFF"/>
          </w:tcPr>
          <w:p>
            <w:pPr>
              <w:spacing w:after="0"/>
              <w:rPr>
                <w:sz w:val="24"/>
                <w:szCs w:val="24"/>
                <w:color w:val="auto"/>
              </w:rPr>
            </w:pPr>
          </w:p>
        </w:tc>
        <w:tc>
          <w:tcPr>
            <w:tcW w:w="16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r>
      <w:tr>
        <w:trPr>
          <w:trHeight w:val="239"/>
        </w:trPr>
        <w:tc>
          <w:tcPr>
            <w:tcW w:w="4920" w:type="dxa"/>
            <w:vAlign w:val="bottom"/>
            <w:gridSpan w:val="3"/>
          </w:tcPr>
          <w:p>
            <w:pPr>
              <w:ind w:left="40"/>
              <w:spacing w:after="0"/>
              <w:rPr>
                <w:sz w:val="20"/>
                <w:szCs w:val="20"/>
                <w:color w:val="auto"/>
              </w:rPr>
            </w:pPr>
            <w:r>
              <w:rPr>
                <w:rFonts w:ascii="Arial" w:cs="Arial" w:eastAsia="Arial" w:hAnsi="Arial"/>
                <w:sz w:val="17"/>
                <w:szCs w:val="17"/>
                <w:color w:val="auto"/>
              </w:rPr>
              <w:t>Weighted Average Shares Outstanding:</w:t>
            </w:r>
          </w:p>
        </w:tc>
        <w:tc>
          <w:tcPr>
            <w:tcW w:w="1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31"/>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4920" w:type="dxa"/>
            <w:vAlign w:val="bottom"/>
            <w:gridSpan w:val="3"/>
            <w:shd w:val="clear" w:color="auto" w:fill="CCEEFF"/>
          </w:tcPr>
          <w:p>
            <w:pPr>
              <w:ind w:left="40"/>
              <w:spacing w:after="0"/>
              <w:rPr>
                <w:sz w:val="20"/>
                <w:szCs w:val="20"/>
                <w:color w:val="auto"/>
              </w:rPr>
            </w:pPr>
            <w:r>
              <w:rPr>
                <w:rFonts w:ascii="Arial" w:cs="Arial" w:eastAsia="Arial" w:hAnsi="Arial"/>
                <w:sz w:val="17"/>
                <w:szCs w:val="17"/>
                <w:color w:val="auto"/>
              </w:rPr>
              <w:t>Basic &amp; Diluted</w:t>
            </w:r>
          </w:p>
        </w:tc>
        <w:tc>
          <w:tcPr>
            <w:tcW w:w="16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989</w:t>
            </w:r>
          </w:p>
        </w:tc>
      </w:tr>
      <w:tr>
        <w:trPr>
          <w:trHeight w:val="27"/>
        </w:trPr>
        <w:tc>
          <w:tcPr>
            <w:tcW w:w="34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32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32" w:right="239" w:bottom="1440" w:gutter="0" w:footer="0" w:header="0"/>
        </w:sectPr>
      </w:pPr>
    </w:p>
    <w:bookmarkStart w:id="3" w:name="page4"/>
    <w:bookmarkEnd w:id="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580" w:right="2380"/>
        <w:spacing w:after="0" w:line="266" w:lineRule="auto"/>
        <w:rPr>
          <w:sz w:val="20"/>
          <w:szCs w:val="20"/>
          <w:color w:val="auto"/>
        </w:rPr>
      </w:pPr>
      <w:r>
        <w:rPr>
          <w:rFonts w:ascii="Arial" w:cs="Arial" w:eastAsia="Arial" w:hAnsi="Arial"/>
          <w:sz w:val="18"/>
          <w:szCs w:val="18"/>
          <w:b w:val="1"/>
          <w:bCs w:val="1"/>
          <w:color w:val="auto"/>
        </w:rPr>
        <w:t>WEATHERFORD INTERNATIONAL PLC AND SUBSIDIARIES CONDENSED CONSOLIDATED STATEMENTS OF COMPREHENSIVE LOSS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32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(501)</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(608)</w:t>
            </w:r>
          </w:p>
        </w:tc>
      </w:tr>
      <w:tr>
        <w:trPr>
          <w:trHeight w:val="324"/>
        </w:trPr>
        <w:tc>
          <w:tcPr>
            <w:tcW w:w="6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Translation Adjustments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w:t>
            </w: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Defined Benefit Pension Activity</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6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(160)</w:t>
            </w:r>
          </w:p>
        </w:tc>
        <w:tc>
          <w:tcPr>
            <w:tcW w:w="3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(661)</w:t>
            </w:r>
          </w:p>
        </w:tc>
        <w:tc>
          <w:tcPr>
            <w:tcW w:w="32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(575)</w:t>
            </w:r>
          </w:p>
        </w:tc>
      </w:tr>
      <w:tr>
        <w:trPr>
          <w:trHeight w:val="27"/>
        </w:trPr>
        <w:tc>
          <w:tcPr>
            <w:tcW w:w="6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w:t>
            </w:r>
          </w:p>
        </w:tc>
        <w:tc>
          <w:tcPr>
            <w:tcW w:w="3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Comprehensive Loss Attributable to Weatherford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(429)</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(181)</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(669)</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(586)</w:t>
            </w:r>
          </w:p>
        </w:tc>
      </w:tr>
      <w:tr>
        <w:trPr>
          <w:trHeight w:val="20"/>
        </w:trPr>
        <w:tc>
          <w:tcPr>
            <w:tcW w:w="6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49"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790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461"/>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920" w:type="dxa"/>
            <w:vAlign w:val="bottom"/>
            <w:gridSpan w:val="2"/>
          </w:tcPr>
          <w:p>
            <w:pPr>
              <w:jc w:val="center"/>
              <w:ind w:left="1550"/>
              <w:spacing w:after="0"/>
              <w:rPr>
                <w:sz w:val="20"/>
                <w:szCs w:val="20"/>
                <w:color w:val="auto"/>
              </w:rPr>
            </w:pPr>
            <w:r>
              <w:rPr>
                <w:rFonts w:ascii="Arial" w:cs="Arial" w:eastAsia="Arial" w:hAnsi="Arial"/>
                <w:sz w:val="18"/>
                <w:szCs w:val="18"/>
                <w:b w:val="1"/>
                <w:bCs w:val="1"/>
                <w:color w:val="auto"/>
              </w:rPr>
              <w:t>WEATHERFORD INTERNATIONAL PLC AND 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34"/>
        </w:trPr>
        <w:tc>
          <w:tcPr>
            <w:tcW w:w="3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640" w:type="dxa"/>
            <w:vAlign w:val="bottom"/>
          </w:tcPr>
          <w:p>
            <w:pPr>
              <w:jc w:val="center"/>
              <w:ind w:left="18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378"/>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8"/>
              </w:rPr>
              <w:t>June 30,</w:t>
            </w: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70"/>
        </w:trPr>
        <w:tc>
          <w:tcPr>
            <w:tcW w:w="824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and shares in millions, except par value)</w:t>
            </w:r>
          </w:p>
        </w:tc>
        <w:tc>
          <w:tcPr>
            <w:tcW w:w="280" w:type="dxa"/>
            <w:vAlign w:val="bottom"/>
          </w:tcPr>
          <w:p>
            <w:pPr>
              <w:spacing w:after="0"/>
              <w:rPr>
                <w:sz w:val="23"/>
                <w:szCs w:val="23"/>
                <w:color w:val="auto"/>
              </w:rPr>
            </w:pPr>
          </w:p>
        </w:tc>
        <w:tc>
          <w:tcPr>
            <w:tcW w:w="1320" w:type="dxa"/>
            <w:vAlign w:val="bottom"/>
          </w:tcPr>
          <w:p>
            <w:pPr>
              <w:jc w:val="center"/>
              <w:ind w:right="190"/>
              <w:spacing w:after="0"/>
              <w:rPr>
                <w:sz w:val="20"/>
                <w:szCs w:val="20"/>
                <w:color w:val="auto"/>
              </w:rPr>
            </w:pPr>
            <w:r>
              <w:rPr>
                <w:rFonts w:ascii="Arial" w:cs="Arial" w:eastAsia="Arial" w:hAnsi="Arial"/>
                <w:sz w:val="18"/>
                <w:szCs w:val="18"/>
                <w:b w:val="1"/>
                <w:bCs w:val="1"/>
                <w:color w:val="auto"/>
                <w:w w:val="89"/>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66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center"/>
              <w:ind w:right="380"/>
              <w:spacing w:after="0"/>
              <w:rPr>
                <w:sz w:val="20"/>
                <w:szCs w:val="20"/>
                <w:color w:val="auto"/>
              </w:rPr>
            </w:pPr>
            <w:r>
              <w:rPr>
                <w:rFonts w:ascii="Arial" w:cs="Arial" w:eastAsia="Arial" w:hAnsi="Arial"/>
                <w:sz w:val="18"/>
                <w:szCs w:val="18"/>
                <w:b w:val="1"/>
                <w:bCs w:val="1"/>
                <w:color w:val="auto"/>
                <w:w w:val="91"/>
              </w:rPr>
              <w:t>(Unaudited)</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2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Accounts Receivable, Net of Allowance for Uncollectible Accounts of $141 in 2018 and $156 in 2017</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1,234</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Prepaid Expenses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237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Assets Held for Sale</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359</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3,878</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w w:val="99"/>
              </w:rPr>
              <w:t>Property, Plant and Equipment, Net of Accumulated Depreciation of $6,965 in 2018 and $7,462 in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2,708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2,621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2,727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Accumulated Amortization of $887 in 2018 and $870 in 2017</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Non-Current Assets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9,747</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28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Short-term Borrowings and Current Portion of Long-term Debt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148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Accrued Salaries and Benefits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272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308</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Income Taxes Payable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228</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Current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690</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2,230</w:t>
            </w: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7,541</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2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4"/>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w:t>
            </w:r>
          </w:p>
        </w:tc>
        <w:tc>
          <w:tcPr>
            <w:tcW w:w="2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10,291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10,318</w:t>
            </w:r>
          </w:p>
        </w:tc>
      </w:tr>
      <w:tr>
        <w:trPr>
          <w:trHeight w:val="2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Shareholders’ (Deficiency) Equity:</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29"/>
        </w:trPr>
        <w:tc>
          <w:tcPr>
            <w:tcW w:w="8240" w:type="dxa"/>
            <w:vAlign w:val="bottom"/>
            <w:gridSpan w:val="3"/>
          </w:tcPr>
          <w:p>
            <w:pPr>
              <w:ind w:left="40"/>
              <w:spacing w:after="0"/>
              <w:rPr>
                <w:sz w:val="20"/>
                <w:szCs w:val="20"/>
                <w:color w:val="auto"/>
              </w:rPr>
            </w:pPr>
            <w:r>
              <w:rPr>
                <w:rFonts w:ascii="Arial" w:cs="Arial" w:eastAsia="Arial" w:hAnsi="Arial"/>
                <w:sz w:val="18"/>
                <w:szCs w:val="18"/>
                <w:color w:val="auto"/>
                <w:w w:val="88"/>
              </w:rPr>
              <w:t>Shares - Par Value $0.001; Authorized 1,356 shares, Issued and Outstanding 997 shares at June 30, 2018 and 993</w:t>
            </w:r>
          </w:p>
        </w:tc>
        <w:tc>
          <w:tcPr>
            <w:tcW w:w="2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30"/>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shares at December 31, 2017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Capital in Excess of Par Value</w:t>
            </w:r>
          </w:p>
        </w:tc>
        <w:tc>
          <w:tcPr>
            <w:tcW w:w="2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6,655</w:t>
            </w: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Retained Deficit</w:t>
            </w:r>
          </w:p>
        </w:tc>
        <w:tc>
          <w:tcPr>
            <w:tcW w:w="28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(5,763)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Accumulated Other Comprehensive Loss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Weatherford Shareholders’ Deficiency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3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Shareholders’ Deficiency</w:t>
            </w:r>
          </w:p>
        </w:tc>
        <w:tc>
          <w:tcPr>
            <w:tcW w:w="28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(1,312)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(571)</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6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57"/>
        </w:trPr>
        <w:tc>
          <w:tcPr>
            <w:tcW w:w="824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Deficiency</w:t>
            </w: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9,747</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432" w:right="239" w:bottom="1440" w:gutter="0" w:footer="0" w:header="0"/>
        </w:sectPr>
      </w:pPr>
    </w:p>
    <w:p>
      <w:pPr>
        <w:spacing w:after="0" w:line="63" w:lineRule="exact"/>
        <w:rPr>
          <w:sz w:val="20"/>
          <w:szCs w:val="20"/>
          <w:color w:val="auto"/>
        </w:rPr>
      </w:pPr>
    </w:p>
    <w:p>
      <w:pPr>
        <w:jc w:val="center"/>
        <w:ind w:left="340"/>
        <w:spacing w:after="0"/>
        <w:rPr>
          <w:sz w:val="20"/>
          <w:szCs w:val="20"/>
          <w:color w:val="auto"/>
        </w:rPr>
      </w:pPr>
      <w:r>
        <w:rPr>
          <w:rFonts w:ascii="Arial" w:cs="Arial" w:eastAsia="Arial" w:hAnsi="Arial"/>
          <w:sz w:val="14"/>
          <w:szCs w:val="14"/>
          <w:color w:val="auto"/>
        </w:rPr>
        <w:t>4</w:t>
      </w:r>
    </w:p>
    <w:p>
      <w:pPr>
        <w:sectPr>
          <w:pgSz w:w="11900" w:h="16838" w:orient="portrait"/>
          <w:cols w:equalWidth="0" w:num="1">
            <w:col w:w="11420"/>
          </w:cols>
          <w:pgMar w:left="240" w:top="432" w:right="239" w:bottom="1440" w:gutter="0" w:footer="0" w:header="0"/>
          <w:type w:val="continuous"/>
        </w:sectPr>
      </w:pPr>
    </w:p>
    <w:bookmarkStart w:id="5" w:name="page6"/>
    <w:bookmarkEnd w:id="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30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27" w:lineRule="exact"/>
        <w:rPr>
          <w:sz w:val="20"/>
          <w:szCs w:val="20"/>
          <w:color w:val="auto"/>
        </w:rPr>
      </w:pPr>
    </w:p>
    <w:p>
      <w:pPr>
        <w:ind w:left="2380"/>
        <w:spacing w:after="0"/>
        <w:rPr>
          <w:sz w:val="20"/>
          <w:szCs w:val="20"/>
          <w:color w:val="auto"/>
        </w:rPr>
      </w:pPr>
      <w:r>
        <w:rPr>
          <w:rFonts w:ascii="Arial" w:cs="Arial" w:eastAsia="Arial" w:hAnsi="Arial"/>
          <w:sz w:val="18"/>
          <w:szCs w:val="18"/>
          <w:b w:val="1"/>
          <w:bCs w:val="1"/>
          <w:color w:val="auto"/>
        </w:rPr>
        <w:t>CONDENSED CONSOLIDATED STATEMENTS OF CASH FLOWS (UNAUDITED)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6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90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020" w:type="dxa"/>
            <w:vAlign w:val="bottom"/>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90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(608)</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Provided by (Used in) Operating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412</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Employee Share-Based Compensation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Long-Lived Asset Impairments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Inventory Write-off and Other Related Charges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Asset Write-Downs and Other Charges</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Bad Debt (Recovery) Expense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Defined Benefit Pension Plan Gains</w:t>
            </w:r>
          </w:p>
        </w:tc>
        <w:tc>
          <w:tcPr>
            <w:tcW w:w="1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Bond Tender and Call Premium</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Deferred Income Tax Provision (Benefit)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Change in Operating Assets and Liabilities, Net of Effect of Businesses Acquired:</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Accounts Payable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Litigation and Settlements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Other Current Liabilities</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9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Expenditures for Property, Plant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Capital Expenditures for and Acquisition of Assets Held for Sale</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(243)</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 of Businesses, Net of Cash Acquired</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Acquisition of Intellectual Property</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Assets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Proceeds (Payments) from Sale of Businesses and Equity Investment, Net</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Investing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9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of 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Repayments of Long-term Debt</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Borrowings (Repayments) of Short-term Debt, Net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Bond Tender Premium</w:t>
            </w: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Financing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37"/>
        </w:trPr>
        <w:tc>
          <w:tcPr>
            <w:tcW w:w="9020" w:type="dxa"/>
            <w:vAlign w:val="bottom"/>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70"/>
        </w:trPr>
        <w:tc>
          <w:tcPr>
            <w:tcW w:w="9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Decrease in Cash and Cash Equivalents</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Cash and Cash Equivalents at Beginning of Period</w:t>
            </w:r>
          </w:p>
        </w:tc>
        <w:tc>
          <w:tcPr>
            <w:tcW w:w="14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613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1,037</w:t>
            </w:r>
          </w:p>
        </w:tc>
      </w:tr>
      <w:tr>
        <w:trPr>
          <w:trHeight w:val="27"/>
        </w:trPr>
        <w:tc>
          <w:tcPr>
            <w:tcW w:w="90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584</w:t>
            </w:r>
          </w:p>
        </w:tc>
      </w:tr>
      <w:tr>
        <w:trPr>
          <w:trHeight w:val="20"/>
        </w:trPr>
        <w:tc>
          <w:tcPr>
            <w:tcW w:w="90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03"/>
        </w:trPr>
        <w:tc>
          <w:tcPr>
            <w:tcW w:w="9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Supplemental Cash Flow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Interest Paid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251</w:t>
            </w:r>
          </w:p>
        </w:tc>
      </w:tr>
      <w:tr>
        <w:trPr>
          <w:trHeight w:val="27"/>
        </w:trPr>
        <w:tc>
          <w:tcPr>
            <w:tcW w:w="90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Income Taxes Paid, Net of Refunds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90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449" w:right="239" w:bottom="0" w:gutter="0" w:footer="0" w:header="0"/>
        </w:sectPr>
      </w:pPr>
    </w:p>
    <w:p>
      <w:pPr>
        <w:spacing w:after="0" w:line="299" w:lineRule="exact"/>
        <w:rPr>
          <w:sz w:val="20"/>
          <w:szCs w:val="20"/>
          <w:color w:val="auto"/>
        </w:rPr>
      </w:pPr>
    </w:p>
    <w:p>
      <w:pPr>
        <w:ind w:left="2320"/>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ectPr>
          <w:pgSz w:w="11900" w:h="16838" w:orient="portrait"/>
          <w:cols w:equalWidth="0" w:num="1">
            <w:col w:w="11420"/>
          </w:cols>
          <w:pgMar w:left="240" w:top="449" w:right="239" w:bottom="0" w:gutter="0" w:footer="0" w:header="0"/>
          <w:type w:val="continuous"/>
        </w:sectPr>
      </w:pPr>
    </w:p>
    <w:bookmarkStart w:id="6" w:name="page7"/>
    <w:bookmarkEnd w:id="6"/>
    <w:p>
      <w:pPr>
        <w:jc w:val="center"/>
        <w:ind w:right="-340"/>
        <w:spacing w:after="0"/>
        <w:rPr>
          <w:sz w:val="20"/>
          <w:szCs w:val="20"/>
          <w:color w:val="auto"/>
        </w:rPr>
      </w:pPr>
      <w:r>
        <w:rPr>
          <w:rFonts w:ascii="Arial" w:cs="Arial" w:eastAsia="Arial" w:hAnsi="Arial"/>
          <w:sz w:val="14"/>
          <w:szCs w:val="14"/>
          <w:color w:val="auto"/>
        </w:rPr>
        <w:t>5</w:t>
      </w:r>
    </w:p>
    <w:p>
      <w:pPr>
        <w:sectPr>
          <w:pgSz w:w="11900" w:h="16838" w:orient="portrait"/>
          <w:cols w:equalWidth="0" w:num="1">
            <w:col w:w="9019"/>
          </w:cols>
          <w:pgMar w:left="1440" w:top="125" w:right="1440" w:bottom="1440" w:gutter="0" w:footer="0" w:header="0"/>
        </w:sectPr>
      </w:pPr>
    </w:p>
    <w:bookmarkStart w:id="7" w:name="page8"/>
    <w:bookmarkEnd w:id="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WEATHERFORD INTERNATIONAL PLC AND SUBSIDIARIES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 General</w:t>
      </w:r>
    </w:p>
    <w:p>
      <w:pPr>
        <w:spacing w:after="0" w:line="229" w:lineRule="exact"/>
        <w:rPr>
          <w:sz w:val="20"/>
          <w:szCs w:val="20"/>
          <w:color w:val="auto"/>
        </w:rPr>
      </w:pPr>
    </w:p>
    <w:p>
      <w:pPr>
        <w:jc w:val="both"/>
        <w:ind w:firstLine="338"/>
        <w:spacing w:after="0" w:line="254" w:lineRule="auto"/>
        <w:rPr>
          <w:sz w:val="20"/>
          <w:szCs w:val="20"/>
          <w:color w:val="auto"/>
        </w:rPr>
      </w:pPr>
      <w:r>
        <w:rPr>
          <w:rFonts w:ascii="Arial" w:cs="Arial" w:eastAsia="Arial" w:hAnsi="Arial"/>
          <w:sz w:val="18"/>
          <w:szCs w:val="18"/>
          <w:color w:val="auto"/>
        </w:rPr>
        <w:t>The accompanying unaudited Condensed Consolidated Financial Statements of Weatherford International plc (the “Company,” “Weatherford” or “Weatherford Ireland”) are prepared in accordance with generally accepted accounting principles in the United States of America (“U.S. GAAP”) and include all adjustments (consisting of normal recurring adjustments) which, in our opinion, are considered necessary to present fairly our Condensed Consolidated Balance Sheets at June 30, 2018 and December 31, 2017, Condensed Consolidated Statements of Operations and Condensed Consolidated Statements of Comprehensive Loss for the three and six months ended June 30, 2018 and 2017 and Condensed Consolidated Statements of Cash Flows for the six months ended June 30, 2018 and 2017. When using phrases such as “we,” “us,” and “our,” the intent is to refer to Weatherford International plc, a public limited company organized under the law of Ireland, and its subsidiaries as a whole or on a regional basis, depending on the context in which the statements are made.</w:t>
      </w:r>
    </w:p>
    <w:p>
      <w:pPr>
        <w:spacing w:after="0" w:line="206" w:lineRule="exact"/>
        <w:rPr>
          <w:sz w:val="20"/>
          <w:szCs w:val="20"/>
          <w:color w:val="auto"/>
        </w:rPr>
      </w:pPr>
    </w:p>
    <w:p>
      <w:pPr>
        <w:jc w:val="both"/>
        <w:ind w:firstLine="338"/>
        <w:spacing w:after="0" w:line="297" w:lineRule="auto"/>
        <w:rPr>
          <w:sz w:val="20"/>
          <w:szCs w:val="20"/>
          <w:color w:val="auto"/>
        </w:rPr>
      </w:pPr>
      <w:r>
        <w:rPr>
          <w:rFonts w:ascii="Arial" w:cs="Arial" w:eastAsia="Arial" w:hAnsi="Arial"/>
          <w:sz w:val="16"/>
          <w:szCs w:val="16"/>
          <w:color w:val="auto"/>
        </w:rPr>
        <w:t>Although we believe the disclosures in these financial statements are adequate, certain information relating to our organization and footnote disclosures normally included in financial statements prepared in accordance with U.S. GAAP have been condensed or omitted in this Form 10-Q pursuant to U.S. Securities and Exchange Commission (“SEC”) rules and regulations. These financial statements should be read in conjunction with the audited Consolidated Financial Statements for the year ended December 31, 2017 included in our Annual Report on Form 10-K. The results of operations for the three and six months ended June 30, 2018 are not necessarily indicative of the results expected for the year ending December 31, 2018.</w:t>
      </w:r>
    </w:p>
    <w:p>
      <w:pPr>
        <w:spacing w:after="0" w:line="17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338"/>
        <w:spacing w:after="0" w:line="290"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 of assets and liabilities at the date of the financial statements, the reported amounts of revenues and expenses during the reporting period, and disclosure of contingent assets and liabilities. On an on-going basis, we evaluate our estimates and assumptions, including those related to uncollectible accounts receivable, lower of cost or net realizable value of inventories, assets held for sale, derivative financial instruments, intangible assets and goodwill, property, plant and equipment (“PP&amp;E”), income taxes, accounting for long-term contracts, self-insurance, foreign currency exchange rates, pension and post-retirement benefit plans, disputes, litigation, contingencies and share-based compensation.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could differ from those estimates.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consolidate all wholly-owned subsidiaries, controlled joint ventures and variable interest entities where the Company has determined it is the primary beneficiary. Investments in affiliates in which we exercise significant influence over operating and financial policies are accounted for using the equity method. All material intercompany accounts and transactions have been eliminated in consolidation.</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reclassifications of the financial statements and accompanying footnotes for the three and six months ended June 30, 2017 have been made to conform to the presentation for the three and six months ended June 30, 2018. See “Note 2 – New Accounting Pronouncements” for additional details regarding accounting changes impacting the Condensed Consolidated Financial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For the second quarter and the first six months ended June 30, 2018, we recognized currency devaluation charges of $11 million and $37 million respectively. Devaluation of the Angolan kwanza totaling $11 million and $35 million in the second quarter and the first six months ended June 30, 2018, respectively, were substantially all of the charges recorded. The devaluation of the Angolan kwanza was due to a change in Angolan central bank policy in January 2018. For the six months ended June 30, 2017, we had no currency devaluation charges. Currency devaluation charges are included in current earnings in “Currency Devaluation Charges” on the accompanying Condensed Consolidated Statements of Operations.</w:t>
      </w:r>
    </w:p>
    <w:p>
      <w:pPr>
        <w:spacing w:after="0" w:line="20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95" w:right="239" w:bottom="1440" w:gutter="0" w:footer="0" w:header="0"/>
        </w:sectPr>
      </w:pPr>
    </w:p>
    <w:bookmarkStart w:id="8" w:name="page9"/>
    <w:bookmarkEnd w:id="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2. 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Changes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replaced most existing revenue recognition guidance in U.S. GAAP. We adopted the new guidance and all of the related amendments, collectively Topic 606, using the modified retrospective method applied to those contracts which were not completed as of January 1, 2018. We recognized the cumulative effect of initially applying the new guidance as an adjustment to the opening balance of retained earnings as of January 1, 2018. The comparative information has not been restated and continues to be reported under the accounting standards in effect for those periods. Net income for 2017 and shareholders’ equity as of December 31, 2017 were not affected by the adoption of the new guidance. The impact of the adoption of the new guidance is immaterial to our consolidated net loss.</w:t>
      </w:r>
    </w:p>
    <w:p>
      <w:pPr>
        <w:spacing w:after="0" w:line="16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primary impact on adopting Topic 606 on our Condensed Consolidated Financial Statements is in our Well Construction product line, where we receive customer payments related to the demobilization of drilling equipment and crew. Under the adoption of Topic 606, we now recognize revenue on demobilization equally over the term of the contract, subject to any constraint as discussed in “Note 3 – Revenues” to our Condensed Consolidated Financial Statements. Prior to the adoption of Topic 606, we recognized demobilization revenue once the service was completed. These changes did not have any impact on our Condensed Consolidated Statements of Cash Flows.</w:t>
      </w:r>
    </w:p>
    <w:p>
      <w:pPr>
        <w:spacing w:after="0" w:line="188"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cumulative effect of the changes made to our January 1, 2018 Condensed Consolidated Balance Sheet for the adoption of Topic 606,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Balance at</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16"/>
        </w:trPr>
        <w:tc>
          <w:tcPr>
            <w:tcW w:w="440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3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December 31,</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Adjustments Due</w:t>
            </w:r>
          </w:p>
        </w:tc>
        <w:tc>
          <w:tcPr>
            <w:tcW w:w="140" w:type="dxa"/>
            <w:vAlign w:val="bottom"/>
          </w:tcPr>
          <w:p>
            <w:pPr>
              <w:spacing w:after="0"/>
              <w:rPr>
                <w:sz w:val="18"/>
                <w:szCs w:val="18"/>
                <w:color w:val="auto"/>
              </w:rPr>
            </w:pP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Balance at</w:t>
            </w:r>
          </w:p>
        </w:tc>
      </w:tr>
      <w:tr>
        <w:trPr>
          <w:trHeight w:val="234"/>
        </w:trPr>
        <w:tc>
          <w:tcPr>
            <w:tcW w:w="44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74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2017</w:t>
            </w:r>
          </w:p>
        </w:tc>
        <w:tc>
          <w:tcPr>
            <w:tcW w:w="200" w:type="dxa"/>
            <w:vAlign w:val="bottom"/>
          </w:tcPr>
          <w:p>
            <w:pPr>
              <w:spacing w:after="0"/>
              <w:rPr>
                <w:sz w:val="20"/>
                <w:szCs w:val="20"/>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b w:val="1"/>
                <w:bCs w:val="1"/>
                <w:color w:val="auto"/>
                <w:w w:val="95"/>
              </w:rPr>
              <w:t>to Topic 606</w:t>
            </w:r>
          </w:p>
        </w:tc>
        <w:tc>
          <w:tcPr>
            <w:tcW w:w="14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b w:val="1"/>
                <w:bCs w:val="1"/>
                <w:color w:val="auto"/>
                <w:w w:val="90"/>
              </w:rPr>
              <w:t>January 1, 2018</w:t>
            </w:r>
          </w:p>
        </w:tc>
      </w:tr>
      <w:tr>
        <w:trPr>
          <w:trHeight w:val="27"/>
        </w:trPr>
        <w:tc>
          <w:tcPr>
            <w:tcW w:w="4400" w:type="dxa"/>
            <w:vAlign w:val="bottom"/>
            <w:tcBorders>
              <w:bottom w:val="single" w:sz="8" w:color="auto"/>
            </w:tcBorders>
          </w:tcPr>
          <w:p>
            <w:pPr>
              <w:spacing w:after="0"/>
              <w:rPr>
                <w:sz w:val="2"/>
                <w:szCs w:val="2"/>
                <w:color w:val="auto"/>
              </w:rPr>
            </w:pPr>
          </w:p>
        </w:tc>
        <w:tc>
          <w:tcPr>
            <w:tcW w:w="27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Assets and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Current Assets</w:t>
            </w:r>
          </w:p>
        </w:tc>
        <w:tc>
          <w:tcPr>
            <w:tcW w:w="27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332</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10</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342</w:t>
            </w:r>
          </w:p>
        </w:tc>
      </w:tr>
      <w:tr>
        <w:trPr>
          <w:trHeight w:val="27"/>
        </w:trPr>
        <w:tc>
          <w:tcPr>
            <w:tcW w:w="4400" w:type="dxa"/>
            <w:vAlign w:val="bottom"/>
          </w:tcPr>
          <w:p>
            <w:pPr>
              <w:spacing w:after="0"/>
              <w:rPr>
                <w:sz w:val="2"/>
                <w:szCs w:val="2"/>
                <w:color w:val="auto"/>
              </w:rPr>
            </w:pPr>
          </w:p>
        </w:tc>
        <w:tc>
          <w:tcPr>
            <w:tcW w:w="27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690</w:t>
            </w: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692</w:t>
            </w:r>
          </w:p>
        </w:tc>
      </w:tr>
      <w:tr>
        <w:trPr>
          <w:trHeight w:val="324"/>
        </w:trPr>
        <w:tc>
          <w:tcPr>
            <w:tcW w:w="440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Shareholders’ Equity:</w:t>
            </w:r>
          </w:p>
        </w:tc>
        <w:tc>
          <w:tcPr>
            <w:tcW w:w="27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Retained Deficit</w:t>
            </w:r>
          </w:p>
        </w:tc>
        <w:tc>
          <w:tcPr>
            <w:tcW w:w="27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(5,763)</w:t>
            </w: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(5,755)</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impact of adopting Topic 606 on the Company’s Condensed Consolidated Financial Statements for the first six months ended June 30, 2018 was less than $2 million.</w:t>
      </w:r>
    </w:p>
    <w:p>
      <w:pPr>
        <w:spacing w:after="0" w:line="170"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 xml:space="preserve">In March 2017, the Financial Accounting Standards Board (“FASB”) issued ASU 2017-07, </w:t>
      </w:r>
      <w:r>
        <w:rPr>
          <w:rFonts w:ascii="Arial" w:cs="Arial" w:eastAsia="Arial" w:hAnsi="Arial"/>
          <w:sz w:val="17"/>
          <w:szCs w:val="17"/>
          <w:i w:val="1"/>
          <w:iCs w:val="1"/>
          <w:color w:val="auto"/>
        </w:rPr>
        <w:t>Compensation - Retirement Benefits (Topic 715): Improving</w:t>
      </w:r>
      <w:r>
        <w:rPr>
          <w:rFonts w:ascii="Arial" w:cs="Arial" w:eastAsia="Arial" w:hAnsi="Arial"/>
          <w:sz w:val="17"/>
          <w:szCs w:val="17"/>
          <w:color w:val="auto"/>
        </w:rPr>
        <w:t xml:space="preserve"> </w:t>
      </w:r>
      <w:r>
        <w:rPr>
          <w:rFonts w:ascii="Arial" w:cs="Arial" w:eastAsia="Arial" w:hAnsi="Arial"/>
          <w:sz w:val="17"/>
          <w:szCs w:val="17"/>
          <w:i w:val="1"/>
          <w:iCs w:val="1"/>
          <w:color w:val="auto"/>
        </w:rPr>
        <w:t>the Presentation of Net Periodic Pension Cost and Net Periodic Postretirement Benefit Cost</w:t>
      </w:r>
      <w:r>
        <w:rPr>
          <w:rFonts w:ascii="Arial" w:cs="Arial" w:eastAsia="Arial" w:hAnsi="Arial"/>
          <w:sz w:val="17"/>
          <w:szCs w:val="17"/>
          <w:color w:val="auto"/>
        </w:rPr>
        <w:t>, which amends the presentation of net periodic pension and</w:t>
      </w:r>
      <w:r>
        <w:rPr>
          <w:rFonts w:ascii="Arial" w:cs="Arial" w:eastAsia="Arial" w:hAnsi="Arial"/>
          <w:sz w:val="17"/>
          <w:szCs w:val="17"/>
          <w:i w:val="1"/>
          <w:iCs w:val="1"/>
          <w:color w:val="auto"/>
        </w:rPr>
        <w:t xml:space="preserve"> </w:t>
      </w:r>
      <w:r>
        <w:rPr>
          <w:rFonts w:ascii="Arial" w:cs="Arial" w:eastAsia="Arial" w:hAnsi="Arial"/>
          <w:sz w:val="17"/>
          <w:szCs w:val="17"/>
          <w:color w:val="auto"/>
        </w:rPr>
        <w:t>postretirement benefit costs (“net benefit cost”). The service cost component of net benefit cost will be bifurcated and presented with other employee compensation costs, while other components of net benefit costs are presented separately outside of income from operations. We adopted ASU 2017-07 in the first quarter of 2018 on a retrospective basis which resulted in the reclassification $18 million and $36 million of income from “Total Costs and Expenses” primarily under the caption of “Long-Lived Asset Impairments, Asset Write-Downs and Other” to “Other Income (Expense), net” on our Condensed Consolidated Statements of Operations for the second quarter and the first six months of 2017, respectively.</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In October 2016, the FASB issued ASU 2016-16, </w:t>
      </w:r>
      <w:r>
        <w:rPr>
          <w:rFonts w:ascii="Arial" w:cs="Arial" w:eastAsia="Arial" w:hAnsi="Arial"/>
          <w:sz w:val="18"/>
          <w:szCs w:val="18"/>
          <w:i w:val="1"/>
          <w:iCs w:val="1"/>
          <w:color w:val="auto"/>
        </w:rPr>
        <w:t>Income Taxes (Topic 740): Intra-Entity Transfers of Assets Other Than Inventory</w:t>
      </w:r>
      <w:r>
        <w:rPr>
          <w:rFonts w:ascii="Arial" w:cs="Arial" w:eastAsia="Arial" w:hAnsi="Arial"/>
          <w:sz w:val="18"/>
          <w:szCs w:val="18"/>
          <w:color w:val="auto"/>
        </w:rPr>
        <w:t>, which eliminates a current exception in U.S. GAAP to the recognition of the income tax effects of temporary differences that result from intra-entity transfers of non-inventory assets. We adopted ASU 2016-16 in the first quarter of 2018 on a modified retrospective basis. The impact that this new standard has on our Consolidated Financial Statements is a reversal of $105 million of prepaid taxes through retained earnings. Prospectively, any taxes accrued that result from the intra-entity transfers of non-inventory assets will be recognized in current tax expense.</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49" w:right="239" w:bottom="1440" w:gutter="0" w:footer="0" w:header="0"/>
        </w:sectPr>
      </w:pPr>
    </w:p>
    <w:bookmarkStart w:id="9" w:name="page10"/>
    <w:bookmarkEnd w:id="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which reduces diversity in practice as to how certain transactions are classified in the statement of cash flows. We adopted ASU 2016-15 in the first quarter of 2018 on a retrospective basis and the adoption of this ASU has no material impact on our Condensed Consolidated Statement of Cash Flows.</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Standards Issued Not Yet Adopted</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2018, the FASB issued ASU 2018-02</w:t>
      </w:r>
      <w:r>
        <w:rPr>
          <w:rFonts w:ascii="Arial" w:cs="Arial" w:eastAsia="Arial" w:hAnsi="Arial"/>
          <w:sz w:val="18"/>
          <w:szCs w:val="18"/>
          <w:i w:val="1"/>
          <w:iCs w:val="1"/>
          <w:color w:val="auto"/>
        </w:rPr>
        <w:t>, Income Statement-Reporting Comprehensive Income (Topic 220): Reclassification of Certain Tax</w:t>
      </w:r>
      <w:r>
        <w:rPr>
          <w:rFonts w:ascii="Arial" w:cs="Arial" w:eastAsia="Arial" w:hAnsi="Arial"/>
          <w:sz w:val="18"/>
          <w:szCs w:val="18"/>
          <w:color w:val="auto"/>
        </w:rPr>
        <w:t xml:space="preserve"> </w:t>
      </w:r>
      <w:r>
        <w:rPr>
          <w:rFonts w:ascii="Arial" w:cs="Arial" w:eastAsia="Arial" w:hAnsi="Arial"/>
          <w:sz w:val="18"/>
          <w:szCs w:val="18"/>
          <w:i w:val="1"/>
          <w:iCs w:val="1"/>
          <w:color w:val="auto"/>
        </w:rPr>
        <w:t>Effects from Accumulated Other Comprehensive Income</w:t>
      </w:r>
      <w:r>
        <w:rPr>
          <w:rFonts w:ascii="Arial" w:cs="Arial" w:eastAsia="Arial" w:hAnsi="Arial"/>
          <w:sz w:val="18"/>
          <w:szCs w:val="18"/>
          <w:color w:val="auto"/>
        </w:rPr>
        <w:t>, which permits a reclassification from accumulated other comprehensive income to retained earnings</w:t>
      </w:r>
      <w:r>
        <w:rPr>
          <w:rFonts w:ascii="Arial" w:cs="Arial" w:eastAsia="Arial" w:hAnsi="Arial"/>
          <w:sz w:val="18"/>
          <w:szCs w:val="18"/>
          <w:i w:val="1"/>
          <w:iCs w:val="1"/>
          <w:color w:val="auto"/>
        </w:rPr>
        <w:t xml:space="preserve"> </w:t>
      </w:r>
      <w:r>
        <w:rPr>
          <w:rFonts w:ascii="Arial" w:cs="Arial" w:eastAsia="Arial" w:hAnsi="Arial"/>
          <w:sz w:val="18"/>
          <w:szCs w:val="18"/>
          <w:color w:val="auto"/>
        </w:rPr>
        <w:t>for stranded tax effects resulting from the Tax Cuts and Jobs Act. The standard is required to be applied in the period of adoption or on a retrospective basis to each period affected, and will be effective beginning in the first quarter of 2019, although early adoption is permitted. We are evaluating the impact that this new standard will have on our Consolidated Financial Statements.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which requires a lessee to recognize a lease asset and lease liability for most leases, including those classified as operating leases under existing U.S. GAAP. The ASU also changes the definition of a lease and requires expanded quantitative and qualitative disclosures for both lessees and lessors.</w:t>
      </w:r>
    </w:p>
    <w:p>
      <w:pPr>
        <w:spacing w:after="0" w:line="18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Under ASU 2016-02, and all the related amendments, we will revise our leasing policies to require most of the leases, where we are the lessee, to be recognized on the balance sheet as a lease asset and lease liability whereas currently we do not recognize operating leases on our balance sheet. Further, we will separate leases from other contracts where we are either the lessor or lessee when the rights conveyed under the contract indicate there is a lease, where we may not be required to do so under existing policies. While we cannot calculate the impact ASU 2016-02 will have on Weatherford’s financial statements, we anticipate that Weatherford’s assets and liabilities will increase by a significant amount. However, the ultimate impact of the standard will depend on the Company’s lease portfolio as of the date of adoption.</w:t>
      </w:r>
    </w:p>
    <w:p>
      <w:pPr>
        <w:spacing w:after="0" w:line="19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We are currently in the process of evaluating our existing lease portfolios, including accumulating all of the necessary information required to properly account for the leases under the new standard. Additionally, we are in the process of implementing a lease management system to assist in the accounting for leases and are evaluating additional changes to our processes and internal controls to ensure we meet the standard’s reporting and disclosure requirements.</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standard will be effective for us beginning in the first quarter of 2019. We do not anticipate adopting ASU 2016-02 early, which is permitted under the standard. ASU 2016-02 requires lessees and lessors to recognize and measure leases at the beginning of the earliest period presented using a modified retrospective transition method but permits certain practical expedients to be applied, which may exclude certain leases that commenced before the effective date.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3. Revenues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majority of our revenue is derived from short term contracts. We account for revenue in accordance with Topic 606, which we adopted on January 1, 2018, using the modified retrospective method. We recognized the cumulative effect of initially applying the new guidance as an adjustment to the opening balance of retained earnings. The comparative information has not been restated and continues to be reported under the accounting standards in effect for those periods. See Note 2 – New Accounting Pronouncements for further discussion of the adoption, including the impact on our 2018 Condensed Consolidated Financial Statements.</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Revenues are recognized when control of the promised goods or services is transferred to our customers, in an amount that reflects the consideration we expect to be entitled to in exchange for those goods or services.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tables disaggregate our product and service revenues from contracts with customers by major product line and geographic region for the second quarter and the first six months ended June 30, 2018:</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49"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6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642"/>
        </w:trPr>
        <w:tc>
          <w:tcPr>
            <w:tcW w:w="34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40" w:type="dxa"/>
            <w:vAlign w:val="bottom"/>
            <w:gridSpan w:val="14"/>
          </w:tcPr>
          <w:p>
            <w:pPr>
              <w:jc w:val="center"/>
              <w:ind w:right="290"/>
              <w:spacing w:after="0"/>
              <w:rPr>
                <w:sz w:val="20"/>
                <w:szCs w:val="20"/>
                <w:color w:val="auto"/>
              </w:rPr>
            </w:pPr>
            <w:r>
              <w:rPr>
                <w:rFonts w:ascii="Arial" w:cs="Arial" w:eastAsia="Arial" w:hAnsi="Arial"/>
                <w:sz w:val="18"/>
                <w:szCs w:val="18"/>
                <w:b w:val="1"/>
                <w:bCs w:val="1"/>
                <w:color w:val="auto"/>
                <w:w w:val="91"/>
              </w:rPr>
              <w:t>Three Months Ended June 30, 2018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gridSpan w:val="2"/>
          </w:tcPr>
          <w:p>
            <w:pPr>
              <w:jc w:val="right"/>
              <w:ind w:right="310"/>
              <w:spacing w:after="0"/>
              <w:rPr>
                <w:sz w:val="20"/>
                <w:szCs w:val="20"/>
                <w:color w:val="auto"/>
              </w:rPr>
            </w:pPr>
            <w:r>
              <w:rPr>
                <w:rFonts w:ascii="Arial" w:cs="Arial" w:eastAsia="Arial" w:hAnsi="Arial"/>
                <w:sz w:val="18"/>
                <w:szCs w:val="18"/>
                <w:b w:val="1"/>
                <w:bCs w:val="1"/>
                <w:color w:val="auto"/>
              </w:rPr>
              <w:t>Western</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ind w:left="40"/>
              <w:spacing w:after="0"/>
              <w:rPr>
                <w:sz w:val="20"/>
                <w:szCs w:val="20"/>
                <w:color w:val="auto"/>
              </w:rPr>
            </w:pPr>
            <w:r>
              <w:rPr>
                <w:rFonts w:ascii="Arial" w:cs="Arial" w:eastAsia="Arial" w:hAnsi="Arial"/>
                <w:sz w:val="18"/>
                <w:szCs w:val="18"/>
                <w:b w:val="1"/>
                <w:bCs w:val="1"/>
                <w:color w:val="auto"/>
              </w:rPr>
              <w:t>Eastern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9"/>
              </w:rPr>
              <w:t>Total Excluding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98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130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w w:val="98"/>
              </w:rPr>
              <w:t>Hemisphere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4"/>
          </w:tcPr>
          <w:p>
            <w:pPr>
              <w:jc w:val="right"/>
              <w:ind w:right="170"/>
              <w:spacing w:after="0"/>
              <w:rPr>
                <w:sz w:val="20"/>
                <w:szCs w:val="20"/>
                <w:color w:val="auto"/>
              </w:rPr>
            </w:pPr>
            <w:r>
              <w:rPr>
                <w:rFonts w:ascii="Arial" w:cs="Arial" w:eastAsia="Arial" w:hAnsi="Arial"/>
                <w:sz w:val="18"/>
                <w:szCs w:val="18"/>
                <w:b w:val="1"/>
                <w:bCs w:val="1"/>
                <w:color w:val="auto"/>
                <w:w w:val="93"/>
              </w:rPr>
              <w:t>Hemisphere</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88"/>
              </w:rPr>
              <w:t>Rental Revenues</w:t>
            </w:r>
          </w:p>
        </w:tc>
        <w:tc>
          <w:tcPr>
            <w:tcW w:w="100" w:type="dxa"/>
            <w:vAlign w:val="bottom"/>
          </w:tcPr>
          <w:p>
            <w:pPr>
              <w:spacing w:after="0"/>
              <w:rPr>
                <w:sz w:val="20"/>
                <w:szCs w:val="20"/>
                <w:color w:val="auto"/>
              </w:rPr>
            </w:pPr>
          </w:p>
        </w:tc>
        <w:tc>
          <w:tcPr>
            <w:tcW w:w="1560" w:type="dxa"/>
            <w:vAlign w:val="bottom"/>
            <w:gridSpan w:val="4"/>
          </w:tcPr>
          <w:p>
            <w:pPr>
              <w:jc w:val="right"/>
              <w:ind w:right="260"/>
              <w:spacing w:after="0"/>
              <w:rPr>
                <w:sz w:val="20"/>
                <w:szCs w:val="20"/>
                <w:color w:val="auto"/>
              </w:rPr>
            </w:pPr>
            <w:r>
              <w:rPr>
                <w:rFonts w:ascii="Arial" w:cs="Arial" w:eastAsia="Arial" w:hAnsi="Arial"/>
                <w:sz w:val="18"/>
                <w:szCs w:val="18"/>
                <w:b w:val="1"/>
                <w:bCs w:val="1"/>
                <w:color w:val="auto"/>
                <w:w w:val="88"/>
              </w:rPr>
              <w:t>Rental 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b w:val="1"/>
                <w:bCs w:val="1"/>
                <w:color w:val="auto"/>
                <w:w w:val="93"/>
              </w:rPr>
              <w:t>Total Revenues</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Lines: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32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4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Completions</w:t>
            </w: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303</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w:t>
            </w: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gridSpan w:val="2"/>
          </w:tcPr>
          <w:p>
            <w:pPr>
              <w:jc w:val="right"/>
              <w:ind w:right="30"/>
              <w:spacing w:after="0"/>
              <w:rPr>
                <w:sz w:val="20"/>
                <w:szCs w:val="20"/>
                <w:color w:val="auto"/>
              </w:rPr>
            </w:pPr>
            <w:r>
              <w:rPr>
                <w:rFonts w:ascii="Arial" w:cs="Arial" w:eastAsia="Arial" w:hAnsi="Arial"/>
                <w:sz w:val="18"/>
                <w:szCs w:val="18"/>
                <w:color w:val="auto"/>
              </w:rPr>
              <w:t>317</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w w:val="89"/>
              </w:rPr>
              <w:t>93</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410</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4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1,335</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22"/>
                <w:szCs w:val="22"/>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1,448</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gridSpan w:val="3"/>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65"/>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gridSpan w:val="13"/>
          </w:tcPr>
          <w:p>
            <w:pPr>
              <w:jc w:val="right"/>
              <w:ind w:right="570"/>
              <w:spacing w:after="0"/>
              <w:rPr>
                <w:sz w:val="20"/>
                <w:szCs w:val="20"/>
                <w:color w:val="auto"/>
              </w:rPr>
            </w:pPr>
            <w:r>
              <w:rPr>
                <w:rFonts w:ascii="Arial" w:cs="Arial" w:eastAsia="Arial" w:hAnsi="Arial"/>
                <w:sz w:val="18"/>
                <w:szCs w:val="18"/>
                <w:b w:val="1"/>
                <w:bCs w:val="1"/>
                <w:color w:val="auto"/>
                <w:w w:val="89"/>
              </w:rPr>
              <w:t>Six Months Ended June 30, 2018</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60" w:type="dxa"/>
            <w:vAlign w:val="bottom"/>
            <w:tcBorders>
              <w:bottom w:val="single" w:sz="8" w:color="auto"/>
            </w:tcBorders>
            <w:gridSpan w:val="4"/>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3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60" w:type="dxa"/>
            <w:vAlign w:val="bottom"/>
            <w:gridSpan w:val="4"/>
          </w:tcPr>
          <w:p>
            <w:pPr>
              <w:jc w:val="right"/>
              <w:ind w:right="380"/>
              <w:spacing w:after="0"/>
              <w:rPr>
                <w:sz w:val="20"/>
                <w:szCs w:val="20"/>
                <w:color w:val="auto"/>
              </w:rPr>
            </w:pPr>
            <w:r>
              <w:rPr>
                <w:rFonts w:ascii="Arial" w:cs="Arial" w:eastAsia="Arial" w:hAnsi="Arial"/>
                <w:sz w:val="18"/>
                <w:szCs w:val="18"/>
                <w:b w:val="1"/>
                <w:bCs w:val="1"/>
                <w:color w:val="auto"/>
              </w:rPr>
              <w:t>Western</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Eastern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w w:val="90"/>
              </w:rPr>
              <w:t>Total Excluding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34"/>
        </w:trPr>
        <w:tc>
          <w:tcPr>
            <w:tcW w:w="298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rPr>
              <w:t>Hemisphere</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gridSpan w:val="4"/>
          </w:tcPr>
          <w:p>
            <w:pPr>
              <w:jc w:val="right"/>
              <w:ind w:right="180"/>
              <w:spacing w:after="0"/>
              <w:rPr>
                <w:sz w:val="20"/>
                <w:szCs w:val="20"/>
                <w:color w:val="auto"/>
              </w:rPr>
            </w:pPr>
            <w:r>
              <w:rPr>
                <w:rFonts w:ascii="Arial" w:cs="Arial" w:eastAsia="Arial" w:hAnsi="Arial"/>
                <w:sz w:val="18"/>
                <w:szCs w:val="18"/>
                <w:b w:val="1"/>
                <w:bCs w:val="1"/>
                <w:color w:val="auto"/>
                <w:w w:val="97"/>
              </w:rPr>
              <w:t>Hemisphere</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6"/>
          </w:tcPr>
          <w:p>
            <w:pPr>
              <w:jc w:val="right"/>
              <w:ind w:right="25"/>
              <w:spacing w:after="0"/>
              <w:rPr>
                <w:sz w:val="20"/>
                <w:szCs w:val="20"/>
                <w:color w:val="auto"/>
              </w:rPr>
            </w:pPr>
            <w:r>
              <w:rPr>
                <w:rFonts w:ascii="Arial" w:cs="Arial" w:eastAsia="Arial" w:hAnsi="Arial"/>
                <w:sz w:val="18"/>
                <w:szCs w:val="18"/>
                <w:b w:val="1"/>
                <w:bCs w:val="1"/>
                <w:color w:val="auto"/>
                <w:w w:val="93"/>
              </w:rPr>
              <w:t>Rental Revenues</w:t>
            </w:r>
          </w:p>
        </w:tc>
        <w:tc>
          <w:tcPr>
            <w:tcW w:w="100" w:type="dxa"/>
            <w:vAlign w:val="bottom"/>
          </w:tcPr>
          <w:p>
            <w:pPr>
              <w:spacing w:after="0"/>
              <w:rPr>
                <w:sz w:val="20"/>
                <w:szCs w:val="20"/>
                <w:color w:val="auto"/>
              </w:rPr>
            </w:pPr>
          </w:p>
        </w:tc>
        <w:tc>
          <w:tcPr>
            <w:tcW w:w="146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w w:val="93"/>
              </w:rPr>
              <w:t>Rental Revenues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Total Revenues</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Product Lines: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324"/>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80" w:type="dxa"/>
            <w:vAlign w:val="bottom"/>
            <w:gridSpan w:val="3"/>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gridSpan w:val="3"/>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Production</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770"/>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594</w:t>
            </w:r>
          </w:p>
        </w:tc>
        <w:tc>
          <w:tcPr>
            <w:tcW w:w="380" w:type="dxa"/>
            <w:vAlign w:val="bottom"/>
            <w:tcBorders>
              <w:bottom w:val="single" w:sz="8" w:color="CCEEFF"/>
            </w:tcBorders>
            <w:gridSpan w:val="3"/>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3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775</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85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775</w:t>
            </w: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Completions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305</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596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597</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480" w:type="dxa"/>
            <w:vAlign w:val="bottom"/>
            <w:gridSpan w:val="3"/>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Drilling and Evaluation</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297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8"/>
                <w:szCs w:val="18"/>
                <w:color w:val="auto"/>
              </w:rPr>
              <w:t>671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699</w:t>
            </w: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Well Construction</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480" w:type="dxa"/>
            <w:vAlign w:val="bottom"/>
            <w:gridSpan w:val="3"/>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gridSpan w:val="4"/>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166</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800</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gridSpan w:val="3"/>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gridSpan w:val="4"/>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w w:val="88"/>
              </w:rPr>
              <w:t>1,384</w:t>
            </w:r>
          </w:p>
        </w:tc>
        <w:tc>
          <w:tcPr>
            <w:tcW w:w="60" w:type="dxa"/>
            <w:vAlign w:val="bottom"/>
            <w:tcBorders>
              <w:bottom w:val="single" w:sz="8" w:color="auto"/>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2,676</w:t>
            </w:r>
          </w:p>
        </w:tc>
        <w:tc>
          <w:tcPr>
            <w:tcW w:w="10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9"/>
              </w:rPr>
              <w:t>195</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r>
      <w:tr>
        <w:trPr>
          <w:trHeight w:val="20"/>
        </w:trPr>
        <w:tc>
          <w:tcPr>
            <w:tcW w:w="3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r>
      <w:tr>
        <w:trPr>
          <w:trHeight w:val="61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00" w:type="dxa"/>
            <w:vAlign w:val="bottom"/>
            <w:gridSpan w:val="6"/>
          </w:tcPr>
          <w:p>
            <w:pPr>
              <w:jc w:val="right"/>
              <w:spacing w:after="0"/>
              <w:rPr>
                <w:sz w:val="20"/>
                <w:szCs w:val="20"/>
                <w:color w:val="auto"/>
              </w:rPr>
            </w:pPr>
            <w:r>
              <w:rPr>
                <w:rFonts w:ascii="Arial" w:cs="Arial" w:eastAsia="Arial" w:hAnsi="Arial"/>
                <w:sz w:val="18"/>
                <w:szCs w:val="18"/>
                <w:b w:val="1"/>
                <w:bCs w:val="1"/>
                <w:color w:val="auto"/>
                <w:w w:val="92"/>
              </w:rPr>
              <w:t>Three Months Ended June</w:t>
            </w:r>
          </w:p>
        </w:tc>
        <w:tc>
          <w:tcPr>
            <w:tcW w:w="2000" w:type="dxa"/>
            <w:vAlign w:val="bottom"/>
            <w:gridSpan w:val="6"/>
          </w:tcPr>
          <w:p>
            <w:pPr>
              <w:jc w:val="right"/>
              <w:spacing w:after="0"/>
              <w:rPr>
                <w:sz w:val="20"/>
                <w:szCs w:val="20"/>
                <w:color w:val="auto"/>
              </w:rPr>
            </w:pPr>
            <w:r>
              <w:rPr>
                <w:rFonts w:ascii="Arial" w:cs="Arial" w:eastAsia="Arial" w:hAnsi="Arial"/>
                <w:sz w:val="18"/>
                <w:szCs w:val="18"/>
                <w:b w:val="1"/>
                <w:bCs w:val="1"/>
                <w:color w:val="auto"/>
                <w:w w:val="95"/>
              </w:rPr>
              <w:t>Six Months Ended June</w:t>
            </w:r>
          </w:p>
        </w:tc>
      </w:tr>
      <w:tr>
        <w:trPr>
          <w:trHeight w:val="234"/>
        </w:trPr>
        <w:tc>
          <w:tcPr>
            <w:tcW w:w="2980" w:type="dxa"/>
            <w:vAlign w:val="bottom"/>
            <w:gridSpan w:val="3"/>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7"/>
          </w:tcPr>
          <w:p>
            <w:pPr>
              <w:jc w:val="right"/>
              <w:ind w:right="610"/>
              <w:spacing w:after="0"/>
              <w:rPr>
                <w:sz w:val="20"/>
                <w:szCs w:val="20"/>
                <w:color w:val="auto"/>
              </w:rPr>
            </w:pPr>
            <w:r>
              <w:rPr>
                <w:rFonts w:ascii="Arial" w:cs="Arial" w:eastAsia="Arial" w:hAnsi="Arial"/>
                <w:sz w:val="18"/>
                <w:szCs w:val="18"/>
                <w:b w:val="1"/>
                <w:bCs w:val="1"/>
                <w:color w:val="auto"/>
              </w:rPr>
              <w:t>30, 2018</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570"/>
              <w:spacing w:after="0"/>
              <w:rPr>
                <w:sz w:val="20"/>
                <w:szCs w:val="20"/>
                <w:color w:val="auto"/>
              </w:rPr>
            </w:pPr>
            <w:r>
              <w:rPr>
                <w:rFonts w:ascii="Arial" w:cs="Arial" w:eastAsia="Arial" w:hAnsi="Arial"/>
                <w:sz w:val="18"/>
                <w:szCs w:val="18"/>
                <w:b w:val="1"/>
                <w:bCs w:val="1"/>
                <w:color w:val="auto"/>
                <w:w w:val="94"/>
              </w:rPr>
              <w:t>30, 2018</w:t>
            </w:r>
          </w:p>
        </w:tc>
      </w:tr>
      <w:tr>
        <w:trPr>
          <w:trHeight w:val="27"/>
        </w:trPr>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Geographic Areas: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r>
      <w:tr>
        <w:trPr>
          <w:trHeight w:val="297"/>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50"/>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United States</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w:t>
            </w: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Latin America</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270</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496</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Canada</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197</w:t>
            </w:r>
          </w:p>
        </w:tc>
      </w:tr>
      <w:tr>
        <w:trPr>
          <w:trHeight w:val="237"/>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Western Hemisphere</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684</w:t>
            </w:r>
          </w:p>
        </w:tc>
        <w:tc>
          <w:tcPr>
            <w:tcW w:w="3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1,384</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91"/>
        </w:trPr>
        <w:tc>
          <w:tcPr>
            <w:tcW w:w="3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Middle East &amp; North Africa</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356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719</w:t>
            </w:r>
          </w:p>
        </w:tc>
      </w:tr>
      <w:tr>
        <w:trPr>
          <w:trHeight w:val="27"/>
        </w:trPr>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Europe/Sub-Sahara Africa/Russia</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w:t>
            </w: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Asia</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132</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298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Eastern Hemisphere</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651</w:t>
            </w:r>
          </w:p>
        </w:tc>
        <w:tc>
          <w:tcPr>
            <w:tcW w:w="3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1,292</w:t>
            </w:r>
          </w:p>
        </w:tc>
      </w:tr>
      <w:tr>
        <w:trPr>
          <w:trHeight w:val="291"/>
        </w:trPr>
        <w:tc>
          <w:tcPr>
            <w:tcW w:w="3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r>
      <w:tr>
        <w:trPr>
          <w:trHeight w:val="250"/>
        </w:trPr>
        <w:tc>
          <w:tcPr>
            <w:tcW w:w="4520" w:type="dxa"/>
            <w:vAlign w:val="bottom"/>
            <w:tcBorders>
              <w:bottom w:val="single" w:sz="8" w:color="CCEEFF"/>
            </w:tcBorders>
            <w:gridSpan w:val="6"/>
            <w:shd w:val="clear" w:color="auto" w:fill="CCEEFF"/>
          </w:tcPr>
          <w:p>
            <w:pPr>
              <w:ind w:left="40"/>
              <w:spacing w:after="0"/>
              <w:rPr>
                <w:sz w:val="20"/>
                <w:szCs w:val="20"/>
                <w:color w:val="auto"/>
              </w:rPr>
            </w:pPr>
            <w:r>
              <w:rPr>
                <w:rFonts w:ascii="Arial" w:cs="Arial" w:eastAsia="Arial" w:hAnsi="Arial"/>
                <w:sz w:val="18"/>
                <w:szCs w:val="18"/>
                <w:color w:val="auto"/>
                <w:w w:val="92"/>
              </w:rPr>
              <w:t>Total Product and Service Revenue before Rental Revenues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2,676</w:t>
            </w:r>
          </w:p>
        </w:tc>
      </w:tr>
      <w:tr>
        <w:trPr>
          <w:trHeight w:val="243"/>
        </w:trPr>
        <w:tc>
          <w:tcPr>
            <w:tcW w:w="2980" w:type="dxa"/>
            <w:vAlign w:val="bottom"/>
            <w:gridSpan w:val="3"/>
          </w:tcPr>
          <w:p>
            <w:pPr>
              <w:ind w:left="120"/>
              <w:spacing w:after="0"/>
              <w:rPr>
                <w:sz w:val="20"/>
                <w:szCs w:val="20"/>
                <w:color w:val="auto"/>
              </w:rPr>
            </w:pPr>
            <w:r>
              <w:rPr>
                <w:rFonts w:ascii="Arial" w:cs="Arial" w:eastAsia="Arial" w:hAnsi="Arial"/>
                <w:sz w:val="18"/>
                <w:szCs w:val="18"/>
                <w:color w:val="auto"/>
              </w:rPr>
              <w:t>Rental Revenues</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113</w:t>
            </w:r>
          </w:p>
        </w:tc>
        <w:tc>
          <w:tcPr>
            <w:tcW w:w="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195</w:t>
            </w:r>
          </w:p>
        </w:tc>
      </w:tr>
      <w:tr>
        <w:trPr>
          <w:trHeight w:val="27"/>
        </w:trPr>
        <w:tc>
          <w:tcPr>
            <w:tcW w:w="34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57"/>
        </w:trPr>
        <w:tc>
          <w:tcPr>
            <w:tcW w:w="298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3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r>
      <w:tr>
        <w:trPr>
          <w:trHeight w:val="20"/>
        </w:trPr>
        <w:tc>
          <w:tcPr>
            <w:tcW w:w="34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timing of revenue recognition, billings and cash collections results in billed accounts receivable, unbilled receivables, contract assets, and customer advances and deposits (contract liabilities classified as deferred revenues) on the Condensed Consolidated Balance Sheets.</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32" w:right="239" w:bottom="1440" w:gutter="0" w:footer="0" w:header="0"/>
        </w:sectPr>
      </w:pPr>
    </w:p>
    <w:bookmarkStart w:id="11" w:name="page12"/>
    <w:bookmarkEnd w:id="1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Receivables for products and services with customers, under Topic 606, are included in “Accounts Receivable, Net”, contract assets in “Other Current Assets” and contract liabilities in ”Other Current Liabilities” on our Condensed Consolidated Balance Sheets.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about receivables for product and services included in “Accounts Receivable, Net” at June 30, 2018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January 1, 2018, respectively:</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7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January 1,</w:t>
            </w:r>
          </w:p>
        </w:tc>
      </w:tr>
      <w:tr>
        <w:trPr>
          <w:trHeight w:val="234"/>
        </w:trPr>
        <w:tc>
          <w:tcPr>
            <w:tcW w:w="6720" w:type="dxa"/>
            <w:vAlign w:val="bottom"/>
          </w:tcPr>
          <w:p>
            <w:pPr>
              <w:ind w:left="40"/>
              <w:spacing w:after="0"/>
              <w:rPr>
                <w:sz w:val="20"/>
                <w:szCs w:val="20"/>
                <w:color w:val="auto"/>
              </w:rPr>
            </w:pPr>
            <w:r>
              <w:rPr>
                <w:rFonts w:ascii="Arial" w:cs="Arial" w:eastAsia="Arial" w:hAnsi="Arial"/>
                <w:sz w:val="18"/>
                <w:szCs w:val="18"/>
                <w:color w:val="auto"/>
              </w:rPr>
              <w:t>(Dollars in millions)</w:t>
            </w:r>
          </w:p>
        </w:tc>
        <w:tc>
          <w:tcPr>
            <w:tcW w:w="3060" w:type="dxa"/>
            <w:vAlign w:val="bottom"/>
            <w:gridSpan w:val="2"/>
          </w:tcPr>
          <w:p>
            <w:pPr>
              <w:jc w:val="right"/>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672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6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Receivables for Product and Services in Accounts Receivable, Net</w:t>
            </w:r>
          </w:p>
        </w:tc>
        <w:tc>
          <w:tcPr>
            <w:tcW w:w="22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1,081</w:t>
            </w:r>
          </w:p>
        </w:tc>
      </w:tr>
      <w:tr>
        <w:trPr>
          <w:trHeight w:val="27"/>
        </w:trPr>
        <w:tc>
          <w:tcPr>
            <w:tcW w:w="672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Consideration under certain contracts such as turnkey or lump sum contracts may be classified as contract assets as the invoicing occurs once the performance obligations have been satisfied while the customer simultaneously receives and consumes the benefits provided. We also have receivables for work completed but not billed in which the rights to consideration are conditional and would be classified as contract assets. These are primarily related to service contracts and are not material to our Condensed Consolidated Financial Statements. We may also have contract liabilities, and defer revenues for certain product sales that are not distinct from their installation.</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did not recognize any revenues during the second quarter and the first six months ended June 30, 2018 related to performance obligations satisfied prior to January 1,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ind w:left="340"/>
              <w:spacing w:after="0"/>
              <w:rPr>
                <w:sz w:val="20"/>
                <w:szCs w:val="20"/>
                <w:color w:val="auto"/>
              </w:rPr>
            </w:pPr>
            <w:r>
              <w:rPr>
                <w:rFonts w:ascii="Arial" w:cs="Arial" w:eastAsia="Arial" w:hAnsi="Arial"/>
                <w:sz w:val="18"/>
                <w:szCs w:val="18"/>
                <w:color w:val="auto"/>
              </w:rPr>
              <w:t>Significant changes in the contract assets and liabilities balances during the period are as follows:</w:t>
            </w: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60"/>
        </w:trPr>
        <w:tc>
          <w:tcPr>
            <w:tcW w:w="8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c>
          <w:tcPr>
            <w:tcW w:w="1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Contract</w:t>
            </w:r>
          </w:p>
        </w:tc>
      </w:tr>
      <w:tr>
        <w:trPr>
          <w:trHeight w:val="234"/>
        </w:trPr>
        <w:tc>
          <w:tcPr>
            <w:tcW w:w="89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060" w:type="dxa"/>
            <w:vAlign w:val="bottom"/>
          </w:tcPr>
          <w:p>
            <w:pPr>
              <w:jc w:val="right"/>
              <w:ind w:right="29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b w:val="1"/>
                <w:bCs w:val="1"/>
                <w:color w:val="auto"/>
                <w:w w:val="98"/>
              </w:rPr>
              <w:t>Liabilities</w:t>
            </w:r>
          </w:p>
        </w:tc>
      </w:tr>
      <w:tr>
        <w:trPr>
          <w:trHeight w:val="27"/>
        </w:trPr>
        <w:tc>
          <w:tcPr>
            <w:tcW w:w="89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January 1, 2018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Revenue recognized that was included in the deferred revenue balance at the beginning of the period</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due to cash received, excluding amount recognized as revenue during the period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43"/>
        </w:trPr>
        <w:tc>
          <w:tcPr>
            <w:tcW w:w="8900" w:type="dxa"/>
            <w:vAlign w:val="bottom"/>
          </w:tcPr>
          <w:p>
            <w:pPr>
              <w:ind w:left="40"/>
              <w:spacing w:after="0"/>
              <w:rPr>
                <w:sz w:val="20"/>
                <w:szCs w:val="20"/>
                <w:color w:val="auto"/>
              </w:rPr>
            </w:pPr>
            <w:r>
              <w:rPr>
                <w:rFonts w:ascii="Arial" w:cs="Arial" w:eastAsia="Arial" w:hAnsi="Arial"/>
                <w:sz w:val="18"/>
                <w:szCs w:val="18"/>
                <w:color w:val="auto"/>
              </w:rPr>
              <w:t>Increase due to revenue recognized during the period but contingent on future performance</w:t>
            </w:r>
          </w:p>
        </w:tc>
        <w:tc>
          <w:tcPr>
            <w:tcW w:w="2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Transferred to receivables from contract assets recognized at the beginning of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40"/>
              <w:spacing w:after="0"/>
              <w:rPr>
                <w:sz w:val="20"/>
                <w:szCs w:val="20"/>
                <w:color w:val="auto"/>
              </w:rPr>
            </w:pPr>
            <w:r>
              <w:rPr>
                <w:rFonts w:ascii="Arial" w:cs="Arial" w:eastAsia="Arial" w:hAnsi="Arial"/>
                <w:sz w:val="18"/>
                <w:szCs w:val="18"/>
                <w:b w:val="1"/>
                <w:bCs w:val="1"/>
                <w:color w:val="auto"/>
              </w:rPr>
              <w:t>Balance, as of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w:t>
            </w:r>
          </w:p>
        </w:tc>
      </w:tr>
      <w:tr>
        <w:trPr>
          <w:trHeight w:val="20"/>
        </w:trPr>
        <w:tc>
          <w:tcPr>
            <w:tcW w:w="8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 performance obligation is a promise in a contract to transfer a distinct good or service to the customer, and is the unit of account in Topic 606. A contract’s transaction price is allocated to each distinct performance obligation and recognized as revenue when, or as, the performance obligation is satisfied.</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 land and offshore, through our major product lines: Production, Completions, Drilling and Evaluation and Well Construction.</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Generally, our revenue is recognized for services over time as the services are rendered and we primarily utilize an output method such as time elapsed or footage drilled which coincides with how customers receive the benefit. Both contract drilling and pipeline service revenue is contractual by nature and generally governed by day-rate based contracts. Revenue is recognized on product sales at a point in time when control passes and is generally upon delivery but is dependent on the terms of the contract.</w:t>
      </w:r>
    </w:p>
    <w:p>
      <w:pPr>
        <w:spacing w:after="0" w:line="18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services and products are generally sold based upon purchase orders, contracts or call-out work orders that include fixed per unit prices or variable consideration but do not generally include right of return provisions or other significant post-delivery obligations. We generally bill our sales of services and products upon completion of the performance obligation. Product sales are billed and recognized when control passes to the customer. Our products are produced in a standard manufacturing operation, even if produced to our customer’s specifications. Services are billed and recognized as revenue at the amount to which we have the right to invoice for services performed. Our payment terms vary by the type and location of our customer and the products or services offered. The term between invoicing and when payment is due is not significant. For certain products or services and</w:t>
      </w:r>
    </w:p>
    <w:p>
      <w:pPr>
        <w:spacing w:after="0" w:line="19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49" w:right="239" w:bottom="1440" w:gutter="0" w:footer="0" w:header="0"/>
        </w:sectPr>
      </w:pPr>
    </w:p>
    <w:bookmarkStart w:id="12" w:name="page13"/>
    <w:bookmarkEnd w:id="1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customer types, we require payment before the products or services are delivered to the customer. We defer revenue recognition on such payments until the products or services are delivered to the customer.</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From time to time, we may enter into bill and hold arrangements. When we enter into these arrangements, we determine if the customer has obtained control of the product by determining (a) the reason for the bill-and-hold arrangement; (b) whether the product is identified separately as belonging to the customer; (c) whether the product is ready for physical transfer to the customer; and (d) whether we are unable to utilize the product or direct it to another customer.</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account for individual products and services separately if they are distinct and the product or service is separately identifiable from other items in the contract and if a customer can benefit from it on its own or with other resources that are readily available to the customer. The consideration, including any discounts, is allocated between separate products and services based on their standalone selling prices. The standalone selling prices are determined based on the prices at which we separately sell our products and services. For items not sold separately (e.g. term software licenses in our Production product line), we estimate standalone selling prices using the adjusted market assessment approach.</w:t>
      </w:r>
    </w:p>
    <w:p>
      <w:pPr>
        <w:spacing w:after="0" w:line="17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Up-front payments for preparation and mobilization of equipment and personnel in connection with new drilling contracts are deferred along with any related incremental costs incurred directly related to preparation and mobilization. The deferred revenue and costs are recognized over the contract term using the straight-line method. Costs of relocating equipment without contracts are expensed as incurred. Demobilization fees received are recognized over the contract period and may be constrained to the amount that it is probable a significant reversal in the fees will not occur. When determining if such variable consideration should be constrained, management considers whether there are factors outside the Company’s control that could result in a significant reversal of revenue as well as the likelihood and magnitude of such a potential reversal.</w:t>
      </w:r>
    </w:p>
    <w:p>
      <w:pPr>
        <w:spacing w:after="0" w:line="17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nature of our contracts gives rise to several types of variable consideration, including claims and lost-in-hole charges. Our claims are not significant and lost-in-hole charges are constrained variable consideration. We do not estimate revenue associated with these types of variable consideration.</w:t>
      </w:r>
    </w:p>
    <w:p>
      <w:pPr>
        <w:spacing w:after="0" w:line="12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incur rebillable expenses including shipping and handling, third-party inspection and repairs, and customs costs and duties. We recognize the revenue associated with these rebillable expenses when reimbursed by customers as “Product Revenues” and all related costs as “Cost of Products” in the accompanying Condensed Consolidated Statements of Operations.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provide certain assurance warranties on product sales which range from one to five years but do not offer extended warranties on any of our products or services. These assurance warranties are not separate performance obligations, thus no portion of the transaction price is allocated to our obligations under the assurance warranties.</w:t>
      </w:r>
    </w:p>
    <w:p>
      <w:pPr>
        <w:spacing w:after="0" w:line="18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the following table, estimated revenue expected to be recognized in the future related to performance obligations that are either unsatisfied or partially unsatisfied as of June 30, 2018 relate to subsea services, an artificial lift contract, long-term early production facility construction contracts and rigs demobilization:</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5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2018</w:t>
            </w:r>
          </w:p>
        </w:tc>
        <w:tc>
          <w:tcPr>
            <w:tcW w:w="5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5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2021</w:t>
            </w: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Thereafter</w:t>
            </w:r>
          </w:p>
        </w:tc>
        <w:tc>
          <w:tcPr>
            <w:tcW w:w="520" w:type="dxa"/>
            <w:vAlign w:val="bottom"/>
          </w:tcPr>
          <w:p>
            <w:pPr>
              <w:spacing w:after="0"/>
              <w:rPr>
                <w:sz w:val="20"/>
                <w:szCs w:val="20"/>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b w:val="1"/>
                <w:bCs w:val="1"/>
                <w:color w:val="auto"/>
              </w:rPr>
              <w:t>Total</w:t>
            </w:r>
          </w:p>
        </w:tc>
      </w:tr>
      <w:tr>
        <w:trPr>
          <w:trHeight w:val="27"/>
        </w:trPr>
        <w:tc>
          <w:tcPr>
            <w:tcW w:w="32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revenue</w:t>
            </w: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54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Product revenue</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5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2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5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56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w:t>
            </w:r>
          </w:p>
        </w:tc>
      </w:tr>
      <w:tr>
        <w:trPr>
          <w:trHeight w:val="20"/>
        </w:trPr>
        <w:tc>
          <w:tcPr>
            <w:tcW w:w="32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consideration from contracts with customers is included in the amounts presented above.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Practical Expedients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generally expense sales commissions paid when incurred as a result of obtaining a contract because the amortization period would have been one year or less. These costs are recorded within “Selling, General and Administrative Attributable to Segments” on our Condensed Consolidated Statements of Operations.</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do not disclose the value of unsatisfied performance obligations for (i) contracts with an original expected length of one year or less and (ii) contracts for which we recognize revenue at the amount to which we have the right to invoice for services performed.</w:t>
      </w:r>
    </w:p>
    <w:p>
      <w:pPr>
        <w:spacing w:after="0" w:line="19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49" w:right="239" w:bottom="1440" w:gutter="0" w:footer="0" w:header="0"/>
        </w:sectPr>
      </w:pPr>
    </w:p>
    <w:bookmarkStart w:id="13" w:name="page14"/>
    <w:bookmarkEnd w:id="1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4. Business Combinations and Divestitures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On March 26, 2018, we acquired the remaining 50% equity interest in our Qatari joint venture that we previously accounted for as an equity method investment and consolidated the entity. The joint venture was established in 2008 to provide energy related services required for the drilling and completion of oil and gas wells at onshore and offshore locations within the State of Qatar. The total consideration to purchase the remaining equity interest was $87 million, which is comprised of a cash consideration of $72 million and an estimated contingent consideration of $15 million related to services the Qatari entity will render under new contracts. Of the $72 million in cash consideration, $48 million was paid in accordance with closing terms through the joint venture, with the remaining payment of $24 million to be paid two years from closing. As a result of this step acquisition transaction with a change in control, we remeasured our previously held equity investment to fair value and recognized a $12 million gain. The Level 3 fair value of the acquisition was determined using an income approach. The unobservable inputs to the income approach included the Qatari entity’s estimated future cash flows and estimates of discount rates commensurate with the entity’s risks. Upon consolidation, we recognized intangible assets of $26 million, PP&amp;E of $25 million, goodwill of $23 million, other current assets of $16 million and other liabilities of $43 million as a result of the purchase accounting assessment. For the second quarter and six months ended June 30, 2018, the Qatari entity’s revenues and net income subsequent to acquisition were immaterial.</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Divestitures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March 2018, we completed the sale of our continuous sucker rod service business in Canada for a purchase price of $25 million and recognized a gain of $2 million. The carrying amounts of the major classes of assets sold are PP&amp;E of $14 million, allocated goodwill of $8 million and inventory of $1 million. We did not complete the sale of any other businesses through the quarter ended June 30, 2018.</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Held for Sale</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During the fourth quarter of 2017, we committed to a plan to divest our land drilling rigs assets. On July 11, 2018, we entered into purchase and sale agreements with ADES International Holding Ltd. (“ADES”) to sell our land drilling rig operations in Algeria, Kuwait and Saudi Arabia, as well as two idle land rigs in Iraq, for an aggregate purchase price of $287.5 million. See “Note 20 – Subsequent Events” to our Condensed Consolidated Financial Statements for additional information. We expect to close these transactions in a series of closings, most of which will be substantially complete in the second half of 2018. We will continue to pursue options to sell the remaining rig assets. During the second quarter of 2018, we also committed to plans to divest other business operations for which we believe a sale is probable within the next twelve months. Assets qualifying as held for sale after impairment charges of $82 million total $489 million at June 30, 2018 and consist of PP&amp;E and other net assets of $356 million, allocated goodwill of $59 million, and inventory of $74 million. See Note 8 – Asset Impairments and Write-Downs for details related to the impairments to our land drilling rigs assets for the six months ended June 30, 2018.</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49" w:right="239" w:bottom="1440" w:gutter="0" w:footer="0" w:header="0"/>
        </w:sectPr>
      </w:pPr>
    </w:p>
    <w:bookmarkStart w:id="14" w:name="page15"/>
    <w:bookmarkEnd w:id="1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5. Restructuring and Transformation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years, we continue to reduce our overall cost structure and workforce to better align with current activity levels. The ongoing cost reduction plan, which began in 2018 and is expected to continue through 2019 (the “Transformation Plan”), included a workforce reduction, organization restructure, facility consolidations and other cost reduction measures and efficiency initiatives across our geographic regions.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$38 million and $63 million in the second quarter and the first six months of 2018, respectively, which include termination (severance) charges of $29 million and $40 million, respectively, and other restructuring charges of $9 million and $23 million, respectively. Other restructuring charges include contract termination costs, relocation and other associated costs.</w:t>
      </w:r>
    </w:p>
    <w:p>
      <w:pPr>
        <w:spacing w:after="0" w:line="18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cost reduction plans in 2016-2017, (the “2016-17 Plan”), included a workforce reduction, facility consolidations and other cost reduction measures across our geographic regions. We recognized restructuring charges of $31 million and $106 million in the second quarter and the first six months of 2017, respectively, which include termination (severance) charges of $22 million and $56 million, respectively, and other restructuring charges of $9 million and $38 million, respectively. The first six months of 2017 also includes restructuring related asset charges of $12 million. Other restructuring charges include contract termination costs, relocation and other associated costs.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tables present the components of restructuring charges by segment for the second quarter and six months ended June 30, 2018 and 2017.</w:t>
      </w:r>
    </w:p>
    <w:p>
      <w:pPr>
        <w:spacing w:after="0" w:line="190"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14</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80" w:type="dxa"/>
            <w:vAlign w:val="bottom"/>
            <w:tcBorders>
              <w:bottom w:val="single" w:sz="8" w:color="auto"/>
            </w:tcBorders>
            <w:gridSpan w:val="5"/>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80" w:type="dxa"/>
            <w:vAlign w:val="bottom"/>
            <w:gridSpan w:val="5"/>
          </w:tcPr>
          <w:p>
            <w:pPr>
              <w:jc w:val="center"/>
              <w:ind w:right="30"/>
              <w:spacing w:after="0"/>
              <w:rPr>
                <w:sz w:val="20"/>
                <w:szCs w:val="20"/>
                <w:color w:val="auto"/>
              </w:rPr>
            </w:pPr>
            <w:r>
              <w:rPr>
                <w:rFonts w:ascii="Arial" w:cs="Arial" w:eastAsia="Arial" w:hAnsi="Arial"/>
                <w:sz w:val="18"/>
                <w:szCs w:val="18"/>
                <w:b w:val="1"/>
                <w:bCs w:val="1"/>
                <w:color w:val="auto"/>
                <w:w w:val="90"/>
              </w:rPr>
              <w:t>Three Months Ended June 30, 2017</w:t>
            </w: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2016-17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31</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940" w:type="dxa"/>
            <w:vAlign w:val="bottom"/>
            <w:tcBorders>
              <w:bottom w:val="single" w:sz="8" w:color="auto"/>
            </w:tcBorders>
            <w:gridSpan w:val="4"/>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581"/>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940" w:type="dxa"/>
            <w:vAlign w:val="bottom"/>
            <w:gridSpan w:val="4"/>
          </w:tcPr>
          <w:p>
            <w:pPr>
              <w:jc w:val="center"/>
              <w:ind w:left="1330"/>
              <w:spacing w:after="0"/>
              <w:rPr>
                <w:sz w:val="20"/>
                <w:szCs w:val="20"/>
                <w:color w:val="auto"/>
              </w:rPr>
            </w:pPr>
            <w:r>
              <w:rPr>
                <w:rFonts w:ascii="Arial" w:cs="Arial" w:eastAsia="Arial" w:hAnsi="Arial"/>
                <w:sz w:val="18"/>
                <w:szCs w:val="18"/>
                <w:b w:val="1"/>
                <w:bCs w:val="1"/>
                <w:color w:val="auto"/>
                <w:w w:val="90"/>
              </w:rPr>
              <w:t>Six Months Ended June 30, 2018</w:t>
            </w:r>
          </w:p>
        </w:tc>
        <w:tc>
          <w:tcPr>
            <w:tcW w:w="1540" w:type="dxa"/>
            <w:vAlign w:val="bottom"/>
          </w:tcPr>
          <w:p>
            <w:pPr>
              <w:spacing w:after="0"/>
              <w:rPr>
                <w:sz w:val="24"/>
                <w:szCs w:val="24"/>
                <w:color w:val="auto"/>
              </w:rPr>
            </w:pPr>
          </w:p>
        </w:tc>
      </w:tr>
      <w:tr>
        <w:trPr>
          <w:trHeight w:val="27"/>
        </w:trPr>
        <w:tc>
          <w:tcPr>
            <w:tcW w:w="536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5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3"/>
                <w:szCs w:val="23"/>
                <w:color w:val="auto"/>
              </w:rPr>
            </w:pPr>
          </w:p>
        </w:tc>
        <w:tc>
          <w:tcPr>
            <w:tcW w:w="1680" w:type="dxa"/>
            <w:vAlign w:val="bottom"/>
          </w:tcPr>
          <w:p>
            <w:pPr>
              <w:jc w:val="center"/>
              <w:ind w:right="10"/>
              <w:spacing w:after="0"/>
              <w:rPr>
                <w:sz w:val="20"/>
                <w:szCs w:val="20"/>
                <w:color w:val="auto"/>
              </w:rPr>
            </w:pPr>
            <w:r>
              <w:rPr>
                <w:rFonts w:ascii="Arial" w:cs="Arial" w:eastAsia="Arial" w:hAnsi="Arial"/>
                <w:sz w:val="18"/>
                <w:szCs w:val="18"/>
                <w:b w:val="1"/>
                <w:bCs w:val="1"/>
                <w:color w:val="auto"/>
                <w:w w:val="86"/>
              </w:rPr>
              <w:t>Severance</w:t>
            </w:r>
          </w:p>
        </w:tc>
        <w:tc>
          <w:tcPr>
            <w:tcW w:w="420" w:type="dxa"/>
            <w:vAlign w:val="bottom"/>
          </w:tcPr>
          <w:p>
            <w:pPr>
              <w:spacing w:after="0"/>
              <w:rPr>
                <w:sz w:val="23"/>
                <w:szCs w:val="23"/>
                <w:color w:val="auto"/>
              </w:rPr>
            </w:pPr>
          </w:p>
        </w:tc>
        <w:tc>
          <w:tcPr>
            <w:tcW w:w="1460" w:type="dxa"/>
            <w:vAlign w:val="bottom"/>
          </w:tcPr>
          <w:p>
            <w:pPr>
              <w:jc w:val="center"/>
              <w:ind w:right="230"/>
              <w:spacing w:after="0"/>
              <w:rPr>
                <w:sz w:val="20"/>
                <w:szCs w:val="20"/>
                <w:color w:val="auto"/>
              </w:rPr>
            </w:pPr>
            <w:r>
              <w:rPr>
                <w:rFonts w:ascii="Arial" w:cs="Arial" w:eastAsia="Arial" w:hAnsi="Arial"/>
                <w:sz w:val="18"/>
                <w:szCs w:val="18"/>
                <w:b w:val="1"/>
                <w:bCs w:val="1"/>
                <w:color w:val="auto"/>
                <w:w w:val="95"/>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tcPr>
          <w:p>
            <w:pPr>
              <w:ind w:left="20"/>
              <w:spacing w:after="0"/>
              <w:rPr>
                <w:sz w:val="20"/>
                <w:szCs w:val="20"/>
                <w:color w:val="auto"/>
              </w:rPr>
            </w:pPr>
            <w:r>
              <w:rPr>
                <w:rFonts w:ascii="Arial" w:cs="Arial" w:eastAsia="Arial" w:hAnsi="Arial"/>
                <w:sz w:val="18"/>
                <w:szCs w:val="18"/>
                <w:b w:val="1"/>
                <w:bCs w:val="1"/>
                <w:color w:val="auto"/>
              </w:rPr>
              <w:t>Transformation Plan</w:t>
            </w:r>
          </w:p>
        </w:tc>
        <w:tc>
          <w:tcPr>
            <w:tcW w:w="160" w:type="dxa"/>
            <w:vAlign w:val="bottom"/>
          </w:tcPr>
          <w:p>
            <w:pPr>
              <w:spacing w:after="0"/>
              <w:rPr>
                <w:sz w:val="23"/>
                <w:szCs w:val="23"/>
                <w:color w:val="auto"/>
              </w:rPr>
            </w:pPr>
          </w:p>
        </w:tc>
        <w:tc>
          <w:tcPr>
            <w:tcW w:w="16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Charges</w:t>
            </w:r>
          </w:p>
        </w:tc>
        <w:tc>
          <w:tcPr>
            <w:tcW w:w="420" w:type="dxa"/>
            <w:vAlign w:val="bottom"/>
          </w:tcPr>
          <w:p>
            <w:pPr>
              <w:spacing w:after="0"/>
              <w:rPr>
                <w:sz w:val="23"/>
                <w:szCs w:val="23"/>
                <w:color w:val="auto"/>
              </w:rPr>
            </w:pPr>
          </w:p>
        </w:tc>
        <w:tc>
          <w:tcPr>
            <w:tcW w:w="146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5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r>
      <w:tr>
        <w:trPr>
          <w:trHeight w:val="243"/>
        </w:trPr>
        <w:tc>
          <w:tcPr>
            <w:tcW w:w="536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27</w:t>
            </w:r>
          </w:p>
        </w:tc>
      </w:tr>
      <w:tr>
        <w:trPr>
          <w:trHeight w:val="27"/>
        </w:trPr>
        <w:tc>
          <w:tcPr>
            <w:tcW w:w="5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6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r>
      <w:tr>
        <w:trPr>
          <w:trHeight w:val="257"/>
        </w:trPr>
        <w:tc>
          <w:tcPr>
            <w:tcW w:w="5360" w:type="dxa"/>
            <w:vAlign w:val="bottom"/>
          </w:tcPr>
          <w:p>
            <w:pPr>
              <w:ind w:left="10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r>
      <w:tr>
        <w:trPr>
          <w:trHeight w:val="20"/>
        </w:trPr>
        <w:tc>
          <w:tcPr>
            <w:tcW w:w="5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r>
        <w:trPr>
          <w:trHeight w:val="662"/>
        </w:trPr>
        <w:tc>
          <w:tcPr>
            <w:tcW w:w="5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jc w:val="right"/>
              <w:ind w:right="1370"/>
              <w:spacing w:after="0"/>
              <w:rPr>
                <w:sz w:val="20"/>
                <w:szCs w:val="20"/>
                <w:color w:val="auto"/>
              </w:rPr>
            </w:pPr>
            <w:r>
              <w:rPr>
                <w:rFonts w:ascii="Arial" w:cs="Arial" w:eastAsia="Arial" w:hAnsi="Arial"/>
                <w:sz w:val="18"/>
                <w:szCs w:val="18"/>
                <w:color w:val="auto"/>
                <w:w w:val="99"/>
              </w:rPr>
              <w:t>13</w:t>
            </w:r>
          </w:p>
        </w:tc>
        <w:tc>
          <w:tcPr>
            <w:tcW w:w="4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5" w:name="page16"/>
    <w:bookmarkEnd w:id="15"/>
    <w:p>
      <w:pPr>
        <w:spacing w:after="0" w:line="1" w:lineRule="exact"/>
        <w:rPr>
          <w:sz w:val="20"/>
          <w:szCs w:val="20"/>
          <w:color w:val="auto"/>
        </w:rPr>
      </w:pPr>
    </w:p>
    <w:tbl>
      <w:tblPr>
        <w:tblLayout w:type="fixed"/>
        <w:tblInd w:w="22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760" w:type="dxa"/>
            <w:vAlign w:val="bottom"/>
            <w:gridSpan w:val="4"/>
          </w:tcPr>
          <w:p>
            <w:pPr>
              <w:ind w:left="1240"/>
              <w:spacing w:after="0"/>
              <w:rPr>
                <w:sz w:val="20"/>
                <w:szCs w:val="20"/>
                <w:color w:val="auto"/>
              </w:rPr>
            </w:pPr>
            <w:r>
              <w:rPr>
                <w:rFonts w:ascii="Arial" w:cs="Arial" w:eastAsia="Arial" w:hAnsi="Arial"/>
                <w:sz w:val="18"/>
                <w:szCs w:val="18"/>
                <w:b w:val="1"/>
                <w:bCs w:val="1"/>
                <w:color w:val="auto"/>
                <w:w w:val="89"/>
              </w:rPr>
              <w:t>Six Months Ended June 30, 2017</w:t>
            </w:r>
          </w:p>
        </w:tc>
        <w:tc>
          <w:tcPr>
            <w:tcW w:w="1540" w:type="dxa"/>
            <w:vAlign w:val="bottom"/>
          </w:tcPr>
          <w:p>
            <w:pPr>
              <w:spacing w:after="0"/>
              <w:rPr>
                <w:sz w:val="24"/>
                <w:szCs w:val="24"/>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37"/>
        </w:trPr>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Total</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340" w:type="dxa"/>
            <w:vAlign w:val="bottom"/>
          </w:tcPr>
          <w:p>
            <w:pPr>
              <w:spacing w:after="0"/>
              <w:rPr>
                <w:sz w:val="23"/>
                <w:szCs w:val="23"/>
                <w:color w:val="auto"/>
              </w:rPr>
            </w:pPr>
          </w:p>
        </w:tc>
        <w:tc>
          <w:tcPr>
            <w:tcW w:w="1500" w:type="dxa"/>
            <w:vAlign w:val="bottom"/>
          </w:tcPr>
          <w:p>
            <w:pPr>
              <w:ind w:left="220"/>
              <w:spacing w:after="0"/>
              <w:rPr>
                <w:sz w:val="20"/>
                <w:szCs w:val="20"/>
                <w:color w:val="auto"/>
              </w:rPr>
            </w:pPr>
            <w:r>
              <w:rPr>
                <w:rFonts w:ascii="Arial" w:cs="Arial" w:eastAsia="Arial" w:hAnsi="Arial"/>
                <w:sz w:val="18"/>
                <w:szCs w:val="18"/>
                <w:b w:val="1"/>
                <w:bCs w:val="1"/>
                <w:color w:val="auto"/>
              </w:rPr>
              <w:t>Severance</w:t>
            </w:r>
          </w:p>
        </w:tc>
        <w:tc>
          <w:tcPr>
            <w:tcW w:w="420" w:type="dxa"/>
            <w:vAlign w:val="bottom"/>
          </w:tcPr>
          <w:p>
            <w:pPr>
              <w:spacing w:after="0"/>
              <w:rPr>
                <w:sz w:val="23"/>
                <w:szCs w:val="23"/>
                <w:color w:val="auto"/>
              </w:rPr>
            </w:pPr>
          </w:p>
        </w:tc>
        <w:tc>
          <w:tcPr>
            <w:tcW w:w="1460" w:type="dxa"/>
            <w:vAlign w:val="bottom"/>
          </w:tcPr>
          <w:p>
            <w:pPr>
              <w:jc w:val="right"/>
              <w:ind w:right="570"/>
              <w:spacing w:after="0"/>
              <w:rPr>
                <w:sz w:val="20"/>
                <w:szCs w:val="20"/>
                <w:color w:val="auto"/>
              </w:rPr>
            </w:pPr>
            <w:r>
              <w:rPr>
                <w:rFonts w:ascii="Arial" w:cs="Arial" w:eastAsia="Arial" w:hAnsi="Arial"/>
                <w:sz w:val="18"/>
                <w:szCs w:val="18"/>
                <w:b w:val="1"/>
                <w:bCs w:val="1"/>
                <w:color w:val="auto"/>
              </w:rPr>
              <w:t>Other</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88"/>
              </w:rPr>
              <w:t>Severance and</w:t>
            </w:r>
          </w:p>
        </w:tc>
      </w:tr>
      <w:tr>
        <w:trPr>
          <w:trHeight w:val="270"/>
        </w:trPr>
        <w:tc>
          <w:tcPr>
            <w:tcW w:w="5360" w:type="dxa"/>
            <w:vAlign w:val="bottom"/>
            <w:gridSpan w:val="3"/>
          </w:tcPr>
          <w:p>
            <w:pPr>
              <w:ind w:left="20"/>
              <w:spacing w:after="0"/>
              <w:rPr>
                <w:sz w:val="20"/>
                <w:szCs w:val="20"/>
                <w:color w:val="auto"/>
              </w:rPr>
            </w:pPr>
            <w:r>
              <w:rPr>
                <w:rFonts w:ascii="Arial" w:cs="Arial" w:eastAsia="Arial" w:hAnsi="Arial"/>
                <w:sz w:val="18"/>
                <w:szCs w:val="18"/>
                <w:b w:val="1"/>
                <w:bCs w:val="1"/>
                <w:color w:val="auto"/>
              </w:rPr>
              <w:t>2016-17 Plan</w:t>
            </w:r>
          </w:p>
        </w:tc>
        <w:tc>
          <w:tcPr>
            <w:tcW w:w="340" w:type="dxa"/>
            <w:vAlign w:val="bottom"/>
          </w:tcPr>
          <w:p>
            <w:pPr>
              <w:spacing w:after="0"/>
              <w:rPr>
                <w:sz w:val="23"/>
                <w:szCs w:val="23"/>
                <w:color w:val="auto"/>
              </w:rPr>
            </w:pPr>
          </w:p>
        </w:tc>
        <w:tc>
          <w:tcPr>
            <w:tcW w:w="1500" w:type="dxa"/>
            <w:vAlign w:val="bottom"/>
          </w:tcPr>
          <w:p>
            <w:pPr>
              <w:ind w:left="280"/>
              <w:spacing w:after="0"/>
              <w:rPr>
                <w:sz w:val="20"/>
                <w:szCs w:val="20"/>
                <w:color w:val="auto"/>
              </w:rPr>
            </w:pPr>
            <w:r>
              <w:rPr>
                <w:rFonts w:ascii="Arial" w:cs="Arial" w:eastAsia="Arial" w:hAnsi="Arial"/>
                <w:sz w:val="18"/>
                <w:szCs w:val="18"/>
                <w:b w:val="1"/>
                <w:bCs w:val="1"/>
                <w:color w:val="auto"/>
              </w:rPr>
              <w:t>Charges</w:t>
            </w:r>
          </w:p>
        </w:tc>
        <w:tc>
          <w:tcPr>
            <w:tcW w:w="420" w:type="dxa"/>
            <w:vAlign w:val="bottom"/>
          </w:tcPr>
          <w:p>
            <w:pPr>
              <w:spacing w:after="0"/>
              <w:rPr>
                <w:sz w:val="23"/>
                <w:szCs w:val="23"/>
                <w:color w:val="auto"/>
              </w:rPr>
            </w:pPr>
          </w:p>
        </w:tc>
        <w:tc>
          <w:tcPr>
            <w:tcW w:w="1460" w:type="dxa"/>
            <w:vAlign w:val="bottom"/>
          </w:tcPr>
          <w:p>
            <w:pPr>
              <w:jc w:val="right"/>
              <w:ind w:right="490"/>
              <w:spacing w:after="0"/>
              <w:rPr>
                <w:sz w:val="20"/>
                <w:szCs w:val="20"/>
                <w:color w:val="auto"/>
              </w:rPr>
            </w:pPr>
            <w:r>
              <w:rPr>
                <w:rFonts w:ascii="Arial" w:cs="Arial" w:eastAsia="Arial" w:hAnsi="Arial"/>
                <w:sz w:val="18"/>
                <w:szCs w:val="18"/>
                <w:b w:val="1"/>
                <w:bCs w:val="1"/>
                <w:color w:val="auto"/>
              </w:rPr>
              <w:t>Charges</w:t>
            </w:r>
          </w:p>
        </w:tc>
        <w:tc>
          <w:tcPr>
            <w:tcW w:w="380" w:type="dxa"/>
            <w:vAlign w:val="bottom"/>
          </w:tcPr>
          <w:p>
            <w:pPr>
              <w:spacing w:after="0"/>
              <w:rPr>
                <w:sz w:val="23"/>
                <w:szCs w:val="23"/>
                <w:color w:val="auto"/>
              </w:rPr>
            </w:pPr>
          </w:p>
        </w:tc>
        <w:tc>
          <w:tcPr>
            <w:tcW w:w="1540" w:type="dxa"/>
            <w:vAlign w:val="bottom"/>
          </w:tcPr>
          <w:p>
            <w:pPr>
              <w:jc w:val="center"/>
              <w:ind w:right="250"/>
              <w:spacing w:after="0"/>
              <w:rPr>
                <w:sz w:val="20"/>
                <w:szCs w:val="20"/>
                <w:color w:val="auto"/>
              </w:rPr>
            </w:pPr>
            <w:r>
              <w:rPr>
                <w:rFonts w:ascii="Arial" w:cs="Arial" w:eastAsia="Arial" w:hAnsi="Arial"/>
                <w:sz w:val="18"/>
                <w:szCs w:val="18"/>
                <w:b w:val="1"/>
                <w:bCs w:val="1"/>
                <w:color w:val="auto"/>
                <w:w w:val="92"/>
              </w:rPr>
              <w:t>Other Charges</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15</w:t>
            </w:r>
          </w:p>
        </w:tc>
        <w:tc>
          <w:tcPr>
            <w:tcW w:w="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w:t>
            </w:r>
          </w:p>
        </w:tc>
      </w:tr>
      <w:tr>
        <w:trPr>
          <w:trHeight w:val="243"/>
        </w:trPr>
        <w:tc>
          <w:tcPr>
            <w:tcW w:w="5360" w:type="dxa"/>
            <w:vAlign w:val="bottom"/>
            <w:gridSpan w:val="3"/>
          </w:tcPr>
          <w:p>
            <w:pPr>
              <w:ind w:left="20"/>
              <w:spacing w:after="0"/>
              <w:rPr>
                <w:sz w:val="20"/>
                <w:szCs w:val="20"/>
                <w:color w:val="auto"/>
              </w:rPr>
            </w:pPr>
            <w:r>
              <w:rPr>
                <w:rFonts w:ascii="Arial" w:cs="Arial" w:eastAsia="Arial" w:hAnsi="Arial"/>
                <w:sz w:val="18"/>
                <w:szCs w:val="18"/>
                <w:color w:val="auto"/>
              </w:rPr>
              <w:t>Eastern Hemisphere</w:t>
            </w:r>
          </w:p>
        </w:tc>
        <w:tc>
          <w:tcPr>
            <w:tcW w:w="340" w:type="dxa"/>
            <w:vAlign w:val="bottom"/>
          </w:tcPr>
          <w:p>
            <w:pPr>
              <w:spacing w:after="0"/>
              <w:rPr>
                <w:sz w:val="21"/>
                <w:szCs w:val="21"/>
                <w:color w:val="auto"/>
              </w:rPr>
            </w:pPr>
          </w:p>
        </w:tc>
        <w:tc>
          <w:tcPr>
            <w:tcW w:w="1500" w:type="dxa"/>
            <w:vAlign w:val="bottom"/>
          </w:tcPr>
          <w:p>
            <w:pPr>
              <w:ind w:left="1260"/>
              <w:spacing w:after="0"/>
              <w:rPr>
                <w:sz w:val="20"/>
                <w:szCs w:val="20"/>
                <w:color w:val="auto"/>
              </w:rPr>
            </w:pPr>
            <w:r>
              <w:rPr>
                <w:rFonts w:ascii="Arial" w:cs="Arial" w:eastAsia="Arial" w:hAnsi="Arial"/>
                <w:sz w:val="18"/>
                <w:szCs w:val="18"/>
                <w:color w:val="auto"/>
              </w:rPr>
              <w:t>18</w:t>
            </w:r>
          </w:p>
        </w:tc>
        <w:tc>
          <w:tcPr>
            <w:tcW w:w="4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22</w:t>
            </w:r>
          </w:p>
        </w:tc>
        <w:tc>
          <w:tcPr>
            <w:tcW w:w="3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40</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40" w:type="dxa"/>
            <w:vAlign w:val="bottom"/>
          </w:tcPr>
          <w:p>
            <w:pPr>
              <w:spacing w:after="0"/>
              <w:rPr>
                <w:sz w:val="2"/>
                <w:szCs w:val="2"/>
                <w:color w:val="auto"/>
              </w:rPr>
            </w:pPr>
          </w:p>
        </w:tc>
      </w:tr>
      <w:tr>
        <w:trPr>
          <w:trHeight w:val="270"/>
        </w:trPr>
        <w:tc>
          <w:tcPr>
            <w:tcW w:w="53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3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ind w:left="1260"/>
              <w:spacing w:after="0"/>
              <w:rPr>
                <w:sz w:val="20"/>
                <w:szCs w:val="20"/>
                <w:color w:val="auto"/>
              </w:rPr>
            </w:pPr>
            <w:r>
              <w:rPr>
                <w:rFonts w:ascii="Arial" w:cs="Arial" w:eastAsia="Arial" w:hAnsi="Arial"/>
                <w:sz w:val="18"/>
                <w:szCs w:val="18"/>
                <w:color w:val="auto"/>
              </w:rPr>
              <w:t>23</w:t>
            </w:r>
          </w:p>
        </w:tc>
        <w:tc>
          <w:tcPr>
            <w:tcW w:w="4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38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r>
      <w:tr>
        <w:trPr>
          <w:trHeight w:val="257"/>
        </w:trPr>
        <w:tc>
          <w:tcPr>
            <w:tcW w:w="5360" w:type="dxa"/>
            <w:vAlign w:val="bottom"/>
            <w:gridSpan w:val="3"/>
          </w:tcPr>
          <w:p>
            <w:pPr>
              <w:ind w:left="100"/>
              <w:spacing w:after="0"/>
              <w:rPr>
                <w:sz w:val="20"/>
                <w:szCs w:val="20"/>
                <w:color w:val="auto"/>
              </w:rPr>
            </w:pPr>
            <w:r>
              <w:rPr>
                <w:rFonts w:ascii="Arial" w:cs="Arial" w:eastAsia="Arial" w:hAnsi="Arial"/>
                <w:sz w:val="18"/>
                <w:szCs w:val="18"/>
                <w:color w:val="auto"/>
              </w:rPr>
              <w:t>Total</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auto"/>
            </w:tcBorders>
          </w:tcPr>
          <w:p>
            <w:pPr>
              <w:ind w:left="1260"/>
              <w:spacing w:after="0"/>
              <w:rPr>
                <w:sz w:val="20"/>
                <w:szCs w:val="20"/>
                <w:color w:val="auto"/>
              </w:rPr>
            </w:pPr>
            <w:r>
              <w:rPr>
                <w:rFonts w:ascii="Arial" w:cs="Arial" w:eastAsia="Arial" w:hAnsi="Arial"/>
                <w:sz w:val="18"/>
                <w:szCs w:val="18"/>
                <w:color w:val="auto"/>
              </w:rPr>
              <w:t>56</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w:t>
            </w:r>
          </w:p>
        </w:tc>
        <w:tc>
          <w:tcPr>
            <w:tcW w:w="38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106</w:t>
            </w:r>
          </w:p>
        </w:tc>
      </w:tr>
      <w:tr>
        <w:trPr>
          <w:trHeight w:val="20"/>
        </w:trPr>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severance and other restructuring charges gave rise to certain liabilities, the components of which are summarized below, and largely relate to liabilities accrued as part of the 2016-17 and Prior Plans that will be paid pursuant to the respective arrangements and statutory requirements.</w:t>
      </w:r>
    </w:p>
    <w:p>
      <w:pPr>
        <w:spacing w:after="0" w:line="89"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20" w:type="dxa"/>
            <w:vAlign w:val="bottom"/>
            <w:gridSpan w:val="3"/>
          </w:tcPr>
          <w:p>
            <w:pPr>
              <w:jc w:val="right"/>
              <w:spacing w:after="0"/>
              <w:rPr>
                <w:sz w:val="20"/>
                <w:szCs w:val="20"/>
                <w:color w:val="auto"/>
              </w:rPr>
            </w:pPr>
            <w:r>
              <w:rPr>
                <w:rFonts w:ascii="Arial" w:cs="Arial" w:eastAsia="Arial" w:hAnsi="Arial"/>
                <w:sz w:val="18"/>
                <w:szCs w:val="18"/>
                <w:b w:val="1"/>
                <w:bCs w:val="1"/>
                <w:color w:val="auto"/>
                <w:w w:val="94"/>
              </w:rPr>
              <w:t>At June 30, 2018</w:t>
            </w: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40" w:type="dxa"/>
            <w:vAlign w:val="bottom"/>
            <w:gridSpan w:val="2"/>
          </w:tcPr>
          <w:p>
            <w:pPr>
              <w:jc w:val="right"/>
              <w:ind w:right="90"/>
              <w:spacing w:after="0"/>
              <w:rPr>
                <w:sz w:val="20"/>
                <w:szCs w:val="20"/>
                <w:color w:val="auto"/>
              </w:rPr>
            </w:pPr>
            <w:r>
              <w:rPr>
                <w:rFonts w:ascii="Arial" w:cs="Arial" w:eastAsia="Arial" w:hAnsi="Arial"/>
                <w:sz w:val="18"/>
                <w:szCs w:val="18"/>
                <w:b w:val="1"/>
                <w:bCs w:val="1"/>
                <w:color w:val="auto"/>
              </w:rPr>
              <w:t>Transformation Plan</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2016-17 and Prior Plans</w:t>
            </w:r>
          </w:p>
        </w:tc>
        <w:tc>
          <w:tcPr>
            <w:tcW w:w="180" w:type="dxa"/>
            <w:vAlign w:val="bottom"/>
          </w:tcPr>
          <w:p>
            <w:pPr>
              <w:spacing w:after="0"/>
              <w:rPr>
                <w:sz w:val="20"/>
                <w:szCs w:val="20"/>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Total</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vMerge w:val="restart"/>
          </w:tcPr>
          <w:p>
            <w:pPr>
              <w:jc w:val="center"/>
              <w:ind w:right="110"/>
              <w:spacing w:after="0"/>
              <w:rPr>
                <w:sz w:val="20"/>
                <w:szCs w:val="20"/>
                <w:color w:val="auto"/>
              </w:rPr>
            </w:pPr>
            <w:r>
              <w:rPr>
                <w:rFonts w:ascii="Arial" w:cs="Arial" w:eastAsia="Arial" w:hAnsi="Arial"/>
                <w:sz w:val="18"/>
                <w:szCs w:val="18"/>
                <w:b w:val="1"/>
                <w:bCs w:val="1"/>
                <w:color w:val="auto"/>
                <w:w w:val="86"/>
              </w:rPr>
              <w:t>Severance</w:t>
            </w:r>
          </w:p>
        </w:tc>
        <w:tc>
          <w:tcPr>
            <w:tcW w:w="0" w:type="dxa"/>
            <w:vAlign w:val="bottom"/>
          </w:tcPr>
          <w:p>
            <w:pPr>
              <w:spacing w:after="0"/>
              <w:rPr>
                <w:sz w:val="1"/>
                <w:szCs w:val="1"/>
                <w:color w:val="auto"/>
              </w:rPr>
            </w:pPr>
          </w:p>
        </w:tc>
      </w:tr>
      <w:tr>
        <w:trPr>
          <w:trHeight w:val="237"/>
        </w:trPr>
        <w:tc>
          <w:tcPr>
            <w:tcW w:w="4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2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Severance</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Other</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Severance</w:t>
            </w:r>
          </w:p>
        </w:tc>
        <w:tc>
          <w:tcPr>
            <w:tcW w:w="240" w:type="dxa"/>
            <w:vAlign w:val="bottom"/>
          </w:tcPr>
          <w:p>
            <w:pPr>
              <w:spacing w:after="0"/>
              <w:rPr>
                <w:sz w:val="23"/>
                <w:szCs w:val="23"/>
                <w:color w:val="auto"/>
              </w:rPr>
            </w:pPr>
          </w:p>
        </w:tc>
        <w:tc>
          <w:tcPr>
            <w:tcW w:w="1100" w:type="dxa"/>
            <w:vAlign w:val="bottom"/>
          </w:tcPr>
          <w:p>
            <w:pPr>
              <w:jc w:val="right"/>
              <w:ind w:right="350"/>
              <w:spacing w:after="0"/>
              <w:rPr>
                <w:sz w:val="20"/>
                <w:szCs w:val="20"/>
                <w:color w:val="auto"/>
              </w:rPr>
            </w:pPr>
            <w:r>
              <w:rPr>
                <w:rFonts w:ascii="Arial" w:cs="Arial" w:eastAsia="Arial" w:hAnsi="Arial"/>
                <w:sz w:val="18"/>
                <w:szCs w:val="18"/>
                <w:b w:val="1"/>
                <w:bCs w:val="1"/>
                <w:color w:val="auto"/>
              </w:rPr>
              <w:t>Other</w:t>
            </w:r>
          </w:p>
        </w:tc>
        <w:tc>
          <w:tcPr>
            <w:tcW w:w="180" w:type="dxa"/>
            <w:vAlign w:val="bottom"/>
          </w:tcPr>
          <w:p>
            <w:pPr>
              <w:spacing w:after="0"/>
              <w:rPr>
                <w:sz w:val="23"/>
                <w:szCs w:val="23"/>
                <w:color w:val="auto"/>
              </w:rPr>
            </w:pPr>
          </w:p>
        </w:tc>
        <w:tc>
          <w:tcPr>
            <w:tcW w:w="114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and Other</w:t>
            </w:r>
          </w:p>
        </w:tc>
        <w:tc>
          <w:tcPr>
            <w:tcW w:w="0" w:type="dxa"/>
            <w:vAlign w:val="bottom"/>
          </w:tcPr>
          <w:p>
            <w:pPr>
              <w:spacing w:after="0"/>
              <w:rPr>
                <w:sz w:val="1"/>
                <w:szCs w:val="1"/>
                <w:color w:val="auto"/>
              </w:rPr>
            </w:pPr>
          </w:p>
        </w:tc>
      </w:tr>
      <w:tr>
        <w:trPr>
          <w:trHeight w:val="270"/>
        </w:trPr>
        <w:tc>
          <w:tcPr>
            <w:tcW w:w="42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3"/>
                <w:szCs w:val="23"/>
                <w:color w:val="auto"/>
              </w:rPr>
            </w:pPr>
          </w:p>
        </w:tc>
        <w:tc>
          <w:tcPr>
            <w:tcW w:w="1100" w:type="dxa"/>
            <w:vAlign w:val="bottom"/>
          </w:tcPr>
          <w:p>
            <w:pPr>
              <w:jc w:val="right"/>
              <w:ind w:right="210"/>
              <w:spacing w:after="0"/>
              <w:rPr>
                <w:sz w:val="20"/>
                <w:szCs w:val="20"/>
                <w:color w:val="auto"/>
              </w:rPr>
            </w:pPr>
            <w:r>
              <w:rPr>
                <w:rFonts w:ascii="Arial" w:cs="Arial" w:eastAsia="Arial" w:hAnsi="Arial"/>
                <w:sz w:val="18"/>
                <w:szCs w:val="18"/>
                <w:b w:val="1"/>
                <w:bCs w:val="1"/>
                <w:color w:val="auto"/>
              </w:rPr>
              <w:t>Liability</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Liability</w:t>
            </w: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20" w:type="dxa"/>
            <w:vAlign w:val="bottom"/>
          </w:tcPr>
          <w:p>
            <w:pPr>
              <w:jc w:val="right"/>
              <w:ind w:right="230"/>
              <w:spacing w:after="0"/>
              <w:rPr>
                <w:sz w:val="20"/>
                <w:szCs w:val="20"/>
                <w:color w:val="auto"/>
              </w:rPr>
            </w:pPr>
            <w:r>
              <w:rPr>
                <w:rFonts w:ascii="Arial" w:cs="Arial" w:eastAsia="Arial" w:hAnsi="Arial"/>
                <w:sz w:val="18"/>
                <w:szCs w:val="18"/>
                <w:b w:val="1"/>
                <w:bCs w:val="1"/>
                <w:color w:val="auto"/>
              </w:rPr>
              <w:t>Liability</w:t>
            </w:r>
          </w:p>
        </w:tc>
        <w:tc>
          <w:tcPr>
            <w:tcW w:w="240" w:type="dxa"/>
            <w:vAlign w:val="bottom"/>
          </w:tcPr>
          <w:p>
            <w:pPr>
              <w:spacing w:after="0"/>
              <w:rPr>
                <w:sz w:val="23"/>
                <w:szCs w:val="23"/>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Liability</w:t>
            </w:r>
          </w:p>
        </w:tc>
        <w:tc>
          <w:tcPr>
            <w:tcW w:w="180" w:type="dxa"/>
            <w:vAlign w:val="bottom"/>
          </w:tcPr>
          <w:p>
            <w:pPr>
              <w:spacing w:after="0"/>
              <w:rPr>
                <w:sz w:val="23"/>
                <w:szCs w:val="23"/>
                <w:color w:val="auto"/>
              </w:rPr>
            </w:pPr>
          </w:p>
        </w:tc>
        <w:tc>
          <w:tcPr>
            <w:tcW w:w="1140" w:type="dxa"/>
            <w:vAlign w:val="bottom"/>
          </w:tcPr>
          <w:p>
            <w:pPr>
              <w:jc w:val="center"/>
              <w:ind w:right="110"/>
              <w:spacing w:after="0"/>
              <w:rPr>
                <w:sz w:val="20"/>
                <w:szCs w:val="20"/>
                <w:color w:val="auto"/>
              </w:rPr>
            </w:pPr>
            <w:r>
              <w:rPr>
                <w:rFonts w:ascii="Arial" w:cs="Arial" w:eastAsia="Arial" w:hAnsi="Arial"/>
                <w:sz w:val="18"/>
                <w:szCs w:val="18"/>
                <w:b w:val="1"/>
                <w:bCs w:val="1"/>
                <w:color w:val="auto"/>
                <w:w w:val="96"/>
              </w:rPr>
              <w:t>Liability</w:t>
            </w:r>
          </w:p>
        </w:tc>
        <w:tc>
          <w:tcPr>
            <w:tcW w:w="0" w:type="dxa"/>
            <w:vAlign w:val="bottom"/>
          </w:tcPr>
          <w:p>
            <w:pPr>
              <w:spacing w:after="0"/>
              <w:rPr>
                <w:sz w:val="1"/>
                <w:szCs w:val="1"/>
                <w:color w:val="auto"/>
              </w:rPr>
            </w:pPr>
          </w:p>
        </w:tc>
      </w:tr>
      <w:tr>
        <w:trPr>
          <w:trHeight w:val="27"/>
        </w:trPr>
        <w:tc>
          <w:tcPr>
            <w:tcW w:w="42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40" w:type="dxa"/>
            <w:vAlign w:val="bottom"/>
            <w:tcBorders>
              <w:bottom w:val="single" w:sz="8" w:color="CCEEFF"/>
            </w:tcBorders>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28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1040" w:type="dxa"/>
            <w:vAlign w:val="bottom"/>
          </w:tcPr>
          <w:p>
            <w:pPr>
              <w:spacing w:after="0"/>
              <w:rPr>
                <w:sz w:val="21"/>
                <w:szCs w:val="21"/>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18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57"/>
        </w:trPr>
        <w:tc>
          <w:tcPr>
            <w:tcW w:w="4280" w:type="dxa"/>
            <w:vAlign w:val="bottom"/>
          </w:tcPr>
          <w:p>
            <w:pPr>
              <w:ind w:left="100"/>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40" w:type="dxa"/>
            <w:vAlign w:val="bottom"/>
            <w:tcBorders>
              <w:top w:val="single" w:sz="8" w:color="auto"/>
              <w:bottom w:val="single" w:sz="8" w:color="auto"/>
            </w:tcBorders>
          </w:tcPr>
          <w:p>
            <w:pPr>
              <w:jc w:val="right"/>
              <w:ind w:right="79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the restructuring liability activity for the first six months of 2018.</w:t>
      </w:r>
    </w:p>
    <w:p>
      <w:pPr>
        <w:spacing w:after="0" w:line="167"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980" w:type="dxa"/>
            <w:vAlign w:val="bottom"/>
            <w:gridSpan w:val="6"/>
          </w:tcPr>
          <w:p>
            <w:pPr>
              <w:jc w:val="right"/>
              <w:ind w:right="590"/>
              <w:spacing w:after="0"/>
              <w:rPr>
                <w:sz w:val="20"/>
                <w:szCs w:val="20"/>
                <w:color w:val="auto"/>
              </w:rPr>
            </w:pPr>
            <w:r>
              <w:rPr>
                <w:rFonts w:ascii="Arial" w:cs="Arial" w:eastAsia="Arial" w:hAnsi="Arial"/>
                <w:sz w:val="18"/>
                <w:szCs w:val="18"/>
                <w:b w:val="1"/>
                <w:bCs w:val="1"/>
                <w:color w:val="auto"/>
              </w:rPr>
              <w:t>Six Months Ended June 30, 2018</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2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88"/>
              </w:rPr>
              <w:t>Accrued Balance</w:t>
            </w: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2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gridSpan w:val="2"/>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at December 31,</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Accrued Balance at</w:t>
            </w:r>
          </w:p>
        </w:tc>
        <w:tc>
          <w:tcPr>
            <w:tcW w:w="0" w:type="dxa"/>
            <w:vAlign w:val="bottom"/>
          </w:tcPr>
          <w:p>
            <w:pPr>
              <w:spacing w:after="0"/>
              <w:rPr>
                <w:sz w:val="1"/>
                <w:szCs w:val="1"/>
                <w:color w:val="auto"/>
              </w:rPr>
            </w:pPr>
          </w:p>
        </w:tc>
      </w:tr>
      <w:tr>
        <w:trPr>
          <w:trHeight w:val="234"/>
        </w:trPr>
        <w:tc>
          <w:tcPr>
            <w:tcW w:w="298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20" w:type="dxa"/>
            <w:vAlign w:val="bottom"/>
          </w:tcPr>
          <w:p>
            <w:pPr>
              <w:spacing w:after="0"/>
              <w:rPr>
                <w:sz w:val="20"/>
                <w:szCs w:val="20"/>
                <w:color w:val="auto"/>
              </w:rPr>
            </w:pPr>
          </w:p>
        </w:tc>
        <w:tc>
          <w:tcPr>
            <w:tcW w:w="14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Charges</w:t>
            </w:r>
          </w:p>
        </w:tc>
        <w:tc>
          <w:tcPr>
            <w:tcW w:w="140" w:type="dxa"/>
            <w:vAlign w:val="bottom"/>
          </w:tcPr>
          <w:p>
            <w:pPr>
              <w:spacing w:after="0"/>
              <w:rPr>
                <w:sz w:val="20"/>
                <w:szCs w:val="20"/>
                <w:color w:val="auto"/>
              </w:rPr>
            </w:pPr>
          </w:p>
        </w:tc>
        <w:tc>
          <w:tcPr>
            <w:tcW w:w="1500" w:type="dxa"/>
            <w:vAlign w:val="bottom"/>
            <w:gridSpan w:val="2"/>
          </w:tcPr>
          <w:p>
            <w:pPr>
              <w:ind w:left="20"/>
              <w:spacing w:after="0"/>
              <w:rPr>
                <w:sz w:val="20"/>
                <w:szCs w:val="20"/>
                <w:color w:val="auto"/>
              </w:rPr>
            </w:pPr>
            <w:r>
              <w:rPr>
                <w:rFonts w:ascii="Arial" w:cs="Arial" w:eastAsia="Arial" w:hAnsi="Arial"/>
                <w:sz w:val="18"/>
                <w:szCs w:val="18"/>
                <w:b w:val="1"/>
                <w:bCs w:val="1"/>
                <w:color w:val="auto"/>
              </w:rPr>
              <w:t>Cash Payments</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June 30, 2018</w:t>
            </w:r>
          </w:p>
        </w:tc>
        <w:tc>
          <w:tcPr>
            <w:tcW w:w="0" w:type="dxa"/>
            <w:vAlign w:val="bottom"/>
          </w:tcPr>
          <w:p>
            <w:pPr>
              <w:spacing w:after="0"/>
              <w:rPr>
                <w:sz w:val="1"/>
                <w:szCs w:val="1"/>
                <w:color w:val="auto"/>
              </w:rPr>
            </w:pPr>
          </w:p>
        </w:tc>
      </w:tr>
      <w:tr>
        <w:trPr>
          <w:trHeight w:val="27"/>
        </w:trPr>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Transformation Plan</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gridSpan w:val="2"/>
            <w:shd w:val="clear" w:color="auto" w:fill="CCEEFF"/>
          </w:tcPr>
          <w:p>
            <w:pPr>
              <w:ind w:left="11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97"/>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2016-17 and Prior Plans:</w:t>
            </w:r>
          </w:p>
        </w:tc>
        <w:tc>
          <w:tcPr>
            <w:tcW w:w="1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Severance liability</w:t>
            </w:r>
          </w:p>
        </w:tc>
        <w:tc>
          <w:tcPr>
            <w:tcW w:w="120" w:type="dxa"/>
            <w:vAlign w:val="bottom"/>
          </w:tcPr>
          <w:p>
            <w:pPr>
              <w:spacing w:after="0"/>
              <w:rPr>
                <w:sz w:val="21"/>
                <w:szCs w:val="21"/>
                <w:color w:val="auto"/>
              </w:rPr>
            </w:pPr>
          </w:p>
        </w:tc>
        <w:tc>
          <w:tcPr>
            <w:tcW w:w="1420" w:type="dxa"/>
            <w:vAlign w:val="bottom"/>
          </w:tcPr>
          <w:p>
            <w:pPr>
              <w:ind w:left="11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44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restructuring liability</w:t>
            </w:r>
          </w:p>
        </w:tc>
        <w:tc>
          <w:tcPr>
            <w:tcW w:w="1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ind w:left="112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9"/>
        </w:trPr>
        <w:tc>
          <w:tcPr>
            <w:tcW w:w="2980" w:type="dxa"/>
            <w:vAlign w:val="bottom"/>
          </w:tcPr>
          <w:p>
            <w:pPr>
              <w:ind w:left="20"/>
              <w:spacing w:after="0"/>
              <w:rPr>
                <w:sz w:val="20"/>
                <w:szCs w:val="20"/>
                <w:color w:val="auto"/>
              </w:rPr>
            </w:pPr>
            <w:r>
              <w:rPr>
                <w:rFonts w:ascii="Arial" w:cs="Arial" w:eastAsia="Arial" w:hAnsi="Arial"/>
                <w:sz w:val="18"/>
                <w:szCs w:val="18"/>
                <w:color w:val="auto"/>
                <w:w w:val="93"/>
              </w:rPr>
              <w:t>Total severance and other restructuring</w:t>
            </w:r>
          </w:p>
        </w:tc>
        <w:tc>
          <w:tcPr>
            <w:tcW w:w="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vMerge w:val="restart"/>
          </w:tcPr>
          <w:p>
            <w:pPr>
              <w:ind w:left="1120"/>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18"/>
                <w:szCs w:val="18"/>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960" w:type="dxa"/>
            <w:vAlign w:val="bottom"/>
            <w:tcBorders>
              <w:top w:val="single" w:sz="8" w:color="auto"/>
            </w:tcBorders>
            <w:vMerge w:val="restart"/>
          </w:tcPr>
          <w:p>
            <w:pPr>
              <w:jc w:val="right"/>
              <w:ind w:right="7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2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42"/>
        </w:trPr>
        <w:tc>
          <w:tcPr>
            <w:tcW w:w="2980" w:type="dxa"/>
            <w:vAlign w:val="bottom"/>
          </w:tcPr>
          <w:p>
            <w:pPr>
              <w:ind w:left="20"/>
              <w:spacing w:after="0"/>
              <w:rPr>
                <w:sz w:val="20"/>
                <w:szCs w:val="20"/>
                <w:color w:val="auto"/>
              </w:rPr>
            </w:pPr>
            <w:r>
              <w:rPr>
                <w:rFonts w:ascii="Arial" w:cs="Arial" w:eastAsia="Arial" w:hAnsi="Arial"/>
                <w:sz w:val="18"/>
                <w:szCs w:val="18"/>
                <w:color w:val="auto"/>
              </w:rPr>
              <w:t>liability</w:t>
            </w:r>
          </w:p>
        </w:tc>
        <w:tc>
          <w:tcPr>
            <w:tcW w:w="120" w:type="dxa"/>
            <w:vAlign w:val="bottom"/>
            <w:tcBorders>
              <w:bottom w:val="single" w:sz="8" w:color="auto"/>
            </w:tcBorders>
            <w:vMerge w:val="continue"/>
          </w:tcPr>
          <w:p>
            <w:pPr>
              <w:spacing w:after="0"/>
              <w:rPr>
                <w:sz w:val="20"/>
                <w:szCs w:val="20"/>
                <w:color w:val="auto"/>
              </w:rPr>
            </w:pPr>
          </w:p>
        </w:tc>
        <w:tc>
          <w:tcPr>
            <w:tcW w:w="142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vMerge w:val="continue"/>
          </w:tcPr>
          <w:p>
            <w:pPr>
              <w:spacing w:after="0"/>
              <w:rPr>
                <w:sz w:val="20"/>
                <w:szCs w:val="20"/>
                <w:color w:val="auto"/>
              </w:rPr>
            </w:pPr>
          </w:p>
        </w:tc>
        <w:tc>
          <w:tcPr>
            <w:tcW w:w="140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3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bottom w:val="single" w:sz="8" w:color="auto"/>
            </w:tcBorders>
            <w:vMerge w:val="continue"/>
          </w:tcPr>
          <w:p>
            <w:pPr>
              <w:spacing w:after="0"/>
              <w:rPr>
                <w:sz w:val="20"/>
                <w:szCs w:val="20"/>
                <w:color w:val="auto"/>
              </w:rPr>
            </w:pPr>
          </w:p>
        </w:tc>
        <w:tc>
          <w:tcPr>
            <w:tcW w:w="14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2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tcPr>
          <w:p>
            <w:pPr>
              <w:jc w:val="right"/>
              <w:ind w:right="33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32" w:right="259" w:bottom="1440" w:gutter="0" w:footer="0" w:header="0"/>
        </w:sectPr>
      </w:pPr>
    </w:p>
    <w:bookmarkStart w:id="16" w:name="page17"/>
    <w:bookmarkEnd w:id="1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6. Accounts Receivable Factoring and Other Receivables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six months of 2018, we sold accounts receivable of $188 million and recognized a loss of approximately $1 million on these sales. We received cash proceeds totaling $181 million. In the first six months of 2017, we sold approximately $78 million and recognized a loss of $0.4 million. Our factoring transactions in the first six months of 2018 and 2017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ind w:left="340"/>
              <w:spacing w:after="0"/>
              <w:rPr>
                <w:sz w:val="20"/>
                <w:szCs w:val="20"/>
                <w:color w:val="auto"/>
              </w:rPr>
            </w:pPr>
            <w:r>
              <w:rPr>
                <w:rFonts w:ascii="Arial" w:cs="Arial" w:eastAsia="Arial" w:hAnsi="Arial"/>
                <w:sz w:val="18"/>
                <w:szCs w:val="18"/>
                <w:b w:val="1"/>
                <w:bCs w:val="1"/>
                <w:color w:val="auto"/>
              </w:rPr>
              <w:t>7. Inventories, Net</w:t>
            </w: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32"/>
        </w:trPr>
        <w:tc>
          <w:tcPr>
            <w:tcW w:w="8460" w:type="dxa"/>
            <w:vAlign w:val="bottom"/>
          </w:tcPr>
          <w:p>
            <w:pPr>
              <w:ind w:left="340"/>
              <w:spacing w:after="0"/>
              <w:rPr>
                <w:sz w:val="20"/>
                <w:szCs w:val="20"/>
                <w:color w:val="auto"/>
              </w:rPr>
            </w:pPr>
            <w:r>
              <w:rPr>
                <w:rFonts w:ascii="Arial" w:cs="Arial" w:eastAsia="Arial" w:hAnsi="Arial"/>
                <w:sz w:val="18"/>
                <w:szCs w:val="18"/>
                <w:color w:val="auto"/>
              </w:rPr>
              <w:t>Inventories, net of reserves, by category were as follows:</w:t>
            </w: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30"/>
              <w:spacing w:after="0"/>
              <w:rPr>
                <w:sz w:val="20"/>
                <w:szCs w:val="20"/>
                <w:color w:val="auto"/>
              </w:rPr>
            </w:pPr>
            <w:r>
              <w:rPr>
                <w:rFonts w:ascii="Arial" w:cs="Arial" w:eastAsia="Arial" w:hAnsi="Arial"/>
                <w:sz w:val="18"/>
                <w:szCs w:val="18"/>
                <w:b w:val="1"/>
                <w:bCs w:val="1"/>
                <w:color w:val="auto"/>
                <w:w w:val="90"/>
              </w:rPr>
              <w:t>December 31,</w:t>
            </w:r>
          </w:p>
        </w:tc>
      </w:tr>
      <w:tr>
        <w:trPr>
          <w:trHeight w:val="234"/>
        </w:trPr>
        <w:tc>
          <w:tcPr>
            <w:tcW w:w="84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18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4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components and supplies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1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1,043</w:t>
            </w:r>
          </w:p>
        </w:tc>
      </w:tr>
      <w:tr>
        <w:trPr>
          <w:trHeight w:val="237"/>
        </w:trPr>
        <w:tc>
          <w:tcPr>
            <w:tcW w:w="846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1,143</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1,234</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8. Asset Impairments and Write-Downs</w:t>
      </w:r>
    </w:p>
    <w:p>
      <w:pPr>
        <w:spacing w:after="0" w:line="22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 the six months ended June 30, 2018, we recognized long-lived asset impairments on our held for sale assets of $82 million to write-down our assets to the lower of carrying amount or fair value less cost to sell for our land drilling rigs, of which $34 million was in our Western Hemisphere segment and $48 million in our Eastern Hemisphere segment. For the six months ended June 30, 2018, we recognized long-lived asset impairment charges of $10 million for assets other than those held for sale, of which $3 million was in our Western Hemisphere and $7 million is in our Eastern Hemisphere segment. The impairments were due to the sustained downturn in the oil and gas industry that resulted in us having to reassess our disposal groups for our land drilling rigs. The change in our expectations of the market’s recovery, in addition to successive negative operating cash flows in certain disposal asset groups represented an indicator that those assets will no longer be recoverable over their remaining useful lives. The Level 3 fair values of the long-lived assets were determined using a combination of the market and income approach. The market approach considered market sales values for similar assets. The unobservable inputs to the income approach included the assets’ estimated future cash flows and estimates of discount rates commensurate with the assets’ risks.</w:t>
      </w:r>
    </w:p>
    <w:p>
      <w:pPr>
        <w:spacing w:after="0" w:line="16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changes in the carrying amount of goodwill by reportable segment for the six months ended June 30, 2018,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2100" w:type="dxa"/>
            <w:vAlign w:val="bottom"/>
            <w:gridSpan w:val="2"/>
          </w:tcPr>
          <w:p>
            <w:pPr>
              <w:ind w:left="80"/>
              <w:spacing w:after="0"/>
              <w:rPr>
                <w:sz w:val="20"/>
                <w:szCs w:val="20"/>
                <w:color w:val="auto"/>
              </w:rPr>
            </w:pPr>
            <w:r>
              <w:rPr>
                <w:rFonts w:ascii="Arial" w:cs="Arial" w:eastAsia="Arial" w:hAnsi="Arial"/>
                <w:sz w:val="18"/>
                <w:szCs w:val="18"/>
                <w:b w:val="1"/>
                <w:bCs w:val="1"/>
                <w:color w:val="auto"/>
              </w:rPr>
              <w:t>Western Hemisphere</w:t>
            </w:r>
          </w:p>
        </w:tc>
        <w:tc>
          <w:tcPr>
            <w:tcW w:w="200" w:type="dxa"/>
            <w:vAlign w:val="bottom"/>
          </w:tcPr>
          <w:p>
            <w:pPr>
              <w:spacing w:after="0"/>
              <w:rPr>
                <w:sz w:val="20"/>
                <w:szCs w:val="20"/>
                <w:color w:val="auto"/>
              </w:rPr>
            </w:pPr>
          </w:p>
        </w:tc>
        <w:tc>
          <w:tcPr>
            <w:tcW w:w="2060" w:type="dxa"/>
            <w:vAlign w:val="bottom"/>
            <w:gridSpan w:val="2"/>
          </w:tcPr>
          <w:p>
            <w:pPr>
              <w:ind w:left="80"/>
              <w:spacing w:after="0"/>
              <w:rPr>
                <w:sz w:val="20"/>
                <w:szCs w:val="20"/>
                <w:color w:val="auto"/>
              </w:rPr>
            </w:pPr>
            <w:r>
              <w:rPr>
                <w:rFonts w:ascii="Arial" w:cs="Arial" w:eastAsia="Arial" w:hAnsi="Arial"/>
                <w:sz w:val="18"/>
                <w:szCs w:val="18"/>
                <w:b w:val="1"/>
                <w:bCs w:val="1"/>
                <w:color w:val="auto"/>
              </w:rPr>
              <w:t>Eastern Hemisphere</w:t>
            </w:r>
          </w:p>
        </w:tc>
        <w:tc>
          <w:tcPr>
            <w:tcW w:w="500" w:type="dxa"/>
            <w:vAlign w:val="bottom"/>
          </w:tcPr>
          <w:p>
            <w:pPr>
              <w:spacing w:after="0"/>
              <w:rPr>
                <w:sz w:val="20"/>
                <w:szCs w:val="20"/>
                <w:color w:val="auto"/>
              </w:rPr>
            </w:pPr>
          </w:p>
        </w:tc>
        <w:tc>
          <w:tcPr>
            <w:tcW w:w="1660" w:type="dxa"/>
            <w:vAlign w:val="bottom"/>
          </w:tcPr>
          <w:p>
            <w:pPr>
              <w:jc w:val="right"/>
              <w:ind w:right="790"/>
              <w:spacing w:after="0"/>
              <w:rPr>
                <w:sz w:val="20"/>
                <w:szCs w:val="20"/>
                <w:color w:val="auto"/>
              </w:rPr>
            </w:pPr>
            <w:r>
              <w:rPr>
                <w:rFonts w:ascii="Arial" w:cs="Arial" w:eastAsia="Arial" w:hAnsi="Arial"/>
                <w:sz w:val="18"/>
                <w:szCs w:val="18"/>
                <w:b w:val="1"/>
                <w:bCs w:val="1"/>
                <w:color w:val="auto"/>
              </w:rPr>
              <w:t>Total</w:t>
            </w:r>
          </w:p>
        </w:tc>
      </w:tr>
      <w:tr>
        <w:trPr>
          <w:trHeight w:val="27"/>
        </w:trPr>
        <w:tc>
          <w:tcPr>
            <w:tcW w:w="4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1,958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2,727</w:t>
            </w: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Acquisitions</w:t>
            </w:r>
          </w:p>
        </w:tc>
        <w:tc>
          <w:tcPr>
            <w:tcW w:w="200" w:type="dxa"/>
            <w:vAlign w:val="bottom"/>
          </w:tcPr>
          <w:p>
            <w:pPr>
              <w:spacing w:after="0"/>
              <w:rPr>
                <w:sz w:val="21"/>
                <w:szCs w:val="21"/>
                <w:color w:val="auto"/>
              </w:rPr>
            </w:pPr>
          </w:p>
        </w:tc>
        <w:tc>
          <w:tcPr>
            <w:tcW w:w="2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960" w:type="dxa"/>
            <w:vAlign w:val="bottom"/>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Dispositions</w:t>
            </w:r>
          </w:p>
        </w:tc>
        <w:tc>
          <w:tcPr>
            <w:tcW w:w="200" w:type="dxa"/>
            <w:vAlign w:val="bottom"/>
            <w:tcBorders>
              <w:bottom w:val="single" w:sz="8" w:color="CCEEFF"/>
            </w:tcBorders>
            <w:shd w:val="clear" w:color="auto" w:fill="CCEEFF"/>
          </w:tcPr>
          <w:p>
            <w:pPr>
              <w:spacing w:after="0"/>
              <w:rPr>
                <w:sz w:val="21"/>
                <w:szCs w:val="21"/>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4700" w:type="dxa"/>
            <w:vAlign w:val="bottom"/>
          </w:tcPr>
          <w:p>
            <w:pPr>
              <w:ind w:left="120"/>
              <w:spacing w:after="0"/>
              <w:rPr>
                <w:sz w:val="20"/>
                <w:szCs w:val="20"/>
                <w:color w:val="auto"/>
              </w:rPr>
            </w:pPr>
            <w:r>
              <w:rPr>
                <w:rFonts w:ascii="Arial" w:cs="Arial" w:eastAsia="Arial" w:hAnsi="Arial"/>
                <w:sz w:val="18"/>
                <w:szCs w:val="18"/>
                <w:color w:val="auto"/>
              </w:rPr>
              <w:t>Reclassification to assets held for sale</w:t>
            </w:r>
          </w:p>
        </w:tc>
        <w:tc>
          <w:tcPr>
            <w:tcW w:w="2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9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
        </w:trPr>
        <w:tc>
          <w:tcPr>
            <w:tcW w:w="4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Foreign currency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1,861</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9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760</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2,621</w:t>
            </w:r>
          </w:p>
        </w:tc>
      </w:tr>
      <w:tr>
        <w:trPr>
          <w:trHeight w:val="20"/>
        </w:trPr>
        <w:tc>
          <w:tcPr>
            <w:tcW w:w="4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80" w:type="dxa"/>
            <w:vAlign w:val="bottom"/>
          </w:tcPr>
          <w:p>
            <w:pPr>
              <w:jc w:val="right"/>
              <w:ind w:right="83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60" w:type="dxa"/>
            <w:vAlign w:val="bottom"/>
          </w:tcPr>
          <w:p>
            <w:pPr>
              <w:spacing w:after="0"/>
              <w:rPr>
                <w:sz w:val="24"/>
                <w:szCs w:val="24"/>
                <w:color w:val="auto"/>
              </w:rPr>
            </w:pPr>
          </w:p>
        </w:tc>
      </w:tr>
    </w:tbl>
    <w:p>
      <w:pPr>
        <w:sectPr>
          <w:pgSz w:w="11900" w:h="16838" w:orient="portrait"/>
          <w:cols w:equalWidth="0" w:num="1">
            <w:col w:w="11420"/>
          </w:cols>
          <w:pgMar w:left="240" w:top="449" w:right="239" w:bottom="1440" w:gutter="0" w:footer="0" w:header="0"/>
        </w:sectPr>
      </w:pPr>
    </w:p>
    <w:bookmarkStart w:id="17" w:name="page18"/>
    <w:bookmarkEnd w:id="17"/>
    <w:p>
      <w:pPr>
        <w:spacing w:after="0" w:line="1"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80" w:type="dxa"/>
            <w:vAlign w:val="bottom"/>
          </w:tcPr>
          <w:p>
            <w:pPr>
              <w:spacing w:after="0"/>
              <w:rPr>
                <w:sz w:val="17"/>
                <w:szCs w:val="17"/>
                <w:color w:val="auto"/>
              </w:rPr>
            </w:pPr>
          </w:p>
        </w:tc>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80" w:type="dxa"/>
            <w:vAlign w:val="bottom"/>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80" w:type="dxa"/>
            <w:vAlign w:val="bottom"/>
          </w:tcPr>
          <w:p>
            <w:pPr>
              <w:spacing w:after="0"/>
              <w:rPr>
                <w:sz w:val="24"/>
                <w:szCs w:val="24"/>
                <w:color w:val="auto"/>
              </w:rPr>
            </w:pPr>
          </w:p>
        </w:tc>
        <w:tc>
          <w:tcPr>
            <w:tcW w:w="7880" w:type="dxa"/>
            <w:vAlign w:val="bottom"/>
            <w:gridSpan w:val="2"/>
          </w:tcPr>
          <w:p>
            <w:pPr>
              <w:spacing w:after="0"/>
              <w:rPr>
                <w:sz w:val="20"/>
                <w:szCs w:val="20"/>
                <w:color w:val="auto"/>
              </w:rPr>
            </w:pPr>
            <w:r>
              <w:rPr>
                <w:rFonts w:ascii="Arial" w:cs="Arial" w:eastAsia="Arial" w:hAnsi="Arial"/>
                <w:sz w:val="18"/>
                <w:szCs w:val="18"/>
                <w:b w:val="1"/>
                <w:bCs w:val="1"/>
                <w:color w:val="auto"/>
              </w:rPr>
              <w:t>10. Short-Term Borrowings and Other Debt Obligations</w:t>
            </w: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60"/>
        </w:trPr>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7960" w:type="dxa"/>
            <w:vAlign w:val="bottom"/>
            <w:gridSpan w:val="3"/>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400" w:type="dxa"/>
            <w:vAlign w:val="bottom"/>
            <w:gridSpan w:val="2"/>
          </w:tcPr>
          <w:p>
            <w:pPr>
              <w:ind w:left="40"/>
              <w:spacing w:after="0"/>
              <w:rPr>
                <w:sz w:val="20"/>
                <w:szCs w:val="20"/>
                <w:color w:val="auto"/>
              </w:rPr>
            </w:pPr>
            <w:r>
              <w:rPr>
                <w:rFonts w:ascii="Arial" w:cs="Arial" w:eastAsia="Arial" w:hAnsi="Arial"/>
                <w:sz w:val="18"/>
                <w:szCs w:val="18"/>
                <w:b w:val="1"/>
                <w:bCs w:val="1"/>
                <w:color w:val="auto"/>
              </w:rPr>
              <w:t>June 30, 2018</w:t>
            </w:r>
          </w:p>
        </w:tc>
        <w:tc>
          <w:tcPr>
            <w:tcW w:w="140" w:type="dxa"/>
            <w:vAlign w:val="bottom"/>
          </w:tcPr>
          <w:p>
            <w:pPr>
              <w:spacing w:after="0"/>
              <w:rPr>
                <w:sz w:val="20"/>
                <w:szCs w:val="20"/>
                <w:color w:val="auto"/>
              </w:rPr>
            </w:pPr>
          </w:p>
        </w:tc>
        <w:tc>
          <w:tcPr>
            <w:tcW w:w="13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r>
      <w:tr>
        <w:trPr>
          <w:trHeight w:val="27"/>
        </w:trPr>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Revolving Credit Agreement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Other Short-term Loans</w:t>
            </w: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11</w:t>
            </w:r>
          </w:p>
        </w:tc>
      </w:tr>
      <w:tr>
        <w:trPr>
          <w:trHeight w:val="27"/>
        </w:trPr>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96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137</w:t>
            </w:r>
          </w:p>
        </w:tc>
      </w:tr>
      <w:tr>
        <w:trPr>
          <w:trHeight w:val="257"/>
        </w:trPr>
        <w:tc>
          <w:tcPr>
            <w:tcW w:w="7960" w:type="dxa"/>
            <w:vAlign w:val="bottom"/>
            <w:gridSpan w:val="3"/>
          </w:tcPr>
          <w:p>
            <w:pPr>
              <w:ind w:left="20"/>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148</w:t>
            </w:r>
          </w:p>
        </w:tc>
      </w:tr>
      <w:tr>
        <w:trPr>
          <w:trHeight w:val="20"/>
        </w:trPr>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Agreement and Secured Term Loan Agreement</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June 30, 2018, we had total commitments under our revolving credit facility (the “Revolving Credit Agreement”) maturing in July 2019 of $900 million and borrowings of $350 million under our secured term loan agreement (“the Term Loan Agreement and collectively with the Revolving Credit Agreement, the “Credit Agreements”) maturing in July 2020. At June 30, 2018, we had $506 million available under the Credit Agreements and the following table summarizes our borrowing availability under these agreements:</w:t>
      </w:r>
    </w:p>
    <w:p>
      <w:pPr>
        <w:spacing w:after="0" w:line="129" w:lineRule="exact"/>
        <w:rPr>
          <w:sz w:val="20"/>
          <w:szCs w:val="20"/>
          <w:color w:val="auto"/>
        </w:rPr>
      </w:pPr>
    </w:p>
    <w:tbl>
      <w:tblPr>
        <w:tblLayout w:type="fixed"/>
        <w:tblInd w:w="2840" w:type="dxa"/>
        <w:tblCellMar>
          <w:top w:w="0" w:type="dxa"/>
          <w:left w:w="0" w:type="dxa"/>
          <w:bottom w:w="0" w:type="dxa"/>
          <w:right w:w="0" w:type="dxa"/>
        </w:tblCellMar>
      </w:tblPr>
      <w:tr>
        <w:trPr>
          <w:trHeight w:val="216"/>
        </w:trPr>
        <w:tc>
          <w:tcPr>
            <w:tcW w:w="4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ind w:right="110"/>
              <w:spacing w:after="0"/>
              <w:rPr>
                <w:sz w:val="20"/>
                <w:szCs w:val="20"/>
                <w:color w:val="auto"/>
              </w:rPr>
            </w:pPr>
            <w:r>
              <w:rPr>
                <w:rFonts w:ascii="Arial" w:cs="Arial" w:eastAsia="Arial" w:hAnsi="Arial"/>
                <w:sz w:val="18"/>
                <w:szCs w:val="18"/>
                <w:b w:val="1"/>
                <w:bCs w:val="1"/>
                <w:color w:val="auto"/>
                <w:w w:val="91"/>
              </w:rPr>
              <w:t>June 30,</w:t>
            </w:r>
          </w:p>
        </w:tc>
      </w:tr>
      <w:tr>
        <w:trPr>
          <w:trHeight w:val="234"/>
        </w:trPr>
        <w:tc>
          <w:tcPr>
            <w:tcW w:w="47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0" w:type="dxa"/>
            <w:vAlign w:val="bottom"/>
          </w:tcPr>
          <w:p>
            <w:pPr>
              <w:spacing w:after="0"/>
              <w:rPr>
                <w:sz w:val="20"/>
                <w:szCs w:val="20"/>
                <w:color w:val="auto"/>
              </w:rPr>
            </w:pPr>
          </w:p>
        </w:tc>
        <w:tc>
          <w:tcPr>
            <w:tcW w:w="88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r>
      <w:tr>
        <w:trPr>
          <w:trHeight w:val="27"/>
        </w:trPr>
        <w:tc>
          <w:tcPr>
            <w:tcW w:w="4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Less uses of facilities:</w:t>
            </w: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Revolving Credit Agreement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4700" w:type="dxa"/>
            <w:vAlign w:val="bottom"/>
          </w:tcPr>
          <w:p>
            <w:pPr>
              <w:ind w:left="160"/>
              <w:spacing w:after="0"/>
              <w:rPr>
                <w:sz w:val="20"/>
                <w:szCs w:val="20"/>
                <w:color w:val="auto"/>
              </w:rPr>
            </w:pPr>
            <w:r>
              <w:rPr>
                <w:rFonts w:ascii="Arial" w:cs="Arial" w:eastAsia="Arial" w:hAnsi="Arial"/>
                <w:sz w:val="18"/>
                <w:szCs w:val="18"/>
                <w:color w:val="auto"/>
              </w:rPr>
              <w:t>Letters of Credit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Secured Term Loan Principal Borrowing</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Borrowing Availability</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0"/>
        </w:trPr>
        <w:tc>
          <w:tcPr>
            <w:tcW w:w="4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Loans under the Credit Agreements are subject to varying interest rates based on whether the loan is a Eurodollar or alternate base rate loan. We also incur a quarterly facility fee on the amount of the Revolving Credit Agreement. For the three months ended June 30, 2018, the interest rate for the Revolving Credit Agreement and the Term Loan were LIBOR plus a margin rate of 1.925% and LIBOR plus a margin rate of 1.425%, respectively.</w:t>
      </w:r>
    </w:p>
    <w:p>
      <w:pPr>
        <w:spacing w:after="0" w:line="166"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Credit Agreements contain customary events of default, including in the event of our failure to comply with our financial covenants. We must maintain a leverage ratio of no greater than 2.5 to 1, a leverage and letters of credit ratio of no greater than 3.5 to 1, and an asset coverage ratio of at least 4.0 to 1, in each case with the terms and definitions for the ratios as provided in the Credit Agreements. At June 30, 2018, we were in compliance with these financial covenants. For additional information on our credit agreement covenants, please see “Note 12 – Short-term Borrowings and Other Debt Obligations” to the Condensed Consolidated Financial Statements contained in our Annual Report on Form 10-K for the year ended December 31, 2017.</w:t>
      </w:r>
    </w:p>
    <w:p>
      <w:pPr>
        <w:spacing w:after="0" w:line="15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negotiating amendments to the terms of our Credit Agreements. We anticipate the amendments will result in, among other items, a reduction in the aggregate commitments under the Revolving Credit Facility, a one-year extension of a portion of those commitments through July 2020, and a new 364-day second lien secured revolving facility. We expect the aggregate commitments of the amended Revolving Credit Facility and the 364-day facility to be approximately $900 million at closing, which is anticipated by the end of August 2018. Ninety days subsequent to closing, the combined Revolving Credit Facility commitments are expected to be reduced by approximately $54 million.</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Senior Notes and Tender Offers</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February 2018, we issued $600 million in aggregate principal amount of our 9.875% senior notes due 2025. We used part of the proceeds from our debt offering to repay in full our 6.00% senior notes due March 2018 and to fund a concurrent tender offer to purchase for cash any and all of our 9.625% senior notes due 2019.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Condensed Consolidated Statements of Operations.</w:t>
      </w:r>
    </w:p>
    <w:p>
      <w:pPr>
        <w:spacing w:after="0" w:line="200" w:lineRule="exact"/>
        <w:rPr>
          <w:sz w:val="20"/>
          <w:szCs w:val="20"/>
          <w:color w:val="auto"/>
        </w:rPr>
      </w:pPr>
    </w:p>
    <w:p>
      <w:pPr>
        <w:spacing w:after="0" w:line="20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32" w:right="239" w:bottom="1440" w:gutter="0" w:footer="0" w:header="0"/>
        </w:sectPr>
      </w:pPr>
    </w:p>
    <w:bookmarkStart w:id="18" w:name="page19"/>
    <w:bookmarkEnd w:id="1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Borrowings and Debt Activity</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have short-term borrowings with various domestic and international institutions pursuant to uncommitted credit facilities. At June 30, 2018, we had $7 million in short-term borrowings under these arrangements. In addition, we had $350 million of letters of credit under various uncommitted facilities and $169 million of letters of credit under the Revolving Credit Agreement. At June 30, 2018, we have cash collateralized $92 million of our letters of credit, which is included “Cash and Cash Equivalents” in the accompanying Condensed Consolidated Balance Sheets. We have $9 million of surety bonds, primarily performance bonds, issued by financial sureties against an indemnification from us at June 30, 2018.</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11. Fair Value of Financial Instruments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Financial Instruments Measured and Recognized at Fair Value</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estimate fair value at a price that would be received to sell an asset or paid to transfer a liability in an orderly transaction between market participants in the principal market for the asset or liability. Our valuation techniques require inputs that we categorize using a three level hierarchy, from highest to lowest level of observable inputs. Level 1 inputs are unadjusted quoted prices in active markets for identical assets or liabilities. Level 2 inputs are quoted prices or other market data for similar assets and liabilities in active markets, or inputs that are observable for the asset or liability, either directly or indirectly through market corroboration, for substantially the full term of the financial instrument. Level 3 inputs are unobservable inputs based upon our own judgment and assumptions used to measure assets and liabilities at fair value. Classification of a financial asset or liability within the hierarchy is determined based on the lowest level of input that is significant to the fair value measurement. Other than the derivative instruments discussed in “Note 12 – Derivative Instruments”, we had no other material assets or liabilities measured and recognized at fair value on a recurring basis at June 30, 2018 and December 31, 2017.</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Other Financial Instruments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other financial instruments include cash and cash equivalents, accounts receivable, accounts payable, and short-term borrowings and long-term debt. The carrying value of our cash and cash equivalents, accounts receivable, accounts payable, short-term borrowings approximates their fair value due to their short maturities. These short-term borrowings are classified as Level 2 in the fair value hierarchy.</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fair value of our long-term debt fluctuates with changes in applicable interest rates among other factors. Fair value will generally exceed carrying value when the current market interest rate is lower than the interest rate at which the debt was originally issued and will generally be less than the carrying value when the market rate is greater than the interest rate at which the debt was originally issued. The fair value of our long-term debt is classified as Level 2 in the fair value hierarchy and is established based on observable inputs in less active markets.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60" w:type="dxa"/>
            <w:vAlign w:val="bottom"/>
          </w:tcPr>
          <w:p>
            <w:pPr>
              <w:ind w:left="340"/>
              <w:spacing w:after="0"/>
              <w:rPr>
                <w:sz w:val="20"/>
                <w:szCs w:val="20"/>
                <w:color w:val="auto"/>
              </w:rPr>
            </w:pPr>
            <w:r>
              <w:rPr>
                <w:rFonts w:ascii="Arial" w:cs="Arial" w:eastAsia="Arial" w:hAnsi="Arial"/>
                <w:sz w:val="18"/>
                <w:szCs w:val="18"/>
                <w:color w:val="auto"/>
              </w:rPr>
              <w:t>The fair value and carrying value of our senior notes were as follows:</w:t>
            </w:r>
          </w:p>
        </w:tc>
        <w:tc>
          <w:tcPr>
            <w:tcW w:w="16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378"/>
        </w:trPr>
        <w:tc>
          <w:tcPr>
            <w:tcW w:w="68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620" w:type="dxa"/>
            <w:vAlign w:val="bottom"/>
          </w:tcPr>
          <w:p>
            <w:pPr>
              <w:spacing w:after="0"/>
              <w:rPr>
                <w:sz w:val="24"/>
                <w:szCs w:val="24"/>
                <w:color w:val="auto"/>
              </w:rPr>
            </w:pPr>
          </w:p>
        </w:tc>
        <w:tc>
          <w:tcPr>
            <w:tcW w:w="126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June 30, 2018</w:t>
            </w:r>
          </w:p>
        </w:tc>
        <w:tc>
          <w:tcPr>
            <w:tcW w:w="168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December 31, 2017</w:t>
            </w:r>
          </w:p>
        </w:tc>
      </w:tr>
      <w:tr>
        <w:trPr>
          <w:trHeight w:val="27"/>
        </w:trPr>
        <w:tc>
          <w:tcPr>
            <w:tcW w:w="686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6,951</w:t>
            </w:r>
          </w:p>
        </w:tc>
        <w:tc>
          <w:tcPr>
            <w:tcW w:w="68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7,060</w:t>
            </w: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Carrying Value</w:t>
            </w:r>
          </w:p>
        </w:tc>
        <w:tc>
          <w:tcPr>
            <w:tcW w:w="162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7,267</w:t>
            </w:r>
          </w:p>
        </w:tc>
        <w:tc>
          <w:tcPr>
            <w:tcW w:w="68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7,218</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12. Derivative Instruments</w:t>
      </w:r>
    </w:p>
    <w:p>
      <w:pPr>
        <w:spacing w:after="0" w:line="229"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From time to time, we may enter into derivative financial instrument transactions to manage or reduce our market risk. We manage our debt portfolio to achieve an overall desired position of fixed and floating rates, and we may employ interest rate swaps as a tool to achieve that goal. We enter into foreign currency forward contracts and cross-currency swap contracts to economically hedge our exposure to fluctuations in various foreign currencies. The major risks from interest rate derivatives include changes in the interest rates affecting the fair value of such instruments, potential increases in interest expense due to market increases in floating interest rates, changes in foreign exchange rates and the creditworthiness of the counterparties in such transactions.</w:t>
      </w:r>
    </w:p>
    <w:p>
      <w:pPr>
        <w:spacing w:after="0" w:line="15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We monitor the creditworthiness of our counterparties, which are multinational commercial banks. The fair values of all our outstanding derivative instruments are determined using a model with Level 2 inputs including quoted market prices for contracts with similar terms and maturity dates.</w:t>
      </w:r>
    </w:p>
    <w:p>
      <w:pPr>
        <w:spacing w:after="0" w:line="39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49" w:right="239" w:bottom="1440" w:gutter="0" w:footer="0" w:header="0"/>
        </w:sectPr>
      </w:pPr>
    </w:p>
    <w:bookmarkStart w:id="19" w:name="page20"/>
    <w:bookmarkEnd w:id="1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w:t>
      </w:r>
    </w:p>
    <w:p>
      <w:pPr>
        <w:spacing w:after="0" w:line="225"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During the fourth quarter of 2016, in conjunction with the issuance of 84.5 million ordinary shares, we issued a warrant that gives the holder the option to acquire an additional 84.5 million ordinary shares. The exercise price on the warrant is $6.43 per share and is exercisable any time prior to May 21, 2019. The warrant is classified as a liability and carried at fair value with changes in its fair value reported through earnings. The warrant participates in dividends and other distributions as if the shares subject to the warrants were outstanding. In addition, the warrant permits early redemption due to a change in control.</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warrant fair value is considered a Level 2 valuation and is estimated using the Black Scholes valuation model. Inputs to the model include Weatherford’s share price, volatility of our share price, and the risk free interest rate. The fair value of the warrant was $14 million on June 30, 2018 and $70 million on December 31, 2017, generating unrealized gains of $10 million and $56 million for the second quarter and the first six months of 2018, respectively. In 2017, we recognized unrealized gain of $127 million and $65 million for the second quarter and the first six months of 2017, respectively. The change in fair value of the warrant during the first six months of 2018 was primarily driven by eliminating the warrant share value associated with any future equity issuance and a decrease in Weatherford’s stock price.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may use interest rate swaps to help mitigate exposures related to changes in the fair values of the fixed-rate debt. The interest rate swap is recorded at fair value with changes in fair value recorded in earnings. The carrying value of fixed-rate debt is also adjusted for changes in interest rates, with the changes in value recorded in earnings. After termination of the hedge, any discount or premium on the fixed-rate debt is amortized to interest expense over the remaining term of the debt. As of June 30, 2018, we did not have any fair value hedges designated.</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had net unamortized premiums on fixed-rate debt of nil and $4 million on June 30, 2018 and December 31, 2017, respectively, associated with fair value hedge terminations. These premiums were being amortized over the remaining term of the originally hedged debt as a reduction in interest expense included in “Interest Expense, Net” on the accompanying Condensed Consolidated Statements of Operations and were fully amortized upon completion of the tender offer in April 2018.</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2008, we entered into interest rate derivative instruments to hedge projected exposures to interest rates in anticipation of a debt offering. These hedges were terminated at the time of the issuance of the debt, and the associated loss is being amortized from “Accumulated Other Comprehensive Loss” to interest expense over the remaining term of the debt. As of June 30, 2018, we had net unamortized losses of $8 million associated with our cash flow hedge terminations. As of June 30, 2018, we did not have any cash flow hedges designated.</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49" w:right="239" w:bottom="1440" w:gutter="0" w:footer="0" w:header="0"/>
        </w:sectPr>
      </w:pPr>
    </w:p>
    <w:bookmarkStart w:id="20" w:name="page21"/>
    <w:bookmarkEnd w:id="2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Foreign Currency and Warrant Derivative Instruments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At June 30, 2018 and December 31, 2017, we had outstanding foreign currency forward contracts with notional amounts aggregating to $463 million and $767 million, respectively. The notional amounts of our foreign currency forward contracts do not generally represent amounts exchanged by the parties and thus are not a measure of the cash requirements related to these contracts or of any possible loss exposure. The amounts actually exchanged at maturity are calculated by reference to the notional amounts and by other terms of the derivative contracts, such as exchange rates.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foreign currency derivatives are not designated as hedges under ASC 815, and the changes in fair value of the contracts are recorded each period in “Other Income (Expense), Net” on the accompanying Condensed Consolidated Statements of Operations.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total estimated fair values of our foreign currency forward contracts and warrant derivative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8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4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2018</w:t>
            </w:r>
          </w:p>
        </w:tc>
        <w:tc>
          <w:tcPr>
            <w:tcW w:w="172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December 31, 2017</w:t>
            </w:r>
          </w:p>
        </w:tc>
        <w:tc>
          <w:tcPr>
            <w:tcW w:w="2840" w:type="dxa"/>
            <w:vAlign w:val="bottom"/>
          </w:tcPr>
          <w:p>
            <w:pPr>
              <w:ind w:left="90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5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5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Derivative assets not designated as hedges: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spacing w:after="0"/>
              <w:rPr>
                <w:sz w:val="21"/>
                <w:szCs w:val="21"/>
                <w:color w:val="auto"/>
              </w:rPr>
            </w:pP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700" w:type="dxa"/>
            <w:vAlign w:val="bottom"/>
          </w:tcPr>
          <w:p>
            <w:pPr>
              <w:jc w:val="right"/>
              <w:ind w:right="4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Assets</w:t>
            </w: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97"/>
        </w:trPr>
        <w:tc>
          <w:tcPr>
            <w:tcW w:w="5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40" w:type="dxa"/>
            <w:vAlign w:val="bottom"/>
            <w:shd w:val="clear" w:color="auto" w:fill="CCEEFF"/>
          </w:tcPr>
          <w:p>
            <w:pPr>
              <w:spacing w:after="0"/>
              <w:rPr>
                <w:sz w:val="24"/>
                <w:szCs w:val="24"/>
                <w:color w:val="auto"/>
              </w:rPr>
            </w:pPr>
          </w:p>
        </w:tc>
      </w:tr>
      <w:tr>
        <w:trPr>
          <w:trHeight w:val="243"/>
        </w:trPr>
        <w:tc>
          <w:tcPr>
            <w:tcW w:w="5380" w:type="dxa"/>
            <w:vAlign w:val="bottom"/>
            <w:gridSpan w:val="2"/>
          </w:tcPr>
          <w:p>
            <w:pPr>
              <w:ind w:left="40"/>
              <w:spacing w:after="0"/>
              <w:rPr>
                <w:sz w:val="20"/>
                <w:szCs w:val="20"/>
                <w:color w:val="auto"/>
              </w:rPr>
            </w:pPr>
            <w:r>
              <w:rPr>
                <w:rFonts w:ascii="Arial" w:cs="Arial" w:eastAsia="Arial" w:hAnsi="Arial"/>
                <w:sz w:val="18"/>
                <w:szCs w:val="18"/>
                <w:color w:val="auto"/>
              </w:rPr>
              <w:t>Derivative liabilities not designated as hedges:</w:t>
            </w: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7"/>
        </w:trPr>
        <w:tc>
          <w:tcPr>
            <w:tcW w:w="5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53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i w:val="1"/>
                <w:iCs w:val="1"/>
                <w:color w:val="auto"/>
              </w:rPr>
              <w:t>Other Current Liabilities</w:t>
            </w:r>
          </w:p>
        </w:tc>
      </w:tr>
      <w:tr>
        <w:trPr>
          <w:trHeight w:val="243"/>
        </w:trPr>
        <w:tc>
          <w:tcPr>
            <w:tcW w:w="538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i w:val="1"/>
                <w:iCs w:val="1"/>
                <w:color w:val="auto"/>
              </w:rPr>
              <w:t>Other Current Liabilities</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amount of derivative instruments’ gain or (loss) on the Condensed Consolidated Statements of Operations is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2280" w:type="dxa"/>
            <w:vAlign w:val="bottom"/>
            <w:gridSpan w:val="3"/>
          </w:tcPr>
          <w:p>
            <w:pPr>
              <w:jc w:val="right"/>
              <w:spacing w:after="0"/>
              <w:rPr>
                <w:sz w:val="20"/>
                <w:szCs w:val="20"/>
                <w:color w:val="auto"/>
              </w:rPr>
            </w:pPr>
            <w:r>
              <w:rPr>
                <w:rFonts w:ascii="Arial" w:cs="Arial" w:eastAsia="Arial" w:hAnsi="Arial"/>
                <w:sz w:val="18"/>
                <w:szCs w:val="18"/>
                <w:b w:val="1"/>
                <w:bCs w:val="1"/>
                <w:color w:val="auto"/>
                <w:w w:val="93"/>
              </w:rPr>
              <w:t>Six Months Ended June 30,</w:t>
            </w:r>
          </w:p>
        </w:tc>
        <w:tc>
          <w:tcPr>
            <w:tcW w:w="3060" w:type="dxa"/>
            <w:vAlign w:val="bottom"/>
          </w:tcPr>
          <w:p>
            <w:pPr>
              <w:spacing w:after="0"/>
              <w:rPr>
                <w:sz w:val="20"/>
                <w:szCs w:val="20"/>
                <w:color w:val="auto"/>
              </w:rPr>
            </w:pPr>
          </w:p>
        </w:tc>
      </w:tr>
      <w:tr>
        <w:trPr>
          <w:trHeight w:val="27"/>
        </w:trPr>
        <w:tc>
          <w:tcPr>
            <w:tcW w:w="3560" w:type="dxa"/>
            <w:vAlign w:val="bottom"/>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60" w:type="dxa"/>
            <w:vAlign w:val="bottom"/>
          </w:tcPr>
          <w:p>
            <w:pPr>
              <w:spacing w:after="0"/>
              <w:rPr>
                <w:sz w:val="2"/>
                <w:szCs w:val="2"/>
                <w:color w:val="auto"/>
              </w:rPr>
            </w:pPr>
          </w:p>
        </w:tc>
      </w:tr>
      <w:tr>
        <w:trPr>
          <w:trHeight w:val="237"/>
        </w:trPr>
        <w:tc>
          <w:tcPr>
            <w:tcW w:w="3560" w:type="dxa"/>
            <w:vAlign w:val="bottom"/>
            <w:gridSpan w:val="2"/>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40" w:type="dxa"/>
            <w:vAlign w:val="bottom"/>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3060" w:type="dxa"/>
            <w:vAlign w:val="bottom"/>
          </w:tcPr>
          <w:p>
            <w:pPr>
              <w:ind w:left="1060"/>
              <w:spacing w:after="0"/>
              <w:rPr>
                <w:sz w:val="20"/>
                <w:szCs w:val="20"/>
                <w:color w:val="auto"/>
              </w:rPr>
            </w:pPr>
            <w:r>
              <w:rPr>
                <w:rFonts w:ascii="Arial" w:cs="Arial" w:eastAsia="Arial" w:hAnsi="Arial"/>
                <w:sz w:val="18"/>
                <w:szCs w:val="18"/>
                <w:b w:val="1"/>
                <w:bCs w:val="1"/>
                <w:color w:val="auto"/>
              </w:rPr>
              <w:t>Classification</w:t>
            </w:r>
          </w:p>
        </w:tc>
      </w:tr>
      <w:tr>
        <w:trPr>
          <w:trHeight w:val="27"/>
        </w:trPr>
        <w:tc>
          <w:tcPr>
            <w:tcW w:w="3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r>
      <w:tr>
        <w:trPr>
          <w:trHeight w:val="244"/>
        </w:trPr>
        <w:tc>
          <w:tcPr>
            <w:tcW w:w="35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forward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30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i w:val="1"/>
                <w:iCs w:val="1"/>
                <w:color w:val="auto"/>
              </w:rPr>
              <w:t>Other Income (Expense), Net</w:t>
            </w:r>
          </w:p>
        </w:tc>
      </w:tr>
      <w:tr>
        <w:trPr>
          <w:trHeight w:val="243"/>
        </w:trPr>
        <w:tc>
          <w:tcPr>
            <w:tcW w:w="3560" w:type="dxa"/>
            <w:vAlign w:val="bottom"/>
            <w:gridSpan w:val="2"/>
          </w:tcPr>
          <w:p>
            <w:pPr>
              <w:ind w:left="180"/>
              <w:spacing w:after="0"/>
              <w:rPr>
                <w:sz w:val="20"/>
                <w:szCs w:val="20"/>
                <w:color w:val="auto"/>
              </w:rPr>
            </w:pPr>
            <w:r>
              <w:rPr>
                <w:rFonts w:ascii="Arial" w:cs="Arial" w:eastAsia="Arial" w:hAnsi="Arial"/>
                <w:sz w:val="18"/>
                <w:szCs w:val="18"/>
                <w:color w:val="auto"/>
              </w:rPr>
              <w:t>Warrant on Weatherford Shares</w:t>
            </w:r>
          </w:p>
        </w:tc>
        <w:tc>
          <w:tcPr>
            <w:tcW w:w="26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40" w:type="dxa"/>
            <w:vAlign w:val="bottom"/>
          </w:tcPr>
          <w:p>
            <w:pPr>
              <w:ind w:left="600"/>
              <w:spacing w:after="0"/>
              <w:rPr>
                <w:sz w:val="20"/>
                <w:szCs w:val="20"/>
                <w:color w:val="auto"/>
              </w:rPr>
            </w:pPr>
            <w:r>
              <w:rPr>
                <w:rFonts w:ascii="Arial" w:cs="Arial" w:eastAsia="Arial" w:hAnsi="Arial"/>
                <w:sz w:val="18"/>
                <w:szCs w:val="18"/>
                <w:color w:val="auto"/>
              </w:rPr>
              <w:t>56</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65</w:t>
            </w:r>
          </w:p>
        </w:tc>
        <w:tc>
          <w:tcPr>
            <w:tcW w:w="3060" w:type="dxa"/>
            <w:vAlign w:val="bottom"/>
          </w:tcPr>
          <w:p>
            <w:pPr>
              <w:ind w:left="120"/>
              <w:spacing w:after="0"/>
              <w:rPr>
                <w:sz w:val="20"/>
                <w:szCs w:val="20"/>
                <w:color w:val="auto"/>
              </w:rPr>
            </w:pPr>
            <w:r>
              <w:rPr>
                <w:rFonts w:ascii="Arial" w:cs="Arial" w:eastAsia="Arial" w:hAnsi="Arial"/>
                <w:sz w:val="17"/>
                <w:szCs w:val="17"/>
                <w:i w:val="1"/>
                <w:iCs w:val="1"/>
                <w:color w:val="auto"/>
              </w:rPr>
              <w:t>Warrant Fair Value Adjustment</w:t>
            </w:r>
          </w:p>
        </w:tc>
      </w:tr>
    </w:tbl>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13. Income Taxes</w:t>
      </w:r>
    </w:p>
    <w:p>
      <w:pPr>
        <w:spacing w:after="0" w:line="229"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and six month periods ended June 30, 2018, we have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continue to use this method each quarter until the annual effective tax rate method is deemed appropriate. For the second quarter and the first six months of 2018, we had a tax expense of $26 million and $58 million, respectively on a loss before income taxes of $233 million and $443 million, respectively. Results for the second quarter and the first six months of 2018 include losses with no significant tax benefit. The tax expense for the second quarter and the first six months of 2018 also includes withholding taxes and deemed profit taxes that do not directly correlate to ordinary income or loss.</w:t>
      </w:r>
    </w:p>
    <w:p>
      <w:pPr>
        <w:spacing w:after="0" w:line="200" w:lineRule="exact"/>
        <w:rPr>
          <w:sz w:val="20"/>
          <w:szCs w:val="20"/>
          <w:color w:val="auto"/>
        </w:rPr>
      </w:pPr>
    </w:p>
    <w:p>
      <w:pPr>
        <w:spacing w:after="0" w:line="22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49" w:right="239" w:bottom="1440" w:gutter="0" w:footer="0" w:header="0"/>
        </w:sectPr>
      </w:pPr>
    </w:p>
    <w:bookmarkStart w:id="21" w:name="page22"/>
    <w:bookmarkEnd w:id="2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38"/>
        <w:spacing w:after="0" w:line="268"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allows for a measurement period of up to one year after the enactment date of the legislation to finalize the recording of the related tax impacts. In the fourth quarter of 2017, the Company did not have all the necessary information to analyze all effects of this tax reform; as a result, we recorded a provisional amount which we believe represents a reasonable estimate of the accounting implications of this tax reform. In addition, the various impacts of the TCJA may materially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No adjustment to the provisional amount was recorded in the first six months of 2018. We will continue to evaluate tax reform, and adjust the provisional amounts as additional information is obtained. Any adjustment to these provisional amounts will be reported in the reporting period in which any such adjustments are determined, which will be no later than the fourth quarter of 2018.</w:t>
      </w:r>
    </w:p>
    <w:p>
      <w:pPr>
        <w:spacing w:after="0" w:line="188"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$12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For the second quarter and the first six months of 2017, we had a tax expense of $17 million and $50 million, respectively, on a loss before income taxes of $148 million and $558 million, respectively. Results for the second quarter and the first six months of 2017 include losses with no significant tax benefit. The tax expense for the second quarter and the first six months also included withholding taxes and deemed profit taxes that do not directly correlate to ordinary income or loss.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14. Shareholders’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summarizes our shareholders’ equity activity for the first six months of 2018 and 2017:</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203"/>
        </w:trPr>
        <w:tc>
          <w:tcPr>
            <w:tcW w:w="3900" w:type="dxa"/>
            <w:vAlign w:val="bottom"/>
          </w:tcPr>
          <w:p>
            <w:pPr>
              <w:spacing w:after="0"/>
              <w:rPr>
                <w:sz w:val="17"/>
                <w:szCs w:val="17"/>
                <w:color w:val="auto"/>
              </w:rPr>
            </w:pPr>
          </w:p>
        </w:tc>
        <w:tc>
          <w:tcPr>
            <w:tcW w:w="1060" w:type="dxa"/>
            <w:vAlign w:val="bottom"/>
            <w:gridSpan w:val="3"/>
          </w:tcPr>
          <w:p>
            <w:pPr>
              <w:ind w:left="40"/>
              <w:spacing w:after="0"/>
              <w:rPr>
                <w:sz w:val="20"/>
                <w:szCs w:val="20"/>
                <w:color w:val="auto"/>
              </w:rPr>
            </w:pPr>
            <w:r>
              <w:rPr>
                <w:rFonts w:ascii="Arial" w:cs="Arial" w:eastAsia="Arial" w:hAnsi="Arial"/>
                <w:sz w:val="16"/>
                <w:szCs w:val="16"/>
                <w:b w:val="1"/>
                <w:bCs w:val="1"/>
                <w:color w:val="auto"/>
              </w:rPr>
              <w:t>Par Value of</w:t>
            </w:r>
          </w:p>
        </w:tc>
        <w:tc>
          <w:tcPr>
            <w:tcW w:w="180" w:type="dxa"/>
            <w:vAlign w:val="bottom"/>
          </w:tcPr>
          <w:p>
            <w:pPr>
              <w:spacing w:after="0"/>
              <w:rPr>
                <w:sz w:val="17"/>
                <w:szCs w:val="17"/>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7"/>
              </w:rPr>
              <w:t>Capital in</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4"/>
              </w:rPr>
              <w:t>Retained</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Other</w:t>
            </w:r>
          </w:p>
        </w:tc>
        <w:tc>
          <w:tcPr>
            <w:tcW w:w="120" w:type="dxa"/>
            <w:vAlign w:val="bottom"/>
          </w:tcPr>
          <w:p>
            <w:pPr>
              <w:spacing w:after="0"/>
              <w:rPr>
                <w:sz w:val="17"/>
                <w:szCs w:val="17"/>
                <w:color w:val="auto"/>
              </w:rPr>
            </w:pPr>
          </w:p>
        </w:tc>
        <w:tc>
          <w:tcPr>
            <w:tcW w:w="1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Non-</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89"/>
              </w:rPr>
              <w:t>Shareholders’</w:t>
            </w:r>
          </w:p>
        </w:tc>
        <w:tc>
          <w:tcPr>
            <w:tcW w:w="0" w:type="dxa"/>
            <w:vAlign w:val="bottom"/>
          </w:tcPr>
          <w:p>
            <w:pPr>
              <w:spacing w:after="0"/>
              <w:rPr>
                <w:sz w:val="1"/>
                <w:szCs w:val="1"/>
                <w:color w:val="auto"/>
              </w:rPr>
            </w:pPr>
          </w:p>
        </w:tc>
      </w:tr>
      <w:tr>
        <w:trPr>
          <w:trHeight w:val="203"/>
        </w:trPr>
        <w:tc>
          <w:tcPr>
            <w:tcW w:w="3900" w:type="dxa"/>
            <w:vAlign w:val="bottom"/>
            <w:vMerge w:val="restart"/>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17"/>
                <w:szCs w:val="17"/>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Issued</w:t>
            </w:r>
          </w:p>
        </w:tc>
        <w:tc>
          <w:tcPr>
            <w:tcW w:w="12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Excess of Par</w:t>
            </w:r>
          </w:p>
        </w:tc>
        <w:tc>
          <w:tcPr>
            <w:tcW w:w="160" w:type="dxa"/>
            <w:vAlign w:val="bottom"/>
          </w:tcPr>
          <w:p>
            <w:pPr>
              <w:spacing w:after="0"/>
              <w:rPr>
                <w:sz w:val="17"/>
                <w:szCs w:val="17"/>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Earnings</w:t>
            </w:r>
          </w:p>
        </w:tc>
        <w:tc>
          <w:tcPr>
            <w:tcW w:w="160" w:type="dxa"/>
            <w:vAlign w:val="bottom"/>
          </w:tcPr>
          <w:p>
            <w:pPr>
              <w:spacing w:after="0"/>
              <w:rPr>
                <w:sz w:val="17"/>
                <w:szCs w:val="17"/>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Comprehensive</w:t>
            </w:r>
          </w:p>
        </w:tc>
        <w:tc>
          <w:tcPr>
            <w:tcW w:w="120" w:type="dxa"/>
            <w:vAlign w:val="bottom"/>
          </w:tcPr>
          <w:p>
            <w:pPr>
              <w:spacing w:after="0"/>
              <w:rPr>
                <w:sz w:val="17"/>
                <w:szCs w:val="17"/>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controlling</w:t>
            </w:r>
          </w:p>
        </w:tc>
        <w:tc>
          <w:tcPr>
            <w:tcW w:w="160" w:type="dxa"/>
            <w:vAlign w:val="bottom"/>
          </w:tcPr>
          <w:p>
            <w:pPr>
              <w:spacing w:after="0"/>
              <w:rPr>
                <w:sz w:val="17"/>
                <w:szCs w:val="17"/>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8"/>
              </w:rPr>
              <w:t>Equity</w:t>
            </w:r>
          </w:p>
        </w:tc>
        <w:tc>
          <w:tcPr>
            <w:tcW w:w="0" w:type="dxa"/>
            <w:vAlign w:val="bottom"/>
          </w:tcPr>
          <w:p>
            <w:pPr>
              <w:spacing w:after="0"/>
              <w:rPr>
                <w:sz w:val="1"/>
                <w:szCs w:val="1"/>
                <w:color w:val="auto"/>
              </w:rPr>
            </w:pPr>
          </w:p>
        </w:tc>
      </w:tr>
      <w:tr>
        <w:trPr>
          <w:trHeight w:val="216"/>
        </w:trPr>
        <w:tc>
          <w:tcPr>
            <w:tcW w:w="390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tcPr>
          <w:p>
            <w:pPr>
              <w:ind w:left="60"/>
              <w:spacing w:after="0"/>
              <w:rPr>
                <w:sz w:val="20"/>
                <w:szCs w:val="20"/>
                <w:color w:val="auto"/>
              </w:rPr>
            </w:pPr>
            <w:r>
              <w:rPr>
                <w:rFonts w:ascii="Arial" w:cs="Arial" w:eastAsia="Arial" w:hAnsi="Arial"/>
                <w:sz w:val="16"/>
                <w:szCs w:val="16"/>
                <w:b w:val="1"/>
                <w:bCs w:val="1"/>
                <w:color w:val="auto"/>
              </w:rPr>
              <w:t>Shares</w:t>
            </w:r>
          </w:p>
        </w:tc>
        <w:tc>
          <w:tcPr>
            <w:tcW w:w="18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Value</w:t>
            </w:r>
          </w:p>
        </w:tc>
        <w:tc>
          <w:tcPr>
            <w:tcW w:w="16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(Deficit)</w:t>
            </w:r>
          </w:p>
        </w:tc>
        <w:tc>
          <w:tcPr>
            <w:tcW w:w="160" w:type="dxa"/>
            <w:vAlign w:val="bottom"/>
          </w:tcPr>
          <w:p>
            <w:pPr>
              <w:spacing w:after="0"/>
              <w:rPr>
                <w:sz w:val="18"/>
                <w:szCs w:val="18"/>
                <w:color w:val="auto"/>
              </w:rPr>
            </w:pPr>
          </w:p>
        </w:tc>
        <w:tc>
          <w:tcPr>
            <w:tcW w:w="14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0"/>
              </w:rPr>
              <w:t>Income (Loss)</w:t>
            </w:r>
          </w:p>
        </w:tc>
        <w:tc>
          <w:tcPr>
            <w:tcW w:w="120" w:type="dxa"/>
            <w:vAlign w:val="bottom"/>
          </w:tcPr>
          <w:p>
            <w:pPr>
              <w:spacing w:after="0"/>
              <w:rPr>
                <w:sz w:val="18"/>
                <w:szCs w:val="18"/>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Interests</w:t>
            </w:r>
          </w:p>
        </w:tc>
        <w:tc>
          <w:tcPr>
            <w:tcW w:w="160" w:type="dxa"/>
            <w:vAlign w:val="bottom"/>
          </w:tcPr>
          <w:p>
            <w:pPr>
              <w:spacing w:after="0"/>
              <w:rPr>
                <w:sz w:val="18"/>
                <w:szCs w:val="18"/>
                <w:color w:val="auto"/>
              </w:rPr>
            </w:pPr>
          </w:p>
        </w:tc>
        <w:tc>
          <w:tcPr>
            <w:tcW w:w="1200" w:type="dxa"/>
            <w:vAlign w:val="bottom"/>
          </w:tcPr>
          <w:p>
            <w:pPr>
              <w:jc w:val="center"/>
              <w:ind w:right="72"/>
              <w:spacing w:after="0"/>
              <w:rPr>
                <w:sz w:val="20"/>
                <w:szCs w:val="20"/>
                <w:color w:val="auto"/>
              </w:rPr>
            </w:pPr>
            <w:r>
              <w:rPr>
                <w:rFonts w:ascii="Arial" w:cs="Arial" w:eastAsia="Arial" w:hAnsi="Arial"/>
                <w:sz w:val="16"/>
                <w:szCs w:val="16"/>
                <w:b w:val="1"/>
                <w:bCs w:val="1"/>
                <w:color w:val="auto"/>
                <w:w w:val="92"/>
              </w:rPr>
              <w:t>(Deficiency)</w:t>
            </w:r>
          </w:p>
        </w:tc>
        <w:tc>
          <w:tcPr>
            <w:tcW w:w="0" w:type="dxa"/>
            <w:vAlign w:val="bottom"/>
          </w:tcPr>
          <w:p>
            <w:pPr>
              <w:spacing w:after="0"/>
              <w:rPr>
                <w:sz w:val="1"/>
                <w:szCs w:val="1"/>
                <w:color w:val="auto"/>
              </w:rPr>
            </w:pPr>
          </w:p>
        </w:tc>
      </w:tr>
      <w:tr>
        <w:trPr>
          <w:trHeight w:val="27"/>
        </w:trPr>
        <w:tc>
          <w:tcPr>
            <w:tcW w:w="39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2,068</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(608)</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1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6,612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(3,569)</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1"/>
        </w:trPr>
        <w:tc>
          <w:tcPr>
            <w:tcW w:w="39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7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6,655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(5,763)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2"/>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(571)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(501)</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Equity Awards Granted, Vested and Exercised</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Adoption of Intra-Entity Transfers of Assets Other</w:t>
            </w:r>
          </w:p>
        </w:tc>
        <w:tc>
          <w:tcPr>
            <w:tcW w:w="1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7"/>
              </w:rPr>
              <w:t>Than Inventory and Revenue from Contracts with</w:t>
            </w: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Customers</w:t>
            </w: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6,688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3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ind w:right="5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2" w:name="page23"/>
    <w:bookmarkEnd w:id="2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presents the changes in our accumulated other comprehensive loss by component for the first six months of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3"/>
              </w:rPr>
              <w:t>Currency</w:t>
            </w: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5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Translation</w:t>
            </w:r>
          </w:p>
        </w:tc>
        <w:tc>
          <w:tcPr>
            <w:tcW w:w="140" w:type="dxa"/>
            <w:vAlign w:val="bottom"/>
          </w:tcPr>
          <w:p>
            <w:pPr>
              <w:spacing w:after="0"/>
              <w:rPr>
                <w:sz w:val="18"/>
                <w:szCs w:val="18"/>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Defined Benefit</w:t>
            </w:r>
          </w:p>
        </w:tc>
        <w:tc>
          <w:tcPr>
            <w:tcW w:w="15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Deferred Loss on</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00" w:type="dxa"/>
            <w:vAlign w:val="bottom"/>
          </w:tcPr>
          <w:p>
            <w:pPr>
              <w:spacing w:after="0"/>
              <w:rPr>
                <w:sz w:val="20"/>
                <w:szCs w:val="20"/>
                <w:color w:val="auto"/>
              </w:rPr>
            </w:pPr>
          </w:p>
        </w:tc>
        <w:tc>
          <w:tcPr>
            <w:tcW w:w="142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Adjustment</w:t>
            </w:r>
          </w:p>
        </w:tc>
        <w:tc>
          <w:tcPr>
            <w:tcW w:w="140" w:type="dxa"/>
            <w:vAlign w:val="bottom"/>
          </w:tcPr>
          <w:p>
            <w:pPr>
              <w:spacing w:after="0"/>
              <w:rPr>
                <w:sz w:val="20"/>
                <w:szCs w:val="20"/>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Pension</w:t>
            </w:r>
          </w:p>
        </w:tc>
        <w:tc>
          <w:tcPr>
            <w:tcW w:w="22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1"/>
              </w:rPr>
              <w:t>Derivatives</w:t>
            </w:r>
          </w:p>
        </w:tc>
        <w:tc>
          <w:tcPr>
            <w:tcW w:w="340" w:type="dxa"/>
            <w:vAlign w:val="bottom"/>
          </w:tcPr>
          <w:p>
            <w:pPr>
              <w:spacing w:after="0"/>
              <w:rPr>
                <w:sz w:val="20"/>
                <w:szCs w:val="20"/>
                <w:color w:val="auto"/>
              </w:rPr>
            </w:pPr>
          </w:p>
        </w:tc>
        <w:tc>
          <w:tcPr>
            <w:tcW w:w="1140" w:type="dxa"/>
            <w:vAlign w:val="bottom"/>
          </w:tcPr>
          <w:p>
            <w:pPr>
              <w:jc w:val="right"/>
              <w:ind w:right="45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(1,610)</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2017</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(1,540)</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(1,577)</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31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December 31, 2017</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(1,519)</w:t>
            </w:r>
          </w:p>
        </w:tc>
      </w:tr>
      <w:tr>
        <w:trPr>
          <w:trHeight w:val="324"/>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before Reclassifications</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Reclassifications</w:t>
            </w:r>
          </w:p>
        </w:tc>
        <w:tc>
          <w:tcPr>
            <w:tcW w:w="2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activity</w:t>
            </w:r>
          </w:p>
        </w:tc>
        <w:tc>
          <w:tcPr>
            <w:tcW w:w="2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318"/>
        </w:trPr>
        <w:tc>
          <w:tcPr>
            <w:tcW w:w="516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June 30, 2018</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(1,679)</w:t>
            </w:r>
          </w:p>
        </w:tc>
      </w:tr>
      <w:tr>
        <w:trPr>
          <w:trHeight w:val="20"/>
        </w:trPr>
        <w:tc>
          <w:tcPr>
            <w:tcW w:w="5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For the six months ended June 30, 2017, defined benefit pension reclassifications relate to amortization of unrecognized net gains associated primarily with our supplemental executive retirement plan.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Basic earnings per share for all periods presented equals net income (loss) divided by the weighted average number of our shares outstanding during the period including participating securities. Diluted earnings (loss) per share is computed by dividing net income (loss) by the weighted average number of our shares outstanding during the period including participating securities and potentially dilutive shares. The following table presents our basic and diluted weighted average shares outstanding for the second quarter and the first six months of 2018 and 2017:</w:t>
      </w:r>
    </w:p>
    <w:p>
      <w:pPr>
        <w:spacing w:after="0" w:line="113"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528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r>
      <w:tr>
        <w:trPr>
          <w:trHeight w:val="234"/>
        </w:trPr>
        <w:tc>
          <w:tcPr>
            <w:tcW w:w="5280" w:type="dxa"/>
            <w:vAlign w:val="bottom"/>
          </w:tcPr>
          <w:p>
            <w:pPr>
              <w:spacing w:after="0"/>
              <w:rPr>
                <w:sz w:val="20"/>
                <w:szCs w:val="20"/>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7"/>
              </w:rPr>
              <w:t>30,</w:t>
            </w:r>
          </w:p>
        </w:tc>
      </w:tr>
      <w:tr>
        <w:trPr>
          <w:trHeight w:val="27"/>
        </w:trPr>
        <w:tc>
          <w:tcPr>
            <w:tcW w:w="52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r>
      <w:tr>
        <w:trPr>
          <w:trHeight w:val="237"/>
        </w:trPr>
        <w:tc>
          <w:tcPr>
            <w:tcW w:w="528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2017</w:t>
            </w:r>
          </w:p>
        </w:tc>
      </w:tr>
      <w:tr>
        <w:trPr>
          <w:trHeight w:val="27"/>
        </w:trPr>
        <w:tc>
          <w:tcPr>
            <w:tcW w:w="5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5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and Diluted weighted average shares outstanding</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1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989</w:t>
            </w:r>
          </w:p>
        </w:tc>
      </w:tr>
      <w:tr>
        <w:trPr>
          <w:trHeight w:val="27"/>
        </w:trPr>
        <w:tc>
          <w:tcPr>
            <w:tcW w:w="528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basic and diluted weighted average shares outstanding for the periods presented are equivalent due to the net loss attributable to shareholders. Diluted weighted average shares outstanding for the second quarter and the first six months of 2018 and 2017 exclude potential shares for stock options, restricted shares, performance units, exchangeable notes, warrant outstanding and the Employee Stock Purchase Plan as we have net losses for those periods and their inclusion would be anti-dilutive. The following table discloses the number of anti-dilutive shares excluded for the second quarter and the first six months of 2018 and 2017:</w:t>
      </w:r>
    </w:p>
    <w:p>
      <w:pPr>
        <w:spacing w:after="0" w:line="130" w:lineRule="exact"/>
        <w:rPr>
          <w:sz w:val="20"/>
          <w:szCs w:val="20"/>
          <w:color w:val="auto"/>
        </w:rPr>
      </w:pPr>
    </w:p>
    <w:tbl>
      <w:tblPr>
        <w:tblLayout w:type="fixed"/>
        <w:tblInd w:w="1100" w:type="dxa"/>
        <w:tblCellMar>
          <w:top w:w="0" w:type="dxa"/>
          <w:left w:w="0" w:type="dxa"/>
          <w:bottom w:w="0" w:type="dxa"/>
          <w:right w:w="0" w:type="dxa"/>
        </w:tblCellMar>
      </w:tblPr>
      <w:tr>
        <w:trPr>
          <w:trHeight w:val="216"/>
        </w:trPr>
        <w:tc>
          <w:tcPr>
            <w:tcW w:w="39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92"/>
              </w:rPr>
              <w:t>Three Months Ended</w:t>
            </w:r>
          </w:p>
        </w:tc>
        <w:tc>
          <w:tcPr>
            <w:tcW w:w="19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 June</w:t>
            </w:r>
          </w:p>
        </w:tc>
        <w:tc>
          <w:tcPr>
            <w:tcW w:w="0" w:type="dxa"/>
            <w:vAlign w:val="bottom"/>
          </w:tcPr>
          <w:p>
            <w:pPr>
              <w:spacing w:after="0"/>
              <w:rPr>
                <w:sz w:val="1"/>
                <w:szCs w:val="1"/>
                <w:color w:val="auto"/>
              </w:rPr>
            </w:pPr>
          </w:p>
        </w:tc>
      </w:tr>
      <w:tr>
        <w:trPr>
          <w:trHeight w:val="234"/>
        </w:trPr>
        <w:tc>
          <w:tcPr>
            <w:tcW w:w="39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020" w:type="dxa"/>
            <w:vAlign w:val="bottom"/>
            <w:gridSpan w:val="4"/>
          </w:tcPr>
          <w:p>
            <w:pPr>
              <w:jc w:val="center"/>
              <w:ind w:right="6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Pr>
          <w:p>
            <w:pPr>
              <w:spacing w:after="0"/>
              <w:rPr>
                <w:sz w:val="20"/>
                <w:szCs w:val="20"/>
                <w:color w:val="auto"/>
              </w:rPr>
            </w:pPr>
          </w:p>
        </w:tc>
        <w:tc>
          <w:tcPr>
            <w:tcW w:w="1060" w:type="dxa"/>
            <w:vAlign w:val="bottom"/>
            <w:gridSpan w:val="3"/>
          </w:tcPr>
          <w:p>
            <w:pPr>
              <w:jc w:val="right"/>
              <w:ind w:right="820"/>
              <w:spacing w:after="0"/>
              <w:rPr>
                <w:sz w:val="20"/>
                <w:szCs w:val="20"/>
                <w:color w:val="auto"/>
              </w:rPr>
            </w:pPr>
            <w:r>
              <w:rPr>
                <w:rFonts w:ascii="Arial" w:cs="Arial" w:eastAsia="Arial" w:hAnsi="Arial"/>
                <w:sz w:val="18"/>
                <w:szCs w:val="18"/>
                <w:b w:val="1"/>
                <w:bCs w:val="1"/>
                <w:color w:val="auto"/>
                <w:w w:val="87"/>
              </w:rPr>
              <w:t>30,</w:t>
            </w: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tcPr>
          <w:p>
            <w:pPr>
              <w:ind w:left="20"/>
              <w:spacing w:after="0"/>
              <w:rPr>
                <w:sz w:val="20"/>
                <w:szCs w:val="20"/>
                <w:color w:val="auto"/>
              </w:rPr>
            </w:pPr>
            <w:r>
              <w:rPr>
                <w:rFonts w:ascii="Arial" w:cs="Arial" w:eastAsia="Arial" w:hAnsi="Arial"/>
                <w:sz w:val="18"/>
                <w:szCs w:val="18"/>
                <w:i w:val="1"/>
                <w:iCs w:val="1"/>
                <w:color w:val="auto"/>
              </w:rPr>
              <w:t>(Shares in millions)</w:t>
            </w:r>
          </w:p>
        </w:tc>
        <w:tc>
          <w:tcPr>
            <w:tcW w:w="2240" w:type="dxa"/>
            <w:vAlign w:val="bottom"/>
            <w:gridSpan w:val="2"/>
          </w:tcPr>
          <w:p>
            <w:pPr>
              <w:jc w:val="right"/>
              <w:ind w:right="17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900" w:type="dxa"/>
            <w:vAlign w:val="bottom"/>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860" w:type="dxa"/>
            <w:vAlign w:val="bottom"/>
          </w:tcPr>
          <w:p>
            <w:pPr>
              <w:jc w:val="right"/>
              <w:ind w:right="130"/>
              <w:spacing w:after="0"/>
              <w:rPr>
                <w:sz w:val="20"/>
                <w:szCs w:val="20"/>
                <w:color w:val="auto"/>
              </w:rPr>
            </w:pPr>
            <w:r>
              <w:rPr>
                <w:rFonts w:ascii="Arial" w:cs="Arial" w:eastAsia="Arial" w:hAnsi="Arial"/>
                <w:sz w:val="18"/>
                <w:szCs w:val="18"/>
                <w:b w:val="1"/>
                <w:bCs w:val="1"/>
                <w:color w:val="auto"/>
              </w:rPr>
              <w:t>2018</w:t>
            </w:r>
          </w:p>
        </w:tc>
        <w:tc>
          <w:tcPr>
            <w:tcW w:w="106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7"/>
        </w:trPr>
        <w:tc>
          <w:tcPr>
            <w:tcW w:w="39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Anti-dilutive potential shares due to net loss</w:t>
            </w:r>
          </w:p>
        </w:tc>
        <w:tc>
          <w:tcPr>
            <w:tcW w:w="2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20" w:type="dxa"/>
            <w:vAlign w:val="bottom"/>
            <w:shd w:val="clear" w:color="auto" w:fill="CCEEFF"/>
          </w:tcPr>
          <w:p>
            <w:pPr>
              <w:spacing w:after="0"/>
              <w:rPr>
                <w:sz w:val="20"/>
                <w:szCs w:val="20"/>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0" w:type="dxa"/>
            <w:vAlign w:val="bottom"/>
            <w:shd w:val="clear" w:color="auto" w:fill="CCEEFF"/>
          </w:tcPr>
          <w:p>
            <w:pPr>
              <w:spacing w:after="0"/>
              <w:rPr>
                <w:sz w:val="20"/>
                <w:szCs w:val="20"/>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106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3"/>
        </w:trPr>
        <w:tc>
          <w:tcPr>
            <w:tcW w:w="3940" w:type="dxa"/>
            <w:vAlign w:val="bottom"/>
            <w:tcBorders>
              <w:bottom w:val="single" w:sz="8" w:color="CCEEFF"/>
            </w:tcBorders>
            <w:shd w:val="clear" w:color="auto" w:fill="CCEEFF"/>
          </w:tcPr>
          <w:p>
            <w:pPr>
              <w:spacing w:after="0"/>
              <w:rPr>
                <w:sz w:val="15"/>
                <w:szCs w:val="15"/>
                <w:color w:val="auto"/>
              </w:rPr>
            </w:pPr>
          </w:p>
        </w:tc>
        <w:tc>
          <w:tcPr>
            <w:tcW w:w="2240" w:type="dxa"/>
            <w:vAlign w:val="bottom"/>
            <w:tcBorders>
              <w:bottom w:val="single" w:sz="8" w:color="CCEEFF"/>
            </w:tcBorders>
            <w:gridSpan w:val="2"/>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vMerge w:val="continue"/>
            <w:shd w:val="clear" w:color="auto" w:fill="CCEEFF"/>
          </w:tcPr>
          <w:p>
            <w:pPr>
              <w:spacing w:after="0"/>
              <w:rPr>
                <w:sz w:val="15"/>
                <w:szCs w:val="15"/>
                <w:color w:val="auto"/>
              </w:rPr>
            </w:pPr>
          </w:p>
        </w:tc>
        <w:tc>
          <w:tcPr>
            <w:tcW w:w="1060" w:type="dxa"/>
            <w:vAlign w:val="bottom"/>
            <w:tcBorders>
              <w:bottom w:val="single" w:sz="8" w:color="CCEEFF"/>
            </w:tcBorders>
            <w:gridSpan w:val="3"/>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75"/>
        </w:trPr>
        <w:tc>
          <w:tcPr>
            <w:tcW w:w="3940" w:type="dxa"/>
            <w:vAlign w:val="bottom"/>
          </w:tcPr>
          <w:p>
            <w:pPr>
              <w:spacing w:after="0"/>
              <w:rPr>
                <w:sz w:val="24"/>
                <w:szCs w:val="24"/>
                <w:color w:val="auto"/>
              </w:rPr>
            </w:pP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21</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49" w:right="239" w:bottom="1440" w:gutter="0" w:footer="0" w:header="0"/>
        </w:sectPr>
      </w:pPr>
    </w:p>
    <w:bookmarkStart w:id="23" w:name="page24"/>
    <w:bookmarkEnd w:id="2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16. Share-Based Compensation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recognized the following employee share-based compensation expense during the second quarter and the first six months of 2018 and 2017:</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20" w:type="dxa"/>
            <w:vAlign w:val="bottom"/>
          </w:tcPr>
          <w:p>
            <w:pPr>
              <w:spacing w:after="0"/>
              <w:rPr>
                <w:sz w:val="20"/>
                <w:szCs w:val="20"/>
                <w:color w:val="auto"/>
              </w:rPr>
            </w:pPr>
          </w:p>
        </w:tc>
        <w:tc>
          <w:tcPr>
            <w:tcW w:w="2520" w:type="dxa"/>
            <w:vAlign w:val="bottom"/>
            <w:gridSpan w:val="6"/>
          </w:tcPr>
          <w:p>
            <w:pPr>
              <w:ind w:left="60"/>
              <w:spacing w:after="0"/>
              <w:rPr>
                <w:sz w:val="20"/>
                <w:szCs w:val="20"/>
                <w:color w:val="auto"/>
              </w:rPr>
            </w:pPr>
            <w:r>
              <w:rPr>
                <w:rFonts w:ascii="Arial" w:cs="Arial" w:eastAsia="Arial" w:hAnsi="Arial"/>
                <w:sz w:val="18"/>
                <w:szCs w:val="18"/>
                <w:b w:val="1"/>
                <w:bCs w:val="1"/>
                <w:color w:val="auto"/>
                <w:w w:val="95"/>
              </w:rPr>
              <w:t>Three Months Ended June 30,</w:t>
            </w:r>
          </w:p>
        </w:tc>
        <w:tc>
          <w:tcPr>
            <w:tcW w:w="140" w:type="dxa"/>
            <w:vAlign w:val="bottom"/>
          </w:tcPr>
          <w:p>
            <w:pPr>
              <w:spacing w:after="0"/>
              <w:rPr>
                <w:sz w:val="20"/>
                <w:szCs w:val="20"/>
                <w:color w:val="auto"/>
              </w:rPr>
            </w:pPr>
          </w:p>
        </w:tc>
        <w:tc>
          <w:tcPr>
            <w:tcW w:w="2240" w:type="dxa"/>
            <w:vAlign w:val="bottom"/>
            <w:gridSpan w:val="4"/>
          </w:tcPr>
          <w:p>
            <w:pPr>
              <w:jc w:val="right"/>
              <w:ind w:right="3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7"/>
        </w:trPr>
        <w:tc>
          <w:tcPr>
            <w:tcW w:w="65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2017</w:t>
            </w:r>
          </w:p>
        </w:tc>
      </w:tr>
      <w:tr>
        <w:trPr>
          <w:trHeight w:val="27"/>
        </w:trPr>
        <w:tc>
          <w:tcPr>
            <w:tcW w:w="65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Share-based compensation</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Related tax benefit</w:t>
            </w:r>
          </w:p>
        </w:tc>
        <w:tc>
          <w:tcPr>
            <w:tcW w:w="260" w:type="dxa"/>
            <w:vAlign w:val="bottom"/>
          </w:tcPr>
          <w:p>
            <w:pPr>
              <w:spacing w:after="0"/>
              <w:rPr>
                <w:sz w:val="21"/>
                <w:szCs w:val="21"/>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During the first six months of 2018, we granted to certain employees 1.5 million performance share units that will vest with continued employment if the Company meets certain market-based goals. These performance share units have a weighted average grant date fair value of $5.30 per share based on the Monte Carlo simulation method. The assumptions used in the Monte Carlo simulation included a weighted average risk-free rate of 2.28%, volatility of 63% and a zero dividend yield. We also granted 1.5 million performance shares that will vest with continued employment if the Company meets a certain performance goal. These performance share units have a weighted average grant date fair value of $3.86. As of June 30, 2018, there was $14 million of unrecognized compensation expense related to our performance share units. This cost is expected to be recognized over a weighted average period of two years.</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first six months of 2018, we also granted 3.7 million restricted share units at a weighted average grant date fair value of $3.71 per share. As of June 30, 2018, there was $46 million of unrecognized compensation expense related to our unvested restricted share grants. This cost is expected to be recognized over a weighted average period of two years.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Segment Information</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Financial information by segment is summarized below. Revenues are attributable to countries based on the ultimate destination of the sale of products or performance of services. The accounting policies of the segments are the same as those described in the summary of significant accounting policies as presented in our Annual Report on Form 10-K.</w:t>
      </w:r>
    </w:p>
    <w:p>
      <w:pPr>
        <w:spacing w:after="0" w:line="123" w:lineRule="exact"/>
        <w:rPr>
          <w:sz w:val="20"/>
          <w:szCs w:val="20"/>
          <w:color w:val="auto"/>
        </w:rPr>
      </w:pPr>
    </w:p>
    <w:tbl>
      <w:tblPr>
        <w:tblLayout w:type="fixed"/>
        <w:tblInd w:w="180" w:type="dxa"/>
        <w:tblCellMar>
          <w:top w:w="0" w:type="dxa"/>
          <w:left w:w="0" w:type="dxa"/>
          <w:bottom w:w="0" w:type="dxa"/>
          <w:right w:w="0" w:type="dxa"/>
        </w:tblCellMar>
      </w:tblPr>
      <w:tr>
        <w:trPr>
          <w:trHeight w:val="234"/>
        </w:trPr>
        <w:tc>
          <w:tcPr>
            <w:tcW w:w="6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2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0"/>
              </w:rPr>
              <w:t>Three Months Ended June 30, 2018</w:t>
            </w:r>
          </w:p>
        </w:tc>
      </w:tr>
      <w:tr>
        <w:trPr>
          <w:trHeight w:val="27"/>
        </w:trPr>
        <w:tc>
          <w:tcPr>
            <w:tcW w:w="62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Depreciation</w:t>
            </w:r>
          </w:p>
        </w:tc>
      </w:tr>
      <w:tr>
        <w:trPr>
          <w:trHeight w:val="216"/>
        </w:trPr>
        <w:tc>
          <w:tcPr>
            <w:tcW w:w="6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9"/>
              </w:rPr>
              <w:t>from</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87"/>
              </w:rPr>
              <w:t>and</w:t>
            </w:r>
          </w:p>
        </w:tc>
      </w:tr>
      <w:tr>
        <w:trPr>
          <w:trHeight w:val="234"/>
        </w:trPr>
        <w:tc>
          <w:tcPr>
            <w:tcW w:w="62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400" w:type="dxa"/>
            <w:vAlign w:val="bottom"/>
            <w:gridSpan w:val="2"/>
          </w:tcPr>
          <w:p>
            <w:pPr>
              <w:ind w:left="160"/>
              <w:spacing w:after="0"/>
              <w:rPr>
                <w:sz w:val="20"/>
                <w:szCs w:val="20"/>
                <w:color w:val="auto"/>
              </w:rPr>
            </w:pPr>
            <w:r>
              <w:rPr>
                <w:rFonts w:ascii="Arial" w:cs="Arial" w:eastAsia="Arial" w:hAnsi="Arial"/>
                <w:sz w:val="18"/>
                <w:szCs w:val="18"/>
                <w:b w:val="1"/>
                <w:bCs w:val="1"/>
                <w:color w:val="auto"/>
              </w:rPr>
              <w:t>Revenues</w:t>
            </w:r>
          </w:p>
        </w:tc>
        <w:tc>
          <w:tcPr>
            <w:tcW w:w="1200" w:type="dxa"/>
            <w:vAlign w:val="bottom"/>
          </w:tcPr>
          <w:p>
            <w:pPr>
              <w:jc w:val="center"/>
              <w:ind w:left="270"/>
              <w:spacing w:after="0"/>
              <w:rPr>
                <w:sz w:val="20"/>
                <w:szCs w:val="20"/>
                <w:color w:val="auto"/>
              </w:rPr>
            </w:pPr>
            <w:r>
              <w:rPr>
                <w:rFonts w:ascii="Arial" w:cs="Arial" w:eastAsia="Arial" w:hAnsi="Arial"/>
                <w:sz w:val="18"/>
                <w:szCs w:val="18"/>
                <w:b w:val="1"/>
                <w:bCs w:val="1"/>
                <w:color w:val="auto"/>
                <w:w w:val="88"/>
              </w:rPr>
              <w:t>Operations</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center"/>
              <w:ind w:right="110"/>
              <w:spacing w:after="0"/>
              <w:rPr>
                <w:sz w:val="20"/>
                <w:szCs w:val="20"/>
                <w:color w:val="auto"/>
              </w:rPr>
            </w:pPr>
            <w:r>
              <w:rPr>
                <w:rFonts w:ascii="Arial" w:cs="Arial" w:eastAsia="Arial" w:hAnsi="Arial"/>
                <w:sz w:val="18"/>
                <w:szCs w:val="18"/>
                <w:b w:val="1"/>
                <w:bCs w:val="1"/>
                <w:color w:val="auto"/>
                <w:w w:val="94"/>
              </w:rPr>
              <w:t>Amortization</w:t>
            </w:r>
          </w:p>
        </w:tc>
      </w:tr>
      <w:tr>
        <w:trPr>
          <w:trHeight w:val="27"/>
        </w:trPr>
        <w:tc>
          <w:tcPr>
            <w:tcW w:w="6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769</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679</w:t>
            </w: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84</w:t>
            </w:r>
          </w:p>
        </w:tc>
      </w:tr>
      <w:tr>
        <w:trPr>
          <w:trHeight w:val="27"/>
        </w:trPr>
        <w:tc>
          <w:tcPr>
            <w:tcW w:w="62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62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w:t>
            </w:r>
          </w:p>
        </w:tc>
      </w:tr>
      <w:tr>
        <w:trPr>
          <w:trHeight w:val="243"/>
        </w:trPr>
        <w:tc>
          <w:tcPr>
            <w:tcW w:w="620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7"/>
              </w:rPr>
              <w:t>(34)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6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70"/>
        </w:trPr>
        <w:tc>
          <w:tcPr>
            <w:tcW w:w="6200" w:type="dxa"/>
            <w:vAlign w:val="bottom"/>
            <w:tcBorders>
              <w:bottom w:val="single" w:sz="8" w:color="CCEEFF"/>
            </w:tcBorders>
          </w:tcPr>
          <w:p>
            <w:pPr>
              <w:ind w:left="20"/>
              <w:spacing w:after="0" w:line="270" w:lineRule="exact"/>
              <w:rPr>
                <w:sz w:val="20"/>
                <w:szCs w:val="20"/>
                <w:color w:val="auto"/>
              </w:rPr>
            </w:pPr>
            <w:r>
              <w:rPr>
                <w:rFonts w:ascii="Arial" w:cs="Arial" w:eastAsia="Arial" w:hAnsi="Arial"/>
                <w:sz w:val="17"/>
                <w:szCs w:val="17"/>
                <w:color w:val="auto"/>
              </w:rPr>
              <w:t xml:space="preserve">Long-Lived Asset Impairments, Asset Write-Downs and Other </w:t>
            </w:r>
            <w:r>
              <w:rPr>
                <w:rFonts w:ascii="Arial" w:cs="Arial" w:eastAsia="Arial" w:hAnsi="Arial"/>
                <w:sz w:val="25"/>
                <w:szCs w:val="25"/>
                <w:color w:val="auto"/>
                <w:vertAlign w:val="superscript"/>
              </w:rPr>
              <w:t>(a)</w:t>
            </w:r>
          </w:p>
        </w:tc>
        <w:tc>
          <w:tcPr>
            <w:tcW w:w="2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(70)</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360" w:type="dxa"/>
            <w:vAlign w:val="bottom"/>
            <w:tcBorders>
              <w:bottom w:val="single" w:sz="8" w:color="auto"/>
            </w:tcBorders>
          </w:tcPr>
          <w:p>
            <w:pPr>
              <w:spacing w:after="0"/>
              <w:rPr>
                <w:sz w:val="23"/>
                <w:szCs w:val="23"/>
                <w:color w:val="auto"/>
              </w:rPr>
            </w:pPr>
          </w:p>
        </w:tc>
      </w:tr>
      <w:tr>
        <w:trPr>
          <w:trHeight w:val="257"/>
        </w:trPr>
        <w:tc>
          <w:tcPr>
            <w:tcW w:w="6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1,448</w:t>
            </w:r>
          </w:p>
        </w:tc>
        <w:tc>
          <w:tcPr>
            <w:tcW w:w="1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0"/>
        </w:trPr>
        <w:tc>
          <w:tcPr>
            <w:tcW w:w="6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20" w:hanging="330"/>
        <w:spacing w:after="0" w:line="275" w:lineRule="auto"/>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Includes long-lived asset impairments and other asset write-downs, partially offset by gains on property sales and a reduction of a contingency reserve on a legacy contract.</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49" w:right="239" w:bottom="1440" w:gutter="0" w:footer="0" w:header="0"/>
        </w:sectPr>
      </w:pPr>
    </w:p>
    <w:bookmarkStart w:id="24" w:name="page25"/>
    <w:bookmarkEnd w:id="24"/>
    <w:tbl>
      <w:tblPr>
        <w:tblLayout w:type="fixed"/>
        <w:tblInd w:w="170" w:type="dxa"/>
        <w:tblCellMar>
          <w:top w:w="0" w:type="dxa"/>
          <w:left w:w="0" w:type="dxa"/>
          <w:bottom w:w="0" w:type="dxa"/>
          <w:right w:w="0" w:type="dxa"/>
        </w:tblCellMar>
      </w:tblPr>
      <w:tr>
        <w:trPr>
          <w:trHeight w:val="207"/>
        </w:trPr>
        <w:tc>
          <w:tcPr>
            <w:tcW w:w="60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642"/>
        </w:trPr>
        <w:tc>
          <w:tcPr>
            <w:tcW w:w="1260" w:type="dxa"/>
            <w:vAlign w:val="bottom"/>
            <w:tcBorders>
              <w:top w:val="single" w:sz="8" w:color="0000EE"/>
            </w:tcBorders>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7"/>
          </w:tcPr>
          <w:p>
            <w:pPr>
              <w:jc w:val="center"/>
              <w:ind w:right="150"/>
              <w:spacing w:after="0"/>
              <w:rPr>
                <w:sz w:val="20"/>
                <w:szCs w:val="20"/>
                <w:color w:val="auto"/>
              </w:rPr>
            </w:pPr>
            <w:r>
              <w:rPr>
                <w:rFonts w:ascii="Arial" w:cs="Arial" w:eastAsia="Arial" w:hAnsi="Arial"/>
                <w:sz w:val="18"/>
                <w:szCs w:val="18"/>
                <w:b w:val="1"/>
                <w:bCs w:val="1"/>
                <w:color w:val="auto"/>
                <w:w w:val="90"/>
              </w:rPr>
              <w:t>Three Months Ended June 30, 2017</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b w:val="1"/>
                <w:bCs w:val="1"/>
                <w:color w:val="auto"/>
                <w:w w:val="85"/>
              </w:rPr>
              <w:t>Loss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from</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0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92</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685</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
        </w:trPr>
        <w:tc>
          <w:tcPr>
            <w:tcW w:w="12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Asset Write-Downs and Other</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7"/>
        </w:trPr>
        <w:tc>
          <w:tcPr>
            <w:tcW w:w="12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1,363</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204</w:t>
            </w:r>
          </w:p>
        </w:tc>
      </w:tr>
      <w:tr>
        <w:trPr>
          <w:trHeight w:val="20"/>
        </w:trPr>
        <w:tc>
          <w:tcPr>
            <w:tcW w:w="12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608"/>
        </w:trPr>
        <w:tc>
          <w:tcPr>
            <w:tcW w:w="126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Six Months Ended June 30, 2018</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8"/>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8"/>
              </w:rPr>
              <w:t>Income (Loss)</w:t>
            </w: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r>
      <w:tr>
        <w:trPr>
          <w:trHeight w:val="216"/>
        </w:trPr>
        <w:tc>
          <w:tcPr>
            <w:tcW w:w="126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from</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r>
      <w:tr>
        <w:trPr>
          <w:trHeight w:val="234"/>
        </w:trPr>
        <w:tc>
          <w:tcPr>
            <w:tcW w:w="6020" w:type="dxa"/>
            <w:vAlign w:val="bottom"/>
            <w:gridSpan w:val="2"/>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r>
      <w:tr>
        <w:trPr>
          <w:trHeight w:val="27"/>
        </w:trPr>
        <w:tc>
          <w:tcPr>
            <w:tcW w:w="1260" w:type="dxa"/>
            <w:vAlign w:val="bottom"/>
            <w:tcBorders>
              <w:bottom w:val="single" w:sz="8" w:color="auto"/>
            </w:tcBorders>
          </w:tcPr>
          <w:p>
            <w:pPr>
              <w:spacing w:after="0"/>
              <w:rPr>
                <w:sz w:val="2"/>
                <w:szCs w:val="2"/>
                <w:color w:val="auto"/>
              </w:rPr>
            </w:pPr>
          </w:p>
        </w:tc>
        <w:tc>
          <w:tcPr>
            <w:tcW w:w="4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1,346</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170</w:t>
            </w:r>
          </w:p>
        </w:tc>
      </w:tr>
      <w:tr>
        <w:trPr>
          <w:trHeight w:val="27"/>
        </w:trPr>
        <w:tc>
          <w:tcPr>
            <w:tcW w:w="1260" w:type="dxa"/>
            <w:vAlign w:val="bottom"/>
            <w:tcBorders>
              <w:bottom w:val="single" w:sz="8" w:color="CCEEFF"/>
            </w:tcBorders>
          </w:tcPr>
          <w:p>
            <w:pPr>
              <w:spacing w:after="0"/>
              <w:rPr>
                <w:sz w:val="2"/>
                <w:szCs w:val="2"/>
                <w:color w:val="auto"/>
              </w:rPr>
            </w:pPr>
          </w:p>
        </w:tc>
        <w:tc>
          <w:tcPr>
            <w:tcW w:w="47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126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1260" w:type="dxa"/>
            <w:vAlign w:val="bottom"/>
          </w:tcPr>
          <w:p>
            <w:pPr>
              <w:spacing w:after="0"/>
              <w:rPr>
                <w:sz w:val="2"/>
                <w:szCs w:val="2"/>
                <w:color w:val="auto"/>
              </w:rPr>
            </w:pPr>
          </w:p>
        </w:tc>
        <w:tc>
          <w:tcPr>
            <w:tcW w:w="4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Restructuring and Transformation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70"/>
        </w:trPr>
        <w:tc>
          <w:tcPr>
            <w:tcW w:w="6020" w:type="dxa"/>
            <w:vAlign w:val="bottom"/>
            <w:tcBorders>
              <w:bottom w:val="single" w:sz="8" w:color="CCEEFF"/>
            </w:tcBorders>
            <w:gridSpan w:val="2"/>
          </w:tcPr>
          <w:p>
            <w:pPr>
              <w:ind w:left="20"/>
              <w:spacing w:after="0" w:line="270" w:lineRule="exact"/>
              <w:rPr>
                <w:sz w:val="20"/>
                <w:szCs w:val="20"/>
                <w:color w:val="auto"/>
              </w:rPr>
            </w:pPr>
            <w:r>
              <w:rPr>
                <w:rFonts w:ascii="Arial" w:cs="Arial" w:eastAsia="Arial" w:hAnsi="Arial"/>
                <w:sz w:val="17"/>
                <w:szCs w:val="17"/>
                <w:color w:val="auto"/>
              </w:rPr>
              <w:t xml:space="preserve">Long-Lived Asset Impairments, Asset Write-Downs and Other </w:t>
            </w:r>
            <w:r>
              <w:rPr>
                <w:rFonts w:ascii="Arial" w:cs="Arial" w:eastAsia="Arial" w:hAnsi="Arial"/>
                <w:sz w:val="25"/>
                <w:szCs w:val="25"/>
                <w:color w:val="auto"/>
                <w:vertAlign w:val="superscript"/>
              </w:rPr>
              <w:t>(b)</w:t>
            </w:r>
          </w:p>
        </w:tc>
        <w:tc>
          <w:tcPr>
            <w:tcW w:w="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r>
      <w:tr>
        <w:trPr>
          <w:trHeight w:val="257"/>
        </w:trPr>
        <w:tc>
          <w:tcPr>
            <w:tcW w:w="60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2,871</w:t>
            </w:r>
          </w:p>
        </w:tc>
        <w:tc>
          <w:tcPr>
            <w:tcW w:w="10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291</w:t>
            </w:r>
          </w:p>
        </w:tc>
      </w:tr>
      <w:tr>
        <w:trPr>
          <w:trHeight w:val="20"/>
        </w:trPr>
        <w:tc>
          <w:tcPr>
            <w:tcW w:w="126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330" w:hanging="330"/>
        <w:spacing w:after="0" w:line="275" w:lineRule="auto"/>
        <w:tabs>
          <w:tab w:leader="none" w:pos="330" w:val="left"/>
        </w:tabs>
        <w:numPr>
          <w:ilvl w:val="0"/>
          <w:numId w:val="4"/>
        </w:numPr>
        <w:rPr>
          <w:rFonts w:ascii="Arial" w:cs="Arial" w:eastAsia="Arial" w:hAnsi="Arial"/>
          <w:sz w:val="16"/>
          <w:szCs w:val="16"/>
          <w:color w:val="auto"/>
        </w:rPr>
      </w:pPr>
      <w:r>
        <w:rPr>
          <w:rFonts w:ascii="Arial" w:cs="Arial" w:eastAsia="Arial" w:hAnsi="Arial"/>
          <w:sz w:val="16"/>
          <w:szCs w:val="16"/>
          <w:color w:val="auto"/>
        </w:rPr>
        <w:t>Includes long-lived asset impairments, other asset write-downs and inventory charges, partially offset by gains on purchase of the remaining interest in a joint venture, property sales and a reduction of a contingency reserve on a legacy contract.</w:t>
      </w:r>
    </w:p>
    <w:p>
      <w:pPr>
        <w:spacing w:after="0" w:line="326" w:lineRule="exact"/>
        <w:rPr>
          <w:sz w:val="20"/>
          <w:szCs w:val="20"/>
          <w:color w:val="auto"/>
        </w:rPr>
      </w:pPr>
    </w:p>
    <w:tbl>
      <w:tblPr>
        <w:tblLayout w:type="fixed"/>
        <w:tblInd w:w="17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4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89"/>
              </w:rPr>
              <w:t>Six Months Ended June 30, 2017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4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b w:val="1"/>
                <w:bCs w:val="1"/>
                <w:color w:val="auto"/>
                <w:w w:val="85"/>
              </w:rPr>
              <w:t>Loss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Depreciation</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center"/>
              <w:ind w:left="410"/>
              <w:spacing w:after="0"/>
              <w:rPr>
                <w:sz w:val="20"/>
                <w:szCs w:val="20"/>
                <w:color w:val="auto"/>
              </w:rPr>
            </w:pPr>
            <w:r>
              <w:rPr>
                <w:rFonts w:ascii="Arial" w:cs="Arial" w:eastAsia="Arial" w:hAnsi="Arial"/>
                <w:sz w:val="18"/>
                <w:szCs w:val="18"/>
                <w:b w:val="1"/>
                <w:bCs w:val="1"/>
                <w:color w:val="auto"/>
                <w:w w:val="89"/>
              </w:rPr>
              <w:t>from</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and</w:t>
            </w:r>
          </w:p>
        </w:tc>
        <w:tc>
          <w:tcPr>
            <w:tcW w:w="0" w:type="dxa"/>
            <w:vAlign w:val="bottom"/>
          </w:tcPr>
          <w:p>
            <w:pPr>
              <w:spacing w:after="0"/>
              <w:rPr>
                <w:sz w:val="1"/>
                <w:szCs w:val="1"/>
                <w:color w:val="auto"/>
              </w:rPr>
            </w:pPr>
          </w:p>
        </w:tc>
      </w:tr>
      <w:tr>
        <w:trPr>
          <w:trHeight w:val="234"/>
        </w:trPr>
        <w:tc>
          <w:tcPr>
            <w:tcW w:w="412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1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60" w:type="dxa"/>
            <w:vAlign w:val="bottom"/>
            <w:gridSpan w:val="2"/>
          </w:tcPr>
          <w:p>
            <w:pPr>
              <w:ind w:left="140"/>
              <w:spacing w:after="0"/>
              <w:rPr>
                <w:sz w:val="20"/>
                <w:szCs w:val="20"/>
                <w:color w:val="auto"/>
              </w:rPr>
            </w:pPr>
            <w:r>
              <w:rPr>
                <w:rFonts w:ascii="Arial" w:cs="Arial" w:eastAsia="Arial" w:hAnsi="Arial"/>
                <w:sz w:val="18"/>
                <w:szCs w:val="18"/>
                <w:b w:val="1"/>
                <w:bCs w:val="1"/>
                <w:color w:val="auto"/>
              </w:rPr>
              <w:t>Revenues</w:t>
            </w:r>
          </w:p>
        </w:tc>
        <w:tc>
          <w:tcPr>
            <w:tcW w:w="16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0"/>
              </w:rPr>
              <w:t>Operations</w:t>
            </w:r>
          </w:p>
        </w:tc>
        <w:tc>
          <w:tcPr>
            <w:tcW w:w="180" w:type="dxa"/>
            <w:vAlign w:val="bottom"/>
          </w:tcPr>
          <w:p>
            <w:pPr>
              <w:spacing w:after="0"/>
              <w:rPr>
                <w:sz w:val="20"/>
                <w:szCs w:val="20"/>
                <w:color w:val="auto"/>
              </w:rPr>
            </w:pPr>
          </w:p>
        </w:tc>
        <w:tc>
          <w:tcPr>
            <w:tcW w:w="1320" w:type="dxa"/>
            <w:vAlign w:val="bottom"/>
          </w:tcPr>
          <w:p>
            <w:pPr>
              <w:jc w:val="center"/>
              <w:ind w:right="90"/>
              <w:spacing w:after="0"/>
              <w:rPr>
                <w:sz w:val="20"/>
                <w:szCs w:val="20"/>
                <w:color w:val="auto"/>
              </w:rPr>
            </w:pPr>
            <w:r>
              <w:rPr>
                <w:rFonts w:ascii="Arial" w:cs="Arial" w:eastAsia="Arial" w:hAnsi="Arial"/>
                <w:sz w:val="18"/>
                <w:szCs w:val="18"/>
                <w:b w:val="1"/>
                <w:bCs w:val="1"/>
                <w:color w:val="auto"/>
                <w:w w:val="92"/>
              </w:rPr>
              <w:t>Amortization</w:t>
            </w:r>
          </w:p>
        </w:tc>
        <w:tc>
          <w:tcPr>
            <w:tcW w:w="0" w:type="dxa"/>
            <w:vAlign w:val="bottom"/>
          </w:tcPr>
          <w:p>
            <w:pPr>
              <w:spacing w:after="0"/>
              <w:rPr>
                <w:sz w:val="1"/>
                <w:szCs w:val="1"/>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Western Hemisphere</w:t>
            </w:r>
          </w:p>
        </w:tc>
        <w:tc>
          <w:tcPr>
            <w:tcW w:w="2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1,411</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Eastern Hemisphere</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Corporate General and Administrative</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Restructuring Charges</w:t>
            </w:r>
          </w:p>
        </w:tc>
        <w:tc>
          <w:tcPr>
            <w:tcW w:w="19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20"/>
              <w:spacing w:after="0"/>
              <w:rPr>
                <w:sz w:val="20"/>
                <w:szCs w:val="20"/>
                <w:color w:val="auto"/>
              </w:rPr>
            </w:pPr>
            <w:r>
              <w:rPr>
                <w:rFonts w:ascii="Arial" w:cs="Arial" w:eastAsia="Arial" w:hAnsi="Arial"/>
                <w:sz w:val="18"/>
                <w:szCs w:val="18"/>
                <w:color w:val="auto"/>
              </w:rPr>
              <w:t>Asset Write-Downs and Other</w:t>
            </w:r>
          </w:p>
        </w:tc>
        <w:tc>
          <w:tcPr>
            <w:tcW w:w="19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2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2,749</w:t>
            </w:r>
          </w:p>
        </w:tc>
        <w:tc>
          <w:tcPr>
            <w:tcW w:w="1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bottom w:val="single" w:sz="8" w:color="CCEEFF"/>
            </w:tcBorders>
            <w:vMerge w:val="restart"/>
          </w:tcPr>
          <w:p>
            <w:pPr>
              <w:jc w:val="right"/>
              <w:ind w:right="310"/>
              <w:spacing w:after="0"/>
              <w:rPr>
                <w:sz w:val="20"/>
                <w:szCs w:val="20"/>
                <w:color w:val="auto"/>
              </w:rPr>
            </w:pPr>
            <w:r>
              <w:rPr>
                <w:rFonts w:ascii="Arial" w:cs="Arial" w:eastAsia="Arial" w:hAnsi="Arial"/>
                <w:sz w:val="18"/>
                <w:szCs w:val="18"/>
                <w:color w:val="auto"/>
              </w:rPr>
              <w:t>23</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9"/>
        </w:trPr>
        <w:tc>
          <w:tcPr>
            <w:tcW w:w="41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50"/>
          </w:cols>
          <w:pgMar w:left="410" w:top="432" w:right="239" w:bottom="1440" w:gutter="0" w:footer="0" w:header="0"/>
        </w:sectPr>
      </w:pPr>
    </w:p>
    <w:bookmarkStart w:id="25" w:name="page26"/>
    <w:bookmarkEnd w:id="2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Disputes, Litigation and Contingencies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Shareholder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In 2010, three shareholder derivative actions were filed, purportedly on behalf of the Company, asserting breach of duty and other claims against certain current and former officers and directors of the Company related to the United Nations oil-for-food program governing sales of goods into Iraq, the Foreign Corrupt Practices Act of 1977 and trade sanctions related to the U.S. government investigations disclosed in our SEC filings since 2007. Those shareholder derivative cases were filed in Harris County, Texas state court and consolidated under the caption </w:t>
      </w:r>
      <w:r>
        <w:rPr>
          <w:rFonts w:ascii="Arial" w:cs="Arial" w:eastAsia="Arial" w:hAnsi="Arial"/>
          <w:sz w:val="16"/>
          <w:szCs w:val="16"/>
          <w:i w:val="1"/>
          <w:iCs w:val="1"/>
          <w:color w:val="auto"/>
        </w:rPr>
        <w:t>Neff v. Brady, et al.</w:t>
      </w:r>
      <w:r>
        <w:rPr>
          <w:rFonts w:ascii="Arial" w:cs="Arial" w:eastAsia="Arial" w:hAnsi="Arial"/>
          <w:sz w:val="16"/>
          <w:szCs w:val="16"/>
          <w:color w:val="auto"/>
        </w:rPr>
        <w:t>, No. 2010040764 (collectively referred to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Other shareholder demand letters covering the same subject matter were received by the Company in early 2014, and a fourth shareholder derivative action was filed, purportedly on behalf of the Company, also asserting breach of duty and other claims against certain current and former officers and directors of the Company related to the same subject matter as the </w:t>
      </w:r>
      <w:r>
        <w:rPr>
          <w:rFonts w:ascii="Arial" w:cs="Arial" w:eastAsia="Arial" w:hAnsi="Arial"/>
          <w:sz w:val="16"/>
          <w:szCs w:val="16"/>
          <w:i w:val="1"/>
          <w:iCs w:val="1"/>
          <w:color w:val="auto"/>
        </w:rPr>
        <w:t>Neff Case</w:t>
      </w:r>
      <w:r>
        <w:rPr>
          <w:rFonts w:ascii="Arial" w:cs="Arial" w:eastAsia="Arial" w:hAnsi="Arial"/>
          <w:sz w:val="16"/>
          <w:szCs w:val="16"/>
          <w:color w:val="auto"/>
        </w:rPr>
        <w:t xml:space="preserve">. That case, captioned </w:t>
      </w:r>
      <w:r>
        <w:rPr>
          <w:rFonts w:ascii="Arial" w:cs="Arial" w:eastAsia="Arial" w:hAnsi="Arial"/>
          <w:sz w:val="16"/>
          <w:szCs w:val="16"/>
          <w:i w:val="1"/>
          <w:iCs w:val="1"/>
          <w:color w:val="auto"/>
        </w:rPr>
        <w:t xml:space="preserve">Erste-Sparinvest KAG v. Duroc-Danner, et al., </w:t>
      </w:r>
      <w:r>
        <w:rPr>
          <w:rFonts w:ascii="Arial" w:cs="Arial" w:eastAsia="Arial" w:hAnsi="Arial"/>
          <w:sz w:val="16"/>
          <w:szCs w:val="16"/>
          <w:color w:val="auto"/>
        </w:rPr>
        <w:t>No. 201420933 (Harris County, Texas) was consolidated into the</w:t>
      </w:r>
      <w:r>
        <w:rPr>
          <w:rFonts w:ascii="Arial" w:cs="Arial" w:eastAsia="Arial" w:hAnsi="Arial"/>
          <w:sz w:val="16"/>
          <w:szCs w:val="16"/>
          <w:i w:val="1"/>
          <w:iCs w:val="1"/>
          <w:color w:val="auto"/>
        </w:rPr>
        <w:t xml:space="preserve"> Neff Case </w:t>
      </w:r>
      <w:r>
        <w:rPr>
          <w:rFonts w:ascii="Arial" w:cs="Arial" w:eastAsia="Arial" w:hAnsi="Arial"/>
          <w:sz w:val="16"/>
          <w:szCs w:val="16"/>
          <w:color w:val="auto"/>
        </w:rPr>
        <w:t>in September 2014. A motion to dismiss was granted May 15,</w:t>
      </w:r>
      <w:r>
        <w:rPr>
          <w:rFonts w:ascii="Arial" w:cs="Arial" w:eastAsia="Arial" w:hAnsi="Arial"/>
          <w:sz w:val="16"/>
          <w:szCs w:val="16"/>
          <w:i w:val="1"/>
          <w:iCs w:val="1"/>
          <w:color w:val="auto"/>
        </w:rPr>
        <w:t xml:space="preserve"> </w:t>
      </w:r>
      <w:r>
        <w:rPr>
          <w:rFonts w:ascii="Arial" w:cs="Arial" w:eastAsia="Arial" w:hAnsi="Arial"/>
          <w:sz w:val="16"/>
          <w:szCs w:val="16"/>
          <w:color w:val="auto"/>
        </w:rPr>
        <w:t>2015, and an appeal was filed on June 15, 2015. Following briefing and oral argument, on June 29, 2017, the Texas Court of Appeals denied in part and granted in part the shareholders’ appeal. The Court ruled that the shareholders lacked standing to bring claims that arose prior to the Company’s redomestication to Switzerland in 2009, and upheld the dismissal of those claims. The Court reversed as premature the trial court’s dismissal of claims arising after the redomestication and remanded to the trial court for further proceedings. On February 1, 2018, the individual defendants and nominal defendant Weatherford filed a motion for summary judgment on the remaining claims in the case. On February 13, 2018, the trial court dismissed with prejudice certain directors for lack of jurisdiction. The plaintiffs have appealed the jurisdictional ruling and the parties have jointly moved for a stay of the case during the pendency of the appeal. We cannot reliably predict the outcome of the remaining claims, including the amount of any possible loss.</w:t>
      </w:r>
    </w:p>
    <w:p>
      <w:pPr>
        <w:spacing w:after="0" w:line="16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 Government and Other Investigations</w:t>
      </w:r>
    </w:p>
    <w:p>
      <w:pPr>
        <w:spacing w:after="0" w:line="225"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The SEC and the U.S. Department of Justice investigated certain accounting issues associated with the material weakness in our internal control over financial reporting for income taxes that was disclosed in a notification of late filing on Form 12b-25 filed on March 1, 2011 and in current reports on Form 8-K filed on February 21, 2012 and on July 24, 2012 and the subsequent restatements of our historical financial statements. As disclosed in the Form 8-K filed on September 27, 2016, the Company settled with the SEC without admitting or denying the findings of the SEC, by consenting to the entry of an administrative order that requires the Company to cease and desist from committing or causing any violations and any future violations of the anti-fraud provisions of the Securities Act of 1933 (as amended, the “Securities Act”), and the anti-fraud, reporting, books and records, and internal controls provisions of the Securities Exchange Act of 1934 (as amended, the “Exchange Act”), and the rules promulgated thereunder. As part of the terms of the SEC settlement, the Company agreed to pay in installments a total civil monetary penalty of $140 million, beginning in the fourth quarter of 2016 and concluding in September 2017. In addition, certain reports and certifications regarding our tax internal controls were delivered to the SEC during the two years following the settlement. We completed and delivered the third and final report in April of 2018.</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Rapid Completions and Packers Plus Litigation</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Several subsidiaries of the Company are defendants in a patent infringement lawsuit filed by Rapid Completions LLC (“RC”) in U.S. District Court for the Eastern District of Texas on July 31, 2015. RC claims that we and other defendants are liable for infringement of seven U.S. patents related to specific downhole completion equipment and the methods of using such equipment. These patents have been assigned to Packers Plus Energy Services, Inc., a Canadian corporation (“Packers Plus”), and purportedly exclusively licensed to RC. RC is seeking a permanent injunction against further alleged infringement, unspecified damages for infringement, supplemental and enhanced damages, and additional relief such as attorneys’ fees. The Company has filed a counterclaim against Packers Plus, seeking declarations of non-infringement, invalidity, and unenforceability of the four patents that remain asserted against the Company on the grounds of inequitable conduct. The Company is seeking attorneys’ fees and costs incurred in the lawsuit. The litigation was stayed, pending resolution of inter partes reviews (“IPR”) of each of the four patents before the Patent Trial and Appeal Board (“PTAB”) of the U.S. Patent and Trademark Office (“USPTO”). On February 22, 2018, the PTAB issued IPR decisions finding that all of the claims of the ‘505, ‘634, and ‘774 patents that were challenged by the Company in the IPRs are invalid. There is one more pending IPR relating to the ‘501 patent, and the oral arguments in that IPR took place on June 26, 2018. The PTAB should issue its decision on validity of the ‘501 in the fourth quarter of 2018. Given the similarities among the four patents, the Company believes it will obtain a favorable outcome in the remaining IPR. RC has appealed the PTAB’s decisions.</w:t>
      </w:r>
    </w:p>
    <w:p>
      <w:pPr>
        <w:spacing w:after="0" w:line="200" w:lineRule="exact"/>
        <w:rPr>
          <w:sz w:val="20"/>
          <w:szCs w:val="20"/>
          <w:color w:val="auto"/>
        </w:rPr>
      </w:pPr>
    </w:p>
    <w:p>
      <w:pPr>
        <w:spacing w:after="0" w:line="212"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49" w:right="239" w:bottom="1440" w:gutter="0" w:footer="0" w:header="0"/>
        </w:sectPr>
      </w:pPr>
    </w:p>
    <w:bookmarkStart w:id="26" w:name="page27"/>
    <w:bookmarkEnd w:id="2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October 14, 2015, Packers Plus and RC filed suit in Federal Court in Toronto, Canada against the Company and certain subsidiaries alleging infringement of a related Canadian patent and seeking unspecified damages and an accounting of the Company’s profits. Trial on the validity of the Canadian patent was completed in March 2017. On November 3, 2017, the Federal Court issued its decision, wherein it concluded that the defendants proved that the patent-in-suit was invalid and dismissed Packers Plus and RC’s claims of infringement. On January 5, 2018, Packers Plus and RC filed their Notice of Appeal. The Company filed its responsive brief in June 2018. The Company expects that the hearing of the appeal will take place in the fourth quarter of 2018.</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If one or more negative outcomes were to occur in either case, the impact to our financial position, results of operations, or cash flows could be material.</w:t>
      </w:r>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Disputes and Litigation</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are aware of various other disputes and potential claims and are a party in various litigation involving claims against us, some of which are covered by insurance. For claims, disputes and pending litigation in which we believe a negative outcome is probable and a loss can be reasonably estimated, we have recorded a liability for the expected loss. These liabilities are immaterial to our financial condition and results of operations.</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addition, we have certain claims, disputes and pending litigation for which we do not believe a negative outcome is probable or for which we can only estimate a range of liability. It is possible, however, that an unexpected judgment could be rendered against us, or we could decide to resolve a case or cases, that would result in liability that could be uninsured and beyond the amounts we currently have reserved and in some cases those losses could be material. If one or more negative outcomes were to occur relative to these matters, the aggregate impact to our financial condition could be material.</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Accrued litigation and settlements recorded in “Other Current Liabilities” on the accompanying Condensed Consolidated Balance Sheets as of June 30, 2018 and December 31, 2017 were $33 million and $51 million,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Contingencies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minimum purchase commitments related to a supply contract and maintain a liability at June 30, 2018 of $47 million for expected penalties to be paid, of which $22 million is recorded in “Other Current Liabilities,” $25 million is recorded in “Other Non-Current Liabilities” on our Condensed Consolidated Balance Sheets.</w:t>
      </w:r>
    </w:p>
    <w:p>
      <w:pPr>
        <w:spacing w:after="0" w:line="17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19. Condensed Consolidating Financial Statements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Weatherford International plc (“Weatherford Ireland”), a public limited company organized under the laws of Ireland, a Swiss tax resident, and the ultimate parent of the Weatherford group, guarantees the obligations of its subsidiaries – Weatherford International Ltd., a Bermuda exempted company (“Weatherford Bermuda”), and Weatherford International, LLC, a Delaware limited liability company (“Weatherford Delaware”), including the notes and credit facilities listed below.</w:t>
      </w:r>
    </w:p>
    <w:p>
      <w:pPr>
        <w:spacing w:after="0" w:line="18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June 30, 2018 and December 31, 2017. At June 30, 2018, Weatherford Bermuda also guaranteed the 9.875% senior notes due 2025.</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obligations of Weatherford Bermuda were guaranteed by Weatherford Delaware at June 30, 2018 and December 31, 2017: (1) Revolving Credit Agreement, (2) Term Loan Agreement, (3) 9.625% senior notes due 2019, which were repaid in full through early redemption of the bond in April 2018 (4) 6.50% senior notes due 2036, (5) 7.00% senior notes due 2038, (6) 9.875% senior notes due 2039, (7) 5.125% senior notes due 2020, (8) 6.75% senior notes due 2040, (9) 4.50% senior notes due 2021, (10) 5.95% senior notes due 2042, (11) 5.875% exchangeable senior notes due 2021, (12) 7.75% senior notes due 2021, (13) 8.25% senior notes due 2023 and (14) 9.875% senior notes due 2024. At December 31, 2017, Weatherford Delaware also guaranteed the 6.00% senior notes due 2018, which were repaid in full in March 2018.</w:t>
      </w:r>
    </w:p>
    <w:p>
      <w:pPr>
        <w:spacing w:after="0" w:line="17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As a result of certain of these guarantee arrangements, we are required to present the following condensed consolidating financial information. The accompanying guarantor financial information is presented on the equity method of accounting for all periods presented. Under this method, investments in subsidiaries are recorded at cost and adjusted for our share in the subsidiaries’ cumulative results of operations, capital contributions and distributions and other changes in equity. Elimination entries relate primarily to the elimination of investments in subsidiaries and associated intercompany balances and transactions.</w:t>
      </w:r>
    </w:p>
    <w:p>
      <w:pPr>
        <w:spacing w:after="0" w:line="200" w:lineRule="exact"/>
        <w:rPr>
          <w:sz w:val="20"/>
          <w:szCs w:val="20"/>
          <w:color w:val="auto"/>
        </w:rPr>
      </w:pPr>
    </w:p>
    <w:p>
      <w:pPr>
        <w:spacing w:after="0" w:line="23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49" w:right="239" w:bottom="1440" w:gutter="0" w:footer="0" w:header="0"/>
        </w:sectPr>
      </w:pPr>
    </w:p>
    <w:bookmarkStart w:id="27" w:name="page28"/>
    <w:bookmarkEnd w:id="2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1,448</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(1,521)</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(152)</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(94)</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(203)</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374</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(264)</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(126)</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550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(429)</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49" w:right="239" w:bottom="1440" w:gutter="0" w:footer="0" w:header="0"/>
        </w:sectPr>
      </w:pPr>
    </w:p>
    <w:bookmarkStart w:id="28" w:name="page29"/>
    <w:bookmarkEnd w:id="2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Three Months Ended June 30,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1,363</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(1,523)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(145)</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(296)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(266)</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(264)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113</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(289)</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440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(290)</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128</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(298)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(181)</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49" w:right="239" w:bottom="1440" w:gutter="0" w:footer="0" w:header="0"/>
        </w:sectPr>
      </w:pPr>
    </w:p>
    <w:bookmarkStart w:id="29" w:name="page30"/>
    <w:bookmarkEnd w:id="2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2,871</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(2,980)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(2,983)</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(112)</w:t>
            </w:r>
          </w:p>
        </w:tc>
        <w:tc>
          <w:tcPr>
            <w:tcW w:w="0" w:type="dxa"/>
            <w:vAlign w:val="bottom"/>
          </w:tcPr>
          <w:p>
            <w:pPr>
              <w:spacing w:after="0"/>
              <w:rPr>
                <w:sz w:val="1"/>
                <w:szCs w:val="1"/>
                <w:color w:val="auto"/>
              </w:rPr>
            </w:pPr>
          </w:p>
        </w:tc>
      </w:tr>
      <w:tr>
        <w:trPr>
          <w:trHeight w:val="318"/>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 (Loss)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(547)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1,025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(960)</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(1,018)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(1,026)</w:t>
            </w:r>
          </w:p>
        </w:tc>
        <w:tc>
          <w:tcPr>
            <w:tcW w:w="1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(509)</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(527)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(1,187)</w:t>
            </w:r>
          </w:p>
        </w:tc>
        <w:tc>
          <w:tcPr>
            <w:tcW w:w="12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1,771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(669)</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49" w:right="239" w:bottom="1440" w:gutter="0" w:footer="0" w:header="0"/>
        </w:sectPr>
      </w:pPr>
    </w:p>
    <w:bookmarkStart w:id="30" w:name="page31"/>
    <w:bookmarkEnd w:id="3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Operations and</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Comprehensive Income (Loss)</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9"/>
              </w:rPr>
              <w:t>Ireland</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5"/>
              </w:rPr>
              <w:t>Bermuda</w:t>
            </w:r>
          </w:p>
        </w:tc>
        <w:tc>
          <w:tcPr>
            <w:tcW w:w="180" w:type="dxa"/>
            <w:vAlign w:val="bottom"/>
          </w:tcPr>
          <w:p>
            <w:pPr>
              <w:spacing w:after="0"/>
              <w:rPr>
                <w:sz w:val="18"/>
                <w:szCs w:val="18"/>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Subsidiaries</w:t>
            </w:r>
          </w:p>
        </w:tc>
        <w:tc>
          <w:tcPr>
            <w:tcW w:w="160" w:type="dxa"/>
            <w:vAlign w:val="bottom"/>
          </w:tcPr>
          <w:p>
            <w:pPr>
              <w:spacing w:after="0"/>
              <w:rPr>
                <w:sz w:val="18"/>
                <w:szCs w:val="18"/>
                <w:color w:val="auto"/>
              </w:rPr>
            </w:pPr>
          </w:p>
        </w:tc>
        <w:tc>
          <w:tcPr>
            <w:tcW w:w="1280" w:type="dxa"/>
            <w:vAlign w:val="bottom"/>
            <w:gridSpan w:val="2"/>
          </w:tcPr>
          <w:p>
            <w:pPr>
              <w:ind w:left="6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2,749</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Costs and Expenses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(3,140)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(3,108)</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Income (Loss)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(359)</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(283)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Charges,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6"/>
                <w:szCs w:val="16"/>
                <w:color w:val="auto"/>
              </w:rPr>
              <w:t>Equity in Subsidiary Income</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(132)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180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80" w:type="dxa"/>
            <w:vAlign w:val="bottom"/>
          </w:tcPr>
          <w:p>
            <w:pPr>
              <w:jc w:val="right"/>
              <w:ind w:right="19"/>
              <w:spacing w:after="0"/>
              <w:rPr>
                <w:sz w:val="20"/>
                <w:szCs w:val="20"/>
                <w:color w:val="auto"/>
              </w:rPr>
            </w:pPr>
            <w:r>
              <w:rPr>
                <w:rFonts w:ascii="Arial" w:cs="Arial" w:eastAsia="Arial" w:hAnsi="Arial"/>
                <w:sz w:val="16"/>
                <w:szCs w:val="16"/>
                <w:color w:val="auto"/>
              </w:rPr>
              <w:t>632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Income (Loss) Before Income Taxes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(261)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99"/>
              </w:rPr>
              <w:t>(Provision) Benefit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17"/>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0"/>
        </w:trPr>
        <w:tc>
          <w:tcPr>
            <w:tcW w:w="2640" w:type="dxa"/>
            <w:vAlign w:val="bottom"/>
          </w:tcPr>
          <w:p>
            <w:pPr>
              <w:ind w:left="40"/>
              <w:spacing w:after="0"/>
              <w:rPr>
                <w:sz w:val="20"/>
                <w:szCs w:val="20"/>
                <w:color w:val="auto"/>
              </w:rPr>
            </w:pPr>
            <w:r>
              <w:rPr>
                <w:rFonts w:ascii="Arial" w:cs="Arial" w:eastAsia="Arial" w:hAnsi="Arial"/>
                <w:sz w:val="16"/>
                <w:szCs w:val="16"/>
                <w:color w:val="auto"/>
              </w:rPr>
              <w:t>Net Income (Loss) Attributable to</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170</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(322)</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(619)</w:t>
            </w:r>
          </w:p>
        </w:tc>
        <w:tc>
          <w:tcPr>
            <w:tcW w:w="0" w:type="dxa"/>
            <w:vAlign w:val="bottom"/>
          </w:tcPr>
          <w:p>
            <w:pPr>
              <w:spacing w:after="0"/>
              <w:rPr>
                <w:sz w:val="1"/>
                <w:szCs w:val="1"/>
                <w:color w:val="auto"/>
              </w:rPr>
            </w:pPr>
          </w:p>
        </w:tc>
      </w:tr>
      <w:tr>
        <w:trPr>
          <w:trHeight w:val="259"/>
        </w:trPr>
        <w:tc>
          <w:tcPr>
            <w:tcW w:w="26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Weatherford</w:t>
            </w:r>
          </w:p>
        </w:tc>
        <w:tc>
          <w:tcPr>
            <w:tcW w:w="180" w:type="dxa"/>
            <w:vAlign w:val="bottom"/>
            <w:tcBorders>
              <w:bottom w:val="single" w:sz="8" w:color="auto"/>
            </w:tcBorders>
            <w:vMerge w:val="continue"/>
          </w:tcPr>
          <w:p>
            <w:pPr>
              <w:spacing w:after="0"/>
              <w:rPr>
                <w:sz w:val="22"/>
                <w:szCs w:val="22"/>
                <w:color w:val="auto"/>
              </w:rPr>
            </w:pPr>
          </w:p>
        </w:tc>
        <w:tc>
          <w:tcPr>
            <w:tcW w:w="122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vMerge w:val="continue"/>
          </w:tcPr>
          <w:p>
            <w:pPr>
              <w:spacing w:after="0"/>
              <w:rPr>
                <w:sz w:val="22"/>
                <w:szCs w:val="22"/>
                <w:color w:val="auto"/>
              </w:rPr>
            </w:pPr>
          </w:p>
        </w:tc>
        <w:tc>
          <w:tcPr>
            <w:tcW w:w="11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1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120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80"/>
        </w:trPr>
        <w:tc>
          <w:tcPr>
            <w:tcW w:w="2640" w:type="dxa"/>
            <w:vAlign w:val="bottom"/>
            <w:shd w:val="clear" w:color="auto" w:fill="CCEEFF"/>
          </w:tcPr>
          <w:p>
            <w:pPr>
              <w:ind w:left="40"/>
              <w:spacing w:after="0" w:line="180" w:lineRule="exact"/>
              <w:rPr>
                <w:sz w:val="20"/>
                <w:szCs w:val="20"/>
                <w:color w:val="auto"/>
              </w:rPr>
            </w:pPr>
            <w:r>
              <w:rPr>
                <w:rFonts w:ascii="Arial" w:cs="Arial" w:eastAsia="Arial" w:hAnsi="Arial"/>
                <w:sz w:val="16"/>
                <w:szCs w:val="16"/>
                <w:color w:val="auto"/>
              </w:rPr>
              <w:t>Comprehensive Income (Loss)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(466)</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102</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(288)</w:t>
            </w:r>
          </w:p>
        </w:tc>
        <w:tc>
          <w:tcPr>
            <w:tcW w:w="12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652</w:t>
            </w:r>
          </w:p>
        </w:tc>
        <w:tc>
          <w:tcPr>
            <w:tcW w:w="100" w:type="dxa"/>
            <w:vAlign w:val="bottom"/>
            <w:shd w:val="clear" w:color="auto" w:fill="CCEEFF"/>
          </w:tcPr>
          <w:p>
            <w:pPr>
              <w:spacing w:after="0"/>
              <w:rPr>
                <w:sz w:val="15"/>
                <w:szCs w:val="15"/>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(586)</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Attributable to Weatherford</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49" w:right="239" w:bottom="1440" w:gutter="0" w:footer="0" w:header="0"/>
        </w:sectPr>
      </w:pPr>
    </w:p>
    <w:bookmarkStart w:id="31" w:name="page32"/>
    <w:bookmarkEnd w:id="31"/>
    <w:p>
      <w:pPr>
        <w:ind w:left="12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June 30, 2018</w:t>
      </w:r>
    </w:p>
    <w:p>
      <w:pPr>
        <w:spacing w:after="0" w:line="9"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Weatherford</w:t>
            </w:r>
          </w:p>
        </w:tc>
        <w:tc>
          <w:tcPr>
            <w:tcW w:w="16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640" w:type="dxa"/>
            <w:vAlign w:val="bottom"/>
          </w:tcPr>
          <w:p>
            <w:pPr>
              <w:ind w:left="20"/>
              <w:spacing w:after="0"/>
              <w:rPr>
                <w:sz w:val="20"/>
                <w:szCs w:val="20"/>
                <w:color w:val="auto"/>
              </w:rPr>
            </w:pPr>
            <w:r>
              <w:rPr>
                <w:rFonts w:ascii="Arial" w:cs="Arial" w:eastAsia="Arial" w:hAnsi="Arial"/>
                <w:sz w:val="16"/>
                <w:szCs w:val="16"/>
                <w:i w:val="1"/>
                <w:iCs w:val="1"/>
                <w:color w:val="auto"/>
              </w:rPr>
              <w:t>(Dollars in millions)</w:t>
            </w:r>
          </w:p>
        </w:tc>
        <w:tc>
          <w:tcPr>
            <w:tcW w:w="16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Bermuda</w:t>
            </w:r>
          </w:p>
        </w:tc>
        <w:tc>
          <w:tcPr>
            <w:tcW w:w="16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60" w:type="dxa"/>
            <w:vAlign w:val="bottom"/>
          </w:tcPr>
          <w:p>
            <w:pPr>
              <w:spacing w:after="0"/>
              <w:rPr>
                <w:sz w:val="18"/>
                <w:szCs w:val="18"/>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160" w:type="dxa"/>
            <w:vAlign w:val="bottom"/>
            <w:gridSpan w:val="2"/>
          </w:tcPr>
          <w:p>
            <w:pPr>
              <w:ind w:left="20"/>
              <w:spacing w:after="0"/>
              <w:rPr>
                <w:sz w:val="20"/>
                <w:szCs w:val="20"/>
                <w:color w:val="auto"/>
              </w:rPr>
            </w:pPr>
            <w:r>
              <w:rPr>
                <w:rFonts w:ascii="Arial" w:cs="Arial" w:eastAsia="Arial" w:hAnsi="Arial"/>
                <w:sz w:val="16"/>
                <w:szCs w:val="16"/>
                <w:b w:val="1"/>
                <w:bCs w:val="1"/>
                <w:color w:val="auto"/>
              </w:rPr>
              <w:t>Eliminations</w:t>
            </w:r>
          </w:p>
        </w:tc>
        <w:tc>
          <w:tcPr>
            <w:tcW w:w="140" w:type="dxa"/>
            <w:vAlign w:val="bottom"/>
          </w:tcPr>
          <w:p>
            <w:pPr>
              <w:spacing w:after="0"/>
              <w:rPr>
                <w:sz w:val="18"/>
                <w:szCs w:val="18"/>
                <w:color w:val="auto"/>
              </w:rPr>
            </w:pPr>
          </w:p>
        </w:tc>
        <w:tc>
          <w:tcPr>
            <w:tcW w:w="1180" w:type="dxa"/>
            <w:vAlign w:val="bottom"/>
          </w:tcPr>
          <w:p>
            <w:pPr>
              <w:jc w:val="right"/>
              <w:ind w:right="9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3,315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3,278</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65</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496</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3,665</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(534)</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3,693</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Equity Investments in Affiliates</w:t>
            </w:r>
          </w:p>
        </w:tc>
        <w:tc>
          <w:tcPr>
            <w:tcW w:w="1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(1,343)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7,701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(14,809)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Receivables, Net</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Other Assets</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5,276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5,286</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7,746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8,979</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2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640" w:type="dxa"/>
            <w:vAlign w:val="bottom"/>
          </w:tcPr>
          <w:p>
            <w:pPr>
              <w:ind w:left="20"/>
              <w:spacing w:after="0"/>
              <w:rPr>
                <w:sz w:val="20"/>
                <w:szCs w:val="20"/>
                <w:color w:val="auto"/>
              </w:rPr>
            </w:pPr>
            <w:r>
              <w:rPr>
                <w:rFonts w:ascii="Arial" w:cs="Arial" w:eastAsia="Arial" w:hAnsi="Arial"/>
                <w:sz w:val="16"/>
                <w:szCs w:val="16"/>
                <w:color w:val="auto"/>
              </w:rPr>
              <w:t>Short-term Borrowings and Current</w:t>
            </w: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640" w:type="dxa"/>
            <w:vAlign w:val="bottom"/>
          </w:tcPr>
          <w:p>
            <w:pPr>
              <w:ind w:left="20"/>
              <w:spacing w:after="0"/>
              <w:rPr>
                <w:sz w:val="20"/>
                <w:szCs w:val="20"/>
                <w:color w:val="auto"/>
              </w:rPr>
            </w:pPr>
            <w:r>
              <w:rPr>
                <w:rFonts w:ascii="Arial" w:cs="Arial" w:eastAsia="Arial" w:hAnsi="Arial"/>
                <w:sz w:val="16"/>
                <w:szCs w:val="16"/>
                <w:color w:val="auto"/>
              </w:rPr>
              <w:t>Portion of Long-Term Debt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276</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295</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9"/>
              </w:rPr>
              <w:t>Accounts Payable and Other Current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2,251</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1,905</w:t>
            </w:r>
          </w:p>
        </w:tc>
        <w:tc>
          <w:tcPr>
            <w:tcW w:w="0" w:type="dxa"/>
            <w:vAlign w:val="bottom"/>
          </w:tcPr>
          <w:p>
            <w:pPr>
              <w:spacing w:after="0"/>
              <w:rPr>
                <w:sz w:val="1"/>
                <w:szCs w:val="1"/>
                <w:color w:val="auto"/>
              </w:rPr>
            </w:pPr>
          </w:p>
        </w:tc>
      </w:tr>
      <w:tr>
        <w:trPr>
          <w:trHeight w:val="217"/>
        </w:trPr>
        <w:tc>
          <w:tcPr>
            <w:tcW w:w="2640" w:type="dxa"/>
            <w:vAlign w:val="bottom"/>
          </w:tcPr>
          <w:p>
            <w:pPr>
              <w:ind w:left="2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444</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2,270</w:t>
            </w: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(533)</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2,200</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6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6,644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763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ind w:right="19"/>
              <w:spacing w:after="0"/>
              <w:rPr>
                <w:sz w:val="20"/>
                <w:szCs w:val="20"/>
                <w:color w:val="auto"/>
              </w:rPr>
            </w:pPr>
            <w:r>
              <w:rPr>
                <w:rFonts w:ascii="Arial" w:cs="Arial" w:eastAsia="Arial" w:hAnsi="Arial"/>
                <w:sz w:val="16"/>
                <w:szCs w:val="16"/>
                <w:color w:val="auto"/>
              </w:rPr>
              <w:t>79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7,634</w:t>
            </w:r>
          </w:p>
        </w:tc>
        <w:tc>
          <w:tcPr>
            <w:tcW w:w="0" w:type="dxa"/>
            <w:vAlign w:val="bottom"/>
          </w:tcPr>
          <w:p>
            <w:pPr>
              <w:spacing w:after="0"/>
              <w:rPr>
                <w:sz w:val="1"/>
                <w:szCs w:val="1"/>
                <w:color w:val="auto"/>
              </w:rPr>
            </w:pPr>
          </w:p>
        </w:tc>
      </w:tr>
      <w:tr>
        <w:trPr>
          <w:trHeight w:val="33"/>
        </w:trPr>
        <w:tc>
          <w:tcPr>
            <w:tcW w:w="2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Intercompany Payables, Net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2,827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Other Long-term Liabilities</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ind w:right="3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446</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457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3,593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(3,467)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10,291</w:t>
            </w:r>
          </w:p>
        </w:tc>
        <w:tc>
          <w:tcPr>
            <w:tcW w:w="0" w:type="dxa"/>
            <w:vAlign w:val="bottom"/>
          </w:tcPr>
          <w:p>
            <w:pPr>
              <w:spacing w:after="0"/>
              <w:rPr>
                <w:sz w:val="1"/>
                <w:szCs w:val="1"/>
                <w:color w:val="auto"/>
              </w:rPr>
            </w:pPr>
          </w:p>
        </w:tc>
      </w:tr>
      <w:tr>
        <w:trPr>
          <w:trHeight w:val="291"/>
        </w:trPr>
        <w:tc>
          <w:tcPr>
            <w:tcW w:w="26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Weatherford Shareholders’ Equity</w:t>
            </w:r>
          </w:p>
        </w:tc>
        <w:tc>
          <w:tcPr>
            <w:tcW w:w="1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9,814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(14,886)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(1,359)</w:t>
            </w:r>
          </w:p>
        </w:tc>
        <w:tc>
          <w:tcPr>
            <w:tcW w:w="0" w:type="dxa"/>
            <w:vAlign w:val="bottom"/>
          </w:tcPr>
          <w:p>
            <w:pPr>
              <w:spacing w:after="0"/>
              <w:rPr>
                <w:sz w:val="1"/>
                <w:szCs w:val="1"/>
                <w:color w:val="auto"/>
              </w:rPr>
            </w:pPr>
          </w:p>
        </w:tc>
      </w:tr>
      <w:tr>
        <w:trPr>
          <w:trHeight w:val="237"/>
        </w:trPr>
        <w:tc>
          <w:tcPr>
            <w:tcW w:w="2640" w:type="dxa"/>
            <w:vAlign w:val="bottom"/>
          </w:tcPr>
          <w:p>
            <w:pPr>
              <w:ind w:left="20"/>
              <w:spacing w:after="0"/>
              <w:rPr>
                <w:sz w:val="20"/>
                <w:szCs w:val="20"/>
                <w:color w:val="auto"/>
              </w:rPr>
            </w:pPr>
            <w:r>
              <w:rPr>
                <w:rFonts w:ascii="Arial" w:cs="Arial" w:eastAsia="Arial" w:hAnsi="Arial"/>
                <w:sz w:val="16"/>
                <w:szCs w:val="16"/>
                <w:color w:val="auto"/>
              </w:rPr>
              <w:t>Noncontrolling Interests</w:t>
            </w:r>
          </w:p>
        </w:tc>
        <w:tc>
          <w:tcPr>
            <w:tcW w:w="160" w:type="dxa"/>
            <w:vAlign w:val="bottom"/>
          </w:tcPr>
          <w:p>
            <w:pPr>
              <w:spacing w:after="0"/>
              <w:rPr>
                <w:sz w:val="20"/>
                <w:szCs w:val="20"/>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47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33"/>
        </w:trPr>
        <w:tc>
          <w:tcPr>
            <w:tcW w:w="26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6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Liabilities and Shareholders’</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(1,340)</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7,746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12,725</w:t>
            </w:r>
          </w:p>
        </w:tc>
        <w:tc>
          <w:tcPr>
            <w:tcW w:w="12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(18,353)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8,979</w:t>
            </w:r>
          </w:p>
        </w:tc>
        <w:tc>
          <w:tcPr>
            <w:tcW w:w="0" w:type="dxa"/>
            <w:vAlign w:val="bottom"/>
          </w:tcPr>
          <w:p>
            <w:pPr>
              <w:spacing w:after="0"/>
              <w:rPr>
                <w:sz w:val="1"/>
                <w:szCs w:val="1"/>
                <w:color w:val="auto"/>
              </w:rPr>
            </w:pPr>
          </w:p>
        </w:tc>
      </w:tr>
      <w:tr>
        <w:trPr>
          <w:trHeight w:val="219"/>
        </w:trPr>
        <w:tc>
          <w:tcPr>
            <w:tcW w:w="2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Equity</w:t>
            </w: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000"/>
          </w:cols>
          <w:pgMar w:left="460" w:top="449" w:right="439" w:bottom="1440" w:gutter="0" w:footer="0" w:header="0"/>
        </w:sectPr>
      </w:pPr>
    </w:p>
    <w:bookmarkStart w:id="32" w:name="page33"/>
    <w:bookmarkEnd w:id="3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December 31, 2017</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3,298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3,265</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Assets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3,716</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3,878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Equity Investments in Affiliates</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7,998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8,009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530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(16,077)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Receivables, Net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5,857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5,869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14,316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Short-term Borrowings and Current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Portion of Long-Term Debt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128</w:t>
            </w:r>
          </w:p>
        </w:tc>
        <w:tc>
          <w:tcPr>
            <w:tcW w:w="1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Accounts Payable and Other Current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c>
          <w:tcPr>
            <w:tcW w:w="0" w:type="dxa"/>
            <w:vAlign w:val="bottom"/>
          </w:tcPr>
          <w:p>
            <w:pPr>
              <w:spacing w:after="0"/>
              <w:rPr>
                <w:sz w:val="1"/>
                <w:szCs w:val="1"/>
                <w:color w:val="auto"/>
              </w:rPr>
            </w:pPr>
          </w:p>
        </w:tc>
      </w:tr>
      <w:tr>
        <w:trPr>
          <w:trHeight w:val="217"/>
        </w:trPr>
        <w:tc>
          <w:tcPr>
            <w:tcW w:w="274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311</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2,459</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(550)</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2,230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7,127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166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159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89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7,541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Intercompany Payables, Net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146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332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(137)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547</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167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2,950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(4,811)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10,318</w:t>
            </w:r>
          </w:p>
        </w:tc>
        <w:tc>
          <w:tcPr>
            <w:tcW w:w="0" w:type="dxa"/>
            <w:vAlign w:val="bottom"/>
          </w:tcPr>
          <w:p>
            <w:pPr>
              <w:spacing w:after="0"/>
              <w:rPr>
                <w:sz w:val="1"/>
                <w:szCs w:val="1"/>
                <w:color w:val="auto"/>
              </w:rPr>
            </w:pPr>
          </w:p>
        </w:tc>
      </w:tr>
      <w:tr>
        <w:trPr>
          <w:trHeight w:val="291"/>
        </w:trPr>
        <w:tc>
          <w:tcPr>
            <w:tcW w:w="27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Weatherford Shareholders’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11,311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(626)</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Noncontrolling Interests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(459)</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2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8,201</w:t>
            </w:r>
          </w:p>
        </w:tc>
        <w:tc>
          <w:tcPr>
            <w:tcW w:w="12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8,529</w:t>
            </w:r>
          </w:p>
        </w:tc>
        <w:tc>
          <w:tcPr>
            <w:tcW w:w="100" w:type="dxa"/>
            <w:vAlign w:val="bottom"/>
            <w:shd w:val="clear" w:color="auto" w:fill="CCEEFF"/>
          </w:tcPr>
          <w:p>
            <w:pPr>
              <w:spacing w:after="0"/>
              <w:rPr>
                <w:sz w:val="17"/>
                <w:szCs w:val="17"/>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14,316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(20,840)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9,747</w:t>
            </w: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w:t>
            </w: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12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49" w:right="239" w:bottom="1440" w:gutter="0" w:footer="0" w:header="0"/>
        </w:sectPr>
      </w:pPr>
    </w:p>
    <w:bookmarkStart w:id="33" w:name="page34"/>
    <w:bookmarkEnd w:id="3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2018</w:t>
      </w:r>
    </w:p>
    <w:p>
      <w:pPr>
        <w:spacing w:after="0" w:line="9"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(501)</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(1,018)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1,618</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(501)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(Loss) to Net Cash Provided (Used) by</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191</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384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(750)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Capital Expenditures for Assets Held for</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Sale</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4"/>
              </w:rPr>
              <w:t>Acquisitions of Businesses, Net of Cash</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Acquired</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Proceeds from Sale of Assets</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50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7"/>
              </w:rPr>
              <w:t>Proceeds from Sale of Businesses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Investment, Net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(450)</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587</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792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(514)</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72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737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(198)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195</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418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613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2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65</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415</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49" w:right="239" w:bottom="1440" w:gutter="0" w:footer="0" w:header="0"/>
        </w:sectPr>
      </w:pPr>
    </w:p>
    <w:bookmarkStart w:id="34" w:name="page35"/>
    <w:bookmarkEnd w:id="3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7"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Six Months Ended June 30, 2017</w:t>
      </w:r>
    </w:p>
    <w:p>
      <w:pPr>
        <w:spacing w:after="0" w:line="9" w:lineRule="exact"/>
        <w:rPr>
          <w:sz w:val="20"/>
          <w:szCs w:val="20"/>
          <w:color w:val="auto"/>
        </w:rPr>
      </w:pPr>
    </w:p>
    <w:p>
      <w:pPr>
        <w:jc w:val="center"/>
        <w:ind w:left="280"/>
        <w:spacing w:after="0"/>
        <w:rPr>
          <w:sz w:val="20"/>
          <w:szCs w:val="20"/>
          <w:color w:val="auto"/>
        </w:rPr>
      </w:pPr>
      <w:r>
        <w:rPr>
          <w:rFonts w:ascii="Arial" w:cs="Arial" w:eastAsia="Arial" w:hAnsi="Arial"/>
          <w:sz w:val="18"/>
          <w:szCs w:val="18"/>
          <w:b w:val="1"/>
          <w:bCs w:val="1"/>
          <w:color w:val="auto"/>
        </w:rPr>
        <w:t>(Unaudited)</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Weatherford</w:t>
            </w:r>
          </w:p>
        </w:tc>
        <w:tc>
          <w:tcPr>
            <w:tcW w:w="18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3"/>
              </w:rPr>
              <w:t>Weatherford</w:t>
            </w:r>
          </w:p>
        </w:tc>
        <w:tc>
          <w:tcPr>
            <w:tcW w:w="1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Other</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740" w:type="dxa"/>
            <w:vAlign w:val="bottom"/>
          </w:tcPr>
          <w:p>
            <w:pPr>
              <w:ind w:left="40"/>
              <w:spacing w:after="0"/>
              <w:rPr>
                <w:sz w:val="20"/>
                <w:szCs w:val="20"/>
                <w:color w:val="auto"/>
              </w:rPr>
            </w:pPr>
            <w:r>
              <w:rPr>
                <w:rFonts w:ascii="Arial" w:cs="Arial" w:eastAsia="Arial" w:hAnsi="Arial"/>
                <w:sz w:val="16"/>
                <w:szCs w:val="16"/>
                <w:i w:val="1"/>
                <w:iCs w:val="1"/>
                <w:color w:val="auto"/>
              </w:rPr>
              <w:t>(Dollars in millions)</w:t>
            </w:r>
          </w:p>
        </w:tc>
        <w:tc>
          <w:tcPr>
            <w:tcW w:w="18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5"/>
              </w:rPr>
              <w:t>Ireland</w:t>
            </w:r>
          </w:p>
        </w:tc>
        <w:tc>
          <w:tcPr>
            <w:tcW w:w="180" w:type="dxa"/>
            <w:vAlign w:val="bottom"/>
          </w:tcPr>
          <w:p>
            <w:pPr>
              <w:spacing w:after="0"/>
              <w:rPr>
                <w:sz w:val="18"/>
                <w:szCs w:val="18"/>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2"/>
              </w:rPr>
              <w:t>Bermuda</w:t>
            </w:r>
          </w:p>
        </w:tc>
        <w:tc>
          <w:tcPr>
            <w:tcW w:w="180" w:type="dxa"/>
            <w:vAlign w:val="bottom"/>
          </w:tcPr>
          <w:p>
            <w:pPr>
              <w:spacing w:after="0"/>
              <w:rPr>
                <w:sz w:val="18"/>
                <w:szCs w:val="18"/>
                <w:color w:val="auto"/>
              </w:rPr>
            </w:pPr>
          </w:p>
        </w:tc>
        <w:tc>
          <w:tcPr>
            <w:tcW w:w="13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3"/>
              </w:rPr>
              <w:t>Delaware</w:t>
            </w:r>
          </w:p>
        </w:tc>
        <w:tc>
          <w:tcPr>
            <w:tcW w:w="180" w:type="dxa"/>
            <w:vAlign w:val="bottom"/>
          </w:tcPr>
          <w:p>
            <w:pPr>
              <w:spacing w:after="0"/>
              <w:rPr>
                <w:sz w:val="18"/>
                <w:szCs w:val="18"/>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8"/>
              </w:rPr>
              <w:t>Subsidiaries</w:t>
            </w:r>
          </w:p>
        </w:tc>
        <w:tc>
          <w:tcPr>
            <w:tcW w:w="140" w:type="dxa"/>
            <w:vAlign w:val="bottom"/>
          </w:tcPr>
          <w:p>
            <w:pPr>
              <w:spacing w:after="0"/>
              <w:rPr>
                <w:sz w:val="18"/>
                <w:szCs w:val="18"/>
                <w:color w:val="auto"/>
              </w:rPr>
            </w:pPr>
          </w:p>
        </w:tc>
        <w:tc>
          <w:tcPr>
            <w:tcW w:w="1200" w:type="dxa"/>
            <w:vAlign w:val="bottom"/>
            <w:gridSpan w:val="2"/>
          </w:tcPr>
          <w:p>
            <w:pPr>
              <w:ind w:left="40"/>
              <w:spacing w:after="0"/>
              <w:rPr>
                <w:sz w:val="20"/>
                <w:szCs w:val="20"/>
                <w:color w:val="auto"/>
              </w:rPr>
            </w:pPr>
            <w:r>
              <w:rPr>
                <w:rFonts w:ascii="Arial" w:cs="Arial" w:eastAsia="Arial" w:hAnsi="Arial"/>
                <w:sz w:val="16"/>
                <w:szCs w:val="16"/>
                <w:b w:val="1"/>
                <w:bCs w:val="1"/>
                <w:color w:val="auto"/>
              </w:rPr>
              <w:t>Eliminations</w:t>
            </w:r>
          </w:p>
        </w:tc>
        <w:tc>
          <w:tcPr>
            <w:tcW w:w="160" w:type="dxa"/>
            <w:vAlign w:val="bottom"/>
          </w:tcPr>
          <w:p>
            <w:pPr>
              <w:spacing w:after="0"/>
              <w:rPr>
                <w:sz w:val="18"/>
                <w:szCs w:val="18"/>
                <w:color w:val="auto"/>
              </w:rPr>
            </w:pPr>
          </w:p>
        </w:tc>
        <w:tc>
          <w:tcPr>
            <w:tcW w:w="1200" w:type="dxa"/>
            <w:vAlign w:val="bottom"/>
          </w:tcPr>
          <w:p>
            <w:pPr>
              <w:jc w:val="right"/>
              <w:ind w:right="119"/>
              <w:spacing w:after="0"/>
              <w:rPr>
                <w:sz w:val="20"/>
                <w:szCs w:val="20"/>
                <w:color w:val="auto"/>
              </w:rPr>
            </w:pPr>
            <w:r>
              <w:rPr>
                <w:rFonts w:ascii="Arial" w:cs="Arial" w:eastAsia="Arial" w:hAnsi="Arial"/>
                <w:sz w:val="16"/>
                <w:szCs w:val="16"/>
                <w:b w:val="1"/>
                <w:bCs w:val="1"/>
                <w:color w:val="auto"/>
                <w:w w:val="91"/>
              </w:rPr>
              <w:t>Consolidation</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Net Income (Loss)</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(619)</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(435)</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170</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(311)</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587</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(608)</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Adjustments to Reconcile Net</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Income(Loss) to Net Cash Provided</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(Used) by Operating Activities:</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Charges from Parent or Subsidiary</w:t>
            </w:r>
          </w:p>
        </w:tc>
        <w:tc>
          <w:tcPr>
            <w:tcW w:w="1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Equity in (Earnings) Loss of Affiliates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w w:val="93"/>
              </w:rPr>
              <w:t>Deferred Income Tax Provision (Benefit)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363</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4"/>
              </w:rPr>
              <w:t>Net Cash Provided (Used) by Operating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(206)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(241)</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w w:val="95"/>
              </w:rPr>
              <w:t>Capital Expenditures for Property, Plant</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and Equipment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Acquisition of Assets Held for Sale</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6"/>
                <w:szCs w:val="16"/>
                <w:color w:val="auto"/>
              </w:rPr>
              <w:t>Acquisition of Intellectual Property</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Proceeds from Sale of Assets and</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Proceeds (Payments) from Sale of</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Businesses,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Investing Activities</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6"/>
              </w:rPr>
              <w:t>Net Cash Provided (Used) by Investing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(315)</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Short-term</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Borrowings (Repayments) Long-term</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Debt, Net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Borrowings (Repayments) Between</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Subsidiaries, Net</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(452)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59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315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Net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w w:val="95"/>
              </w:rPr>
              <w:t>Net Cash Provided (Used) by Financing</w:t>
            </w: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Activities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78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(226)</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99</w:t>
            </w:r>
          </w:p>
        </w:tc>
        <w:tc>
          <w:tcPr>
            <w:tcW w:w="0" w:type="dxa"/>
            <w:vAlign w:val="bottom"/>
          </w:tcPr>
          <w:p>
            <w:pPr>
              <w:spacing w:after="0"/>
              <w:rPr>
                <w:sz w:val="1"/>
                <w:szCs w:val="1"/>
                <w:color w:val="auto"/>
              </w:rPr>
            </w:pPr>
          </w:p>
        </w:tc>
      </w:tr>
      <w:tr>
        <w:trPr>
          <w:trHeight w:val="33"/>
        </w:trPr>
        <w:tc>
          <w:tcPr>
            <w:tcW w:w="27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rPr>
              <w:t>Effect of Exchange Rate Changes On</w:t>
            </w: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20"/>
        </w:trPr>
        <w:tc>
          <w:tcPr>
            <w:tcW w:w="2740" w:type="dxa"/>
            <w:vAlign w:val="bottom"/>
          </w:tcPr>
          <w:p>
            <w:pPr>
              <w:ind w:left="40"/>
              <w:spacing w:after="0"/>
              <w:rPr>
                <w:sz w:val="20"/>
                <w:szCs w:val="20"/>
                <w:color w:val="auto"/>
              </w:rPr>
            </w:pPr>
            <w:r>
              <w:rPr>
                <w:rFonts w:ascii="Arial" w:cs="Arial" w:eastAsia="Arial" w:hAnsi="Arial"/>
                <w:sz w:val="16"/>
                <w:szCs w:val="16"/>
                <w:color w:val="auto"/>
              </w:rPr>
              <w:t>Net Increase (Decrease) in Cash and</w:t>
            </w: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740" w:type="dxa"/>
            <w:vAlign w:val="bottom"/>
          </w:tcPr>
          <w:p>
            <w:pPr>
              <w:ind w:left="40"/>
              <w:spacing w:after="0"/>
              <w:rPr>
                <w:sz w:val="20"/>
                <w:szCs w:val="20"/>
                <w:color w:val="auto"/>
              </w:rPr>
            </w:pPr>
            <w:r>
              <w:rPr>
                <w:rFonts w:ascii="Arial" w:cs="Arial" w:eastAsia="Arial" w:hAnsi="Arial"/>
                <w:sz w:val="16"/>
                <w:szCs w:val="16"/>
                <w:color w:val="auto"/>
              </w:rPr>
              <w:t>Cash Equivalents</w:t>
            </w:r>
          </w:p>
        </w:tc>
        <w:tc>
          <w:tcPr>
            <w:tcW w:w="180" w:type="dxa"/>
            <w:vAlign w:val="bottom"/>
          </w:tcPr>
          <w:p>
            <w:pPr>
              <w:spacing w:after="0"/>
              <w:rPr>
                <w:sz w:val="17"/>
                <w:szCs w:val="17"/>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(432)</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(18)</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(453)</w:t>
            </w:r>
          </w:p>
        </w:tc>
        <w:tc>
          <w:tcPr>
            <w:tcW w:w="0" w:type="dxa"/>
            <w:vAlign w:val="bottom"/>
          </w:tcPr>
          <w:p>
            <w:pPr>
              <w:spacing w:after="0"/>
              <w:rPr>
                <w:sz w:val="1"/>
                <w:szCs w:val="1"/>
                <w:color w:val="auto"/>
              </w:rPr>
            </w:pPr>
          </w:p>
        </w:tc>
      </w:tr>
      <w:tr>
        <w:trPr>
          <w:trHeight w:val="33"/>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740" w:type="dxa"/>
            <w:vAlign w:val="bottom"/>
            <w:shd w:val="clear" w:color="auto" w:fill="CCEEFF"/>
          </w:tcPr>
          <w:p>
            <w:pPr>
              <w:ind w:left="40"/>
              <w:spacing w:after="0"/>
              <w:rPr>
                <w:sz w:val="20"/>
                <w:szCs w:val="20"/>
                <w:color w:val="auto"/>
              </w:rPr>
            </w:pPr>
            <w:r>
              <w:rPr>
                <w:rFonts w:ascii="Arial" w:cs="Arial" w:eastAsia="Arial" w:hAnsi="Arial"/>
                <w:sz w:val="16"/>
                <w:szCs w:val="16"/>
                <w:color w:val="auto"/>
                <w:w w:val="92"/>
              </w:rPr>
              <w:t>Cash and Cash Equivalents at Beginning</w:t>
            </w: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of Period</w:t>
            </w:r>
          </w:p>
        </w:tc>
        <w:tc>
          <w:tcPr>
            <w:tcW w:w="18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586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447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1,037</w:t>
            </w:r>
          </w:p>
        </w:tc>
        <w:tc>
          <w:tcPr>
            <w:tcW w:w="0" w:type="dxa"/>
            <w:vAlign w:val="bottom"/>
          </w:tcPr>
          <w:p>
            <w:pPr>
              <w:spacing w:after="0"/>
              <w:rPr>
                <w:sz w:val="1"/>
                <w:szCs w:val="1"/>
                <w:color w:val="auto"/>
              </w:rPr>
            </w:pPr>
          </w:p>
        </w:tc>
      </w:tr>
      <w:tr>
        <w:trPr>
          <w:trHeight w:val="200"/>
        </w:trPr>
        <w:tc>
          <w:tcPr>
            <w:tcW w:w="2740" w:type="dxa"/>
            <w:vAlign w:val="bottom"/>
          </w:tcPr>
          <w:p>
            <w:pPr>
              <w:ind w:left="40"/>
              <w:spacing w:after="0"/>
              <w:rPr>
                <w:sz w:val="20"/>
                <w:szCs w:val="20"/>
                <w:color w:val="auto"/>
              </w:rPr>
            </w:pPr>
            <w:r>
              <w:rPr>
                <w:rFonts w:ascii="Arial" w:cs="Arial" w:eastAsia="Arial" w:hAnsi="Arial"/>
                <w:sz w:val="16"/>
                <w:szCs w:val="16"/>
                <w:color w:val="auto"/>
              </w:rPr>
              <w:t>Cash and Cash Equivalents at End of</w:t>
            </w: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154</w:t>
            </w:r>
          </w:p>
        </w:tc>
        <w:tc>
          <w:tcPr>
            <w:tcW w:w="120" w:type="dxa"/>
            <w:vAlign w:val="bottom"/>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8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429</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vMerge w:val="restart"/>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584</w:t>
            </w:r>
          </w:p>
        </w:tc>
        <w:tc>
          <w:tcPr>
            <w:tcW w:w="0" w:type="dxa"/>
            <w:vAlign w:val="bottom"/>
          </w:tcPr>
          <w:p>
            <w:pPr>
              <w:spacing w:after="0"/>
              <w:rPr>
                <w:sz w:val="1"/>
                <w:szCs w:val="1"/>
                <w:color w:val="auto"/>
              </w:rPr>
            </w:pPr>
          </w:p>
        </w:tc>
      </w:tr>
      <w:tr>
        <w:trPr>
          <w:trHeight w:val="224"/>
        </w:trPr>
        <w:tc>
          <w:tcPr>
            <w:tcW w:w="2740" w:type="dxa"/>
            <w:vAlign w:val="bottom"/>
          </w:tcPr>
          <w:p>
            <w:pPr>
              <w:ind w:left="40"/>
              <w:spacing w:after="0"/>
              <w:rPr>
                <w:sz w:val="20"/>
                <w:szCs w:val="20"/>
                <w:color w:val="auto"/>
              </w:rPr>
            </w:pPr>
            <w:r>
              <w:rPr>
                <w:rFonts w:ascii="Arial" w:cs="Arial" w:eastAsia="Arial" w:hAnsi="Arial"/>
                <w:sz w:val="16"/>
                <w:szCs w:val="16"/>
                <w:color w:val="auto"/>
              </w:rPr>
              <w:t>Period</w:t>
            </w: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vMerge w:val="continue"/>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49" w:right="239" w:bottom="1440" w:gutter="0" w:footer="0" w:header="0"/>
        </w:sectPr>
      </w:pPr>
    </w:p>
    <w:bookmarkStart w:id="35" w:name="page36"/>
    <w:bookmarkEnd w:id="35"/>
    <w:p>
      <w:pPr>
        <w:ind w:left="1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20. Subsequent Event</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July 11, 2018, we entered into purchase and sale agreements with ADES to sell our land drilling rig operations in Algeria, Kuwait and Saudi Arabia, as well as two idle land rigs in Iraq, for an aggregate purchase price of $287.5 million in cash, subject to potential adjustments based on working capital, net cash, loss or destruction of rigs and drilling contract backlog. ADES has advanced $43 million of the purchase price in the form of a deposit, which will be held in escrow and released at closing for credit towards the purchase price. The transaction includes 31 land drilling rigs and related drilling contracts, as well as employees and contract personnel. We expect to close these transactions in a series of closings, most of which will be substantially complete in the second half of 2018.</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420" w:top="449" w:right="239" w:bottom="1440" w:gutter="0" w:footer="0" w:header="0"/>
        </w:sectPr>
      </w:pPr>
    </w:p>
    <w:bookmarkStart w:id="36" w:name="page37"/>
    <w:bookmarkEnd w:id="3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used herein, the “Company,” “we,” “us” and “our” refer to Weatherford International plc (“Weatherford Ireland”), a public limited company organized under the laws of Ireland, and its subsidiaries on a consolidated basis. The following discussion should be read in conjunction with the Condensed Consolidated Financial Statements and Notes thereto included in “Item 1. Financial Statements.” Our discussion includes various forward-looking statements about our markets, the demand for our products and services and our future results. These statements are based on certain assumptions we consider reasonable. For information about these assumptions, please review the section entitled “Forward-Looking Statements” and the section entitled “Part II – Other Information – Item 1A. – Risk Factors.”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conduct operations in approximately 90 countries and have service and sales locations in nearly all of the oil and natural gas producing regions in the world. Our operational performance is reviewed on a geographic basis, and we report the following as separate, distinct reporting segments: Western Hemisphere and Eastern Hemisphere.</w:t>
      </w:r>
    </w:p>
    <w:p>
      <w:pPr>
        <w:spacing w:after="0" w:line="18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Our principal business is to provide equipment and services to the oil and natural gas exploration and production industry, both onshore and offshore. Our products and services include: (1) Production, (2) Completions, (3) Drilling and Evaluation and (4) Well Construction.</w:t>
      </w:r>
    </w:p>
    <w:p>
      <w:pPr>
        <w:spacing w:after="0" w:line="170" w:lineRule="exact"/>
        <w:rPr>
          <w:sz w:val="20"/>
          <w:szCs w:val="20"/>
          <w:color w:val="auto"/>
        </w:rPr>
      </w:pPr>
    </w:p>
    <w:p>
      <w:pPr>
        <w:ind w:left="840" w:hanging="332"/>
        <w:spacing w:after="0" w:line="277" w:lineRule="auto"/>
        <w:tabs>
          <w:tab w:leader="none" w:pos="8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Production </w:t>
      </w:r>
      <w:r>
        <w:rPr>
          <w:rFonts w:ascii="Arial" w:cs="Arial" w:eastAsia="Arial" w:hAnsi="Arial"/>
          <w:sz w:val="18"/>
          <w:szCs w:val="18"/>
          <w:color w:val="auto"/>
        </w:rPr>
        <w:t>offers production optimization services and a complete production ecosystem to boost productivity and profitability, featuring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artificial-lift portfolio, testing and flow-measurement solutions and optimization software.</w:t>
      </w:r>
    </w:p>
    <w:p>
      <w:pPr>
        <w:spacing w:after="0" w:line="170" w:lineRule="exact"/>
        <w:rPr>
          <w:rFonts w:ascii="Arial" w:cs="Arial" w:eastAsia="Arial" w:hAnsi="Arial"/>
          <w:sz w:val="18"/>
          <w:szCs w:val="18"/>
          <w:b w:val="1"/>
          <w:bCs w:val="1"/>
          <w:i w:val="1"/>
          <w:iCs w:val="1"/>
          <w:color w:val="auto"/>
        </w:rPr>
      </w:pPr>
    </w:p>
    <w:p>
      <w:pPr>
        <w:ind w:left="840" w:hanging="332"/>
        <w:spacing w:after="0" w:line="277"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Completions </w:t>
      </w:r>
      <w:r>
        <w:rPr>
          <w:rFonts w:ascii="Arial" w:cs="Arial" w:eastAsia="Arial" w:hAnsi="Arial"/>
          <w:sz w:val="18"/>
          <w:szCs w:val="18"/>
          <w:color w:val="auto"/>
        </w:rPr>
        <w:t>is a suite of modern completion products, reservoir stimulation designs and engineering capabilities that isolate zones and unlock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reserves in deepwater, unconventional and aging reservoirs.</w:t>
      </w:r>
    </w:p>
    <w:p>
      <w:pPr>
        <w:spacing w:after="0" w:line="170" w:lineRule="exact"/>
        <w:rPr>
          <w:rFonts w:ascii="Arial" w:cs="Arial" w:eastAsia="Arial" w:hAnsi="Arial"/>
          <w:sz w:val="18"/>
          <w:szCs w:val="18"/>
          <w:color w:val="auto"/>
        </w:rPr>
      </w:pPr>
    </w:p>
    <w:p>
      <w:pPr>
        <w:jc w:val="both"/>
        <w:ind w:left="840" w:hanging="332"/>
        <w:spacing w:after="0" w:line="312" w:lineRule="auto"/>
        <w:tabs>
          <w:tab w:leader="none" w:pos="84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Drilling and Evaluation </w:t>
      </w:r>
      <w:r>
        <w:rPr>
          <w:rFonts w:ascii="Arial" w:cs="Arial" w:eastAsia="Arial" w:hAnsi="Arial"/>
          <w:sz w:val="16"/>
          <w:szCs w:val="16"/>
          <w:color w:val="auto"/>
        </w:rPr>
        <w:t>comprises a suite of services ranging from early well planning to reservoir management. The drilling services offer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innovative tools and expert engineering to increase efficiency and maximize reservoir exposure. The evaluation services merge wellsite capabilities including wireline, logging while drilling, and surface logging with laboratory-fluid and core analyses to reduce reservoir uncertainty.</w:t>
      </w:r>
    </w:p>
    <w:p>
      <w:pPr>
        <w:spacing w:after="0" w:line="146" w:lineRule="exact"/>
        <w:rPr>
          <w:rFonts w:ascii="Arial" w:cs="Arial" w:eastAsia="Arial" w:hAnsi="Arial"/>
          <w:sz w:val="16"/>
          <w:szCs w:val="16"/>
          <w:color w:val="auto"/>
        </w:rPr>
      </w:pPr>
    </w:p>
    <w:p>
      <w:pPr>
        <w:jc w:val="both"/>
        <w:ind w:left="840" w:hanging="332"/>
        <w:spacing w:after="0" w:line="259" w:lineRule="auto"/>
        <w:tabs>
          <w:tab w:leader="none" w:pos="84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 Construction </w:t>
      </w:r>
      <w:r>
        <w:rPr>
          <w:rFonts w:ascii="Arial" w:cs="Arial" w:eastAsia="Arial" w:hAnsi="Arial"/>
          <w:sz w:val="18"/>
          <w:szCs w:val="18"/>
          <w:color w:val="auto"/>
        </w:rPr>
        <w:t>builds or rebuilds well integrity for the full life cycle of the well. Using conventional to advanced equipment, we offer safe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efficient tubular running services in any environment. Our skilled fishing and re-entry teams execute under any contingency from drilling to abandonment, and our drilling tools provide reliable pressure control even in extreme wellbores. We also include our land drilling rig business as part of Well Construction.</w:t>
      </w: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Industry Trends</w:t>
      </w:r>
    </w:p>
    <w:p>
      <w:pPr>
        <w:spacing w:after="0" w:line="22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level of spending in the energy industry is heavily influenced by current and expected future prices of oil and natural gas. Changes in expenditures result in an increased or decreased demand for our products and services. Rig count is an indicator of the level of spending for exploration and production of oil and natural gas reserves. The following chart sets forth certain statistics that reflect current and historical market conditions:</w:t>
      </w:r>
    </w:p>
    <w:p>
      <w:pPr>
        <w:spacing w:after="0" w:line="107" w:lineRule="exact"/>
        <w:rPr>
          <w:sz w:val="20"/>
          <w:szCs w:val="20"/>
          <w:color w:val="auto"/>
        </w:rPr>
      </w:pPr>
    </w:p>
    <w:tbl>
      <w:tblPr>
        <w:tblLayout w:type="fixed"/>
        <w:tblInd w:w="1120" w:type="dxa"/>
        <w:tblCellMar>
          <w:top w:w="0" w:type="dxa"/>
          <w:left w:w="0" w:type="dxa"/>
          <w:bottom w:w="0" w:type="dxa"/>
          <w:right w:w="0" w:type="dxa"/>
        </w:tblCellMar>
      </w:tblP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5"/>
              </w:rPr>
              <w:t>North</w:t>
            </w:r>
          </w:p>
        </w:tc>
        <w:tc>
          <w:tcPr>
            <w:tcW w:w="1500" w:type="dxa"/>
            <w:vAlign w:val="bottom"/>
          </w:tcPr>
          <w:p>
            <w:pPr>
              <w:spacing w:after="0"/>
              <w:rPr>
                <w:sz w:val="18"/>
                <w:szCs w:val="18"/>
                <w:color w:val="auto"/>
              </w:rPr>
            </w:pPr>
          </w:p>
        </w:tc>
      </w:tr>
      <w:tr>
        <w:trPr>
          <w:trHeight w:val="216"/>
        </w:trPr>
        <w:tc>
          <w:tcPr>
            <w:tcW w:w="3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Henry Hub</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American</w:t>
            </w:r>
          </w:p>
        </w:tc>
        <w:tc>
          <w:tcPr>
            <w:tcW w:w="1500" w:type="dxa"/>
            <w:vAlign w:val="bottom"/>
          </w:tcPr>
          <w:p>
            <w:pPr>
              <w:jc w:val="right"/>
              <w:spacing w:after="0"/>
              <w:rPr>
                <w:sz w:val="20"/>
                <w:szCs w:val="20"/>
                <w:color w:val="auto"/>
              </w:rPr>
            </w:pPr>
            <w:r>
              <w:rPr>
                <w:rFonts w:ascii="Arial" w:cs="Arial" w:eastAsia="Arial" w:hAnsi="Arial"/>
                <w:sz w:val="18"/>
                <w:szCs w:val="18"/>
                <w:b w:val="1"/>
                <w:bCs w:val="1"/>
                <w:color w:val="auto"/>
                <w:w w:val="98"/>
              </w:rPr>
              <w:t>International Rig</w:t>
            </w:r>
          </w:p>
        </w:tc>
      </w:tr>
      <w:tr>
        <w:trPr>
          <w:trHeight w:val="261"/>
        </w:trPr>
        <w:tc>
          <w:tcPr>
            <w:tcW w:w="3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40" w:type="dxa"/>
            <w:vAlign w:val="bottom"/>
            <w:gridSpan w:val="2"/>
          </w:tcPr>
          <w:p>
            <w:pPr>
              <w:ind w:left="80"/>
              <w:spacing w:after="0" w:line="262" w:lineRule="exact"/>
              <w:rPr>
                <w:sz w:val="20"/>
                <w:szCs w:val="20"/>
                <w:color w:val="auto"/>
              </w:rPr>
            </w:pPr>
            <w:r>
              <w:rPr>
                <w:rFonts w:ascii="Arial" w:cs="Arial" w:eastAsia="Arial" w:hAnsi="Arial"/>
                <w:sz w:val="18"/>
                <w:szCs w:val="18"/>
                <w:b w:val="1"/>
                <w:bCs w:val="1"/>
                <w:color w:val="auto"/>
              </w:rPr>
              <w:t xml:space="preserve">WTI Oil </w:t>
            </w:r>
            <w:r>
              <w:rPr>
                <w:rFonts w:ascii="Arial" w:cs="Arial" w:eastAsia="Arial" w:hAnsi="Arial"/>
                <w:sz w:val="25"/>
                <w:szCs w:val="25"/>
                <w:b w:val="1"/>
                <w:bCs w:val="1"/>
                <w:color w:val="auto"/>
                <w:vertAlign w:val="superscript"/>
              </w:rPr>
              <w:t>(a)</w:t>
            </w:r>
          </w:p>
        </w:tc>
        <w:tc>
          <w:tcPr>
            <w:tcW w:w="140" w:type="dxa"/>
            <w:vAlign w:val="bottom"/>
          </w:tcPr>
          <w:p>
            <w:pPr>
              <w:spacing w:after="0"/>
              <w:rPr>
                <w:sz w:val="22"/>
                <w:szCs w:val="22"/>
                <w:color w:val="auto"/>
              </w:rPr>
            </w:pPr>
          </w:p>
        </w:tc>
        <w:tc>
          <w:tcPr>
            <w:tcW w:w="1180" w:type="dxa"/>
            <w:vAlign w:val="bottom"/>
            <w:gridSpan w:val="2"/>
          </w:tcPr>
          <w:p>
            <w:pPr>
              <w:jc w:val="center"/>
              <w:ind w:right="240"/>
              <w:spacing w:after="0" w:line="262" w:lineRule="exact"/>
              <w:rPr>
                <w:sz w:val="20"/>
                <w:szCs w:val="20"/>
                <w:color w:val="auto"/>
              </w:rPr>
            </w:pPr>
            <w:r>
              <w:rPr>
                <w:rFonts w:ascii="Arial" w:cs="Arial" w:eastAsia="Arial" w:hAnsi="Arial"/>
                <w:sz w:val="18"/>
                <w:szCs w:val="18"/>
                <w:b w:val="1"/>
                <w:bCs w:val="1"/>
                <w:color w:val="auto"/>
                <w:w w:val="82"/>
              </w:rPr>
              <w:t xml:space="preserve">Gas </w:t>
            </w:r>
            <w:r>
              <w:rPr>
                <w:rFonts w:ascii="Arial" w:cs="Arial" w:eastAsia="Arial" w:hAnsi="Arial"/>
                <w:sz w:val="25"/>
                <w:szCs w:val="25"/>
                <w:b w:val="1"/>
                <w:bCs w:val="1"/>
                <w:color w:val="auto"/>
                <w:w w:val="82"/>
                <w:vertAlign w:val="superscript"/>
              </w:rPr>
              <w:t>(b)</w:t>
            </w:r>
          </w:p>
        </w:tc>
        <w:tc>
          <w:tcPr>
            <w:tcW w:w="1600" w:type="dxa"/>
            <w:vAlign w:val="bottom"/>
            <w:gridSpan w:val="2"/>
          </w:tcPr>
          <w:p>
            <w:pPr>
              <w:jc w:val="center"/>
              <w:ind w:right="100"/>
              <w:spacing w:after="0" w:line="262" w:lineRule="exact"/>
              <w:rPr>
                <w:sz w:val="20"/>
                <w:szCs w:val="20"/>
                <w:color w:val="auto"/>
              </w:rPr>
            </w:pPr>
            <w:r>
              <w:rPr>
                <w:rFonts w:ascii="Arial" w:cs="Arial" w:eastAsia="Arial" w:hAnsi="Arial"/>
                <w:sz w:val="18"/>
                <w:szCs w:val="18"/>
                <w:b w:val="1"/>
                <w:bCs w:val="1"/>
                <w:color w:val="auto"/>
                <w:w w:val="87"/>
              </w:rPr>
              <w:t xml:space="preserve">Rig Count </w:t>
            </w:r>
            <w:r>
              <w:rPr>
                <w:rFonts w:ascii="Arial" w:cs="Arial" w:eastAsia="Arial" w:hAnsi="Arial"/>
                <w:sz w:val="25"/>
                <w:szCs w:val="25"/>
                <w:b w:val="1"/>
                <w:bCs w:val="1"/>
                <w:color w:val="auto"/>
                <w:w w:val="87"/>
                <w:vertAlign w:val="superscript"/>
              </w:rPr>
              <w:t>(c)</w:t>
            </w:r>
          </w:p>
        </w:tc>
        <w:tc>
          <w:tcPr>
            <w:tcW w:w="1500" w:type="dxa"/>
            <w:vAlign w:val="bottom"/>
          </w:tcPr>
          <w:p>
            <w:pPr>
              <w:jc w:val="right"/>
              <w:ind w:right="330"/>
              <w:spacing w:after="0" w:line="262" w:lineRule="exact"/>
              <w:rPr>
                <w:sz w:val="20"/>
                <w:szCs w:val="20"/>
                <w:color w:val="auto"/>
              </w:rPr>
            </w:pPr>
            <w:r>
              <w:rPr>
                <w:rFonts w:ascii="Arial" w:cs="Arial" w:eastAsia="Arial" w:hAnsi="Arial"/>
                <w:sz w:val="18"/>
                <w:szCs w:val="18"/>
                <w:b w:val="1"/>
                <w:bCs w:val="1"/>
                <w:color w:val="auto"/>
              </w:rPr>
              <w:t xml:space="preserve">Count </w:t>
            </w:r>
            <w:r>
              <w:rPr>
                <w:rFonts w:ascii="Arial" w:cs="Arial" w:eastAsia="Arial" w:hAnsi="Arial"/>
                <w:sz w:val="25"/>
                <w:szCs w:val="25"/>
                <w:b w:val="1"/>
                <w:bCs w:val="1"/>
                <w:color w:val="auto"/>
                <w:vertAlign w:val="superscript"/>
              </w:rPr>
              <w:t>(c)</w:t>
            </w:r>
          </w:p>
        </w:tc>
      </w:tr>
      <w:tr>
        <w:trPr>
          <w:trHeight w:val="244"/>
        </w:trPr>
        <w:tc>
          <w:tcPr>
            <w:tcW w:w="32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2018</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74.15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968</w:t>
            </w:r>
          </w:p>
        </w:tc>
      </w:tr>
      <w:tr>
        <w:trPr>
          <w:trHeight w:val="243"/>
        </w:trPr>
        <w:tc>
          <w:tcPr>
            <w:tcW w:w="3240" w:type="dxa"/>
            <w:vAlign w:val="bottom"/>
          </w:tcPr>
          <w:p>
            <w:pPr>
              <w:ind w:left="20"/>
              <w:spacing w:after="0"/>
              <w:rPr>
                <w:sz w:val="20"/>
                <w:szCs w:val="20"/>
                <w:color w:val="auto"/>
              </w:rPr>
            </w:pPr>
            <w:r>
              <w:rPr>
                <w:rFonts w:ascii="Arial" w:cs="Arial" w:eastAsia="Arial" w:hAnsi="Arial"/>
                <w:sz w:val="18"/>
                <w:szCs w:val="18"/>
                <w:color w:val="auto"/>
              </w:rPr>
              <w:t>December 31, 2017</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60.42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2.95</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1,127</w:t>
            </w:r>
          </w:p>
        </w:tc>
        <w:tc>
          <w:tcPr>
            <w:tcW w:w="12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949</w:t>
            </w:r>
          </w:p>
        </w:tc>
      </w:tr>
      <w:tr>
        <w:trPr>
          <w:trHeight w:val="27"/>
        </w:trPr>
        <w:tc>
          <w:tcPr>
            <w:tcW w:w="3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43"/>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June 30, 2017</w:t>
            </w:r>
          </w:p>
        </w:tc>
        <w:tc>
          <w:tcPr>
            <w:tcW w:w="2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c>
          <w:tcPr>
            <w:tcW w:w="12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r>
      <w:tr>
        <w:trPr>
          <w:trHeight w:val="27"/>
        </w:trPr>
        <w:tc>
          <w:tcPr>
            <w:tcW w:w="32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r>
    </w:tbl>
    <w:p>
      <w:pPr>
        <w:spacing w:after="0" w:line="89"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barrel of West Texas Intermediate (“WTI”) crude oil as of the date indicated at Cushing, Oklahoma – Source: Thomson Reuters</w:t>
      </w:r>
    </w:p>
    <w:p>
      <w:pPr>
        <w:spacing w:after="0" w:line="13"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Price per MM/BTU as of the date indicated at Henry Hub Louisiana – Source: Thomson Reuters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6"/>
        </w:numPr>
        <w:rPr>
          <w:rFonts w:ascii="Arial" w:cs="Arial" w:eastAsia="Arial" w:hAnsi="Arial"/>
          <w:sz w:val="14"/>
          <w:szCs w:val="14"/>
          <w:color w:val="auto"/>
        </w:rPr>
      </w:pPr>
      <w:r>
        <w:rPr>
          <w:rFonts w:ascii="Arial" w:cs="Arial" w:eastAsia="Arial" w:hAnsi="Arial"/>
          <w:sz w:val="14"/>
          <w:szCs w:val="14"/>
          <w:color w:val="auto"/>
        </w:rPr>
        <w:t>Quarterly average rig count – Source: Baker Hughes Rig Count</w:t>
      </w:r>
    </w:p>
    <w:p>
      <w:pPr>
        <w:spacing w:after="0" w:line="200" w:lineRule="exact"/>
        <w:rPr>
          <w:sz w:val="20"/>
          <w:szCs w:val="20"/>
          <w:color w:val="auto"/>
        </w:rPr>
      </w:pPr>
    </w:p>
    <w:p>
      <w:pPr>
        <w:spacing w:after="0" w:line="25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49" w:right="239" w:bottom="1440" w:gutter="0" w:footer="0" w:header="0"/>
        </w:sectPr>
      </w:pPr>
    </w:p>
    <w:bookmarkStart w:id="37" w:name="page38"/>
    <w:bookmarkEnd w:id="3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During the first six months of 2018 oil prices ranged from a high of $74.15 per barrel in late June to a low of $59.19 per barrel in mid-February on the New York Mercantile Exchange. Natural gas ranged from a high of $3.63 MM/BTU in late January to a low of $2.55 MM/BTU in mid-February. Factors influencing oil and natural gas prices during the period include hydrocarbon inventory levels, realized and expected global economic growth, realized and expected levels of hydrocarbon demand, level of production capacity and weather and geopolitical uncertainty.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Outlook</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For the second half of 2018, we expect growth in the Western Hemisphere to be driven higher demand for our products and services in well construction, production, and drilling services as rig count increases, supplies tighten and as our transformation progresses. North America growth is expected to improve with continued activity in the Permian Basin, seasonal improvements in Canada, partly offset by slightly lower than expected results in Latin America, which will remain relatively subdued, combined with inflationary pressures in Argentina. In the Eastern Hemisphere, we continue to anticipate growth in the North Sea, Continental Europe and in the Gulf Cooperation Council countries as a result of market share gains. We expect activity levels in Russia to increase while Africa, Asia and Europe are expected to remain relatively stable. We believe certain deepwater markets in the Eastern Hemisphere have likely reached their bottom with little expected improvements in the near term.</w:t>
      </w:r>
    </w:p>
    <w:p>
      <w:pPr>
        <w:spacing w:after="0" w:line="17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Absent of any geopolitical events, we believe our industry will remain within this ‘medium-for-longer’ price level paradigm for some time, until production growth is moderated. In the interim, we expect continuous short-term cyclical fluctuations. We will continue to push innovation, both from a technological and a business model perspective, and we will deliver operational excellence to bring the cost of production down to a point at which market participants can make a decent return. For us, this means continuous focus on our transformation program, which started late in the fourth quarter of 2017, generating cost savings through the flattening of our organizational structure, driving process changes, improving the efficiency of our supply chain, sales and general administrative organizations and continuing to rationalize our manufacturing footprint.</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With current industry conditions, steadier oil prices and an increase in spending and activity, we continue to believe that over the longer term the outlook for our businesses is favorable. As production decline rates accelerate and reservoir productivity complexities increase, our clients will continue to face challenges associated with decreasing the cost of extraction activities and securing desired rates of production. These challenges increase our customers’ requirements for technologies that improve productivity and efficiency and therefore increase demand for our products and services. These factors provide us with a positive outlook for our businesses over the longer term. However, the level of improvement in our businesses in the future will depend heavily on pricing, volume of work and our ability to offer solutions to more efficiently extract hydrocarbons, control costs and penetrate new and existing markets with our newly developed technologies.</w:t>
      </w:r>
    </w:p>
    <w:p>
      <w:pPr>
        <w:spacing w:after="0" w:line="189"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continually seek opportunities to maximize efficiency and value through various transactions, including purchases or dispositions of assets, businesses, investments or joint ventures. In the first quarter of 2018 we acquired the remaining interest in our Qatari joint venture that we now consolidate. We evaluate our disposition candidates based on the strategic fit within our business and/or our short and long-term objectives. On July 11, 2018, we entered into purchase and sale agreements to sell our land drilling rig operations in Algeria, Kuwait and Saudi Arabia as well as two idle land rigs in Iraq, to ADES International Holding Ltd. (“ADES”), for an aggregate purchase price of $287.5 million. During the second quarter of 2018, we also committed to plans to divest certain remaining land drilling rigs operations and other business operations for which we believe a sale is probable within the next twelve months. Upon completion, the cash proceeds from any divestitures are expected to be used to for working capital or repay or repurchase debt. Any such debt reduction may include the repurchase of our outstanding senior notes prior to their maturity in the open market or through a privately negotiated transaction.</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oilfield services industry growth is highly dependent on many external factors, such as our customers’ capital expenditures, world economic and political conditions, the price of oil and natural gas, member-country quota compliance within the Organization of Petroleum Exporting Countries and weather conditions and other factors, including those described in the section entitled “Forward-Looking Statements.”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Opportunities and Challenges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industry offers many opportunities and challenges. The cyclicality of the energy industry impacts the demand for our products and services. Certain of our products and services, such as our drilling and evaluation services, well construction and well completion services, depend on the level of exploration and development activity and the completion phase of the well life cycle. Other products and services, such as our production optimization and artificial lift systems, are dependent on the number of wells and the type of production systems used. We have created a long-term strategy aimed at growing our businesses, servicing</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49"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our customers, and most importantly, creating value for our shareholders. The success of our long-term strategy will be determined by our ability to manage effectively any industry cyclicality, including the ongoing and prolonged industry downturn and our ability to respond to industry demands and periods of over-supply or low oil prices, successfully maximize the benefits from our acquisitions and complete the disposition of our non-core assets, including our land drilling rigs business.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contains selected financial data comparing our consolidated and segment results from operations for the second quarter and the first six months of 2018 and 2017:</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0" w:type="dxa"/>
            <w:vAlign w:val="bottom"/>
            <w:gridSpan w:val="5"/>
          </w:tcPr>
          <w:p>
            <w:pPr>
              <w:ind w:left="380"/>
              <w:spacing w:after="0"/>
              <w:rPr>
                <w:sz w:val="20"/>
                <w:szCs w:val="20"/>
                <w:color w:val="auto"/>
              </w:rPr>
            </w:pPr>
            <w:r>
              <w:rPr>
                <w:rFonts w:ascii="Arial" w:cs="Arial" w:eastAsia="Arial" w:hAnsi="Arial"/>
                <w:sz w:val="18"/>
                <w:szCs w:val="18"/>
                <w:b w:val="1"/>
                <w:bCs w:val="1"/>
                <w:color w:val="auto"/>
              </w:rPr>
              <w:t>Three Months Ended</w:t>
            </w: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r>
      <w:tr>
        <w:trPr>
          <w:trHeight w:val="270"/>
        </w:trPr>
        <w:tc>
          <w:tcPr>
            <w:tcW w:w="56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600" w:type="dxa"/>
            <w:vAlign w:val="bottom"/>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tcPr>
          <w:p>
            <w:pPr>
              <w:spacing w:after="0"/>
              <w:rPr>
                <w:sz w:val="23"/>
                <w:szCs w:val="23"/>
                <w:color w:val="auto"/>
              </w:rPr>
            </w:pPr>
          </w:p>
        </w:tc>
      </w:tr>
      <w:tr>
        <w:trPr>
          <w:trHeight w:val="27"/>
        </w:trPr>
        <w:tc>
          <w:tcPr>
            <w:tcW w:w="56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8"/>
        </w:trPr>
        <w:tc>
          <w:tcPr>
            <w:tcW w:w="5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25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80" w:type="dxa"/>
            <w:vAlign w:val="bottom"/>
          </w:tcPr>
          <w:p>
            <w:pPr>
              <w:jc w:val="right"/>
              <w:ind w:right="23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620" w:type="dxa"/>
            <w:vAlign w:val="bottom"/>
          </w:tcPr>
          <w:p>
            <w:pPr>
              <w:ind w:left="8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140" w:type="dxa"/>
            <w:vAlign w:val="bottom"/>
          </w:tcPr>
          <w:p>
            <w:pPr>
              <w:spacing w:after="0"/>
              <w:rPr>
                <w:sz w:val="20"/>
                <w:szCs w:val="20"/>
                <w:color w:val="auto"/>
              </w:rPr>
            </w:pPr>
          </w:p>
        </w:tc>
        <w:tc>
          <w:tcPr>
            <w:tcW w:w="11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90"/>
              <w:spacing w:after="0"/>
              <w:rPr>
                <w:sz w:val="20"/>
                <w:szCs w:val="20"/>
                <w:color w:val="auto"/>
              </w:rPr>
            </w:pPr>
            <w:r>
              <w:rPr>
                <w:rFonts w:ascii="Arial" w:cs="Arial" w:eastAsia="Arial" w:hAnsi="Arial"/>
                <w:sz w:val="18"/>
                <w:szCs w:val="18"/>
                <w:b w:val="1"/>
                <w:bCs w:val="1"/>
                <w:color w:val="auto"/>
                <w:w w:val="94"/>
              </w:rPr>
              <w:t>(Unfavorable)</w:t>
            </w:r>
          </w:p>
        </w:tc>
        <w:tc>
          <w:tcPr>
            <w:tcW w:w="120" w:type="dxa"/>
            <w:vAlign w:val="bottom"/>
          </w:tcPr>
          <w:p>
            <w:pPr>
              <w:spacing w:after="0"/>
              <w:rPr>
                <w:sz w:val="20"/>
                <w:szCs w:val="20"/>
                <w:color w:val="auto"/>
              </w:rPr>
            </w:pPr>
          </w:p>
        </w:tc>
        <w:tc>
          <w:tcPr>
            <w:tcW w:w="1480" w:type="dxa"/>
            <w:vAlign w:val="bottom"/>
          </w:tcPr>
          <w:p>
            <w:pPr>
              <w:jc w:val="right"/>
              <w:ind w:right="350"/>
              <w:spacing w:after="0"/>
              <w:rPr>
                <w:sz w:val="20"/>
                <w:szCs w:val="20"/>
                <w:color w:val="auto"/>
              </w:rPr>
            </w:pPr>
            <w:r>
              <w:rPr>
                <w:rFonts w:ascii="Arial" w:cs="Arial" w:eastAsia="Arial" w:hAnsi="Arial"/>
                <w:sz w:val="18"/>
                <w:szCs w:val="18"/>
                <w:b w:val="1"/>
                <w:bCs w:val="1"/>
                <w:color w:val="auto"/>
              </w:rPr>
              <w:t>Change</w:t>
            </w:r>
          </w:p>
        </w:tc>
      </w:tr>
      <w:tr>
        <w:trPr>
          <w:trHeight w:val="27"/>
        </w:trPr>
        <w:tc>
          <w:tcPr>
            <w:tcW w:w="56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769</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13 %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679</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5620" w:type="dxa"/>
            <w:vAlign w:val="bottom"/>
          </w:tcPr>
          <w:p>
            <w:pPr>
              <w:ind w:left="80"/>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1,363</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6 %</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97"/>
        </w:trPr>
        <w:tc>
          <w:tcPr>
            <w:tcW w:w="56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Operating Income (Loss):</w:t>
            </w: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Western Hemisphere</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198 %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Eastern Hemisphere</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186 %</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Segment Operating Income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195 %</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Corporate General and Administrative</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and Transformation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Long-Lived Asset Impairments, Asset Write-Downs and Other</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(775)%</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Operating Loss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50 %</w:t>
            </w:r>
          </w:p>
        </w:tc>
      </w:tr>
      <w:tr>
        <w:trPr>
          <w:trHeight w:val="297"/>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Warrant Fair Value Adjustment</w:t>
            </w:r>
          </w:p>
        </w:tc>
        <w:tc>
          <w:tcPr>
            <w:tcW w:w="14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Devaluation Charges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(188)%</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0"/>
        </w:trPr>
        <w:tc>
          <w:tcPr>
            <w:tcW w:w="5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230"/>
        </w:trPr>
        <w:tc>
          <w:tcPr>
            <w:tcW w:w="5620" w:type="dxa"/>
            <w:vAlign w:val="bottom"/>
          </w:tcPr>
          <w:p>
            <w:pPr>
              <w:ind w:left="40"/>
              <w:spacing w:after="0"/>
              <w:rPr>
                <w:sz w:val="20"/>
                <w:szCs w:val="20"/>
                <w:color w:val="auto"/>
              </w:rPr>
            </w:pPr>
            <w:r>
              <w:rPr>
                <w:rFonts w:ascii="Arial" w:cs="Arial" w:eastAsia="Arial" w:hAnsi="Arial"/>
                <w:sz w:val="18"/>
                <w:szCs w:val="18"/>
                <w:color w:val="auto"/>
              </w:rPr>
              <w:t>Net Loss per Diluted Share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(0.26)</w:t>
            </w:r>
          </w:p>
        </w:tc>
        <w:tc>
          <w:tcPr>
            <w:tcW w:w="12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(0.09)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Diluted Shares Outstanding</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204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29 %</w:t>
            </w:r>
          </w:p>
        </w:tc>
      </w:tr>
      <w:tr>
        <w:trPr>
          <w:trHeight w:val="702"/>
        </w:trPr>
        <w:tc>
          <w:tcPr>
            <w:tcW w:w="5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jc w:val="right"/>
              <w:ind w:right="830"/>
              <w:spacing w:after="0"/>
              <w:rPr>
                <w:sz w:val="20"/>
                <w:szCs w:val="20"/>
                <w:color w:val="auto"/>
              </w:rPr>
            </w:pPr>
            <w:r>
              <w:rPr>
                <w:rFonts w:ascii="Arial" w:cs="Arial" w:eastAsia="Arial" w:hAnsi="Arial"/>
                <w:sz w:val="18"/>
                <w:szCs w:val="18"/>
                <w:color w:val="auto"/>
                <w:w w:val="89"/>
              </w:rPr>
              <w:t>37</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r>
    </w:tbl>
    <w:p>
      <w:pPr>
        <w:sectPr>
          <w:pgSz w:w="11900" w:h="16838" w:orient="portrait"/>
          <w:cols w:equalWidth="0" w:num="1">
            <w:col w:w="11420"/>
          </w:cols>
          <w:pgMar w:left="240" w:top="368" w:right="239" w:bottom="144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20" w:type="dxa"/>
            <w:vAlign w:val="bottom"/>
          </w:tcPr>
          <w:p>
            <w:pPr>
              <w:spacing w:after="0"/>
              <w:rPr>
                <w:sz w:val="17"/>
                <w:szCs w:val="17"/>
                <w:color w:val="auto"/>
              </w:rPr>
            </w:pPr>
          </w:p>
        </w:tc>
        <w:tc>
          <w:tcPr>
            <w:tcW w:w="516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642"/>
        </w:trPr>
        <w:tc>
          <w:tcPr>
            <w:tcW w:w="1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5"/>
          </w:tcPr>
          <w:p>
            <w:pPr>
              <w:ind w:left="300"/>
              <w:spacing w:after="0"/>
              <w:rPr>
                <w:sz w:val="20"/>
                <w:szCs w:val="20"/>
                <w:color w:val="auto"/>
              </w:rPr>
            </w:pPr>
            <w:r>
              <w:rPr>
                <w:rFonts w:ascii="Arial" w:cs="Arial" w:eastAsia="Arial" w:hAnsi="Arial"/>
                <w:sz w:val="18"/>
                <w:szCs w:val="18"/>
                <w:b w:val="1"/>
                <w:bCs w:val="1"/>
                <w:color w:val="auto"/>
              </w:rPr>
              <w:t>Six Months Ended</w:t>
            </w: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70"/>
        </w:trPr>
        <w:tc>
          <w:tcPr>
            <w:tcW w:w="1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3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June 30,</w:t>
            </w: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jc w:val="right"/>
              <w:ind w:right="290"/>
              <w:spacing w:after="0"/>
              <w:rPr>
                <w:sz w:val="20"/>
                <w:szCs w:val="20"/>
                <w:color w:val="auto"/>
              </w:rPr>
            </w:pPr>
            <w:r>
              <w:rPr>
                <w:rFonts w:ascii="Arial" w:cs="Arial" w:eastAsia="Arial" w:hAnsi="Arial"/>
                <w:sz w:val="18"/>
                <w:szCs w:val="18"/>
                <w:b w:val="1"/>
                <w:bCs w:val="1"/>
                <w:color w:val="auto"/>
              </w:rPr>
              <w:t>Favorable</w:t>
            </w:r>
          </w:p>
        </w:tc>
        <w:tc>
          <w:tcPr>
            <w:tcW w:w="120" w:type="dxa"/>
            <w:vAlign w:val="bottom"/>
          </w:tcPr>
          <w:p>
            <w:pPr>
              <w:spacing w:after="0"/>
              <w:rPr>
                <w:sz w:val="18"/>
                <w:szCs w:val="18"/>
                <w:color w:val="auto"/>
              </w:rPr>
            </w:pPr>
          </w:p>
        </w:tc>
        <w:tc>
          <w:tcPr>
            <w:tcW w:w="1440" w:type="dxa"/>
            <w:vAlign w:val="bottom"/>
          </w:tcPr>
          <w:p>
            <w:pPr>
              <w:jc w:val="right"/>
              <w:ind w:right="210"/>
              <w:spacing w:after="0"/>
              <w:rPr>
                <w:sz w:val="20"/>
                <w:szCs w:val="20"/>
                <w:color w:val="auto"/>
              </w:rPr>
            </w:pPr>
            <w:r>
              <w:rPr>
                <w:rFonts w:ascii="Arial" w:cs="Arial" w:eastAsia="Arial" w:hAnsi="Arial"/>
                <w:sz w:val="18"/>
                <w:szCs w:val="18"/>
                <w:b w:val="1"/>
                <w:bCs w:val="1"/>
                <w:color w:val="auto"/>
              </w:rPr>
              <w:t>Percentage</w:t>
            </w:r>
          </w:p>
        </w:tc>
      </w:tr>
      <w:tr>
        <w:trPr>
          <w:trHeight w:val="234"/>
        </w:trPr>
        <w:tc>
          <w:tcPr>
            <w:tcW w:w="5280" w:type="dxa"/>
            <w:vAlign w:val="bottom"/>
            <w:gridSpan w:val="3"/>
          </w:tcPr>
          <w:p>
            <w:pPr>
              <w:ind w:left="60"/>
              <w:spacing w:after="0"/>
              <w:rPr>
                <w:sz w:val="20"/>
                <w:szCs w:val="20"/>
                <w:color w:val="auto"/>
              </w:rPr>
            </w:pPr>
            <w:r>
              <w:rPr>
                <w:rFonts w:ascii="Arial" w:cs="Arial" w:eastAsia="Arial" w:hAnsi="Arial"/>
                <w:sz w:val="18"/>
                <w:szCs w:val="18"/>
                <w:i w:val="1"/>
                <w:iCs w:val="1"/>
                <w:color w:val="auto"/>
              </w:rPr>
              <w:t>(Dollars and shares in millions, except per share data)</w:t>
            </w: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ind w:right="350"/>
              <w:spacing w:after="0"/>
              <w:rPr>
                <w:sz w:val="20"/>
                <w:szCs w:val="20"/>
                <w:color w:val="auto"/>
              </w:rPr>
            </w:pPr>
            <w:r>
              <w:rPr>
                <w:rFonts w:ascii="Arial" w:cs="Arial" w:eastAsia="Arial" w:hAnsi="Arial"/>
                <w:sz w:val="18"/>
                <w:szCs w:val="18"/>
                <w:b w:val="1"/>
                <w:bCs w:val="1"/>
                <w:color w:val="auto"/>
                <w:w w:val="99"/>
              </w:rPr>
              <w:t>2017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ind w:right="130"/>
              <w:spacing w:after="0"/>
              <w:rPr>
                <w:sz w:val="20"/>
                <w:szCs w:val="20"/>
                <w:color w:val="auto"/>
              </w:rPr>
            </w:pPr>
            <w:r>
              <w:rPr>
                <w:rFonts w:ascii="Arial" w:cs="Arial" w:eastAsia="Arial" w:hAnsi="Arial"/>
                <w:sz w:val="18"/>
                <w:szCs w:val="18"/>
                <w:b w:val="1"/>
                <w:bCs w:val="1"/>
                <w:color w:val="auto"/>
                <w:w w:val="96"/>
              </w:rPr>
              <w:t>(Unfavorable)</w:t>
            </w:r>
          </w:p>
        </w:tc>
        <w:tc>
          <w:tcPr>
            <w:tcW w:w="120" w:type="dxa"/>
            <w:vAlign w:val="bottom"/>
          </w:tcPr>
          <w:p>
            <w:pPr>
              <w:spacing w:after="0"/>
              <w:rPr>
                <w:sz w:val="20"/>
                <w:szCs w:val="20"/>
                <w:color w:val="auto"/>
              </w:rPr>
            </w:pPr>
          </w:p>
        </w:tc>
        <w:tc>
          <w:tcPr>
            <w:tcW w:w="1440" w:type="dxa"/>
            <w:vAlign w:val="bottom"/>
          </w:tcPr>
          <w:p>
            <w:pPr>
              <w:jc w:val="right"/>
              <w:ind w:right="330"/>
              <w:spacing w:after="0"/>
              <w:rPr>
                <w:sz w:val="20"/>
                <w:szCs w:val="20"/>
                <w:color w:val="auto"/>
              </w:rPr>
            </w:pPr>
            <w:r>
              <w:rPr>
                <w:rFonts w:ascii="Arial" w:cs="Arial" w:eastAsia="Arial" w:hAnsi="Arial"/>
                <w:sz w:val="18"/>
                <w:szCs w:val="18"/>
                <w:b w:val="1"/>
                <w:bCs w:val="1"/>
                <w:color w:val="auto"/>
              </w:rPr>
              <w:t>Change</w:t>
            </w:r>
          </w:p>
        </w:tc>
      </w:tr>
      <w:tr>
        <w:trPr>
          <w:trHeight w:val="27"/>
        </w:trPr>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Revenues: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Western Hemisphere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1,525</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1,411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8 %</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120" w:type="dxa"/>
            <w:vAlign w:val="bottom"/>
            <w:tcBorders>
              <w:bottom w:val="single" w:sz="8" w:color="CCEEFF"/>
            </w:tcBorders>
            <w:shd w:val="clear" w:color="auto" w:fill="CCEEFF"/>
          </w:tcPr>
          <w:p>
            <w:pPr>
              <w:spacing w:after="0"/>
              <w:rPr>
                <w:sz w:val="23"/>
                <w:szCs w:val="23"/>
                <w:color w:val="auto"/>
              </w:rPr>
            </w:pP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Eastern Hemisphere</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1,346</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1,338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1 %</w:t>
            </w:r>
          </w:p>
        </w:tc>
      </w:tr>
      <w:tr>
        <w:trPr>
          <w:trHeight w:val="237"/>
        </w:trPr>
        <w:tc>
          <w:tcPr>
            <w:tcW w:w="5280" w:type="dxa"/>
            <w:vAlign w:val="bottom"/>
            <w:gridSpan w:val="3"/>
          </w:tcPr>
          <w:p>
            <w:pPr>
              <w:ind w:left="60"/>
              <w:spacing w:after="0"/>
              <w:rPr>
                <w:sz w:val="20"/>
                <w:szCs w:val="20"/>
                <w:color w:val="auto"/>
              </w:rPr>
            </w:pPr>
            <w:r>
              <w:rPr>
                <w:rFonts w:ascii="Arial" w:cs="Arial" w:eastAsia="Arial" w:hAnsi="Arial"/>
                <w:sz w:val="18"/>
                <w:szCs w:val="18"/>
                <w:color w:val="auto"/>
              </w:rPr>
              <w:t>Total Revenues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2,871</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2,749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122</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4 %</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97"/>
        </w:trPr>
        <w:tc>
          <w:tcPr>
            <w:tcW w:w="12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39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Western Hemisphere</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155</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191 %</w:t>
            </w:r>
          </w:p>
        </w:tc>
      </w:tr>
      <w:tr>
        <w:trPr>
          <w:trHeight w:val="243"/>
        </w:trPr>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Eastern Hemisphere</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143 %</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Segment Operating Income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271</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167 %</w:t>
            </w:r>
          </w:p>
        </w:tc>
      </w:tr>
      <w:tr>
        <w:trPr>
          <w:trHeight w:val="243"/>
        </w:trPr>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Corporate General and Administrative</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120" w:type="dxa"/>
            <w:vAlign w:val="bottom"/>
            <w:tcBorders>
              <w:bottom w:val="single" w:sz="8" w:color="CCEEFF"/>
            </w:tcBorders>
            <w:shd w:val="clear" w:color="auto" w:fill="CCEEFF"/>
          </w:tcPr>
          <w:p>
            <w:pPr>
              <w:spacing w:after="0"/>
              <w:rPr>
                <w:sz w:val="21"/>
                <w:szCs w:val="21"/>
                <w:color w:val="auto"/>
              </w:rPr>
            </w:pPr>
          </w:p>
        </w:tc>
        <w:tc>
          <w:tcPr>
            <w:tcW w:w="51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Restructuring and Transformation Charges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120" w:type="dxa"/>
            <w:vAlign w:val="bottom"/>
          </w:tcPr>
          <w:p>
            <w:pPr>
              <w:spacing w:after="0"/>
              <w:rPr>
                <w:sz w:val="21"/>
                <w:szCs w:val="21"/>
                <w:color w:val="auto"/>
              </w:rPr>
            </w:pPr>
          </w:p>
        </w:tc>
        <w:tc>
          <w:tcPr>
            <w:tcW w:w="5160" w:type="dxa"/>
            <w:vAlign w:val="bottom"/>
            <w:gridSpan w:val="2"/>
          </w:tcPr>
          <w:p>
            <w:pPr>
              <w:ind w:left="40"/>
              <w:spacing w:after="0"/>
              <w:rPr>
                <w:sz w:val="20"/>
                <w:szCs w:val="20"/>
                <w:color w:val="auto"/>
              </w:rPr>
            </w:pPr>
            <w:r>
              <w:rPr>
                <w:rFonts w:ascii="Arial" w:cs="Arial" w:eastAsia="Arial" w:hAnsi="Arial"/>
                <w:sz w:val="18"/>
                <w:szCs w:val="18"/>
                <w:color w:val="auto"/>
              </w:rPr>
              <w:t>Long-Lived Asset Impairments, Asset Write-Downs and Other</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(63)</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(252)%</w:t>
            </w:r>
          </w:p>
        </w:tc>
      </w:tr>
      <w:tr>
        <w:trPr>
          <w:trHeight w:val="27"/>
        </w:trPr>
        <w:tc>
          <w:tcPr>
            <w:tcW w:w="12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44"/>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Total Operating Loss</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69 %</w:t>
            </w:r>
          </w:p>
        </w:tc>
      </w:tr>
      <w:tr>
        <w:trPr>
          <w:trHeight w:val="297"/>
        </w:trPr>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50"/>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7"/>
                <w:szCs w:val="17"/>
                <w:color w:val="auto"/>
              </w:rPr>
              <w:t>Bond Tender and Call Premium</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Warrant Fair Value Adjustment</w:t>
            </w: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7"/>
                <w:szCs w:val="17"/>
                <w:color w:val="auto"/>
              </w:rPr>
              <w:t>Currency Devaluation Charges</w:t>
            </w:r>
          </w:p>
        </w:tc>
        <w:tc>
          <w:tcPr>
            <w:tcW w:w="2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7"/>
                <w:szCs w:val="17"/>
                <w:color w:val="auto"/>
              </w:rPr>
              <w:t>Other Income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7"/>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Loss Before Income Taxes</w:t>
            </w:r>
          </w:p>
        </w:tc>
        <w:tc>
          <w:tcPr>
            <w:tcW w:w="26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115</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21 %</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70"/>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97"/>
        </w:trPr>
        <w:tc>
          <w:tcPr>
            <w:tcW w:w="5280" w:type="dxa"/>
            <w:vAlign w:val="bottom"/>
            <w:tcBorders>
              <w:bottom w:val="single" w:sz="8" w:color="CCEEFF"/>
            </w:tcBorders>
            <w:gridSpan w:val="3"/>
          </w:tcPr>
          <w:p>
            <w:pPr>
              <w:ind w:left="20"/>
              <w:spacing w:after="0"/>
              <w:rPr>
                <w:sz w:val="20"/>
                <w:szCs w:val="20"/>
                <w:color w:val="auto"/>
              </w:rPr>
            </w:pPr>
            <w:r>
              <w:rPr>
                <w:rFonts w:ascii="Arial" w:cs="Arial" w:eastAsia="Arial" w:hAnsi="Arial"/>
                <w:sz w:val="18"/>
                <w:szCs w:val="18"/>
                <w:color w:val="auto"/>
              </w:rPr>
              <w:t>Net Loss</w:t>
            </w: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(501)</w:t>
            </w:r>
          </w:p>
        </w:tc>
        <w:tc>
          <w:tcPr>
            <w:tcW w:w="100" w:type="dxa"/>
            <w:vAlign w:val="bottom"/>
            <w:tcBorders>
              <w:bottom w:val="single" w:sz="8" w:color="CCEEFF"/>
            </w:tcBorders>
          </w:tcPr>
          <w:p>
            <w:pPr>
              <w:spacing w:after="0"/>
              <w:rPr>
                <w:sz w:val="24"/>
                <w:szCs w:val="24"/>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w:t>
            </w:r>
          </w:p>
        </w:tc>
        <w:tc>
          <w:tcPr>
            <w:tcW w:w="15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18 %</w:t>
            </w:r>
          </w:p>
        </w:tc>
      </w:tr>
      <w:tr>
        <w:trPr>
          <w:trHeight w:val="237"/>
        </w:trPr>
        <w:tc>
          <w:tcPr>
            <w:tcW w:w="52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Net Loss per Diluted Share</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0.12</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19 %</w:t>
            </w:r>
          </w:p>
        </w:tc>
      </w:tr>
      <w:tr>
        <w:trPr>
          <w:trHeight w:val="243"/>
        </w:trPr>
        <w:tc>
          <w:tcPr>
            <w:tcW w:w="5280" w:type="dxa"/>
            <w:vAlign w:val="bottom"/>
            <w:gridSpan w:val="3"/>
          </w:tcPr>
          <w:p>
            <w:pPr>
              <w:ind w:left="20"/>
              <w:spacing w:after="0"/>
              <w:rPr>
                <w:sz w:val="20"/>
                <w:szCs w:val="20"/>
                <w:color w:val="auto"/>
              </w:rPr>
            </w:pPr>
            <w:r>
              <w:rPr>
                <w:rFonts w:ascii="Arial" w:cs="Arial" w:eastAsia="Arial" w:hAnsi="Arial"/>
                <w:sz w:val="18"/>
                <w:szCs w:val="18"/>
                <w:color w:val="auto"/>
              </w:rPr>
              <w:t>Weighted Average Diluted Shares Outstanding</w:t>
            </w:r>
          </w:p>
        </w:tc>
        <w:tc>
          <w:tcPr>
            <w:tcW w:w="26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w:t>
            </w:r>
          </w:p>
        </w:tc>
        <w:tc>
          <w:tcPr>
            <w:tcW w:w="15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28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Depreciation and Amortization</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291</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121</w:t>
            </w:r>
          </w:p>
        </w:tc>
        <w:tc>
          <w:tcPr>
            <w:tcW w:w="1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29 %</w:t>
            </w:r>
          </w:p>
        </w:tc>
      </w:tr>
      <w:tr>
        <w:trPr>
          <w:trHeight w:val="27"/>
        </w:trPr>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39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Revenues Percentage by Business Group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The following chart contains the consolidated revenues of our business groups for the second quarter and the first six months of 2018 and 2017:</w:t>
      </w:r>
    </w:p>
    <w:p>
      <w:pPr>
        <w:spacing w:after="0" w:line="179" w:lineRule="exact"/>
        <w:rPr>
          <w:sz w:val="20"/>
          <w:szCs w:val="20"/>
          <w:color w:val="auto"/>
        </w:rPr>
      </w:pPr>
    </w:p>
    <w:tbl>
      <w:tblPr>
        <w:tblLayout w:type="fixed"/>
        <w:tblInd w:w="900" w:type="dxa"/>
        <w:tblCellMar>
          <w:top w:w="0" w:type="dxa"/>
          <w:left w:w="0" w:type="dxa"/>
          <w:bottom w:w="0" w:type="dxa"/>
          <w:right w:w="0" w:type="dxa"/>
        </w:tblCellMar>
      </w:tblPr>
      <w:tr>
        <w:trPr>
          <w:trHeight w:val="234"/>
        </w:trPr>
        <w:tc>
          <w:tcPr>
            <w:tcW w:w="4660" w:type="dxa"/>
            <w:vAlign w:val="bottom"/>
          </w:tcPr>
          <w:p>
            <w:pPr>
              <w:spacing w:after="0"/>
              <w:rPr>
                <w:sz w:val="20"/>
                <w:szCs w:val="20"/>
                <w:color w:val="auto"/>
              </w:rPr>
            </w:pPr>
          </w:p>
        </w:tc>
        <w:tc>
          <w:tcPr>
            <w:tcW w:w="2320" w:type="dxa"/>
            <w:vAlign w:val="bottom"/>
            <w:gridSpan w:val="5"/>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Six Months Ended</w:t>
            </w:r>
          </w:p>
        </w:tc>
      </w:tr>
      <w:tr>
        <w:trPr>
          <w:trHeight w:val="270"/>
        </w:trPr>
        <w:tc>
          <w:tcPr>
            <w:tcW w:w="4660" w:type="dxa"/>
            <w:vAlign w:val="bottom"/>
          </w:tcPr>
          <w:p>
            <w:pPr>
              <w:spacing w:after="0"/>
              <w:rPr>
                <w:sz w:val="23"/>
                <w:szCs w:val="23"/>
                <w:color w:val="auto"/>
              </w:rPr>
            </w:pPr>
          </w:p>
        </w:tc>
        <w:tc>
          <w:tcPr>
            <w:tcW w:w="1460" w:type="dxa"/>
            <w:vAlign w:val="bottom"/>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8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88"/>
              </w:rPr>
              <w:t>June 30,</w:t>
            </w:r>
          </w:p>
        </w:tc>
        <w:tc>
          <w:tcPr>
            <w:tcW w:w="74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10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jc w:val="right"/>
              <w:ind w:right="250"/>
              <w:spacing w:after="0"/>
              <w:rPr>
                <w:sz w:val="20"/>
                <w:szCs w:val="20"/>
                <w:color w:val="auto"/>
              </w:rPr>
            </w:pPr>
            <w:r>
              <w:rPr>
                <w:rFonts w:ascii="Arial" w:cs="Arial" w:eastAsia="Arial" w:hAnsi="Arial"/>
                <w:sz w:val="18"/>
                <w:szCs w:val="18"/>
                <w:b w:val="1"/>
                <w:bCs w:val="1"/>
                <w:color w:val="auto"/>
                <w:w w:val="94"/>
              </w:rPr>
              <w:t>2017</w:t>
            </w:r>
          </w:p>
        </w:tc>
        <w:tc>
          <w:tcPr>
            <w:tcW w:w="120" w:type="dxa"/>
            <w:vAlign w:val="bottom"/>
          </w:tcPr>
          <w:p>
            <w:pPr>
              <w:spacing w:after="0"/>
              <w:rPr>
                <w:sz w:val="20"/>
                <w:szCs w:val="20"/>
                <w:color w:val="auto"/>
              </w:rPr>
            </w:pPr>
          </w:p>
        </w:tc>
        <w:tc>
          <w:tcPr>
            <w:tcW w:w="1060" w:type="dxa"/>
            <w:vAlign w:val="bottom"/>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2017</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Production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Completions</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060" w:type="dxa"/>
            <w:vAlign w:val="bottom"/>
          </w:tcPr>
          <w:p>
            <w:pPr>
              <w:jc w:val="right"/>
              <w:ind w:right="11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22</w:t>
            </w:r>
          </w:p>
        </w:tc>
      </w:tr>
      <w:tr>
        <w:trPr>
          <w:trHeight w:val="27"/>
        </w:trPr>
        <w:tc>
          <w:tcPr>
            <w:tcW w:w="46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Drilling and Evaluation</w:t>
            </w:r>
          </w:p>
        </w:tc>
        <w:tc>
          <w:tcPr>
            <w:tcW w:w="10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25</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Well Construction</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40" w:type="dxa"/>
            <w:vAlign w:val="bottom"/>
          </w:tcPr>
          <w:p>
            <w:pPr>
              <w:jc w:val="right"/>
              <w:ind w:right="90"/>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66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46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662"/>
        </w:trPr>
        <w:tc>
          <w:tcPr>
            <w:tcW w:w="4660" w:type="dxa"/>
            <w:vAlign w:val="bottom"/>
          </w:tcPr>
          <w:p>
            <w:pPr>
              <w:spacing w:after="0"/>
              <w:rPr>
                <w:sz w:val="24"/>
                <w:szCs w:val="24"/>
                <w:color w:val="auto"/>
              </w:rPr>
            </w:pPr>
          </w:p>
        </w:tc>
        <w:tc>
          <w:tcPr>
            <w:tcW w:w="1040" w:type="dxa"/>
            <w:vAlign w:val="bottom"/>
          </w:tcPr>
          <w:p>
            <w:pPr>
              <w:jc w:val="right"/>
              <w:ind w:right="770"/>
              <w:spacing w:after="0"/>
              <w:rPr>
                <w:sz w:val="20"/>
                <w:szCs w:val="20"/>
                <w:color w:val="auto"/>
              </w:rPr>
            </w:pPr>
            <w:r>
              <w:rPr>
                <w:rFonts w:ascii="Arial" w:cs="Arial" w:eastAsia="Arial" w:hAnsi="Arial"/>
                <w:sz w:val="18"/>
                <w:szCs w:val="18"/>
                <w:color w:val="auto"/>
                <w:w w:val="79"/>
              </w:rPr>
              <w:t>38</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000"/>
          </w:cols>
          <w:pgMar w:left="460" w:top="432" w:right="439" w:bottom="1440" w:gutter="0" w:footer="0" w:header="0"/>
        </w:sectPr>
      </w:pPr>
    </w:p>
    <w:bookmarkStart w:id="40" w:name="page41"/>
    <w:bookmarkEnd w:id="4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Quarter-to-Date and Year-to-Date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revenues increased $85 million, or 6%, in the second quarter of 2018 compared to the second quarter of 2017 and $122 million, or 4%, during the first six months of 2018 compared to the first six months of 2017.</w:t>
      </w:r>
    </w:p>
    <w:p>
      <w:pPr>
        <w:spacing w:after="0" w:line="170" w:lineRule="exact"/>
        <w:rPr>
          <w:sz w:val="20"/>
          <w:szCs w:val="20"/>
          <w:color w:val="auto"/>
        </w:rPr>
      </w:pPr>
    </w:p>
    <w:p>
      <w:pPr>
        <w:jc w:val="both"/>
        <w:ind w:left="9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Western Hemisphere revenues increased $91 million, or 13%, in the second quarter of 2018 and $114 million, or 8%, during the first six months of 2018, compared to the second quarter and first six months of 2017, respectively. Western Hemisphere revenues improved on higher activity levels in all product lines in the U.S. and an improved product mix for the Production and Completions product lines in the U.S. Growth in Latin America was driven by higher demand for Integrated Services and Projects in Mexico and improved activity levels in Argentina in all product lines, particularly Pressure Pumping services. These improvements were partially offset by lower activity in Canada due to the seasonal spring break-up. In the second quarter of 2017 a change in revenue recognition for our primary customer in Venezuela reduced operating results in the prior year.</w:t>
      </w:r>
    </w:p>
    <w:p>
      <w:pPr>
        <w:spacing w:after="0" w:line="81"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Eastern Hemisphere revenues decreased $6 million, or 1%, in the second quarter of 2018 compared to the second quarter of 2017 primarily due to fewer offshore projects in West Africa, United Arab Emirates and Asia, partially offset with increased Completions and Well Construction activity in Saudi Arabia and higher Drilling and Evaluation and Well Construction activity in Kuwait.</w:t>
      </w:r>
    </w:p>
    <w:p>
      <w:pPr>
        <w:spacing w:after="0" w:line="73"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Eastern Hemisphere revenues increased $8 million, or 1%, during the first six months of 2018 compared to the first six months of 2017 primarily due to contract gains and increased rig activity in Saudi Arabia and Russia. These gains were partially offset by lower activity in West Africa, Arabian Sea and Asia as offshore markets remain subdued.</w:t>
      </w: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Consolidated and Segment Operating Results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Quarter-to-Date and Year-to-Date</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Consolidated operating results improved $72 million, or 50%, in the second quarter of 2018 compared to the second quarter of 2017 and $247 million, or 69%, in the first six months of 2018 compared to the first six months of 2017.</w:t>
      </w:r>
    </w:p>
    <w:p>
      <w:pPr>
        <w:spacing w:after="0" w:line="170" w:lineRule="exact"/>
        <w:rPr>
          <w:sz w:val="20"/>
          <w:szCs w:val="20"/>
          <w:color w:val="auto"/>
        </w:rPr>
      </w:pPr>
    </w:p>
    <w:p>
      <w:pPr>
        <w:jc w:val="both"/>
        <w:ind w:left="900" w:hanging="325"/>
        <w:spacing w:after="0" w:line="272"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Western Hemisphere second quarter 2018 segment operating income of $50 million improved $101 million, or 198%, compared to the second quarter of 2017. For the first six months of 2018, Western Hemisphere segment operating income of $74 million improved $155 million, or 191%, compared to the first six months of 2017. These improved results were driven by Production, Completions and Well Construction activity increases in the U.S. with a profitable product mix, a decline in operating costs and lower depreciation. Operating income also improved due to growth in Latin America driven by higher demand for Integrated Services and Projects in Mexico and improved activity levels in Argentina across all product lines, particularly Pressure Pumping services. In addition, a change in revenue recognition in Venezuela reduced operating results in the second quarter of the prior year.</w:t>
      </w:r>
    </w:p>
    <w:p>
      <w:pPr>
        <w:spacing w:after="0" w:line="69" w:lineRule="exact"/>
        <w:rPr>
          <w:rFonts w:ascii="Arial" w:cs="Arial" w:eastAsia="Arial" w:hAnsi="Arial"/>
          <w:sz w:val="17"/>
          <w:szCs w:val="17"/>
          <w:color w:val="auto"/>
        </w:rPr>
      </w:pPr>
    </w:p>
    <w:p>
      <w:pPr>
        <w:jc w:val="both"/>
        <w:ind w:left="900" w:hanging="325"/>
        <w:spacing w:after="0" w:line="25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Eastern Hemisphere segment operating income of $19 million improved $41 million, or 186%, in the second quarter of 2018 compared to the second quarter of 2017. For the first six months of 2018, Eastern Hemisphere segment operating income of $35 million improved $116 million, or 143%, compared to the first six months of 2017. This improvement in operating income is due to higher profitability in all product lines primarily in the Middle East due to higher activity levels, a reduced cost structure and improved service quality resulting in greater revenue efficiency.</w:t>
      </w:r>
    </w:p>
    <w:p>
      <w:pPr>
        <w:spacing w:after="0" w:line="80" w:lineRule="exact"/>
        <w:rPr>
          <w:rFonts w:ascii="Arial" w:cs="Arial" w:eastAsia="Arial" w:hAnsi="Arial"/>
          <w:sz w:val="18"/>
          <w:szCs w:val="18"/>
          <w:color w:val="auto"/>
        </w:rPr>
      </w:pPr>
    </w:p>
    <w:p>
      <w:pPr>
        <w:jc w:val="both"/>
        <w:ind w:left="90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Restructuring and transformation charges in the second quarter of 2018 increased $7 million and decreased $43 million for the first six months of 2018, compared to the second quarter and first six months of 2017, respectively. Restructuring charges include severance charges, facility exit costs, transformation charges and asset write-downs.</w:t>
      </w:r>
    </w:p>
    <w:p>
      <w:pPr>
        <w:spacing w:after="0" w:line="73" w:lineRule="exact"/>
        <w:rPr>
          <w:rFonts w:ascii="Arial" w:cs="Arial" w:eastAsia="Arial" w:hAnsi="Arial"/>
          <w:sz w:val="18"/>
          <w:szCs w:val="18"/>
          <w:color w:val="auto"/>
        </w:rPr>
      </w:pPr>
    </w:p>
    <w:p>
      <w:pPr>
        <w:jc w:val="both"/>
        <w:ind w:left="900" w:hanging="325"/>
        <w:spacing w:after="0" w:line="279"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Long-lived asset impairments, asset write-downs and other charges in the second quarter of 2018 increased $62 million and $63 million for the first six months of 2018, compared to the second quarter and first six months of 2017, respectively. These charges include long-lived asset impairments primarily related to our land drilling rigs and other asset write-downs and inventory charges, partially offset by gains on property sales, a reduction of a contingency reserve on a legacy contract and a gain on purchase of the remaining interest in a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49" w:right="239" w:bottom="1440" w:gutter="0" w:footer="0" w:header="0"/>
        </w:sectPr>
      </w:pPr>
    </w:p>
    <w:bookmarkStart w:id="41" w:name="page42"/>
    <w:bookmarkEnd w:id="41"/>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Net interest expense was $152 million and $301 million for the second quarter and the first six months of 2018, respectively, compared to $138 million and $279 million for the second quarter and the first six months of 2017, respectively. The increase in interest expense for the second quarter and the first six months of 2018 is primarily from higher average borrowings and interest rates in 2018 compared to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Warrant Fair Value Adjustment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had warrant fair value gains of $10 million and $56 million for the second quarter and the first six months of 2018, respectively, compared to a gain of $127 million and $65 million for the second quarter and the first six months of 2017, respectively, related to the fair value adjustment to our warrant liability. The change in fair value of the warrant during the first six months of 2018 was primarily driven by eliminating the warrant share value associated with any future equity issuance and a decrease in Weatherford’s stock price. The change in fair value of the warrant during 2017 was principally due to a decrease in Weatherford’s stock price.</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Currency Devaluation Charges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For the second quarter and the first six months ended June 30, 2018, we recognized currency devaluation charges of $11 million and $37 million respectively. Devaluation of the Angolan kwanza totaling $11 million and $35 million in the second quarter and the first six months ended June 30, 2018, respectively, were substantially all of the charges recorded. The devaluation of the Angolan kwanza was due to a change in Angolan central bank policy in January 2018. For the six months ended June 30, 2017, we had no currency devaluation charges. Currency devaluation charges are included in current earnings in “Currency Devaluation Charges” on the accompanying Condensed Consolidated Statements of Operations. For additional information see Cash Requirements of the Liquidity and Capital Resources section in Item 2. – Management’s Discussion and Analysis of Financial Condition and Results of Operations.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ind w:firstLine="338"/>
        <w:spacing w:after="0" w:line="270" w:lineRule="auto"/>
        <w:rPr>
          <w:sz w:val="20"/>
          <w:szCs w:val="20"/>
          <w:color w:val="auto"/>
        </w:rPr>
      </w:pPr>
      <w:r>
        <w:rPr>
          <w:rFonts w:ascii="Arial" w:cs="Arial" w:eastAsia="Arial" w:hAnsi="Arial"/>
          <w:sz w:val="17"/>
          <w:szCs w:val="17"/>
          <w:color w:val="auto"/>
        </w:rPr>
        <w:t>We have historically calculated the provision for income taxes during interim reporting periods by applying an estimate of the annual effective tax rate for the full fiscal year to ordinary income or loss (pre-tax income or loss excluding unusual or infrequently occurring discrete items and pre-tax losses for which no benefit has been recognized) for the reporting period. For the three month and six month periods ended June 30, 2018, we have determined that since small changes in estimated ordinary annual income would result in significant changes in the estimated annual effective tax rate, the use of a discrete effective tax rate is appropriate for the current quarter. The discrete method treats the year-to-date period as if it was the annual period and determines the income tax expense or benefit on that basis. We will continue to use this method each quarter until the annual effective tax rate method is deemed appropriate. For the second quarter and the first six months of 2018, we had a tax expense of $26 million and $58 million, respectively on a loss before income taxes of $233 million and $443 million, respectively. Results for the second quarter and the first six months of 2018 include losses with no significant tax benefit. The tax expense for the second quarter and the first six months of 2018 also includes withholding taxes and deemed profit taxes that do not directly correlate to ordinary income or loss.</w:t>
      </w:r>
    </w:p>
    <w:p>
      <w:pPr>
        <w:spacing w:after="0" w:line="178" w:lineRule="exact"/>
        <w:rPr>
          <w:sz w:val="20"/>
          <w:szCs w:val="20"/>
          <w:color w:val="auto"/>
        </w:rPr>
      </w:pPr>
    </w:p>
    <w:p>
      <w:pPr>
        <w:jc w:val="both"/>
        <w:ind w:firstLine="338"/>
        <w:spacing w:after="0" w:line="269" w:lineRule="auto"/>
        <w:rPr>
          <w:sz w:val="20"/>
          <w:szCs w:val="20"/>
          <w:color w:val="auto"/>
        </w:rPr>
      </w:pPr>
      <w:r>
        <w:rPr>
          <w:rFonts w:ascii="Arial" w:cs="Arial" w:eastAsia="Arial" w:hAnsi="Arial"/>
          <w:sz w:val="17"/>
          <w:szCs w:val="17"/>
          <w:color w:val="auto"/>
        </w:rPr>
        <w:t>On December 22, 2017, the U.S. enacted into law a comprehensive tax reform bill (the “Tax Cuts and Jobs Act,” or “TCJA”). The TCJA significantly revises the U.S. corporate income tax by, among other things, lowering the statutory corporate tax rate from 35% to 21%, eliminating certain deductions, imposing a mandatory one-time tax on accumulated earnings of foreign subsidiaries as of 2017 held in cash and illiquid assets (with the latter taxed at a lower rate), and a shift of the U.S. taxation of multinational corporations from a tax on worldwide income to a partial territorial system (along with certain rules designed to prevent erosion of the U.S. income tax base, such as the base erosion and anti-abuse tax). The SEC has issued guidance that allows for a measurement period of up to one year after the enactment date of the legislation to finalize the recording of the related tax impacts. In the fourth quarter of 2017, the Company did not have all the necessary information to analyze all effects of this tax reform; as a result, we recorded a provisional amount which we believe represents a reasonable estimate of the accounting implications of this tax reform. In addition, the various impacts of the TCJA may materially differ from the estimated impacts recognized in the fourth quarter due to regulatory guidance that may be issued in the future, tax law technical corrections, refined computations, and possible changes in the Company’s interpretations, assumptions, and actions as a result of the tax legislation. No adjustment to the provisional amount was recorded in the first six months of 2018. We will continue to evaluate tax reform, and adjust the provisional amounts as additional information is obtained. Any adjustment to these provisional amounts will be</w:t>
      </w:r>
    </w:p>
    <w:p>
      <w:pPr>
        <w:spacing w:after="0" w:line="207"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49" w:right="239" w:bottom="1440" w:gutter="0" w:footer="0" w:header="0"/>
        </w:sectPr>
      </w:pPr>
    </w:p>
    <w:bookmarkStart w:id="42" w:name="page43"/>
    <w:bookmarkEnd w:id="42"/>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reported in the reporting period in which any such adjustments are determined, which will be no later than the fourth quarter of 2018.</w:t>
      </w:r>
    </w:p>
    <w:p>
      <w:pPr>
        <w:spacing w:after="0" w:line="225"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We are continuously under tax examination in various jurisdictions. We cannot predict the timing or outcome regarding resolution of these tax examinations or if they will have a material impact on our financial statements. We continue to anticipate a possible reduction in the balance of uncertain tax positions of approximately $12 million in the next twelve months due to expiration of statutes of limitations, settlements and/or conclusions of tax examinations.</w:t>
      </w:r>
    </w:p>
    <w:p>
      <w:pPr>
        <w:spacing w:after="0" w:line="187" w:lineRule="exact"/>
        <w:rPr>
          <w:sz w:val="20"/>
          <w:szCs w:val="20"/>
          <w:color w:val="auto"/>
        </w:rPr>
      </w:pPr>
    </w:p>
    <w:p>
      <w:pPr>
        <w:jc w:val="both"/>
        <w:ind w:firstLine="338"/>
        <w:spacing w:after="0" w:line="259" w:lineRule="auto"/>
        <w:rPr>
          <w:sz w:val="20"/>
          <w:szCs w:val="20"/>
          <w:color w:val="auto"/>
        </w:rPr>
      </w:pPr>
      <w:r>
        <w:rPr>
          <w:rFonts w:ascii="Arial" w:cs="Arial" w:eastAsia="Arial" w:hAnsi="Arial"/>
          <w:sz w:val="18"/>
          <w:szCs w:val="18"/>
          <w:color w:val="auto"/>
        </w:rPr>
        <w:t>For the second quarter and the first six months of 2017, we had a tax expense of $17 million and $50 million, respectively, on a loss before income taxes of $148 million and $558 million, respectively. Results for the second quarter and the first six months of 2017 include losses with no significant tax benefit. The tax expense for the second quarter and the first six months also included withholding taxes and deemed profit taxes that do not directly correlate to ordinary income or loss.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Restructuring and Transformation Charges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Due to the highly competitive nature of our business and the continuing losses we incurred over the last years, we continue to reduce our overall cost structure and workforce to better align with current activity levels. The ongoing cost reduction plan, which began in 2018 and is expected to continue through 2019 (the “Transformation Plan”), included a workforce reduction, organizational restructure, facility consolidations and other cost reduction measures and efficiency initiatives across our geographic regions.</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connection with the Transformation Plan, we recognized restructuring and transformation charges of $38 million in the second quarter and $63 million during the first six months of 2018. In connection with the 2016-17 Plan, we recognized restructuring charges of $31 million in the second quarter and $106 million during the first six months of 2017. Please see “Note 5 – Restructuring Charges” to our Condensed Consolidated Financial Statements for additional details of our charges by segment.</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At June 30, 2018, we had cash and cash equivalents of $415 million compared to $613 million at December 31, 2017. The following table summarizes cash flows provided by (used in) each type of activity for the first six months of 2018 and 2017:</w:t>
      </w:r>
    </w:p>
    <w:p>
      <w:pPr>
        <w:spacing w:after="0" w:line="112" w:lineRule="exact"/>
        <w:rPr>
          <w:sz w:val="20"/>
          <w:szCs w:val="20"/>
          <w:color w:val="auto"/>
        </w:rPr>
      </w:pPr>
    </w:p>
    <w:tbl>
      <w:tblPr>
        <w:tblLayout w:type="fixed"/>
        <w:tblInd w:w="10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60" w:type="dxa"/>
            <w:vAlign w:val="bottom"/>
            <w:gridSpan w:val="4"/>
          </w:tcPr>
          <w:p>
            <w:pPr>
              <w:jc w:val="right"/>
              <w:ind w:right="7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73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7300" w:type="dxa"/>
            <w:vAlign w:val="bottom"/>
          </w:tcPr>
          <w:p>
            <w:pPr>
              <w:ind w:left="20"/>
              <w:spacing w:after="0"/>
              <w:rPr>
                <w:sz w:val="20"/>
                <w:szCs w:val="20"/>
                <w:color w:val="auto"/>
              </w:rPr>
            </w:pPr>
            <w:r>
              <w:rPr>
                <w:rFonts w:ascii="Arial" w:cs="Arial" w:eastAsia="Arial" w:hAnsi="Arial"/>
                <w:sz w:val="18"/>
                <w:szCs w:val="18"/>
                <w:i w:val="1"/>
                <w:iCs w:val="1"/>
                <w:color w:val="auto"/>
              </w:rPr>
              <w:t>(Dollars in millions)</w:t>
            </w:r>
          </w:p>
        </w:tc>
        <w:tc>
          <w:tcPr>
            <w:tcW w:w="460" w:type="dxa"/>
            <w:vAlign w:val="bottom"/>
          </w:tcPr>
          <w:p>
            <w:pPr>
              <w:spacing w:after="0"/>
              <w:rPr>
                <w:sz w:val="20"/>
                <w:szCs w:val="20"/>
                <w:color w:val="auto"/>
              </w:rPr>
            </w:pPr>
          </w:p>
        </w:tc>
        <w:tc>
          <w:tcPr>
            <w:tcW w:w="1460" w:type="dxa"/>
            <w:vAlign w:val="bottom"/>
          </w:tcPr>
          <w:p>
            <w:pPr>
              <w:jc w:val="right"/>
              <w:ind w:right="69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6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r>
      <w:tr>
        <w:trPr>
          <w:trHeight w:val="27"/>
        </w:trPr>
        <w:tc>
          <w:tcPr>
            <w:tcW w:w="73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730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(315)</w:t>
            </w:r>
          </w:p>
        </w:tc>
      </w:tr>
      <w:tr>
        <w:trPr>
          <w:trHeight w:val="27"/>
        </w:trPr>
        <w:tc>
          <w:tcPr>
            <w:tcW w:w="73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7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6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w:t>
            </w:r>
          </w:p>
        </w:tc>
      </w:tr>
      <w:tr>
        <w:trPr>
          <w:trHeight w:val="27"/>
        </w:trPr>
        <w:tc>
          <w:tcPr>
            <w:tcW w:w="73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the first six months of 2018, cash used in operating activities was $315 million compared to cash used of $241 million in the first six months of 2017.</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Cash used in operating activities in 2018 was driven by working capital needs, cash payments for debt interest and cash severance and restructuring costs.</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cash used in investing activities was $14 million during the first six months of 2018 compared to cash used of $315 million in the first six months of 2017. In the first six months of 2018, the primary drivers of investing activities were capital expenditures of $86 million for property, plant and equipment and assets held for sale, which was partially offset by net proceeds from dispositions of $75 million.</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Capital expenditures for property, plant and equipment were $68 million and $82 million for the first six months of 2018 and 2017, respectively. The amount we spend for capital expenditures varies each year and is based on the types of contracts into which we enter, our asset availability and our expectations with respect to industry activity levels in the following year. In addition, in the first six months of 2018 we purchased assets held for sale of $18 million related to our land drilling rigs business, which were impaired in the same period. In the first six months of 2017 we purchased assets held for sale of $243 million related to previously leased pressure pumping equipment.</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449" w:right="239" w:bottom="1440" w:gutter="0" w:footer="0" w:header="0"/>
        </w:sectPr>
      </w:pPr>
    </w:p>
    <w:bookmarkStart w:id="43" w:name="page44"/>
    <w:bookmarkEnd w:id="43"/>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February 2018, we issued $600 million in aggregate principal amount of our 9.875% senior notes due 2025 for net proceeds of $588 million. We used part of the proceeds from our debt offering to repay in full our 6.00% senior notes due March 2018 and to fund a concurrent tender offer to purchase for cash any and all of our 9.625% senior notes due 2019.</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Net long- and short-term debt repayments, including the tender offer and borrowings under our revolving credit facility, in the first six months of 2018 totaled $402 million. We settled the tender offer in cash for the amount of $475 million, retiring an aggregate face value of $425 million and accrued interest of $20 million. In April 2018, we repaid the remaining principal outstanding on an early redemption of the bond. We recognized a cumulative loss of $34 million on these transactions in “Bond Tender and Call Premium” on the accompanying Consolidated Statements of Operations.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financing activities in the first six months of 2017 primarily consisted long- and short-term debt repayments of $132 million.</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financing activities in the first six months of 2018 included the purchase of a non-controlling interest and non-controlling interest dividends paid.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Other financing activities in the first six months of 2017 related primarily to non-controlling interest dividends paid.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sources of available liquidity include cash and cash equivalent balances, cash generated by our operations, accounts receivable factoring, dispositions, and availability under committed lines of credit.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Revolving Credit Facility and Secured Term Loan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 revolving credit facility (the “Revolving Credit Agreement”) maturing in July 2019 and a secured term loan agreement maturing in July 2020 (the “Term Loan Agreement” and collectively with the Revolving Credit Agreement, the “Credit Agreements”). Our Credit Agreements contain customary events of default, including our failure to comply with the financial covenants. As of June 30, 2018, we were in compliance with our financial covenants as defined in the Credit Agreements as well as under our indentures. Based on our current financial projections, we believe we will continue to remain in compliance with our covenants.</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June 30, 2018, we had total commitments under the Revolving Credit Agreement of $900 million and borrowings of $350 million under the Term Loan Agreement. At June 30, 2018, we had $506 million available under the Credit Agreements and the following table summarizes our borrowing availability under these agreements:</w:t>
      </w:r>
    </w:p>
    <w:p>
      <w:pPr>
        <w:spacing w:after="0" w:line="123" w:lineRule="exact"/>
        <w:rPr>
          <w:sz w:val="20"/>
          <w:szCs w:val="20"/>
          <w:color w:val="auto"/>
        </w:rPr>
      </w:pPr>
    </w:p>
    <w:tbl>
      <w:tblPr>
        <w:tblLayout w:type="fixed"/>
        <w:tblInd w:w="2120" w:type="dxa"/>
        <w:tblCellMar>
          <w:top w:w="0" w:type="dxa"/>
          <w:left w:w="0" w:type="dxa"/>
          <w:bottom w:w="0" w:type="dxa"/>
          <w:right w:w="0" w:type="dxa"/>
        </w:tblCellMar>
      </w:tblPr>
      <w:tr>
        <w:trPr>
          <w:trHeight w:val="234"/>
        </w:trPr>
        <w:tc>
          <w:tcPr>
            <w:tcW w:w="6300" w:type="dxa"/>
            <w:vAlign w:val="bottom"/>
          </w:tcPr>
          <w:p>
            <w:pPr>
              <w:ind w:left="40"/>
              <w:spacing w:after="0"/>
              <w:rPr>
                <w:sz w:val="20"/>
                <w:szCs w:val="20"/>
                <w:color w:val="auto"/>
              </w:rPr>
            </w:pPr>
            <w:r>
              <w:rPr>
                <w:rFonts w:ascii="Arial" w:cs="Arial" w:eastAsia="Arial" w:hAnsi="Arial"/>
                <w:sz w:val="18"/>
                <w:szCs w:val="18"/>
                <w:i w:val="1"/>
                <w:iCs w:val="1"/>
                <w:color w:val="auto"/>
              </w:rPr>
              <w:t>(Dollars in millions)</w:t>
            </w:r>
          </w:p>
        </w:tc>
        <w:tc>
          <w:tcPr>
            <w:tcW w:w="180" w:type="dxa"/>
            <w:vAlign w:val="bottom"/>
          </w:tcPr>
          <w:p>
            <w:pPr>
              <w:spacing w:after="0"/>
              <w:rPr>
                <w:sz w:val="20"/>
                <w:szCs w:val="20"/>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b w:val="1"/>
                <w:bCs w:val="1"/>
                <w:color w:val="auto"/>
                <w:w w:val="92"/>
              </w:rPr>
              <w:t>June 30, 2018</w:t>
            </w:r>
          </w:p>
        </w:tc>
      </w:tr>
      <w:tr>
        <w:trPr>
          <w:trHeight w:val="27"/>
        </w:trPr>
        <w:tc>
          <w:tcPr>
            <w:tcW w:w="6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44"/>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Facilities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1,250</w:t>
            </w: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Less uses of facilities:</w:t>
            </w:r>
          </w:p>
        </w:tc>
        <w:tc>
          <w:tcPr>
            <w:tcW w:w="18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Revolving Credit Agreement</w:t>
            </w:r>
          </w:p>
        </w:tc>
        <w:tc>
          <w:tcPr>
            <w:tcW w:w="18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Letters of Credit</w:t>
            </w:r>
          </w:p>
        </w:tc>
        <w:tc>
          <w:tcPr>
            <w:tcW w:w="18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63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Secured Term Loan Principal Borrowing</w:t>
            </w:r>
          </w:p>
        </w:tc>
        <w:tc>
          <w:tcPr>
            <w:tcW w:w="18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r>
      <w:tr>
        <w:trPr>
          <w:trHeight w:val="257"/>
        </w:trPr>
        <w:tc>
          <w:tcPr>
            <w:tcW w:w="6300" w:type="dxa"/>
            <w:vAlign w:val="bottom"/>
          </w:tcPr>
          <w:p>
            <w:pPr>
              <w:ind w:left="40"/>
              <w:spacing w:after="0"/>
              <w:rPr>
                <w:sz w:val="20"/>
                <w:szCs w:val="20"/>
                <w:color w:val="auto"/>
              </w:rPr>
            </w:pPr>
            <w:r>
              <w:rPr>
                <w:rFonts w:ascii="Arial" w:cs="Arial" w:eastAsia="Arial" w:hAnsi="Arial"/>
                <w:sz w:val="18"/>
                <w:szCs w:val="18"/>
                <w:color w:val="auto"/>
              </w:rPr>
              <w:t>Borrowing Availability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506</w:t>
            </w:r>
          </w:p>
        </w:tc>
      </w:tr>
      <w:tr>
        <w:trPr>
          <w:trHeight w:val="20"/>
        </w:trPr>
        <w:tc>
          <w:tcPr>
            <w:tcW w:w="6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are currently negotiating amendments to the terms of our Credit Agreements. We anticipate the amendments will result in, among other items, a reduction in the aggregate commitments under the Revolving Credit Facility, a one-year extension of a portion of those commitments through July 2020, and a new 364-day second lien secured revolving facility. We expect the aggregate commitments of the amended Revolving Credit Facility and the 364-day facility to be approximately $900 million at closing, which is anticipated by the end of August 2018. Ninety days subsequent to closing, the combined Revolving Credit Facility commitments are expected to be reduced by approximately $54 million.</w:t>
      </w:r>
    </w:p>
    <w:p>
      <w:pPr>
        <w:spacing w:after="0" w:line="215"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49" w:right="239" w:bottom="1440" w:gutter="0" w:footer="0" w:header="0"/>
        </w:sectPr>
      </w:pPr>
    </w:p>
    <w:bookmarkStart w:id="44" w:name="page45"/>
    <w:bookmarkEnd w:id="44"/>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Short-Term Borrowings and Other Debt Activity</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have short-term borrowings with various domestic and international institutions pursuant to uncommitted credit facilities. At June 30, 2018, we had $7 million in short-term borrowings under these arrangements.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Accounts Receivable Factoring and Other Receivables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From time to time, we participate in factoring arrangements to sell accounts receivable to third-party financial institutions. In the first six months of 2018, we sold accounts receivable of $188 million and recognized a loss of approximately $1 million on these sales. We received cash proceeds totaling $181 million. In the first six months of 2017, we sold approximately $78 million and recognized a loss of $0.4 million. Our factoring transactions in the first six months of 2018 and 2017 were recognized as sales, and the proceeds are included as operating cash flows in our Condensed Consolidated Statements of Cash Flows.</w:t>
      </w:r>
    </w:p>
    <w:p>
      <w:pPr>
        <w:spacing w:after="0" w:line="188"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the first quarter of 2017, Weatherford converted trade receivables of $65 million into a note from the customer with a face value of $65 million. The note had a three year term at a 4.625% stated interest rate. We reported the note as a trading security within “Other Current Assets” at fair value on the Condensed Consolidated Balance Sheets at its fair value of $58 million on March 31, 2017. The note fair value was considered a Level 2 valuation and was estimated using secondary market data for similar bonds. During the second quarter of 2017, we sold the note for $59 million.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Ratings Services’ Credit Ratings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October 24, 2017, Standard &amp; Poor’s Global Ratings downgraded our senior unsecured notes to B- from B, with a negative outlook. Our Moody’s Investors Services credit rating on our senior unsecured notes is currently Caa1 and our short-term rating is SGL-3, both with a negative outlook. We continue to have access and expect we will continue to have access to most credit markets.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Requirements</w:t>
      </w:r>
    </w:p>
    <w:p>
      <w:pPr>
        <w:spacing w:after="0" w:line="225"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We anticipate our remaining 2018 cash requirements will include payments for capital expenditures, repayment of debt, interest payments on our outstanding debt, payments for short-term working capital needs and transformation costs including severance payments. Our cash requirements may also include opportunistic debt repurchases, business acquisitions and other amounts to settle litigation related matters. We anticipate funding these requirements from cash and cash equivalent balances, cash generated by our operations, availability under our credit facilities, accounts receivable factoring, proceeds from disposals of businesses or capital assets. We anticipate that cash generated from operations will be augmented by working capital improvements, increased activity, improved margins and proceeds from contractually committed and announced divestitures. We also historically have accessed banks for short-term loans from uncommitted borrowing arrangements and have accessed the capital markets with debt and equity offerings. From time to time we may and have entered into transactions to dispose of businesses or capital assets that no longer fit our long-term strategy.</w:t>
      </w:r>
    </w:p>
    <w:p>
      <w:pPr>
        <w:spacing w:after="0" w:line="16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Capital expenditures for 2018 are projected to range between $200 million to $250 million, excluding expenditures for our land drilling rigs business compared to capital expenditures of $225 million in 2017 (excluding the purchase of certain leased equipment utilized in our North America pressure pumping operations for a total amount of $244 million in 2017). These projections are due to anticipated activity in the oil and gas business related to stabilizing active rig counts. The amounts we ultimately spend will depend on a number of factors including the type of contracts we enter into, asset availability and our expectations with respect to industry activity levels in 2018. Expenditures are expected to be used primarily to supporting ongoing activities of our core businesses and our sources of liquidity are anticipated to be sufficient to meet our needs.</w:t>
      </w:r>
    </w:p>
    <w:p>
      <w:pPr>
        <w:spacing w:after="0" w:line="17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of $411 million at June 30, 2018, are held by subsidiaries outside of Switzerland, the Company’s taxing jurisdiction. Based on the nature of our structure, we are generally able to redeploy cash with no incremental tax.</w:t>
      </w:r>
    </w:p>
    <w:p>
      <w:pPr>
        <w:spacing w:after="0" w:line="17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2018, $62 million of our cash and cash equivalents balance was denominated in Angolan kwanza. The National Bank of Angola supervises all kwanza exchange operations and has limited U.S. dollar conversions. In January 2018, the Angolan National Bank announced a new currency exchange policy and the Angolan kwanza subsequently devalued approximately 19%. As a result, we recognized currency devaluation charges of $35 million reflecting the devaluation of the Angolan kwanza.</w:t>
      </w:r>
    </w:p>
    <w:p>
      <w:pPr>
        <w:spacing w:after="0" w:line="200" w:lineRule="exact"/>
        <w:rPr>
          <w:sz w:val="20"/>
          <w:szCs w:val="20"/>
          <w:color w:val="auto"/>
        </w:rPr>
      </w:pPr>
    </w:p>
    <w:p>
      <w:pPr>
        <w:spacing w:after="0" w:line="230"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449" w:right="239" w:bottom="1440" w:gutter="0" w:footer="0" w:header="0"/>
        </w:sectPr>
      </w:pPr>
    </w:p>
    <w:bookmarkStart w:id="45" w:name="page46"/>
    <w:bookmarkEnd w:id="45"/>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Guarantees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Weatherford Ireland guarantees the obligations of our subsidiaries Weatherford Bermuda and Weatherford Delaware, including the notes and credit facilities listed below.</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6.80% senior notes due 2037 of Weatherford Delaware were guaranteed by Weatherford Bermuda at June 30, 2018 and December 31, 2017. At June 30, 2018, Weatherford Bermuda also guaranteed the 9.875% senior notes due 2025.</w:t>
      </w:r>
    </w:p>
    <w:p>
      <w:pPr>
        <w:spacing w:after="0" w:line="170"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following obligations of Weatherford Bermuda were guaranteed by Weatherford Delaware at June 30, 2018 and December 31, 2017: (1) Revolving Credit Agreement, (2) Term Loan Agreement, (3) 9.625% senior notes due 2019, which were repaid in full through early redemption of the bond in April 2018 (4) 6.50% senior notes due 2036, (5) 7.00% senior notes due 2038, (6) 9.875% senior notes due 2039, (7) 5.125% senior notes due 2020, (8) 6.75% senior notes due 2040, (9) 4.50% senior notes due 2021, (10) 5.95% senior notes due 2042, (11) 5.875% exchangeable senior notes due 2021, (12) 7.75% senior notes due 2021, (13) 8.25% senior notes due 2023 and (14) 9.875% senior notes due 2024. At December 31, 2017, Weatherford Delaware also guaranteed the 6.00% senior notes due 2018, which were repaid in full in March 2018.</w:t>
      </w:r>
    </w:p>
    <w:p>
      <w:pPr>
        <w:spacing w:after="0" w:line="178"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As a result of certain of these guarantee arrangements, we are required to present condensed consolidating financial information. See “Note 19 – Condensed Consolidating Financial Statements” to our Condensed Consolidated Financial Statements for our guarantor financial information.</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Letters of Credit and Performance and Bid Bonds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use letters of credit and performance and bid bonds in the normal course of our business. As of June 30, 2018, we had $519 million of letters of credit and performance and bid bonds outstanding, consisting of $350 million outstanding under various uncommitted credit facilities (of which $92 million has been cash collateralized and included in “Cash and Cash Equivalents” in the accompanying Condensed Consolidated Balance Sheets) and $169 million of letters of credit outstanding under our Revolving Credit Agreement. We also have $9 million of surety bonds, primarily performance bonds, issued by financial sureties against an indemnification from us. These obligations could be called by the beneficiaries should we breach certain contractual or performance obligations. If the beneficiaries were to call the letters of credit under our committed facilities, our available liquidity would be reduced by the amount called.</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Derivative Instruments</w:t>
      </w:r>
    </w:p>
    <w:p>
      <w:pPr>
        <w:spacing w:after="0" w:line="229"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See “Note 12 – Derivative Instruments” to our Condensed Consolidated Financial Statements for details regarding our use of interest rate swaps and derivative contracts we enter to hedge our exposure to currency fluctuations in various foreign currencies and other derivative activities.</w:t>
      </w:r>
    </w:p>
    <w:p>
      <w:pPr>
        <w:spacing w:after="0" w:line="14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Our discussion and analysis of our financial condition and results of operation is based upon our Condensed Consolidated Financial Statements. We prepare these financial statements in conformity with U.S. generally accepted accounting principles. As such, we are required to make certain estimates, judgments and assumptions that affect the reported amounts of assets and liabilities at the date of the financial statements and the reported amounts of revenues and expenses during the periods presented. We base our estimates on historical experience, available information and various other assumptions we believe to be reasonable under the circumstances. On an on-going basis, we evaluate our estimates; however, actual results may differ from these estimates under different assumptions or conditions. There have been no material changes or developments in our evaluation of the accounting estimates and the underlying assumptions or methodologies that we believe to be critical accounting policies and estimates as disclosed in our Form 10-K for the year ended December 31, 2017.</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 New Accounting Pronouncements” to our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49" w:right="239" w:bottom="1440" w:gutter="0" w:footer="0" w:header="0"/>
        </w:sectPr>
      </w:pPr>
    </w:p>
    <w:bookmarkStart w:id="46" w:name="page47"/>
    <w:bookmarkEnd w:id="46"/>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This report contains various statements relating to future financial performance and results, including certain projections, business trends and other statements that are not historical facts. These statements constitute forward-looking statements. These forward-looking statements generally are identified by the words “believe,” “project,” “expect,” “anticipate,” “estimate,” “intend,” “budget,” “strategy,” “plan,” “guidance,” “outlook,” “may,” “should,” “could,” “will,” “would,” “will be,” “will continue,” “will likely result,” and similar expressions, although not all forward-looking statements contain these identifying words.</w:t>
      </w:r>
    </w:p>
    <w:p>
      <w:pPr>
        <w:spacing w:after="0" w:line="188"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Forward-looking statements reflect our beliefs and expectations based on current estimates and projections. While we believe these expectations, and the estimates and projections on which they are based, are reasonable and were made in good faith, these statements are subject to numerous risks and uncertainties. Accordingly, our actual outcomes and results may differ materially from what we have expressed or forecasted in the forward-looking statements. Furthermore, from time to time, we update the various factors we consider in making our forward-looking statements and the assumptions we use in those statements. However, we undertake no obligation to correct, update or revise any forward-looking statement, whether as a result of new information, future events, or otherwise, except to the extent required under federal securities laws. The following sets forth various assumptions we use in our forward-looking statements, as well as risks and uncertainties relating to those statements. Certain of these risks and uncertainties may cause actual results to be materially different from projected results contained in forward-looking statements in this report and in our other disclosures. These risks and uncertainties include, but are not limited to, those described below under “Part II – Other Information – Item 1A. – Risk Factors” and the following:</w:t>
      </w:r>
    </w:p>
    <w:p>
      <w:pPr>
        <w:spacing w:after="0" w:line="221" w:lineRule="exact"/>
        <w:rPr>
          <w:sz w:val="20"/>
          <w:szCs w:val="20"/>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price and price volatility of oil, natural gas and natural gas liquids;</w:t>
      </w:r>
    </w:p>
    <w:p>
      <w:pPr>
        <w:spacing w:after="0" w:line="63"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global political, economic and market conditions, political disturbances, war, terrorist attacks, changes in global trade policies, weak local economic conditions and international currency fluctuations;</w:t>
      </w:r>
    </w:p>
    <w:p>
      <w:pPr>
        <w:spacing w:after="0" w:line="8" w:lineRule="exact"/>
        <w:rPr>
          <w:rFonts w:ascii="Arial" w:cs="Arial" w:eastAsia="Arial" w:hAnsi="Arial"/>
          <w:sz w:val="18"/>
          <w:szCs w:val="18"/>
          <w:color w:val="auto"/>
        </w:rPr>
      </w:pPr>
    </w:p>
    <w:p>
      <w:pPr>
        <w:ind w:left="74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nonrealization of expected benefits from our acquisitions or business dispositions and our ability to execute or close such acquisitions and dispositions;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divest certain non-core assets of our business;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realize expected revenues and profitability levels from current and future contracts;</w:t>
      </w:r>
    </w:p>
    <w:p>
      <w:pPr>
        <w:spacing w:after="0" w:line="63" w:lineRule="exact"/>
        <w:rPr>
          <w:rFonts w:ascii="Arial" w:cs="Arial" w:eastAsia="Arial" w:hAnsi="Arial"/>
          <w:sz w:val="18"/>
          <w:szCs w:val="18"/>
          <w:color w:val="auto"/>
        </w:rPr>
      </w:pPr>
    </w:p>
    <w:p>
      <w:pPr>
        <w:jc w:val="both"/>
        <w:ind w:left="740" w:hanging="327"/>
        <w:spacing w:after="0" w:line="264"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manage our workforce, supply chain and business processes, information technology systems and technological innovation and commercialization, including the impact of our organization restructure, business enhancements, transformation efforts and the cost and support reduction plans;</w:t>
      </w:r>
    </w:p>
    <w:p>
      <w:pPr>
        <w:spacing w:after="0" w:line="19"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high level of indebtedness;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increases in the prices and availability of our raw materials;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potential non-cash asset impairment charges for long-lived assets, goodwill, intangible assets or other assets;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to our effective tax rate;</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inability to realize cost savings and business enhancements from our transformation efforts;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downturns in our industry which could affect the carrying value of our goodwill;</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member-country quota compliance within the Organization of Petroleum Exporting Countries;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weather conditions in certain regions of our operations;</w:t>
      </w:r>
    </w:p>
    <w:p>
      <w:pPr>
        <w:spacing w:after="0" w:line="63"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our ability to realize the expected benefits from our redomestication from Switzerland to Ireland and to maintain our Swiss tax residency;</w:t>
      </w:r>
    </w:p>
    <w:p>
      <w:pPr>
        <w:spacing w:after="0" w:line="74" w:lineRule="exact"/>
        <w:rPr>
          <w:rFonts w:ascii="Arial" w:cs="Arial" w:eastAsia="Arial" w:hAnsi="Arial"/>
          <w:sz w:val="17"/>
          <w:szCs w:val="17"/>
          <w:color w:val="auto"/>
        </w:rPr>
      </w:pPr>
    </w:p>
    <w:p>
      <w:pPr>
        <w:ind w:left="740" w:right="100" w:hanging="327"/>
        <w:spacing w:after="0" w:line="277" w:lineRule="auto"/>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failure to ensure on-going compliance with current and future laws and government regulations, including but not limited to environmental and tax and accounting laws, rules and regulations;</w:t>
      </w:r>
    </w:p>
    <w:p>
      <w:pPr>
        <w:spacing w:after="0" w:line="8" w:lineRule="exact"/>
        <w:rPr>
          <w:rFonts w:ascii="Arial" w:cs="Arial" w:eastAsia="Arial" w:hAnsi="Arial"/>
          <w:sz w:val="18"/>
          <w:szCs w:val="18"/>
          <w:color w:val="auto"/>
        </w:rPr>
      </w:pPr>
    </w:p>
    <w:p>
      <w:pPr>
        <w:ind w:left="740" w:hanging="327"/>
        <w:spacing w:after="0"/>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limited access to capital, significantly higher cost of capital, or difficulty raising additional funds in the equity or debt capital markets; and</w:t>
      </w:r>
    </w:p>
    <w:p>
      <w:pPr>
        <w:spacing w:after="0" w:line="34" w:lineRule="exact"/>
        <w:rPr>
          <w:rFonts w:ascii="Arial" w:cs="Arial" w:eastAsia="Arial" w:hAnsi="Arial"/>
          <w:sz w:val="17"/>
          <w:szCs w:val="17"/>
          <w:color w:val="auto"/>
        </w:rPr>
      </w:pPr>
    </w:p>
    <w:p>
      <w:pPr>
        <w:ind w:left="740" w:hanging="327"/>
        <w:spacing w:after="0"/>
        <w:tabs>
          <w:tab w:leader="none" w:pos="74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timely extend and/or refinance our Revolving Credit Agreement on terms favorable to the Company.</w:t>
      </w:r>
    </w:p>
    <w:p>
      <w:pPr>
        <w:spacing w:after="0" w:line="211"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Finally, our future results will depend upon various other risks and uncertainties, including, but not limited to, those detailed in our other filings with the SEC under the Exchange Act and the Securities Act. For additional information regarding risks and uncertainties, see our other filings with the SEC. Our annual reports on Form 10-K, quarterly reports on Form 10-Q, current reports on Form 8-K and amendments to those reports filed or furnished pursuant to Section 13(a) or 15(d) of the Exchange Act are made available free of charge on our web site www.weatherford.com under “Investor Relations” as soon as reasonably practicable after we have electronically filed the material with, or furnished it to, the SEC.</w:t>
      </w:r>
    </w:p>
    <w:p>
      <w:pPr>
        <w:spacing w:after="0" w:line="200" w:lineRule="exact"/>
        <w:rPr>
          <w:sz w:val="20"/>
          <w:szCs w:val="20"/>
          <w:color w:val="auto"/>
        </w:rPr>
      </w:pPr>
    </w:p>
    <w:p>
      <w:pPr>
        <w:spacing w:after="0" w:line="216"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49" w:right="239" w:bottom="1440" w:gutter="0" w:footer="0" w:header="0"/>
        </w:sectPr>
      </w:pPr>
    </w:p>
    <w:bookmarkStart w:id="47" w:name="page48"/>
    <w:bookmarkEnd w:id="47"/>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quantitative and qualitative disclosures about market risk, see “Part II – Other Information – Item 7A. – Quantitative and Qualitative Disclosures about Market Risk,” in our Annual Report on Form 10-K for the fiscal year ended December 31, 2017. Our exposure to market risk has not changed materially since December 31, 2017.</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Highly Inflationary Country</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June 30, 2018, the economy of Argentina was deemed to be highly inflationary. As of June 30, 2018, we had a net monetary asset position denominated in Argentine pesos of $43 million, comprised primarily of accounts receivable and current liabilities. Effective July 1, 2018, we expect to change our Argentinian operations to a U.S. dollar functional currency, which would result in gains or losses on the Argentine peso denominated assets held by our subsidiaries for subsequent changes in the exchange rate.</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i w:val="1"/>
          <w:iCs w:val="1"/>
          <w:color w:val="auto"/>
        </w:rPr>
        <w:t xml:space="preserve">Evaluation of Disclosure Controls and Procedures. </w:t>
      </w:r>
      <w:r>
        <w:rPr>
          <w:rFonts w:ascii="Arial" w:cs="Arial" w:eastAsia="Arial" w:hAnsi="Arial"/>
          <w:sz w:val="18"/>
          <w:szCs w:val="18"/>
          <w:color w:val="auto"/>
        </w:rPr>
        <w:t>Disclosure controls and procedures (as defined in Rules 13a-15(e) and 15d-15(e) under the Exchange</w:t>
      </w:r>
      <w:r>
        <w:rPr>
          <w:rFonts w:ascii="Arial" w:cs="Arial" w:eastAsia="Arial" w:hAnsi="Arial"/>
          <w:sz w:val="18"/>
          <w:szCs w:val="18"/>
          <w:i w:val="1"/>
          <w:iCs w:val="1"/>
          <w:color w:val="auto"/>
        </w:rPr>
        <w:t xml:space="preserve"> </w:t>
      </w:r>
      <w:r>
        <w:rPr>
          <w:rFonts w:ascii="Arial" w:cs="Arial" w:eastAsia="Arial" w:hAnsi="Arial"/>
          <w:sz w:val="18"/>
          <w:szCs w:val="18"/>
          <w:color w:val="auto"/>
        </w:rPr>
        <w:t>Act) are designed to ensure that information required to be disclosed in our reports filed under the Exchange Act is recorded, processed, summarized and reported within the time periods specified in the SEC’s rules and forms. This information is collected and communicated to management, including our Chief Executive Officer (“CEO”) and Chief Financial Officer (“CFO”), as appropriate, to allow timely decisions regarding required disclosures. Our management, under the supervision and with the participation of our CEO and CFO, evaluated the effectiveness of the design and operation of our disclosure controls and procedures at June 30, 2018. Based on that evaluation, our CEO and CFO concluded that our disclosure controls and procedures were effective as of June 30, 2018.</w:t>
      </w:r>
    </w:p>
    <w:p>
      <w:pPr>
        <w:spacing w:after="0" w:line="18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i w:val="1"/>
          <w:iCs w:val="1"/>
          <w:color w:val="auto"/>
        </w:rPr>
        <w:t xml:space="preserve">Changes in Internal Control Over Financial Reporting. </w:t>
      </w:r>
      <w:r>
        <w:rPr>
          <w:rFonts w:ascii="Arial" w:cs="Arial" w:eastAsia="Arial" w:hAnsi="Arial"/>
          <w:sz w:val="16"/>
          <w:szCs w:val="16"/>
          <w:color w:val="auto"/>
        </w:rPr>
        <w:t>Beginning January 1, 2018, we implemented ASC 606, Revenue from Contracts with Customers</w:t>
      </w:r>
      <w:r>
        <w:rPr>
          <w:rFonts w:ascii="Arial" w:cs="Arial" w:eastAsia="Arial" w:hAnsi="Arial"/>
          <w:sz w:val="16"/>
          <w:szCs w:val="16"/>
          <w:i w:val="1"/>
          <w:iCs w:val="1"/>
          <w:color w:val="auto"/>
        </w:rPr>
        <w:t xml:space="preserve"> </w:t>
      </w:r>
      <w:r>
        <w:rPr>
          <w:rFonts w:ascii="Arial" w:cs="Arial" w:eastAsia="Arial" w:hAnsi="Arial"/>
          <w:sz w:val="16"/>
          <w:szCs w:val="16"/>
          <w:color w:val="auto"/>
        </w:rPr>
        <w:t>(Topic 606). Although the impact of the adoption of the new guidance is immaterial to our consolidated net loss, we did implement changes to our processes related to revenue recognition and the control activities within them. These included the development of new policies based on the five-step model provided in the new revenue standard, new training, ongoing contract review requirements, and gathering of information provided for disclosures.</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management identified no other changes in our internal control over financial reporting that occurred during the three months ended June 30, 2018 that has materially affected, or is reasonably likely to materially affect, our internal control over financial reporting.</w:t>
      </w:r>
    </w:p>
    <w:p>
      <w:pPr>
        <w:spacing w:after="0" w:line="200" w:lineRule="exact"/>
        <w:rPr>
          <w:sz w:val="20"/>
          <w:szCs w:val="20"/>
          <w:color w:val="auto"/>
        </w:rPr>
      </w:pPr>
    </w:p>
    <w:p>
      <w:pPr>
        <w:spacing w:after="0" w:line="214"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449" w:right="239" w:bottom="1440" w:gutter="0" w:footer="0" w:header="0"/>
        </w:sectPr>
      </w:pPr>
    </w:p>
    <w:bookmarkStart w:id="48" w:name="page49"/>
    <w:bookmarkEnd w:id="48"/>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302"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PART II – Other Information</w:t>
      </w:r>
    </w:p>
    <w:p>
      <w:pPr>
        <w:spacing w:after="0" w:line="27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Disputes and Litigation</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“Note 18 – Disputes, Litigation and Contingencies” to our Condensed Consolidated Financial Statements for details regarding our ongoing disputes and litigation.</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An investment in our securities involves various risks. You should consider carefully all of the risk factors described in our most recent Annual Report on Form 10-K, Part I, under the heading “Item 1A. – Risk Factors” and other information included and incorporated by reference in this report. As of June 30, 2018, there have been no material changes in our assessment of our risk factors from those set forth in our Annual Report on Form 10-K for the fiscal year ended December 31, 2017.</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449" w:right="239" w:bottom="1440" w:gutter="0" w:footer="0" w:header="0"/>
        </w:sectPr>
      </w:pPr>
    </w:p>
    <w:bookmarkStart w:id="49" w:name="page50"/>
    <w:bookmarkEnd w:id="49"/>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All exhibits are incorporated herein by reference to a prior filing as indicated, unless otherwise designated with an dagger (†), which are filed herewith, or double dagger (††) which are furnished herewith.</w:t>
      </w:r>
    </w:p>
    <w:p>
      <w:pPr>
        <w:spacing w:after="0" w:line="329"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Exhibit</w:t>
      </w:r>
    </w:p>
    <w:p>
      <w:pPr>
        <w:spacing w:after="0" w:line="27" w:lineRule="exact"/>
        <w:rPr>
          <w:sz w:val="20"/>
          <w:szCs w:val="20"/>
          <w:color w:val="auto"/>
        </w:rPr>
      </w:pPr>
    </w:p>
    <w:p>
      <w:pPr>
        <w:ind w:left="20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3175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317500"/>
                    </a:xfrm>
                    <a:prstGeom prst="rect">
                      <a:avLst/>
                    </a:prstGeom>
                    <a:noFill/>
                  </pic:spPr>
                </pic:pic>
              </a:graphicData>
            </a:graphic>
          </wp:anchor>
        </w:drawing>
      </w:r>
    </w:p>
    <w:p>
      <w:pPr>
        <w:spacing w:after="0" w:line="42" w:lineRule="exact"/>
        <w:rPr>
          <w:sz w:val="20"/>
          <w:szCs w:val="20"/>
          <w:color w:val="auto"/>
        </w:rPr>
      </w:pPr>
    </w:p>
    <w:p>
      <w:pPr>
        <w:ind w:left="1180" w:right="160" w:hanging="766"/>
        <w:spacing w:after="0" w:line="277" w:lineRule="auto"/>
        <w:tabs>
          <w:tab w:leader="none" w:pos="1160" w:val="left"/>
        </w:tabs>
        <w:rPr>
          <w:rFonts w:ascii="Arial" w:cs="Arial" w:eastAsia="Arial" w:hAnsi="Arial"/>
          <w:sz w:val="18"/>
          <w:szCs w:val="18"/>
          <w:color w:val="0000FF"/>
        </w:rPr>
      </w:pPr>
      <w:hyperlink r:id="rId11">
        <w:r>
          <w:rPr>
            <w:rFonts w:ascii="Arial" w:cs="Arial" w:eastAsia="Arial" w:hAnsi="Arial"/>
            <w:sz w:val="18"/>
            <w:szCs w:val="18"/>
            <w:u w:val="single" w:color="auto"/>
            <w:color w:val="0000FF"/>
          </w:rPr>
          <w:t>3.1</w:t>
        </w:r>
      </w:hyperlink>
      <w:r>
        <w:rPr>
          <w:rFonts w:ascii="Arial" w:cs="Arial" w:eastAsia="Arial" w:hAnsi="Arial"/>
          <w:sz w:val="18"/>
          <w:szCs w:val="18"/>
          <w:color w:val="0000FF"/>
        </w:rPr>
        <w:tab/>
        <w:t>Memorandum and Articles of Association of Weatherford International public limited company (incorporated by reference as Exhibit 2.1 of the Company’s Form 8-K filed April 2, 2014, File No. 1-36504).</w:t>
      </w:r>
    </w:p>
    <w:p>
      <w:pPr>
        <w:spacing w:after="0" w:line="8" w:lineRule="exact"/>
        <w:rPr>
          <w:sz w:val="20"/>
          <w:szCs w:val="20"/>
          <w:color w:val="auto"/>
        </w:rPr>
      </w:pPr>
    </w:p>
    <w:p>
      <w:pPr>
        <w:ind w:left="320"/>
        <w:spacing w:after="0"/>
        <w:tabs>
          <w:tab w:leader="none" w:pos="1160" w:val="left"/>
        </w:tabs>
        <w:rPr>
          <w:rFonts w:ascii="Arial" w:cs="Arial" w:eastAsia="Arial" w:hAnsi="Arial"/>
          <w:sz w:val="18"/>
          <w:szCs w:val="18"/>
          <w:color w:val="auto"/>
        </w:rPr>
      </w:pPr>
      <w:r>
        <w:rPr>
          <w:rFonts w:ascii="Arial" w:cs="Arial" w:eastAsia="Arial" w:hAnsi="Arial"/>
          <w:sz w:val="18"/>
          <w:szCs w:val="18"/>
          <w:color w:val="auto"/>
        </w:rPr>
        <w:t>†</w:t>
      </w:r>
      <w:hyperlink w:anchor="page52">
        <w:r>
          <w:rPr>
            <w:rFonts w:ascii="Arial" w:cs="Arial" w:eastAsia="Arial" w:hAnsi="Arial"/>
            <w:sz w:val="18"/>
            <w:szCs w:val="18"/>
            <w:u w:val="single" w:color="auto"/>
            <w:color w:val="0000FF"/>
          </w:rPr>
          <w:t>31.1</w:t>
        </w:r>
      </w:hyperlink>
      <w:r>
        <w:rPr>
          <w:rFonts w:ascii="Arial" w:cs="Arial" w:eastAsia="Arial" w:hAnsi="Arial"/>
          <w:sz w:val="18"/>
          <w:szCs w:val="18"/>
          <w:color w:val="auto"/>
        </w:rPr>
        <w:tab/>
      </w:r>
      <w:r>
        <w:rPr>
          <w:rFonts w:ascii="Arial" w:cs="Arial" w:eastAsia="Arial" w:hAnsi="Arial"/>
          <w:sz w:val="16"/>
          <w:szCs w:val="16"/>
          <w:color w:val="auto"/>
        </w:rPr>
        <w:t>Certification of Chief Executive Officer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20"/>
        <w:spacing w:after="0"/>
        <w:tabs>
          <w:tab w:leader="none" w:pos="1160" w:val="left"/>
        </w:tabs>
        <w:rPr>
          <w:rFonts w:ascii="Arial" w:cs="Arial" w:eastAsia="Arial" w:hAnsi="Arial"/>
          <w:sz w:val="18"/>
          <w:szCs w:val="18"/>
          <w:color w:val="auto"/>
        </w:rPr>
      </w:pPr>
      <w:r>
        <w:rPr>
          <w:rFonts w:ascii="Arial" w:cs="Arial" w:eastAsia="Arial" w:hAnsi="Arial"/>
          <w:sz w:val="18"/>
          <w:szCs w:val="18"/>
          <w:color w:val="auto"/>
        </w:rPr>
        <w:t>†</w:t>
      </w:r>
      <w:hyperlink w:anchor="page53">
        <w:r>
          <w:rPr>
            <w:rFonts w:ascii="Arial" w:cs="Arial" w:eastAsia="Arial" w:hAnsi="Arial"/>
            <w:sz w:val="18"/>
            <w:szCs w:val="18"/>
            <w:u w:val="single" w:color="auto"/>
            <w:color w:val="0000FF"/>
          </w:rPr>
          <w:t>31.2</w:t>
        </w:r>
      </w:hyperlink>
      <w:r>
        <w:rPr>
          <w:rFonts w:ascii="Arial" w:cs="Arial" w:eastAsia="Arial" w:hAnsi="Arial"/>
          <w:sz w:val="18"/>
          <w:szCs w:val="18"/>
          <w:color w:val="auto"/>
        </w:rPr>
        <w:tab/>
      </w:r>
      <w:r>
        <w:rPr>
          <w:rFonts w:ascii="Arial" w:cs="Arial" w:eastAsia="Arial" w:hAnsi="Arial"/>
          <w:sz w:val="16"/>
          <w:szCs w:val="16"/>
          <w:color w:val="auto"/>
        </w:rPr>
        <w:t>Certification of Chief Financial Officer pursuant to Section 302 of the Sarbanes-Oxley Act of 2002.</w:t>
      </w:r>
    </w:p>
    <w:p>
      <w:pPr>
        <w:spacing w:after="0" w:line="63" w:lineRule="exact"/>
        <w:rPr>
          <w:sz w:val="20"/>
          <w:szCs w:val="20"/>
          <w:color w:val="auto"/>
        </w:rPr>
      </w:pPr>
    </w:p>
    <w:p>
      <w:pPr>
        <w:ind w:left="280"/>
        <w:spacing w:after="0"/>
        <w:tabs>
          <w:tab w:leader="none" w:pos="1160" w:val="left"/>
        </w:tabs>
        <w:rPr>
          <w:rFonts w:ascii="Arial" w:cs="Arial" w:eastAsia="Arial" w:hAnsi="Arial"/>
          <w:sz w:val="18"/>
          <w:szCs w:val="18"/>
          <w:color w:val="auto"/>
        </w:rPr>
      </w:pPr>
      <w:r>
        <w:rPr>
          <w:rFonts w:ascii="Arial" w:cs="Arial" w:eastAsia="Arial" w:hAnsi="Arial"/>
          <w:sz w:val="18"/>
          <w:szCs w:val="18"/>
          <w:color w:val="auto"/>
        </w:rPr>
        <w:t>††</w:t>
      </w:r>
      <w:hyperlink w:anchor="page54">
        <w:r>
          <w:rPr>
            <w:rFonts w:ascii="Arial" w:cs="Arial" w:eastAsia="Arial" w:hAnsi="Arial"/>
            <w:sz w:val="18"/>
            <w:szCs w:val="18"/>
            <w:u w:val="single" w:color="auto"/>
            <w:color w:val="0000FF"/>
          </w:rPr>
          <w:t>32.1</w:t>
        </w:r>
      </w:hyperlink>
      <w:r>
        <w:rPr>
          <w:rFonts w:ascii="Arial" w:cs="Arial" w:eastAsia="Arial" w:hAnsi="Arial"/>
          <w:sz w:val="18"/>
          <w:szCs w:val="18"/>
          <w:color w:val="auto"/>
        </w:rPr>
        <w:tab/>
      </w:r>
      <w:r>
        <w:rPr>
          <w:rFonts w:ascii="Arial" w:cs="Arial" w:eastAsia="Arial" w:hAnsi="Arial"/>
          <w:sz w:val="16"/>
          <w:szCs w:val="16"/>
          <w:color w:val="auto"/>
        </w:rPr>
        <w:t>Certification of Chief Executive Officer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tabs>
          <w:tab w:leader="none" w:pos="1160" w:val="left"/>
        </w:tabs>
        <w:rPr>
          <w:rFonts w:ascii="Arial" w:cs="Arial" w:eastAsia="Arial" w:hAnsi="Arial"/>
          <w:sz w:val="18"/>
          <w:szCs w:val="18"/>
          <w:color w:val="auto"/>
        </w:rPr>
      </w:pPr>
      <w:r>
        <w:rPr>
          <w:rFonts w:ascii="Arial" w:cs="Arial" w:eastAsia="Arial" w:hAnsi="Arial"/>
          <w:sz w:val="18"/>
          <w:szCs w:val="18"/>
          <w:color w:val="auto"/>
        </w:rPr>
        <w:t>††</w:t>
      </w:r>
      <w:hyperlink w:anchor="page55">
        <w:r>
          <w:rPr>
            <w:rFonts w:ascii="Arial" w:cs="Arial" w:eastAsia="Arial" w:hAnsi="Arial"/>
            <w:sz w:val="18"/>
            <w:szCs w:val="18"/>
            <w:u w:val="single" w:color="auto"/>
            <w:color w:val="0000FF"/>
          </w:rPr>
          <w:t>32.2</w:t>
        </w:r>
      </w:hyperlink>
      <w:r>
        <w:rPr>
          <w:rFonts w:ascii="Arial" w:cs="Arial" w:eastAsia="Arial" w:hAnsi="Arial"/>
          <w:sz w:val="18"/>
          <w:szCs w:val="18"/>
          <w:color w:val="auto"/>
        </w:rPr>
        <w:tab/>
      </w:r>
      <w:r>
        <w:rPr>
          <w:rFonts w:ascii="Arial" w:cs="Arial" w:eastAsia="Arial" w:hAnsi="Arial"/>
          <w:sz w:val="16"/>
          <w:szCs w:val="16"/>
          <w:color w:val="auto"/>
        </w:rPr>
        <w:t>Certification of Chief Financial Officer pursuant to Section 906 of the Sarbanes-Oxley Act of 2002.</w:t>
      </w:r>
    </w:p>
    <w:p>
      <w:pPr>
        <w:spacing w:after="0" w:line="63" w:lineRule="exact"/>
        <w:rPr>
          <w:sz w:val="20"/>
          <w:szCs w:val="20"/>
          <w:color w:val="auto"/>
        </w:rPr>
      </w:pPr>
    </w:p>
    <w:p>
      <w:pPr>
        <w:ind w:left="1180" w:right="560" w:hanging="879"/>
        <w:spacing w:after="0" w:line="258" w:lineRule="auto"/>
        <w:tabs>
          <w:tab w:leader="none" w:pos="116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The following materials from the Company's Quarterly Report on Form 10-Q for the quarter ended June 30, 2018, formatted in XBRL (eXtensible Business Reporting Language):</w:t>
      </w:r>
    </w:p>
    <w:p>
      <w:pPr>
        <w:spacing w:after="0" w:line="1" w:lineRule="exact"/>
        <w:rPr>
          <w:sz w:val="20"/>
          <w:szCs w:val="20"/>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Balance Sheets,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Operations,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Comprehensive Income (Loss),</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unaudited Condensed Consolidated Statements of Cash Flows, and</w:t>
      </w:r>
    </w:p>
    <w:p>
      <w:pPr>
        <w:spacing w:after="0" w:line="9" w:lineRule="exact"/>
        <w:rPr>
          <w:rFonts w:ascii="Arial" w:cs="Arial" w:eastAsia="Arial" w:hAnsi="Arial"/>
          <w:sz w:val="18"/>
          <w:szCs w:val="18"/>
          <w:color w:val="auto"/>
        </w:rPr>
      </w:pPr>
    </w:p>
    <w:p>
      <w:pPr>
        <w:ind w:left="1440" w:hanging="257"/>
        <w:spacing w:after="0"/>
        <w:tabs>
          <w:tab w:leader="none" w:pos="1440" w:val="left"/>
        </w:tabs>
        <w:numPr>
          <w:ilvl w:val="1"/>
          <w:numId w:val="10"/>
        </w:numPr>
        <w:rPr>
          <w:rFonts w:ascii="Arial" w:cs="Arial" w:eastAsia="Arial" w:hAnsi="Arial"/>
          <w:sz w:val="18"/>
          <w:szCs w:val="18"/>
          <w:color w:val="auto"/>
        </w:rPr>
      </w:pPr>
      <w:r>
        <w:rPr>
          <w:rFonts w:ascii="Arial" w:cs="Arial" w:eastAsia="Arial" w:hAnsi="Arial"/>
          <w:sz w:val="18"/>
          <w:szCs w:val="18"/>
          <w:color w:val="auto"/>
        </w:rPr>
        <w:t>the related notes to the unaudited Condensed Consolidated Financial Statements.</w:t>
      </w:r>
    </w:p>
    <w:p>
      <w:pPr>
        <w:spacing w:after="0" w:line="183" w:lineRule="exact"/>
        <w:rPr>
          <w:rFonts w:ascii="Arial" w:cs="Arial" w:eastAsia="Arial" w:hAnsi="Arial"/>
          <w:sz w:val="18"/>
          <w:szCs w:val="18"/>
          <w:color w:val="auto"/>
        </w:rPr>
      </w:pPr>
    </w:p>
    <w:p>
      <w:pPr>
        <w:ind w:left="1040" w:hanging="1005"/>
        <w:spacing w:after="0"/>
        <w:tabs>
          <w:tab w:leader="none" w:pos="104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Submitted pursuant to Rule 405 and 406T of Regulation S-T.</w:t>
      </w:r>
    </w:p>
    <w:p>
      <w:pPr>
        <w:spacing w:after="0" w:line="63" w:lineRule="exact"/>
        <w:rPr>
          <w:sz w:val="20"/>
          <w:szCs w:val="20"/>
          <w:color w:val="auto"/>
        </w:rPr>
      </w:pPr>
    </w:p>
    <w:p>
      <w:pPr>
        <w:ind w:left="1040" w:hanging="1005"/>
        <w:spacing w:after="0"/>
        <w:tabs>
          <w:tab w:leader="none" w:pos="104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Filed herewith.</w:t>
      </w:r>
    </w:p>
    <w:p>
      <w:pPr>
        <w:spacing w:after="0" w:line="63" w:lineRule="exact"/>
        <w:rPr>
          <w:sz w:val="20"/>
          <w:szCs w:val="20"/>
          <w:color w:val="auto"/>
        </w:rPr>
      </w:pPr>
    </w:p>
    <w:p>
      <w:pPr>
        <w:ind w:left="1040" w:hanging="1005"/>
        <w:spacing w:after="0"/>
        <w:tabs>
          <w:tab w:leader="none" w:pos="1040"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49" w:right="239" w:bottom="1440" w:gutter="0" w:footer="0" w:header="0"/>
        </w:sectPr>
      </w:pPr>
    </w:p>
    <w:bookmarkStart w:id="50" w:name="page51"/>
    <w:bookmarkEnd w:id="50"/>
    <w:p>
      <w:pPr>
        <w:ind w:left="3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530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33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33"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Weatherford International plc</w:t>
            </w:r>
          </w:p>
        </w:tc>
      </w:tr>
      <w:tr>
        <w:trPr>
          <w:trHeight w:val="594"/>
        </w:trPr>
        <w:tc>
          <w:tcPr>
            <w:tcW w:w="3180" w:type="dxa"/>
            <w:vAlign w:val="bottom"/>
          </w:tcPr>
          <w:p>
            <w:pPr>
              <w:spacing w:after="0"/>
              <w:rPr>
                <w:sz w:val="20"/>
                <w:szCs w:val="20"/>
                <w:color w:val="auto"/>
              </w:rPr>
            </w:pPr>
            <w:r>
              <w:rPr>
                <w:rFonts w:ascii="Arial" w:cs="Arial" w:eastAsia="Arial" w:hAnsi="Arial"/>
                <w:sz w:val="18"/>
                <w:szCs w:val="18"/>
                <w:color w:val="auto"/>
              </w:rPr>
              <w:t>Date: August 9, 2018</w:t>
            </w:r>
          </w:p>
        </w:tc>
        <w:tc>
          <w:tcPr>
            <w:tcW w:w="6000" w:type="dxa"/>
            <w:vAlign w:val="bottom"/>
            <w:gridSpan w:val="2"/>
          </w:tcPr>
          <w:p>
            <w:pPr>
              <w:ind w:left="1660"/>
              <w:spacing w:after="0"/>
              <w:rPr>
                <w:sz w:val="20"/>
                <w:szCs w:val="20"/>
                <w:color w:val="auto"/>
              </w:rPr>
            </w:pPr>
            <w:r>
              <w:rPr>
                <w:rFonts w:ascii="Arial" w:cs="Arial" w:eastAsia="Arial" w:hAnsi="Arial"/>
                <w:sz w:val="18"/>
                <w:szCs w:val="18"/>
                <w:color w:val="auto"/>
              </w:rPr>
              <w:t>By: /s/ Christoph Bausch</w:t>
            </w:r>
          </w:p>
        </w:tc>
      </w:tr>
      <w:tr>
        <w:trPr>
          <w:trHeight w:val="27"/>
        </w:trPr>
        <w:tc>
          <w:tcPr>
            <w:tcW w:w="3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Christoph Bausch</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Executive Vice President and</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918"/>
        </w:trPr>
        <w:tc>
          <w:tcPr>
            <w:tcW w:w="3180" w:type="dxa"/>
            <w:vAlign w:val="bottom"/>
          </w:tcPr>
          <w:p>
            <w:pPr>
              <w:spacing w:after="0"/>
              <w:rPr>
                <w:sz w:val="20"/>
                <w:szCs w:val="20"/>
                <w:color w:val="auto"/>
              </w:rPr>
            </w:pPr>
            <w:r>
              <w:rPr>
                <w:rFonts w:ascii="Arial" w:cs="Arial" w:eastAsia="Arial" w:hAnsi="Arial"/>
                <w:sz w:val="18"/>
                <w:szCs w:val="18"/>
                <w:color w:val="auto"/>
              </w:rPr>
              <w:t>Date: August 9, 2018</w:t>
            </w:r>
          </w:p>
        </w:tc>
        <w:tc>
          <w:tcPr>
            <w:tcW w:w="6000" w:type="dxa"/>
            <w:vAlign w:val="bottom"/>
            <w:gridSpan w:val="2"/>
          </w:tcPr>
          <w:p>
            <w:pPr>
              <w:ind w:left="1660"/>
              <w:spacing w:after="0"/>
              <w:rPr>
                <w:sz w:val="20"/>
                <w:szCs w:val="20"/>
                <w:color w:val="auto"/>
              </w:rPr>
            </w:pPr>
            <w:r>
              <w:rPr>
                <w:rFonts w:ascii="Arial" w:cs="Arial" w:eastAsia="Arial" w:hAnsi="Arial"/>
                <w:sz w:val="18"/>
                <w:szCs w:val="18"/>
                <w:color w:val="auto"/>
              </w:rPr>
              <w:t>By: /s/ Stuart Fraser</w:t>
            </w:r>
          </w:p>
        </w:tc>
      </w:tr>
      <w:tr>
        <w:trPr>
          <w:trHeight w:val="27"/>
        </w:trPr>
        <w:tc>
          <w:tcPr>
            <w:tcW w:w="3180" w:type="dxa"/>
            <w:vAlign w:val="bottom"/>
          </w:tcPr>
          <w:p>
            <w:pPr>
              <w:spacing w:after="0"/>
              <w:rPr>
                <w:sz w:val="2"/>
                <w:szCs w:val="2"/>
                <w:color w:val="auto"/>
              </w:rPr>
            </w:pPr>
          </w:p>
        </w:tc>
        <w:tc>
          <w:tcPr>
            <w:tcW w:w="1960" w:type="dxa"/>
            <w:vAlign w:val="bottom"/>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r>
      <w:tr>
        <w:trPr>
          <w:trHeight w:val="237"/>
        </w:trPr>
        <w:tc>
          <w:tcPr>
            <w:tcW w:w="318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Stuart Fraser</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Vice President and</w:t>
            </w:r>
          </w:p>
        </w:tc>
      </w:tr>
      <w:tr>
        <w:trPr>
          <w:trHeight w:val="270"/>
        </w:trPr>
        <w:tc>
          <w:tcPr>
            <w:tcW w:w="3180" w:type="dxa"/>
            <w:vAlign w:val="bottom"/>
          </w:tcPr>
          <w:p>
            <w:pPr>
              <w:spacing w:after="0"/>
              <w:rPr>
                <w:sz w:val="23"/>
                <w:szCs w:val="23"/>
                <w:color w:val="auto"/>
              </w:rPr>
            </w:pPr>
          </w:p>
        </w:tc>
        <w:tc>
          <w:tcPr>
            <w:tcW w:w="1960" w:type="dxa"/>
            <w:vAlign w:val="bottom"/>
          </w:tcPr>
          <w:p>
            <w:pPr>
              <w:spacing w:after="0"/>
              <w:rPr>
                <w:sz w:val="23"/>
                <w:szCs w:val="23"/>
                <w:color w:val="auto"/>
              </w:rPr>
            </w:pPr>
          </w:p>
        </w:tc>
        <w:tc>
          <w:tcPr>
            <w:tcW w:w="4040" w:type="dxa"/>
            <w:vAlign w:val="bottom"/>
          </w:tcPr>
          <w:p>
            <w:pPr>
              <w:ind w:left="20"/>
              <w:spacing w:after="0"/>
              <w:rPr>
                <w:sz w:val="20"/>
                <w:szCs w:val="20"/>
                <w:color w:val="auto"/>
              </w:rPr>
            </w:pPr>
            <w:r>
              <w:rPr>
                <w:rFonts w:ascii="Arial" w:cs="Arial" w:eastAsia="Arial" w:hAnsi="Arial"/>
                <w:sz w:val="18"/>
                <w:szCs w:val="18"/>
                <w:color w:val="auto"/>
              </w:rPr>
              <w:t>Chief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620"/>
          </w:cols>
          <w:pgMar w:left="240" w:top="449" w:right="10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Mark A. McCollum, certify that:</w:t>
      </w:r>
    </w:p>
    <w:p>
      <w:pPr>
        <w:spacing w:after="0" w:line="225"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August 9,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Mark A. McCollum</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80"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Christoph Bausch, certify that:</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Weatherford International plc;</w:t>
      </w:r>
    </w:p>
    <w:p>
      <w:pPr>
        <w:spacing w:after="0" w:line="225"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340" w:right="80" w:hanging="332"/>
        <w:spacing w:after="0" w:line="264" w:lineRule="auto"/>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 - 15(f) and 15d - 15(f)) for the registrant and have:</w:t>
      </w:r>
    </w:p>
    <w:p>
      <w:pPr>
        <w:spacing w:after="0" w:line="181" w:lineRule="exact"/>
        <w:rPr>
          <w:rFonts w:ascii="Arial" w:cs="Arial" w:eastAsia="Arial" w:hAnsi="Arial"/>
          <w:sz w:val="18"/>
          <w:szCs w:val="18"/>
          <w:color w:val="auto"/>
        </w:rPr>
      </w:pPr>
    </w:p>
    <w:p>
      <w:pPr>
        <w:ind w:left="660" w:right="8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660" w:right="6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660" w:right="120" w:hanging="328"/>
        <w:spacing w:after="0" w:line="308" w:lineRule="auto"/>
        <w:tabs>
          <w:tab w:leader="none" w:pos="660" w:val="left"/>
        </w:tabs>
        <w:numPr>
          <w:ilvl w:val="1"/>
          <w:numId w:val="14"/>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660" w:right="180" w:hanging="328"/>
        <w:spacing w:after="0" w:line="264"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340" w:right="520" w:hanging="332"/>
        <w:spacing w:after="0" w:line="308" w:lineRule="auto"/>
        <w:tabs>
          <w:tab w:leader="none" w:pos="3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660" w:right="4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660" w:right="120" w:hanging="328"/>
        <w:spacing w:after="0" w:line="277" w:lineRule="auto"/>
        <w:tabs>
          <w:tab w:leader="none" w:pos="660" w:val="left"/>
        </w:tabs>
        <w:numPr>
          <w:ilvl w:val="1"/>
          <w:numId w:val="1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Date: August 9, 2018</w:t>
      </w:r>
    </w:p>
    <w:p>
      <w:pPr>
        <w:spacing w:after="0" w:line="38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66040</wp:posOffset>
            </wp:positionV>
            <wp:extent cx="25387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32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Christoph Bausch</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Executive Vice President and</w:t>
      </w:r>
    </w:p>
    <w:p>
      <w:pPr>
        <w:spacing w:after="0" w:line="117"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b w:val="1"/>
          <w:bCs w:val="1"/>
          <w:color w:val="auto"/>
        </w:rPr>
        <w:t>Exhibit 32.1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2018 as filed with the Securities and Exchange Commission on the date hereof (the "Report"), I, Mark A. McCollum, Chief Executive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Mark A. McCollum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Mark A. McCollum</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President and Chief Executive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9,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p>
      <w:pPr>
        <w:sectPr>
          <w:pgSz w:w="11900" w:h="16838" w:orient="portrait"/>
          <w:cols w:equalWidth="0" w:num="1">
            <w:col w:w="11420"/>
          </w:cols>
          <w:pgMar w:left="240" w:top="5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32.2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00" w:lineRule="exact"/>
        <w:rPr>
          <w:sz w:val="20"/>
          <w:szCs w:val="20"/>
          <w:color w:val="auto"/>
        </w:rPr>
      </w:pPr>
    </w:p>
    <w:p>
      <w:pPr>
        <w:spacing w:after="0" w:line="241" w:lineRule="exact"/>
        <w:rPr>
          <w:sz w:val="20"/>
          <w:szCs w:val="20"/>
          <w:color w:val="auto"/>
        </w:rPr>
      </w:pPr>
    </w:p>
    <w:p>
      <w:pPr>
        <w:ind w:right="140" w:firstLine="648"/>
        <w:spacing w:after="0" w:line="264" w:lineRule="auto"/>
        <w:rPr>
          <w:sz w:val="20"/>
          <w:szCs w:val="20"/>
          <w:color w:val="auto"/>
        </w:rPr>
      </w:pPr>
      <w:r>
        <w:rPr>
          <w:rFonts w:ascii="Arial" w:cs="Arial" w:eastAsia="Arial" w:hAnsi="Arial"/>
          <w:sz w:val="18"/>
          <w:szCs w:val="18"/>
          <w:color w:val="auto"/>
        </w:rPr>
        <w:t>In connection with the quarterly report on Form 10-Q of Weatherford International plc (the "Company") for the period ended June 30, 2018 as filed with the Securities and Exchange Commission on the date hereof (the "Report"), I, Christoph Bausch, Chief Financial Officer of the Company, certify, pursuant to 18 U.S.C. Section 1350, as adopted pursuant to Section 906 of the Sarbanes-Oxley Act of 2002, that:</w:t>
      </w:r>
    </w:p>
    <w:p>
      <w:pPr>
        <w:spacing w:after="0" w:line="181" w:lineRule="exact"/>
        <w:rPr>
          <w:sz w:val="20"/>
          <w:szCs w:val="20"/>
          <w:color w:val="auto"/>
        </w:rPr>
      </w:pPr>
    </w:p>
    <w:p>
      <w:pPr>
        <w:ind w:left="1300" w:hanging="320"/>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1300" w:right="440" w:hanging="320"/>
        <w:spacing w:after="0" w:line="277" w:lineRule="auto"/>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33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 Christoph Bausch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31750</wp:posOffset>
            </wp:positionV>
            <wp:extent cx="21780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2178050" cy="8890"/>
                    </a:xfrm>
                    <a:prstGeom prst="rect">
                      <a:avLst/>
                    </a:prstGeom>
                    <a:noFill/>
                  </pic:spPr>
                </pic:pic>
              </a:graphicData>
            </a:graphic>
          </wp:anchor>
        </w:drawing>
      </w:r>
    </w:p>
    <w:p>
      <w:pPr>
        <w:spacing w:after="0" w:line="23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Name: Christoph Bausch</w:t>
      </w:r>
    </w:p>
    <w:p>
      <w:pPr>
        <w:spacing w:after="0" w:line="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Title: Executive Vice President and Chief Financial Officer</w:t>
      </w:r>
    </w:p>
    <w:p>
      <w:pPr>
        <w:spacing w:after="0" w:line="6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August 9, 2018</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w:t>
      </w:r>
    </w:p>
    <w:p>
      <w:pPr>
        <w:spacing w:after="0" w:line="17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certification the registrant furnishes in this exhibit is not deemed "filed" for purposes of Section 18 of the Securities Exchange Act of 1934, as amended, or otherwise subject to the liabilities of that Section. Registration Statements or other documents filed with the Securities and Exchange Commission shall not incorporate this exhibit by reference, except as otherwise expressly stated in such filing.</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Letter"/>
      <w:start w:val="1"/>
    </w:lvl>
  </w:abstractNum>
  <w:abstractNum w:abstractNumId="3">
    <w:nsid w:val="4DB127F8"/>
    <w:multiLevelType w:val="hybridMultilevel"/>
    <w:lvl w:ilvl="0">
      <w:lvlJc w:val="left"/>
      <w:lvlText w:val="(%1)"/>
      <w:numFmt w:val="lowerLetter"/>
      <w:start w:val="2"/>
    </w:lvl>
  </w:abstractNum>
  <w:abstractNum w:abstractNumId="4">
    <w:nsid w:val="216231B"/>
    <w:multiLevelType w:val="hybridMultilevel"/>
    <w:lvl w:ilvl="0">
      <w:lvlJc w:val="left"/>
      <w:lvlText w:val="•"/>
      <w:numFmt w:val="bullet"/>
      <w:start w:val="1"/>
    </w:lvl>
  </w:abstractNum>
  <w:abstractNum w:abstractNumId="5">
    <w:nsid w:val="1F16E9E8"/>
    <w:multiLevelType w:val="hybridMultilevel"/>
    <w:lvl w:ilvl="0">
      <w:lvlJc w:val="left"/>
      <w:lvlText w:val="(%1)"/>
      <w:numFmt w:val="lowerLetter"/>
      <w:start w:val="1"/>
    </w:lvl>
  </w:abstractNum>
  <w:abstractNum w:abstractNumId="6">
    <w:nsid w:val="1190CDE7"/>
    <w:multiLevelType w:val="hybridMultilevel"/>
    <w:lvl w:ilvl="0">
      <w:lvlJc w:val="left"/>
      <w:lvlText w:val="•"/>
      <w:numFmt w:val="bullet"/>
      <w:start w:val="1"/>
    </w:lvl>
  </w:abstractNum>
  <w:abstractNum w:abstractNumId="7">
    <w:nsid w:val="66EF438D"/>
    <w:multiLevelType w:val="hybridMultilevel"/>
    <w:lvl w:ilvl="0">
      <w:lvlJc w:val="left"/>
      <w:lvlText w:val="•"/>
      <w:numFmt w:val="bullet"/>
      <w:start w:val="1"/>
    </w:lvl>
  </w:abstractNum>
  <w:abstractNum w:abstractNumId="8">
    <w:nsid w:val="140E0F76"/>
    <w:multiLevelType w:val="hybridMultilevel"/>
    <w:lvl w:ilvl="0">
      <w:lvlJc w:val="left"/>
      <w:lvlText w:val="•"/>
      <w:numFmt w:val="bullet"/>
      <w:start w:val="1"/>
    </w:lvl>
  </w:abstractNum>
  <w:abstractNum w:abstractNumId="9">
    <w:nsid w:val="3352255A"/>
    <w:multiLevelType w:val="hybridMultilevel"/>
    <w:lvl w:ilvl="0">
      <w:lvlJc w:val="left"/>
      <w:lvlText w:val="**"/>
      <w:numFmt w:val="bullet"/>
      <w:start w:val="1"/>
    </w:lvl>
    <w:lvl w:ilvl="1">
      <w:lvlJc w:val="left"/>
      <w:lvlText w:val="(%2)"/>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lvl w:ilvl="1">
      <w:lvlJc w:val="left"/>
      <w:lvlText w:val="%2)"/>
      <w:numFmt w:val="lowerLetter"/>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1" Type="http://schemas.openxmlformats.org/officeDocument/2006/relationships/hyperlink" Target="http://www.sec.gov/Archives/edgar/data/1453090/000145309014000034/exhibit21mergeragreementir.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2019-12-28T20:11:08Z</dcterms:created>
  <dcterms:modified xsi:type="dcterms:W3CDTF">2019-12-28T20:11:08Z</dcterms:modified>
</cp:coreProperties>
</file>